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B24B6" w14:textId="77777777" w:rsidR="006561BA" w:rsidRDefault="005B4ED6">
      <w:pPr>
        <w:pStyle w:val="MainTitle"/>
      </w:pPr>
      <w:r>
        <w:rPr>
          <w:caps/>
        </w:rPr>
        <w:t>Delegert kommisjonsforordning</w:t>
      </w:r>
      <w:r>
        <w:t xml:space="preserve"> (EU) 2023/2486</w:t>
      </w:r>
    </w:p>
    <w:p w14:paraId="53AC18D5" w14:textId="77777777" w:rsidR="006561BA" w:rsidRDefault="005B4ED6">
      <w:pPr>
        <w:pStyle w:val="MainTitle"/>
      </w:pPr>
      <w:r>
        <w:t>av 27. juni 2023</w:t>
      </w:r>
    </w:p>
    <w:p w14:paraId="0C417E7F" w14:textId="77777777" w:rsidR="006561BA" w:rsidRDefault="005B4ED6">
      <w:pPr>
        <w:pStyle w:val="MainTitle"/>
        <w:spacing w:after="360"/>
      </w:pPr>
      <w:r>
        <w:t>om utfylling av europaparlaments- og rådsforordning (EU) 2020/852 ved fastsettelse av de tekniske screeningkriteriene for å fastslå vilkårene for at en økonomisk aktivitet skal anses å bidra vesentlig til bærekraftig bruk og beskyttelse av vann- og havressurser, til omstilling til en sirkulær økonomi, til forebygging og begrensning av forurensning, eller til beskyttelse og restaurering av biologisk mangfold og økosystemer, og for å fastslå om det er slik at den økonomiske aktiviteten ikke er til betydelig skade for noen av de andre miljømålene, og om endring av delegert kommisjonsforordning (EU) 2021/2178 med hensyn til særskilte opplysninger som skal offentliggjøres for slike økonomiske aktiviteter</w:t>
      </w:r>
    </w:p>
    <w:p w14:paraId="479E7CD1" w14:textId="77777777" w:rsidR="006561BA" w:rsidRDefault="005B4ED6">
      <w:pPr>
        <w:pStyle w:val="PreambleInit"/>
        <w:spacing w:after="300"/>
      </w:pPr>
      <w:r>
        <w:t>EUROPAKOMMISJONEN HAR</w:t>
      </w:r>
    </w:p>
    <w:p w14:paraId="26273DFC" w14:textId="77777777" w:rsidR="006561BA" w:rsidRDefault="005B4ED6">
      <w:pPr>
        <w:pStyle w:val="Para"/>
        <w:spacing w:after="300"/>
      </w:pPr>
      <w:r>
        <w:t>under henvisning til traktaten om Den europeiske unions virkemåte,</w:t>
      </w:r>
    </w:p>
    <w:p w14:paraId="4A81C124" w14:textId="60ED28E5" w:rsidR="006561BA" w:rsidRDefault="005B4ED6">
      <w:pPr>
        <w:pStyle w:val="Para"/>
        <w:spacing w:after="300"/>
      </w:pPr>
      <w:r>
        <w:t>under henvisning til europaparlaments- og rådsforordning (EU) 2020/852 av 18. juni 2020 om etablering av et rammeverk for å fremme bærekraftige investeringer og om endring av forordning (EU) 2019/2088(</w:t>
      </w:r>
      <w:bookmarkStart w:id="0" w:name="NOTE_1"/>
      <w:r>
        <w:rPr>
          <w:rStyle w:val="FootnoteReference"/>
          <w:sz w:val="18"/>
        </w:rPr>
        <w:footnoteReference w:id="2"/>
      </w:r>
      <w:bookmarkEnd w:id="0"/>
      <w:r>
        <w:t>), særlig artikkel 8 nr. 4, artikkel 12 nr. 2, artikkel 13 nr. 2, artikkel 14 nr. 2 og artikkel 15 nr. 2, og</w:t>
      </w:r>
    </w:p>
    <w:p w14:paraId="6EDB5EB0" w14:textId="77777777" w:rsidR="006561BA" w:rsidRDefault="005B4ED6">
      <w:pPr>
        <w:pStyle w:val="Para"/>
        <w:spacing w:after="300"/>
      </w:pPr>
      <w:r>
        <w:t>ut fra følgende betraktninger:</w:t>
      </w:r>
    </w:p>
    <w:p w14:paraId="70CC7341" w14:textId="17E96E26" w:rsidR="006561BA" w:rsidRDefault="005B4ED6">
      <w:pPr>
        <w:pStyle w:val="Consid"/>
        <w:spacing w:after="300"/>
      </w:pPr>
      <w:r>
        <w:t>1)</w:t>
      </w:r>
      <w:r>
        <w:tab/>
        <w:t>I forordning (EU) 2020/852 fastsettes det generelle rammeverket for å fastslå om det er slik at en økonomisk aktivitet skal anses som miljømessig bærekraftig</w:t>
      </w:r>
      <w:r w:rsidR="00C84414">
        <w:t>,</w:t>
      </w:r>
      <w:r>
        <w:t xml:space="preserve"> med det formål å fastslå i hvilken grad en investering er miljømessig bærekraftig. Den nevnte forordningen får anvendelse på tiltak truffet av Unionen eller medlemsstatene som angir krav til finansmarkedsdeltakere eller utstedere med hensyn til finansielle produkter eller foretaksobligasjoner som tilbys som miljømessig bærekraftige, til finansmarkedsdeltakere som tilbyr finansielle produkter, og til foretak som er omfattet av plikten til å offentliggjøre en ikke-finansiell erklæring i henhold til artikkel 19a i europaparlaments- og rådsdirektiv 2013/34/EU(</w:t>
      </w:r>
      <w:bookmarkStart w:id="1" w:name="NOTE_2"/>
      <w:r>
        <w:rPr>
          <w:rStyle w:val="FootnoteReference"/>
          <w:sz w:val="18"/>
        </w:rPr>
        <w:footnoteReference w:id="3"/>
      </w:r>
      <w:bookmarkEnd w:id="1"/>
      <w:r>
        <w:t xml:space="preserve">) eller en konsolidert ikke-finansiell erklæring i henhold til artikkel 29a i det nevnte direktivet. Markedsdeltakere eller offentlige myndigheter som ikke er omfattet av forordning (EU) 2020/852, kan også </w:t>
      </w:r>
      <w:r w:rsidR="006918D6">
        <w:t xml:space="preserve">frivillig </w:t>
      </w:r>
      <w:r>
        <w:t>anvende den nevnte forordningen.</w:t>
      </w:r>
    </w:p>
    <w:p w14:paraId="6E6E856A" w14:textId="77777777" w:rsidR="006561BA" w:rsidRDefault="005B4ED6">
      <w:pPr>
        <w:pStyle w:val="Consid"/>
        <w:spacing w:after="300"/>
      </w:pPr>
      <w:r>
        <w:t>2)</w:t>
      </w:r>
      <w:r>
        <w:tab/>
        <w:t>I henhold til artikkel 12 nr. 2, artikkel 13 nr. 2, artikkel 14 nr. 2 og artikkel 15 nr. 2 i forordning (EU) 2020/852 skal Kommisjonen vedta delegerte rettsakter som fastsetter de tekniske screeningkriteriene for å fastslå vilkårene for at en bestemt økonomisk aktivitet skal anses å bidra vesentlig til henholdsvis bærekraftig bruk og beskyttelse av vann- og havressurser, til omstilling til en sirkulær økonomi, til forebygging og begrensning av forurensning eller til beskyttelse og restaurering av biologisk mangfold og økosystemer, og skal for hvert relevant miljømål fastsatt i artikkel 9 i den nevnte forordningen fastsette tekniske screeningkriterier for å fastslå om det er slik at den økonomiske aktiviteten ikke er til betydelig skade for et eller flere av disse miljømålene.</w:t>
      </w:r>
    </w:p>
    <w:p w14:paraId="210116A4" w14:textId="77777777" w:rsidR="006561BA" w:rsidRDefault="005B4ED6" w:rsidP="000B3D12">
      <w:pPr>
        <w:pStyle w:val="Consid"/>
        <w:spacing w:after="300"/>
      </w:pPr>
      <w:r>
        <w:t>3)</w:t>
      </w:r>
      <w:r>
        <w:tab/>
        <w:t>I kommisjonsmelding av 6. juli 2021 om en strategi for å finansiere omstillingen til en bærekraftig økonomi («</w:t>
      </w:r>
      <w:proofErr w:type="spellStart"/>
      <w:r>
        <w:t>Strategy</w:t>
      </w:r>
      <w:proofErr w:type="spellEnd"/>
      <w:r>
        <w:t xml:space="preserve"> for </w:t>
      </w:r>
      <w:proofErr w:type="spellStart"/>
      <w:r>
        <w:t>Financing</w:t>
      </w:r>
      <w:proofErr w:type="spellEnd"/>
      <w:r>
        <w:t xml:space="preserve"> </w:t>
      </w:r>
      <w:proofErr w:type="spellStart"/>
      <w:r>
        <w:t>the</w:t>
      </w:r>
      <w:proofErr w:type="spellEnd"/>
      <w:r>
        <w:t xml:space="preserve"> </w:t>
      </w:r>
      <w:proofErr w:type="spellStart"/>
      <w:r>
        <w:t>Transition</w:t>
      </w:r>
      <w:proofErr w:type="spellEnd"/>
      <w:r>
        <w:t xml:space="preserve"> to a </w:t>
      </w:r>
      <w:proofErr w:type="spellStart"/>
      <w:r>
        <w:t>Sustainable</w:t>
      </w:r>
      <w:proofErr w:type="spellEnd"/>
      <w:r>
        <w:t xml:space="preserve"> </w:t>
      </w:r>
      <w:proofErr w:type="spellStart"/>
      <w:r>
        <w:t>Economy</w:t>
      </w:r>
      <w:proofErr w:type="spellEnd"/>
      <w:r>
        <w:t>»)(</w:t>
      </w:r>
      <w:bookmarkStart w:id="2" w:name="NOTE_3"/>
      <w:r>
        <w:rPr>
          <w:rStyle w:val="FootnoteReference"/>
          <w:sz w:val="18"/>
        </w:rPr>
        <w:footnoteReference w:id="4"/>
      </w:r>
      <w:bookmarkEnd w:id="2"/>
      <w:r>
        <w:t>) ble det kunngjort at tekniske screeningkriterier skulle fastsettes for miljømål som omfatter bærekraftig bruk og beskyttelse av vann- og havressurser, omstilling til en sirkulær økonomi, forebygging og begrensning av forurensning og beskyttelse og restaurering av biologisk mangfold og økosystemer. Disse tekniske screeningkriteriene bør vedtas i tillegg til de tekniske screeningkriteriene som er fastsatt i delegert kommisjonsforordning (EU) 2021/2139(</w:t>
      </w:r>
      <w:bookmarkStart w:id="3" w:name="NOTE_4"/>
      <w:r>
        <w:rPr>
          <w:rStyle w:val="FootnoteReference"/>
          <w:sz w:val="18"/>
        </w:rPr>
        <w:footnoteReference w:id="5"/>
      </w:r>
      <w:bookmarkEnd w:id="3"/>
      <w:r>
        <w:t>).</w:t>
      </w:r>
    </w:p>
    <w:p w14:paraId="41CE510B" w14:textId="77777777" w:rsidR="006561BA" w:rsidRDefault="005B4ED6" w:rsidP="000B3D12">
      <w:pPr>
        <w:pStyle w:val="Consid"/>
        <w:spacing w:after="300"/>
      </w:pPr>
      <w:r>
        <w:lastRenderedPageBreak/>
        <w:t>4)</w:t>
      </w:r>
      <w:r>
        <w:tab/>
        <w:t>De tekniske screeningkriteriene for miljømål som omfatter bærekraftig bruk og beskyttelse av vann- og havressurser, omstilling til en sirkulær økonomi, forebygging og begrensning av forurensning og beskyttelse og restaurering av biologisk mangfold og økosystemer, bør, i likhet med de tekniske screeningkriteriene som er fastsatt i delegert forordning (EU) 2021/2139, om mulig følge klassifiseringen av økonomiske aktiviteter fastsatt i næringsgrupperingen NACE Revisjon 2 innført ved europaparlaments- og rådsforordning (EF) nr. 1893/2006(</w:t>
      </w:r>
      <w:bookmarkStart w:id="4" w:name="NOTE_5"/>
      <w:r>
        <w:rPr>
          <w:rStyle w:val="FootnoteReference"/>
          <w:sz w:val="18"/>
        </w:rPr>
        <w:footnoteReference w:id="6"/>
      </w:r>
      <w:bookmarkEnd w:id="4"/>
      <w:r>
        <w:t>). For å gjøre det lettere for foretak og finansmarkedsdeltakere å identifisere de relevante økonomiske aktivitetene som det bør fastsettes tekniske screeningkriterier for, bør den særlige beskrivelsen av en økonomisk aktivitet også omfatte veiledende henvisninger til NACE-koder som kan knyttes til denne aktiviteten. Disse henvisningene bør forstås som veiledende og bør ikke ha forrang for den spesifikke definisjonen av den økonomiske aktiviteten som er gitt i beskrivelsen av denne.</w:t>
      </w:r>
    </w:p>
    <w:p w14:paraId="2307E711" w14:textId="77777777" w:rsidR="006561BA" w:rsidRDefault="005B4ED6">
      <w:pPr>
        <w:pStyle w:val="Consid"/>
        <w:spacing w:after="700"/>
      </w:pPr>
      <w:r>
        <w:t>5)</w:t>
      </w:r>
      <w:r>
        <w:tab/>
        <w:t xml:space="preserve">De tekniske screeningkriteriene for økonomiske aktiviteter som bidrar vesentlig til bærekraftig bruk og beskyttelse av vann- og havressurser, til omstilling til en sirkulær økonomi, til forebygging og begrensning av forurensning, og til beskyttelse og restaurering av biologisk mangfold og økosystemer, bør sikre at den aktuelle økonomiske aktiviteten har en positiv innvirkning på et av disse målene. Disse tekniske screeningkriteriene bør derfor vise til terskelverdier eller prestasjonsnivåer som den økonomiske aktiviteten bør oppnå for å kunne anses å bidra vesentlig til et av disse målene. De tekniske screeningkriteriene for prinsippet om ikke å gjøre betydelig skade («do </w:t>
      </w:r>
      <w:proofErr w:type="spellStart"/>
      <w:r>
        <w:t>no</w:t>
      </w:r>
      <w:proofErr w:type="spellEnd"/>
      <w:r>
        <w:t xml:space="preserve"> </w:t>
      </w:r>
      <w:proofErr w:type="spellStart"/>
      <w:r>
        <w:t>significant</w:t>
      </w:r>
      <w:proofErr w:type="spellEnd"/>
      <w:r>
        <w:t xml:space="preserve"> harm», DNSH) bør sikre at den økonomiske aktiviteten ikke har noen betydelige negative miljøvirkninger, herunder klimarelaterte virkninger. Disse tekniske screeningkriteriene bør derfor angi minstekravene som den økonomiske aktiviteten bør oppfylle for å anses som miljømessig bærekraftig.</w:t>
      </w:r>
    </w:p>
    <w:p w14:paraId="01384960" w14:textId="4D95ECE2" w:rsidR="006561BA" w:rsidRDefault="005B4ED6">
      <w:pPr>
        <w:pStyle w:val="Consid"/>
        <w:spacing w:after="700"/>
      </w:pPr>
      <w:r>
        <w:t>6)</w:t>
      </w:r>
      <w:r>
        <w:tab/>
        <w:t xml:space="preserve">De tekniske screeningkriteriene for å fastslå om en økonomisk aktivitet bidrar vesentlig til et av miljømålene fastsatt i artikkel 9 i forordning (EU) 2020/852, og om det er slik at den ikke er til betydelig skade for noen av de andre miljømålene, bør, der det er relevant, bygge på eksisterende unionsrett, beste praksis, standarder og metoder, samt på veletablerte standarder, framgangsmåter og metoder utviklet av internasjonalt </w:t>
      </w:r>
      <w:r w:rsidR="008A5F6F">
        <w:t>aner</w:t>
      </w:r>
      <w:r>
        <w:t>kjente offentlige organer. Dersom disse standardene, framgangsmåtene og metodene ikke finnes for et bestemt politikkområde, bør de tekniske screeningkriteriene bygge på veletablerte standarder som er utarbeidet av internasjonalt anerkjente private organer.</w:t>
      </w:r>
    </w:p>
    <w:p w14:paraId="6763A550" w14:textId="77777777" w:rsidR="006561BA" w:rsidRDefault="005B4ED6">
      <w:pPr>
        <w:pStyle w:val="Consid"/>
        <w:spacing w:after="0"/>
      </w:pPr>
      <w:r>
        <w:t>7)</w:t>
      </w:r>
      <w:r>
        <w:tab/>
        <w:t>I henhold til artikkel 19 nr. 1 bokstav h) i forordning (EU) 2020/852 bør de tekniske screeningkriteriene ta hensyn til den økonomiske aktivitetens og den aktuelle sektorens art og omfang, samt hvorvidt den økonomiske aktiviteten er en muliggjørende aktivitet som omhandlet i artikkel 16 i den nevnte forordningen. For at de tekniske screeningkriteriene skal oppfylle kravene i artikkel 19 i forordning (EU) 2020/852 på en effektiv og balansert måte, bør disse tekniske screeningkriteriene fastsettes som en kvantitativ terskelverdi eller et minstekrav, en relativ forbedring, kvalitative prestasjonskrav, prosess- eller praksisbaserte krav eller en nøyaktig beskrivelse av arten av selve den økonomiske aktiviteten, dersom denne aktiviteten på grunn av sin art kan bidra vesentlig til miljømålene.</w:t>
      </w:r>
      <w:r>
        <w:br w:type="page"/>
      </w:r>
    </w:p>
    <w:p w14:paraId="74C9EC2A" w14:textId="77777777" w:rsidR="006561BA" w:rsidRDefault="005B4ED6">
      <w:pPr>
        <w:pStyle w:val="Consid"/>
      </w:pPr>
      <w:r>
        <w:lastRenderedPageBreak/>
        <w:t>8)</w:t>
      </w:r>
      <w:r>
        <w:tab/>
        <w:t>De tekniske screeningkriteriene for å fastslå vilkårene for at en økonomisk aktivitet skal anses å bidra vesentlig til bærekraftig bruk og beskyttelse av vann- og havressurser, bør gjenspeile behovet for å oppnå en god tilstand for alle vannforekomster og en god miljøtilstand for havområder, og for å forhindre forringelse av vannforekomster som allerede har en god tilstand, eller havområder som allerede har en god miljøtilstand. Det er derfor hensiktsmessig først å fokusere på de økonomiske aktivitetene og sektorene som har størst potensial til å bidra mest til disse målene.</w:t>
      </w:r>
    </w:p>
    <w:p w14:paraId="01760777" w14:textId="359C172E" w:rsidR="006561BA" w:rsidRDefault="005B4ED6">
      <w:pPr>
        <w:pStyle w:val="Consid"/>
      </w:pPr>
      <w:r>
        <w:t>9)</w:t>
      </w:r>
      <w:r>
        <w:tab/>
        <w:t>Unionens rammeverk for beskyttelse av vann(</w:t>
      </w:r>
      <w:bookmarkStart w:id="5" w:name="NOTE_6"/>
      <w:r>
        <w:rPr>
          <w:rStyle w:val="FootnoteReference"/>
          <w:sz w:val="18"/>
        </w:rPr>
        <w:footnoteReference w:id="7"/>
      </w:r>
      <w:bookmarkEnd w:id="5"/>
      <w:r>
        <w:t xml:space="preserve">) sikrer en integrert strategi for vannforvaltning som respekterer integriteten til hele økosystemet. De tekniske screeningkriteriene bør derfor ta sikte på å håndtere de negative virkningene av utslipp av avløpsvann fra byområder og spillvann fra industrien, beskytte menneskers helse mot de negative konsekvensene av forurensning av drikkevann, forbedre forvaltningen og utnyttelsen av vann, sikre bærekraftig bruk av økosystemtjenester fra havet, bidra til en god miljøtilstand for havområder og til generelt å oppnå og opprettholde en god tilstand eller </w:t>
      </w:r>
      <w:r w:rsidR="00A708B8">
        <w:t xml:space="preserve">et </w:t>
      </w:r>
      <w:r>
        <w:t>godt potensial i vannforekomster, herunder i forekomster av overflatevann og grunnvann. Tekniske screeningkriterier for rensing av avløpsvann fra byområder som en aktivitet som bidrar vesentlig til et eller flere miljømål, bør gjennomgås og om nødvendig revideres, idet det tas hensyn til relevant unionsrett, herunder rådsdirektiv 91/271/EØF(</w:t>
      </w:r>
      <w:bookmarkStart w:id="6" w:name="NOTE_7"/>
      <w:r>
        <w:rPr>
          <w:rStyle w:val="FootnoteReference"/>
          <w:sz w:val="18"/>
        </w:rPr>
        <w:footnoteReference w:id="8"/>
      </w:r>
      <w:bookmarkEnd w:id="6"/>
      <w:r>
        <w:t>).</w:t>
      </w:r>
    </w:p>
    <w:p w14:paraId="28090B9E" w14:textId="77777777" w:rsidR="006561BA" w:rsidRDefault="005B4ED6">
      <w:pPr>
        <w:pStyle w:val="Consid"/>
      </w:pPr>
      <w:r>
        <w:t>10)</w:t>
      </w:r>
      <w:r>
        <w:tab/>
        <w:t>Når det gjelder løsninger som er inspirert og støttet av naturen, og som gir miljømessige, sosiale og økonomiske fordeler og bidrar til å bygge opp motstandsdyktighet, bør de tekniske screeningkriteriene ta sikte på å forebygge og beskytte mot flom eller tørke, samtidig som de forbedrer vannets naturlige retensjonsevne, det biologiske mangfoldet og vannkvaliteten.</w:t>
      </w:r>
    </w:p>
    <w:p w14:paraId="7E0F6664" w14:textId="4F4A7C30" w:rsidR="006561BA" w:rsidRDefault="005B4ED6">
      <w:pPr>
        <w:pStyle w:val="Consid"/>
        <w:spacing w:after="0"/>
      </w:pPr>
      <w:r>
        <w:t>11)</w:t>
      </w:r>
      <w:r>
        <w:tab/>
        <w:t xml:space="preserve">Omstillingen til en sirkulær økonomi fungerer som en katalysator for miljømessig bærekraft som gir betydelige fordeler for bærekraftig forvaltning av vann, beskyttelse og bevaring av biologisk mangfold, forebygging og begrensning av forurensning samt begrensning av klimaendringer. Den sirkulære økonomien gjenspeiler behovet for økonomiske aktiviteter for å fremme effektiv ressursbruk gjennom hensiktsmessig ombruk og gjenvinning av ressurser. De tekniske screeningkriteriene for å fastslå vilkårene for at en økonomisk aktivitet skal anses å bidra vesentlig til omstillingen til en sirkulær økonomi, bør derfor sikre at aktivitetsutøveren i utformings- og produksjonsfasen tar hensyn til produktets langsiktige verdibevaring og avfallsreduksjon i løpet av dets livssyklus. I bruksfasen bør produktet vedlikeholdes for å forlenge levetiden, samtidig som avfallsmengden reduseres. Produktet bør demonteres eller behandles etter bruk for å sikre at det kan </w:t>
      </w:r>
      <w:proofErr w:type="spellStart"/>
      <w:r>
        <w:t>ombrukes</w:t>
      </w:r>
      <w:proofErr w:type="spellEnd"/>
      <w:r>
        <w:t xml:space="preserve"> eller gjenvinnes for produksjon av et annet produkt. Denne strategien kan begrense </w:t>
      </w:r>
      <w:r w:rsidR="00F563D8">
        <w:t xml:space="preserve">unionsøkonomiens </w:t>
      </w:r>
      <w:r>
        <w:t xml:space="preserve">avhengighet av materialer importert fra tredjeland, noe som er særlig viktig når det gjelder kritiske </w:t>
      </w:r>
      <w:r w:rsidR="00BA53C1">
        <w:t>råvarer</w:t>
      </w:r>
      <w:r>
        <w:t>. Det er derfor hensiktsmessig først å fokusere på de økonomiske aktivitetene og sektorene som har størst potensial til å bidra mest til disse målene.</w:t>
      </w:r>
      <w:r>
        <w:br w:type="page"/>
      </w:r>
    </w:p>
    <w:p w14:paraId="2FD8064C" w14:textId="0F676987" w:rsidR="006561BA" w:rsidRDefault="005B4ED6">
      <w:pPr>
        <w:pStyle w:val="Consid"/>
      </w:pPr>
      <w:r>
        <w:lastRenderedPageBreak/>
        <w:t>12)</w:t>
      </w:r>
      <w:r>
        <w:tab/>
        <w:t xml:space="preserve">Når det gjelder et produkts </w:t>
      </w:r>
      <w:proofErr w:type="spellStart"/>
      <w:r>
        <w:t>sirkularitet</w:t>
      </w:r>
      <w:proofErr w:type="spellEnd"/>
      <w:r>
        <w:t xml:space="preserve">, er utformings- og produksjonsfasene avgjørende for å sikre holdbarhet og potensiell ombruk av produktet og for at det skal kunne gjenvinnes. Disse fasene er også nødvendige for å redusere innholdet av farlige stoffer og erstatte stoffer som gir grunn til svært alvorlig bekymring, i materialer og produkter gjennom hele deres livssyklus. De tekniske screeningkriteriene for produksjonsaktiviteter som i vesentlig grad bidrar til omstillingen til sirkulær økonomi, bør derfor fastsette krav til utforming med hensyn til produkters levetid, reparasjonsmuligheter og ombruk, samt krav til bruk av materialer, stoffer og prosesser som sikrer en kvalitetsmessig gjenvinning av produktet. Bruken av farlige stoffer bør reduseres. Når det er mulig, bør kriteriene også inneholde krav om at det skal brukes </w:t>
      </w:r>
      <w:r w:rsidR="00A36F0B">
        <w:t>material</w:t>
      </w:r>
      <w:r>
        <w:t xml:space="preserve">gjenvunne </w:t>
      </w:r>
      <w:r w:rsidR="007D3161">
        <w:t>råvarer</w:t>
      </w:r>
      <w:r>
        <w:t xml:space="preserve"> for </w:t>
      </w:r>
      <w:r w:rsidR="005139BB">
        <w:t xml:space="preserve">framstilling </w:t>
      </w:r>
      <w:r>
        <w:t>av selve produktet.</w:t>
      </w:r>
    </w:p>
    <w:p w14:paraId="0D766C80" w14:textId="77777777" w:rsidR="006561BA" w:rsidRDefault="005B4ED6">
      <w:pPr>
        <w:pStyle w:val="Consid"/>
      </w:pPr>
      <w:r>
        <w:t>13)</w:t>
      </w:r>
      <w:r>
        <w:tab/>
        <w:t>I forbindelse med oppfølging av kommisjonsmelding av 11. desember 2019 om den europeiske grønne given(</w:t>
      </w:r>
      <w:bookmarkStart w:id="7" w:name="NOTE_8"/>
      <w:r>
        <w:rPr>
          <w:rStyle w:val="FootnoteReference"/>
          <w:sz w:val="18"/>
        </w:rPr>
        <w:footnoteReference w:id="9"/>
      </w:r>
      <w:bookmarkEnd w:id="7"/>
      <w:r>
        <w:t>), kommisjonsmelding av 11. mars 2020 om en ny handlingsplan for den sirkulære økonomien(</w:t>
      </w:r>
      <w:bookmarkStart w:id="8" w:name="NOTE_9"/>
      <w:r>
        <w:rPr>
          <w:rStyle w:val="FootnoteReference"/>
          <w:sz w:val="18"/>
        </w:rPr>
        <w:footnoteReference w:id="10"/>
      </w:r>
      <w:bookmarkEnd w:id="8"/>
      <w:r>
        <w:t>), kommisjonsmelding av 16. januar 2018 om en europeisk strategi for plast(</w:t>
      </w:r>
      <w:bookmarkStart w:id="9" w:name="NOTE_10"/>
      <w:r>
        <w:rPr>
          <w:rStyle w:val="FootnoteReference"/>
          <w:sz w:val="18"/>
        </w:rPr>
        <w:footnoteReference w:id="11"/>
      </w:r>
      <w:bookmarkEnd w:id="9"/>
      <w:r>
        <w:t>) og kommisjonsmelding av 30. november 2022 om EUs politiske ramme for biobasert, biologisk nedbrytbar og komposterbar plast(</w:t>
      </w:r>
      <w:bookmarkStart w:id="10" w:name="NOTE_11"/>
      <w:r>
        <w:rPr>
          <w:rStyle w:val="FootnoteReference"/>
          <w:sz w:val="18"/>
        </w:rPr>
        <w:footnoteReference w:id="12"/>
      </w:r>
      <w:bookmarkEnd w:id="10"/>
      <w:r>
        <w:t>) bør de tekniske screeningkriteriene for produksjon av plastemballasje suppleres, gjennomgås og om nødvendig revideres, idet det tas hensyn til relevant unionsrett, herunder europaparlaments- og rådsdirektiv 94/62/EF(</w:t>
      </w:r>
      <w:bookmarkStart w:id="11" w:name="NOTE_12"/>
      <w:r>
        <w:rPr>
          <w:rStyle w:val="FootnoteReference"/>
          <w:sz w:val="18"/>
        </w:rPr>
        <w:footnoteReference w:id="13"/>
      </w:r>
      <w:bookmarkEnd w:id="11"/>
      <w:r>
        <w:t>) og framtidige revisjoner av dette direktivet.</w:t>
      </w:r>
    </w:p>
    <w:p w14:paraId="132D2AA4" w14:textId="013E437C" w:rsidR="006561BA" w:rsidRDefault="005B4ED6">
      <w:pPr>
        <w:pStyle w:val="Consid"/>
      </w:pPr>
      <w:r>
        <w:t>14)</w:t>
      </w:r>
      <w:r>
        <w:tab/>
        <w:t xml:space="preserve">Ettersom det ikke foreligger juridisk bindende </w:t>
      </w:r>
      <w:proofErr w:type="spellStart"/>
      <w:r>
        <w:t>bærekraftskriterier</w:t>
      </w:r>
      <w:proofErr w:type="spellEnd"/>
      <w:r>
        <w:t xml:space="preserve"> for biomassens rolle i plastemballasje, fokuserer de tekniske screeningkriteriene for produksjon av plastemballasje, som yter et vesentlig bidrag til omstillingen til en sirkulær økonomi, på bruk av </w:t>
      </w:r>
      <w:r w:rsidR="00D76A4A" w:rsidRPr="00D76A4A">
        <w:t>bioavfall som råvare</w:t>
      </w:r>
      <w:r>
        <w:t>. Når det tas hensyn til den framtidige tekniske og politiske utviklingen, herunder revisjonen av europaparlaments- og rådsdirektiv (EU) 2018/2001(</w:t>
      </w:r>
      <w:bookmarkStart w:id="12" w:name="NOTE_13"/>
      <w:r>
        <w:rPr>
          <w:rStyle w:val="FootnoteReference"/>
          <w:sz w:val="18"/>
        </w:rPr>
        <w:footnoteReference w:id="14"/>
      </w:r>
      <w:bookmarkEnd w:id="12"/>
      <w:r>
        <w:t>), samt mulige bidrag til andre miljømål, kan det være nødvendig å revidere disse kriteriene.</w:t>
      </w:r>
    </w:p>
    <w:p w14:paraId="46C99BA3" w14:textId="77777777" w:rsidR="006561BA" w:rsidRDefault="005B4ED6">
      <w:pPr>
        <w:pStyle w:val="Consid"/>
      </w:pPr>
      <w:r>
        <w:t>15)</w:t>
      </w:r>
      <w:r>
        <w:tab/>
        <w:t>God avfallshåndtering er en byggestein i den sirkulære økonomien og bidrar til å forhindre at avfall har en negativ innvirkning på miljøet og menneskers helse. Unionens avfallsregelverk(</w:t>
      </w:r>
      <w:bookmarkStart w:id="13" w:name="NOTE_14"/>
      <w:r>
        <w:rPr>
          <w:rStyle w:val="FootnoteReference"/>
          <w:sz w:val="18"/>
        </w:rPr>
        <w:footnoteReference w:id="15"/>
      </w:r>
      <w:bookmarkEnd w:id="13"/>
      <w:r>
        <w:t>) forbedrer avfallshåndteringen ved å fastsette et «avfallshierarki» der forebygging av avfall, forberedelse til ombruk og materialgjenvinning er de foretrukne løsningene, etterfulgt av annen gjenvinning, herunder energiutnytting, og bare som en siste utvei, sluttbehandling som forbrenning uten energiutnytting eller deponering. De tekniske screeningkriteriene for å fastslå vilkårene for at en bestemt økonomisk aktivitet skal anses å bidra vesentlig til omstillingen til en sirkulær økonomi, bør derfor ha som mål å forebygge eller redusere avfallsgenerering, øke forberedelsen til ombruk og materialgjenvinning av avfall og dermed unngå at bare en del av avfallet gjenvinnes, eller at det sluttbehandles. Med hensyn til at materialer som egner seg for å bli gjeninnført i den sirkulære økonomien, som for eksempel metaller og uorganiske salter, kan gjenvinnes fra forbrenningsprodukter, særlig fra bunnaske fra forbrenning av ikke-farlig avfall, bør det vurderes å fastsette tekniske screeningkriterier for denne materialgjenvinningsaktiviteten.</w:t>
      </w:r>
      <w:r>
        <w:br w:type="page"/>
      </w:r>
    </w:p>
    <w:p w14:paraId="3F648FAF" w14:textId="13542690" w:rsidR="006561BA" w:rsidRDefault="005B4ED6">
      <w:pPr>
        <w:pStyle w:val="Consid"/>
      </w:pPr>
      <w:r>
        <w:lastRenderedPageBreak/>
        <w:t>16)</w:t>
      </w:r>
      <w:r>
        <w:tab/>
        <w:t xml:space="preserve">Bygge- og </w:t>
      </w:r>
      <w:proofErr w:type="spellStart"/>
      <w:r>
        <w:t>rivingsarbeid</w:t>
      </w:r>
      <w:proofErr w:type="spellEnd"/>
      <w:r>
        <w:t xml:space="preserve"> står for 37 % av avfallet i Unionen(</w:t>
      </w:r>
      <w:bookmarkStart w:id="14" w:name="NOTE_15"/>
      <w:r>
        <w:rPr>
          <w:rStyle w:val="FootnoteReference"/>
          <w:sz w:val="18"/>
        </w:rPr>
        <w:footnoteReference w:id="16"/>
      </w:r>
      <w:bookmarkEnd w:id="14"/>
      <w:r>
        <w:t xml:space="preserve">). Sikring av at de materialene som brukes i konstruksjons- og </w:t>
      </w:r>
      <w:proofErr w:type="spellStart"/>
      <w:r>
        <w:t>vedlikeholdsprosessen</w:t>
      </w:r>
      <w:proofErr w:type="spellEnd"/>
      <w:r>
        <w:t xml:space="preserve"> av bygninger og andre bygge- og anleggsarbeider, hovedsakelig kommer fra </w:t>
      </w:r>
      <w:proofErr w:type="spellStart"/>
      <w:r>
        <w:t>ombrukte</w:t>
      </w:r>
      <w:proofErr w:type="spellEnd"/>
      <w:r>
        <w:t xml:space="preserve"> eller </w:t>
      </w:r>
      <w:r w:rsidR="00783C18">
        <w:t>material</w:t>
      </w:r>
      <w:r>
        <w:t>gjenvunne råvarer (</w:t>
      </w:r>
      <w:r w:rsidR="00CB37B3" w:rsidRPr="00CB37B3">
        <w:t>sekundære råvarer</w:t>
      </w:r>
      <w:r>
        <w:t xml:space="preserve">) og deretter forberedes til ombruk eller for materialgjenvinning når det bygde anlegget rives, kan derfor spille en viktig rolle i omstillingen til en sirkulær økonomi. Det bør derfor fastsettes tekniske screeningkriterier for oppføring av nye bygninger, renovering av eksisterende bygninger, </w:t>
      </w:r>
      <w:proofErr w:type="spellStart"/>
      <w:r>
        <w:t>riving</w:t>
      </w:r>
      <w:proofErr w:type="spellEnd"/>
      <w:r>
        <w:t xml:space="preserve"> av bygninger og andre anlegg, vedlikehold av veier og motorveier og for bruk av betong i bygge- og anleggsprosjekter. Det skal tas hensyn til </w:t>
      </w:r>
      <w:proofErr w:type="spellStart"/>
      <w:r>
        <w:t>sirkulariteten</w:t>
      </w:r>
      <w:proofErr w:type="spellEnd"/>
      <w:r>
        <w:t xml:space="preserve"> til materialene og det bygde anlegget fra utformingsfasen til demonteringsfasen. De tekniske screeningkriteriene bør derfor følge prinsippene om sirkulær utforming og produksjon av det bygde anlegget, samt en sirkulær bruk av materialer som brukes til å produsere dette anlegget.</w:t>
      </w:r>
    </w:p>
    <w:p w14:paraId="0FE913C1" w14:textId="77777777" w:rsidR="006561BA" w:rsidRDefault="005B4ED6">
      <w:pPr>
        <w:pStyle w:val="Consid"/>
      </w:pPr>
      <w:r>
        <w:t>17)</w:t>
      </w:r>
      <w:r>
        <w:tab/>
        <w:t>En hel rekke nye bærekraftige tjenester, «produkt som en tjeneste»-forretningsmodeller og digitale løsninger fører til bedre livskvalitet, innovative jobber og bedre kunnskap og ferdigheter. I tråd med meldingen om en ny handlingsplan for den sirkulære økonomien – for et renere og mer konkurransedyktig Europa tilbyr den sirkulære økonomien funksjonelle og sikre produkter av høy kvalitet som er effektive og overkommelige, har lengre levetid og er utformet med henblikk på ombruk, reparasjon og materialgjenvinning av høy kvalitet. De tekniske screeningkriteriene for å fastslå vilkårene for at innovative bærekraftige tjenester skal anses å bidra vesentlig til omstillingen til en sirkulær økonomi, bør derfor fastsettes for aktiviteter som bidrar til å forlenge produkters levetid.</w:t>
      </w:r>
    </w:p>
    <w:p w14:paraId="7BA78B28" w14:textId="7B2FFA2A" w:rsidR="006561BA" w:rsidRDefault="005B4ED6">
      <w:pPr>
        <w:pStyle w:val="Consid"/>
      </w:pPr>
      <w:r>
        <w:t>18)</w:t>
      </w:r>
      <w:r>
        <w:tab/>
        <w:t xml:space="preserve">Digitale løsninger, herunder bruken av digitale produktpass, kan gi sanntidsdata om et produkts plassering, tilstand og tilgjengelighet </w:t>
      </w:r>
      <w:r w:rsidR="005F3FEF">
        <w:t xml:space="preserve">samt </w:t>
      </w:r>
      <w:r>
        <w:t xml:space="preserve">øke sporbarheten av materialer, </w:t>
      </w:r>
      <w:r w:rsidR="005F3FEF">
        <w:t>og</w:t>
      </w:r>
      <w:r>
        <w:t xml:space="preserve"> på den måten øke verdibevaringen i forbindelse med alle utformings-, produksjons- og forbrukerrelaterte beslutninger. Dette gjør det igjen mulig for markedsdeltakere å gå over til sirkulære forretningsmodeller, herunder </w:t>
      </w:r>
      <w:r w:rsidR="00884730">
        <w:t xml:space="preserve">forretningsmodeller </w:t>
      </w:r>
      <w:r w:rsidR="004D3296">
        <w:t xml:space="preserve">for </w:t>
      </w:r>
      <w:r>
        <w:t xml:space="preserve">«produkt som en tjeneste», som til slutt kopler økonomiske aktiviteter fra bruken av naturressurser og forbedrer en økonomisk </w:t>
      </w:r>
      <w:proofErr w:type="gramStart"/>
      <w:r>
        <w:t>aktivitets miljøvirkninger</w:t>
      </w:r>
      <w:proofErr w:type="gramEnd"/>
      <w:r>
        <w:t>. Det bør derfor fastsettes tekniske screeningkriterier for nye digitale løsninger som kan forbedre gjennomsiktigheten og effektiviteten av miljøovervåking og håndheving av lovgivningen, herunder beslutningstaking innenfor integrert forvaltning av vannressurser.</w:t>
      </w:r>
    </w:p>
    <w:p w14:paraId="659278A3" w14:textId="6E80D01D" w:rsidR="006561BA" w:rsidRDefault="005B4ED6">
      <w:pPr>
        <w:pStyle w:val="Consid"/>
      </w:pPr>
      <w:r>
        <w:t>19)</w:t>
      </w:r>
      <w:r>
        <w:tab/>
        <w:t>De tekniske screeningkriteriene for å fastslå vilkårene for at en økonomisk aktivitet skal anses å bidra vesentlig til forebygging og begrensning av forurensning, bør gjenspeile behovet for å eliminere forurensning av luft, vann, jord, levende organismer og næringsmiddelressurser. Forurensning kan forårsake sykdommer og følgelig føre til for tidlig død. De mest skadelige virkningene av forurensning på menneskers helse rammer oftest de mest sårbare gruppene(</w:t>
      </w:r>
      <w:bookmarkStart w:id="15" w:name="NOTE_16"/>
      <w:r>
        <w:rPr>
          <w:rStyle w:val="FootnoteReference"/>
          <w:sz w:val="18"/>
        </w:rPr>
        <w:footnoteReference w:id="17"/>
      </w:r>
      <w:bookmarkEnd w:id="15"/>
      <w:r>
        <w:t xml:space="preserve">). Forurensning truer også det biologiske mangfoldet og bidrar til masseutryddelse av arter. </w:t>
      </w:r>
      <w:r w:rsidR="008045DB">
        <w:t>Slik det er</w:t>
      </w:r>
      <w:r>
        <w:t xml:space="preserve"> beskrevet i kommisjonsmelding av 12. mai 2021 om veien til en sunn planet for alle – EU-handlingsplan («</w:t>
      </w:r>
      <w:proofErr w:type="spellStart"/>
      <w:r>
        <w:t>Pathway</w:t>
      </w:r>
      <w:proofErr w:type="spellEnd"/>
      <w:r>
        <w:t xml:space="preserve"> to a </w:t>
      </w:r>
      <w:proofErr w:type="spellStart"/>
      <w:r>
        <w:t>Healthy</w:t>
      </w:r>
      <w:proofErr w:type="spellEnd"/>
      <w:r>
        <w:t xml:space="preserve"> Planet for All EU Action Plan»): Mot nullforurensning for luft, vann og jord («</w:t>
      </w:r>
      <w:proofErr w:type="spellStart"/>
      <w:r>
        <w:t>Towards</w:t>
      </w:r>
      <w:proofErr w:type="spellEnd"/>
      <w:r>
        <w:t xml:space="preserve"> Zero </w:t>
      </w:r>
      <w:proofErr w:type="spellStart"/>
      <w:r>
        <w:t>Pollution</w:t>
      </w:r>
      <w:proofErr w:type="spellEnd"/>
      <w:r>
        <w:t xml:space="preserve"> for Air, Water and </w:t>
      </w:r>
      <w:proofErr w:type="spellStart"/>
      <w:r>
        <w:t>Soil</w:t>
      </w:r>
      <w:proofErr w:type="spellEnd"/>
      <w:r>
        <w:t>)»(</w:t>
      </w:r>
      <w:bookmarkStart w:id="16" w:name="NOTE_17"/>
      <w:r>
        <w:rPr>
          <w:rStyle w:val="FootnoteReference"/>
          <w:sz w:val="18"/>
        </w:rPr>
        <w:footnoteReference w:id="18"/>
      </w:r>
      <w:bookmarkEnd w:id="16"/>
      <w:r>
        <w:t>) er de økonomiske fordelene ved å bekjempe forurensning betydelige, og fordelene for samfunnet oppveier klart de nødvendige kostnadene.</w:t>
      </w:r>
    </w:p>
    <w:p w14:paraId="3F2AEFD7" w14:textId="3AABBCB7" w:rsidR="006561BA" w:rsidRDefault="005B4ED6">
      <w:pPr>
        <w:pStyle w:val="Consid"/>
        <w:spacing w:after="0"/>
      </w:pPr>
      <w:r>
        <w:t>20)</w:t>
      </w:r>
      <w:r>
        <w:tab/>
        <w:t xml:space="preserve">I henhold til ambisjonen i kommisjonsmelding av 14. oktober 2020 om en kjemikaliestrategi for en bærekraftig utvikling – På vei mot et giftfritt miljø («Chemicals </w:t>
      </w:r>
      <w:proofErr w:type="spellStart"/>
      <w:r>
        <w:t>Strategy</w:t>
      </w:r>
      <w:proofErr w:type="spellEnd"/>
      <w:r>
        <w:t xml:space="preserve"> for </w:t>
      </w:r>
      <w:proofErr w:type="spellStart"/>
      <w:r>
        <w:t>Sustainability</w:t>
      </w:r>
      <w:proofErr w:type="spellEnd"/>
      <w:r>
        <w:t xml:space="preserve"> </w:t>
      </w:r>
      <w:proofErr w:type="spellStart"/>
      <w:r>
        <w:t>Towards</w:t>
      </w:r>
      <w:proofErr w:type="spellEnd"/>
      <w:r>
        <w:t xml:space="preserve"> a </w:t>
      </w:r>
      <w:proofErr w:type="spellStart"/>
      <w:r>
        <w:t>Toxic-Free</w:t>
      </w:r>
      <w:proofErr w:type="spellEnd"/>
      <w:r>
        <w:t xml:space="preserve"> Environment»(</w:t>
      </w:r>
      <w:bookmarkStart w:id="17" w:name="NOTE_18"/>
      <w:r>
        <w:rPr>
          <w:rStyle w:val="FootnoteReference"/>
          <w:sz w:val="18"/>
        </w:rPr>
        <w:footnoteReference w:id="19"/>
      </w:r>
      <w:bookmarkEnd w:id="17"/>
      <w:r>
        <w:t xml:space="preserve">), om å bidra til å forebygge og begrense forurensning, er det særlig viktig </w:t>
      </w:r>
      <w:r w:rsidR="00591E72">
        <w:t>at</w:t>
      </w:r>
      <w:r w:rsidR="007E61B7">
        <w:t xml:space="preserve"> </w:t>
      </w:r>
      <w:r>
        <w:t>de mest skadelige stoffene</w:t>
      </w:r>
      <w:r w:rsidR="007E61B7">
        <w:t xml:space="preserve"> </w:t>
      </w:r>
      <w:r w:rsidR="000E5AAA">
        <w:t>fra</w:t>
      </w:r>
      <w:r>
        <w:t xml:space="preserve"> produkter som er beregnet brukt av forbrukere eller yrkesbrukere</w:t>
      </w:r>
      <w:r w:rsidR="000E5AAA">
        <w:t>, gradvis fases ut</w:t>
      </w:r>
      <w:r>
        <w:t>, med mindre bruken av dem har vist seg å være avgjørende for samfunnet, og å erstatte eller minimere produksjonen og bruken av stoffer som gir grunn til bekymring, så langt det er mulig.</w:t>
      </w:r>
      <w:r>
        <w:br w:type="page"/>
      </w:r>
    </w:p>
    <w:p w14:paraId="6D3FD0C9" w14:textId="77777777" w:rsidR="006561BA" w:rsidRDefault="005B4ED6">
      <w:pPr>
        <w:pStyle w:val="Consid"/>
      </w:pPr>
      <w:r>
        <w:lastRenderedPageBreak/>
        <w:t>21)</w:t>
      </w:r>
      <w:r>
        <w:tab/>
        <w:t xml:space="preserve">Forurensning forårsaket av visse legemiddelbestanddeler kan utgjøre en risiko for miljøet og for menneskers helse som beskrevet i kommisjonsmelding av 11. mars 2019 («European Union Strategic </w:t>
      </w:r>
      <w:proofErr w:type="spellStart"/>
      <w:r>
        <w:t>Approach</w:t>
      </w:r>
      <w:proofErr w:type="spellEnd"/>
      <w:r>
        <w:t xml:space="preserve"> to Pharmaceuticals in </w:t>
      </w:r>
      <w:proofErr w:type="spellStart"/>
      <w:r>
        <w:t>the</w:t>
      </w:r>
      <w:proofErr w:type="spellEnd"/>
      <w:r>
        <w:t xml:space="preserve"> Environment»)(</w:t>
      </w:r>
      <w:bookmarkStart w:id="18" w:name="NOTE_19"/>
      <w:r>
        <w:rPr>
          <w:rStyle w:val="FootnoteReference"/>
          <w:sz w:val="18"/>
        </w:rPr>
        <w:footnoteReference w:id="20"/>
      </w:r>
      <w:bookmarkEnd w:id="18"/>
      <w:r>
        <w:t>). Tekniske screeningkriterier for produksjon av aktive legemiddelbestanddeler eller aktive stoffer og for produksjon av legemidler bør derfor ta sikte på å fremme produksjon og bruk av bestanddeler som er naturlig forekommende stoffer eller er klassifisert som lett biologisk nedbrytbare.</w:t>
      </w:r>
    </w:p>
    <w:p w14:paraId="4439AC60" w14:textId="77777777" w:rsidR="006561BA" w:rsidRDefault="005B4ED6">
      <w:pPr>
        <w:pStyle w:val="Consid"/>
      </w:pPr>
      <w:r>
        <w:t>22)</w:t>
      </w:r>
      <w:r>
        <w:tab/>
        <w:t>Forebygging og reduksjon av utslipp av forurensende stoffer i produkters sluttbehandlingsfase og opprydding av eksisterende forurensning, har et betydelig potensial til å beskytte miljøet mot forurensning og forbedre miljøsituasjonen. Det bør derfor fastsettes tekniske screeningkriterier for innsamling, transport og behandling av farlig avfall som utgjør en større risiko for miljøet og menneskers helse enn ikke-farlig avfall, samt for opprydding av deponier som ikke overholder kravene, og forlatte eller ulovlige avfallsdeponier og forurensede plasser og områder.</w:t>
      </w:r>
    </w:p>
    <w:p w14:paraId="7396B45E" w14:textId="6E9153BE" w:rsidR="006561BA" w:rsidRDefault="005B4ED6">
      <w:pPr>
        <w:pStyle w:val="Consid"/>
      </w:pPr>
      <w:r>
        <w:t>23)</w:t>
      </w:r>
      <w:r>
        <w:tab/>
        <w:t xml:space="preserve">De tekniske screeningkriteriene for å fastslå vilkårene for at en økonomisk aktivitet skal anses å bidra vesentlig til beskyttelse og restaurering av biologisk mangfold og økosystemer, bør gjenspeile behovet for å beskytte, bevare og restaurere det biologiske mangfoldet for å oppnå </w:t>
      </w:r>
      <w:r w:rsidR="00BC4E2C">
        <w:t xml:space="preserve">en </w:t>
      </w:r>
      <w:r>
        <w:t>god tilstand for økosystemer eller for å beskytte økosystemer som allerede har en god tilstand. Tap av biologisk mangfold og økosystemer som bryter sammen, er en av de største truslene menneskeheten står overfor i det neste tiåret(</w:t>
      </w:r>
      <w:bookmarkStart w:id="19" w:name="NOTE_20"/>
      <w:r>
        <w:rPr>
          <w:rStyle w:val="FootnoteReference"/>
          <w:sz w:val="18"/>
        </w:rPr>
        <w:footnoteReference w:id="21"/>
      </w:r>
      <w:bookmarkEnd w:id="19"/>
      <w:r>
        <w:t>).</w:t>
      </w:r>
    </w:p>
    <w:p w14:paraId="77925DA6" w14:textId="77777777" w:rsidR="006561BA" w:rsidRDefault="005B4ED6">
      <w:pPr>
        <w:pStyle w:val="Consid"/>
      </w:pPr>
      <w:r>
        <w:t>24)</w:t>
      </w:r>
      <w:r>
        <w:tab/>
        <w:t>Bevaring av biologisk mangfold har direkte økonomiske fordeler for mange økonomiske sektorer. De tekniske screeningkriteriene bør derfor ta sikte på å opprettholde eller forbedre tilstanden og utviklingen for habitater på land, i ferskvanns- og havområder, økosystemer og populasjoner av beslektede dyre- og plantearter.</w:t>
      </w:r>
    </w:p>
    <w:p w14:paraId="451FB1E6" w14:textId="4A82553A" w:rsidR="006561BA" w:rsidRDefault="005B4ED6">
      <w:pPr>
        <w:pStyle w:val="Consid"/>
      </w:pPr>
      <w:r>
        <w:t>25)</w:t>
      </w:r>
      <w:r>
        <w:tab/>
        <w:t xml:space="preserve">Verdien av biologisk mangfold og av de tilknyttede tjenestene som tilbys av sunne økosystemer, er viktig for turismen, ettersom den bidrar vesentlig til turistmålenes tiltrekningskraft og kvalitet, og dermed til deres konkurranseevne. Det bør derfor fastsettes tekniske screeningkriterier for overnattingsvirksomhet </w:t>
      </w:r>
      <w:r w:rsidR="00D07331">
        <w:t>for turister</w:t>
      </w:r>
      <w:r>
        <w:t>, og de bør ha til formål å sikre at slik virksomhet følger egnede prinsipper og minstekrav for å beskytte og opprettholde det biologiske mangfoldet og økosystemene, samt bidra til å bevare dem.</w:t>
      </w:r>
    </w:p>
    <w:p w14:paraId="6BF8A37D" w14:textId="77777777" w:rsidR="006561BA" w:rsidRDefault="005B4ED6">
      <w:pPr>
        <w:pStyle w:val="Consid"/>
      </w:pPr>
      <w:r>
        <w:t>26)</w:t>
      </w:r>
      <w:r>
        <w:tab/>
        <w:t>De tekniske screeningkriteriene for å fastslå om det er slik at de økonomiske aktivitetene som bidrar vesentlig til et av miljømålene, ikke er til betydelig skade for noen av de andre miljømålene, bør ha som mål å sikre at bidrag til et av miljømålene ikke gis på bekostning av andre miljømål. Kriteriene for ikke å gjøre betydelig skade spiller derfor en viktig rolle for å sikre den miljømessige integriteten til klassifiseringen av miljømessig bærekraftige aktiviteter. Kriteriene for ikke å gjøre betydelig skade for et gitt miljømål bør spesifiseres for de aktivitetene som utgjør en risiko for å være til betydelig skade for det aktuelle målet. Disse kriteriene bør ta hensyn til og bygge på de relevante kravene i gjeldende unionsrett.</w:t>
      </w:r>
    </w:p>
    <w:p w14:paraId="3CA4D192" w14:textId="77777777" w:rsidR="006561BA" w:rsidRDefault="005B4ED6">
      <w:pPr>
        <w:pStyle w:val="Consid"/>
      </w:pPr>
      <w:r>
        <w:t>27)</w:t>
      </w:r>
      <w:r>
        <w:tab/>
        <w:t>De tekniske screeningkriteriene for å sikre at aktiviteter som bidrar vesentlig til et av miljømålene, ikke er til betydelig skade for begrensning av klimaendringer, bør sikre at økonomiske aktiviteter som har potensial til å bidra vesentlig til andre miljømål enn begrensning av klimaendringer, ikke fører til betydelige klimagassutslipp.</w:t>
      </w:r>
    </w:p>
    <w:p w14:paraId="1A089BE4" w14:textId="52AD6F6B" w:rsidR="006561BA" w:rsidRDefault="005B4ED6">
      <w:pPr>
        <w:pStyle w:val="Consid"/>
        <w:spacing w:after="0"/>
      </w:pPr>
      <w:r>
        <w:t>28)</w:t>
      </w:r>
      <w:r>
        <w:tab/>
        <w:t xml:space="preserve">Klimaendringer vil sannsynligvis påvirke alle sektorer i økonomien. De tekniske screeningkriteriene for å sikre at økonomiske aktiviteter som bidrar vesentlig til et av klimamålene, ikke er til betydelig skade for tilpasning til klimaendringer, bør derfor få anvendelse på alle disse økonomiske aktivitetene. Disse kriteriene bør sikre at eksisterende og framtidige risikoer som er av avgjørende betydning for den økonomiske aktiviteten, identifiseres, og at tilpasningsløsninger gjennomføres for å minimere eller unngå </w:t>
      </w:r>
      <w:r w:rsidR="00EA5F18">
        <w:t>eventuelle</w:t>
      </w:r>
      <w:r>
        <w:t xml:space="preserve"> tap eller </w:t>
      </w:r>
      <w:r w:rsidR="00A5198F">
        <w:t>konsekvenser for</w:t>
      </w:r>
      <w:r>
        <w:t xml:space="preserve"> </w:t>
      </w:r>
      <w:r w:rsidR="00A5198F">
        <w:t>drifts</w:t>
      </w:r>
      <w:r>
        <w:t>kontinuiteten.</w:t>
      </w:r>
      <w:r>
        <w:br w:type="page"/>
      </w:r>
    </w:p>
    <w:p w14:paraId="5751491A" w14:textId="77777777" w:rsidR="006561BA" w:rsidRDefault="005B4ED6">
      <w:pPr>
        <w:pStyle w:val="Consid"/>
      </w:pPr>
      <w:r>
        <w:lastRenderedPageBreak/>
        <w:t>29)</w:t>
      </w:r>
      <w:r>
        <w:tab/>
        <w:t>De tekniske screeningkriteriene for ikke å gjøre betydelig skade for bærekraftig bruk og beskyttelse av vann- og havressurser bør spesifiseres for alle aktiviteter som kan hemme slik bærekraftig bruk og beskyttelse. Disse kriteriene bør ta sikte på å unngå at økonomiske aktiviteter er til skade for den gode tilstanden eller det gode økologiske potensialet i vannforekomster, herunder overflatevann og grunnvann, eller for den gode miljøtilstanden for havområder, ved å kreve at risikoene for miljøforringelse identifiseres og håndteres i samsvar med en forvaltningsplan for bruk og beskyttelse av vann eller med medlemsstatenes havstrategier.</w:t>
      </w:r>
    </w:p>
    <w:p w14:paraId="646E4B07" w14:textId="21D933FA" w:rsidR="006561BA" w:rsidRDefault="005B4ED6">
      <w:pPr>
        <w:pStyle w:val="Consid"/>
      </w:pPr>
      <w:r>
        <w:t>30)</w:t>
      </w:r>
      <w:r>
        <w:tab/>
        <w:t>De tekniske screeningkriteriene for ikke å gjøre betydelig skade for omstilling til en sirkulær økonomi bør tilpasses de enkelte økonomiske aktivitetene for å sikre at de aktuelle økonomiske aktivitetene ikke fører til ineffektiv bruk av ressurser eller innlåsing i lineære produksjonsmodeller, at avfall unngås eller reduseres</w:t>
      </w:r>
      <w:r w:rsidR="007F0050">
        <w:t>,</w:t>
      </w:r>
      <w:r>
        <w:t xml:space="preserve"> og, når det ikke kan unngås, håndteres i samsvar med avfallshierarkiet. Disse kriteriene bør også sikre at økonomiske aktiviteter ikke undergraver målet om omstilling til en sirkulær økonomi.</w:t>
      </w:r>
    </w:p>
    <w:p w14:paraId="76412A8D" w14:textId="77777777" w:rsidR="006561BA" w:rsidRDefault="005B4ED6">
      <w:pPr>
        <w:pStyle w:val="Consid"/>
      </w:pPr>
      <w:r>
        <w:t>31)</w:t>
      </w:r>
      <w:r>
        <w:tab/>
        <w:t>De tekniske screeningkriteriene for ikke å gjøre betydelig skade for forebygging og begrensning av forurensning bør gjenspeile sektorens særtrekk for å ta hensyn til de relevante kildene og typene av forurensning av luft, vann eller land, med henvisning, der det er relevant, til konklusjoner om beste tilgjengelige teknikker som er fastsatt i henhold til europaparlaments- og rådsdirektiv 2010/75/EU(</w:t>
      </w:r>
      <w:bookmarkStart w:id="20" w:name="NOTE_21"/>
      <w:r>
        <w:rPr>
          <w:rStyle w:val="FootnoteReference"/>
          <w:sz w:val="18"/>
        </w:rPr>
        <w:footnoteReference w:id="22"/>
      </w:r>
      <w:bookmarkEnd w:id="20"/>
      <w:r>
        <w:t>).</w:t>
      </w:r>
    </w:p>
    <w:p w14:paraId="3D0A495A" w14:textId="0E883A7D" w:rsidR="006561BA" w:rsidRDefault="005B4ED6">
      <w:pPr>
        <w:pStyle w:val="Consid"/>
      </w:pPr>
      <w:r>
        <w:t>32)</w:t>
      </w:r>
      <w:r>
        <w:tab/>
        <w:t xml:space="preserve">Kriteriene for ikke å gjøre betydelig skade for beskyttelse og restaurering av biologisk mangfold og økosystemer bør spesifiseres for alle aktiviteter som kan utgjøre en risiko for habitaters, arters eller økosystemers status eller tilstand, og bør, der det er relevant, kreve at det foretas miljøkonsekvensutredninger eller andre hensiktsmessige </w:t>
      </w:r>
      <w:r w:rsidR="00C70DD6">
        <w:t>vurderinger</w:t>
      </w:r>
      <w:r>
        <w:t xml:space="preserve">, og at konklusjonene fra slike vurderinger gjennomføres. Disse kriteriene bør sikre at selv om det ikke er krav om å foreta en miljøkonsekvensutredning eller en annen hensiktsmessig </w:t>
      </w:r>
      <w:r w:rsidR="005D32C1">
        <w:t>vurdering</w:t>
      </w:r>
      <w:r>
        <w:t>, vil ikke aktivitetene føre til at rettslig beskyttede arter forstyrres, fanges eller drepes, eller til at rettslig beskyttede habitater forringes.</w:t>
      </w:r>
    </w:p>
    <w:p w14:paraId="4EACCB59" w14:textId="0B8A1838" w:rsidR="006561BA" w:rsidRDefault="005B4ED6">
      <w:pPr>
        <w:pStyle w:val="Consid"/>
      </w:pPr>
      <w:r>
        <w:t>33)</w:t>
      </w:r>
      <w:r>
        <w:tab/>
        <w:t>Ettersom klimaendringer sannsynligvis vil få innvirkning på alle sektorer i økonomien, vil alle sektorer i økonomien måtte tilpasse</w:t>
      </w:r>
      <w:r w:rsidR="005F44AD">
        <w:t xml:space="preserve"> </w:t>
      </w:r>
      <w:r>
        <w:t>s</w:t>
      </w:r>
      <w:r w:rsidR="005F44AD">
        <w:t>eg</w:t>
      </w:r>
      <w:r>
        <w:t xml:space="preserve"> til de negative virkningene av det nåværende klimaet og det forventede framtidige klimaet. Det skal derfor i framtiden fastsettes tekniske screeningkriterier for et vesentlig bidrag til tilpasning til klimaendringer for alle sektorer og økonomiske aktiviteter som er omfattet av de tekniske screeningkriteriene for et vesentlig bidrag til bærekraftig bruk og beskyttelse av vann- og havressurser, til omstilling til en sirkulær økonomi, til forebygging og begrensning av forurensning eller til beskyttelse og restaurering av biologisk mangfold og økosystemer som er fastsatt i denne forordningen.</w:t>
      </w:r>
    </w:p>
    <w:p w14:paraId="56020460" w14:textId="77777777" w:rsidR="006561BA" w:rsidRDefault="005B4ED6">
      <w:pPr>
        <w:pStyle w:val="Consid"/>
      </w:pPr>
      <w:r>
        <w:t>34)</w:t>
      </w:r>
      <w:r>
        <w:tab/>
        <w:t>Inkluderingen av nye økonomiske aktiviteter som bidrar til miljømål i henhold til artikkel 12 nr. 2, artikkel 13 nr. 2, artikkel 14 nr. 2 og artikkel 15 nr. 2 i forordning (EU) 2020/852, vil utvide anvendelsesområdet for de opplysningene som skal legges fram i henhold til artikkel 8 i den nevnte forordningen. Delegert kommisjonsforordning (EU) 2021/2178(</w:t>
      </w:r>
      <w:bookmarkStart w:id="21" w:name="NOTE_22"/>
      <w:r>
        <w:rPr>
          <w:rStyle w:val="FootnoteReference"/>
          <w:sz w:val="18"/>
        </w:rPr>
        <w:footnoteReference w:id="23"/>
      </w:r>
      <w:bookmarkEnd w:id="21"/>
      <w:r>
        <w:t>), som ble vedtatt på grunnlag av artikkel 8 nr. 4 i forordning (EU) 2020/852, bør derfor endres for å gjenspeile det utvidede anvendelsesområdet. For å håndtere visse tekniske og rettslige uoverensstemmelser som er identifisert siden anvendelsen av delegert forordning (EU) 2021/2178, bør det også innføres målrettede endringer av den nevnte forordningen.</w:t>
      </w:r>
    </w:p>
    <w:p w14:paraId="266EB80F" w14:textId="77777777" w:rsidR="006561BA" w:rsidRDefault="005B4ED6">
      <w:pPr>
        <w:pStyle w:val="Consid"/>
        <w:spacing w:after="0"/>
      </w:pPr>
      <w:r>
        <w:t>35)</w:t>
      </w:r>
      <w:r>
        <w:tab/>
        <w:t>Delegert forordning (EU) 2021/2178 bør derfor endres.</w:t>
      </w:r>
      <w:r>
        <w:br w:type="page"/>
      </w:r>
    </w:p>
    <w:p w14:paraId="0097E17C" w14:textId="721F0764" w:rsidR="006561BA" w:rsidRDefault="005B4ED6">
      <w:pPr>
        <w:pStyle w:val="Consid"/>
      </w:pPr>
      <w:r>
        <w:lastRenderedPageBreak/>
        <w:t>36)</w:t>
      </w:r>
      <w:r>
        <w:tab/>
        <w:t xml:space="preserve">De fire miljømålene som er nevnt i artikkel 9 bokstav c)–f) i forordning (EU) 2020/852 og i artikkel 12, 13, 14 og 15 i den nevnte forordningen, er nært knyttet sammen med hensyn til hvordan et mål nås, og de fordelene som </w:t>
      </w:r>
      <w:r w:rsidR="00C849A3">
        <w:t>oppfyll</w:t>
      </w:r>
      <w:r w:rsidR="004C102C">
        <w:t>elsen</w:t>
      </w:r>
      <w:r>
        <w:t xml:space="preserve"> av et av målene kan ha for andre mål. Bestemmelsene som avgjør om det er slik at en økonomisk aktivitet bidrar vesentlig til bærekraftig bruk og beskyttelse av vann- og havressurser, til omstilling til en sirkulær økonomi, til forebygging og begrensning av forurensning eller til beskyttelse og restaurering av biologisk mangfold og økosystemer, er derfor nært forbundet med og er nært knyttet til behovet for å utvide den opplysningsplikten som er fastsatt i delegert forordning (EU) 2021/2178. For å sikre sammenheng mellom disse bestemmelsene, som bør tre i kraft samtidig, gjøre det lettere å få et samlet overblikk over de rettslige rammene for berørte parter og gjøre det lettere å anvende forordning (EU) 2020/852, er det nødvendig å samle disse bestemmelsene i én enkelt forordning.</w:t>
      </w:r>
    </w:p>
    <w:p w14:paraId="5DB1F0D7" w14:textId="77777777" w:rsidR="006561BA" w:rsidRDefault="005B4ED6">
      <w:pPr>
        <w:pStyle w:val="Consid"/>
      </w:pPr>
      <w:r>
        <w:t>37)</w:t>
      </w:r>
      <w:r>
        <w:tab/>
        <w:t>For å sikre at anvendelsen av forordning (EU) 2020/852 utvikler seg i takt med den vitenskapelige, tekniske, markedsmessige og politiske utviklingen, bør denne forordningen regelmessig gjennomgås og eventuelt endres med hensyn til de aktivitetene som anses å bidra vesentlig til bærekraftig bruk og beskyttelse av vann- og havressurser, til omstilling til en sirkulær økonomi, til forebygging og begrensning av forurensning, til beskyttelse og restaurering av biologisk mangfold og økosystemer, samt med hensyn til de tilsvarende tekniske screeningkriteriene.</w:t>
      </w:r>
    </w:p>
    <w:p w14:paraId="0E715B0D" w14:textId="77777777" w:rsidR="006561BA" w:rsidRDefault="005B4ED6">
      <w:pPr>
        <w:pStyle w:val="Consid"/>
      </w:pPr>
      <w:r>
        <w:t>38)</w:t>
      </w:r>
      <w:r>
        <w:tab/>
        <w:t>Denne forordningen er i samsvar med det målet om klimanøytralitet som er fastsatt i artikkel 2 nr. 1 i europaparlaments- og rådsforordning (EU) 2021/1119(</w:t>
      </w:r>
      <w:bookmarkStart w:id="22" w:name="NOTE_23"/>
      <w:r>
        <w:rPr>
          <w:rStyle w:val="FootnoteReference"/>
          <w:sz w:val="18"/>
        </w:rPr>
        <w:footnoteReference w:id="24"/>
      </w:r>
      <w:bookmarkEnd w:id="22"/>
      <w:r>
        <w:t>), og sikrer framskritt med hensyn til tilpasningen nevnt i artikkel 5 i den nevnte forordningen. Kommisjonen vurderte samsvaret mellom de tekniske screeningkriteriene for å sikre at økonomiske aktiviteter som bidrar vesentlig til et av miljømålene, ikke er til betydelig skade for begrensning av klimaendringer og tilpasning til klimaendringer og målene i forordning (EU) 2021/1119 i henhold til kravene i artikkel 6 nr. 4 i den nevnte forordningen.</w:t>
      </w:r>
    </w:p>
    <w:p w14:paraId="2DBEB2BA" w14:textId="77777777" w:rsidR="006561BA" w:rsidRDefault="005B4ED6">
      <w:pPr>
        <w:pStyle w:val="Consid"/>
      </w:pPr>
      <w:r>
        <w:t>39)</w:t>
      </w:r>
      <w:r>
        <w:tab/>
        <w:t>Det er nødvendig å gi finansforetak og ikke-finansielle foretak tilstrekkelig tid til å vurdere om deres økonomiske aktiviteter oppfyller de tekniske screeningkriteriene fastsatt i denne forordningen, og til å rapportere på grunnlag av denne vurderingen i samsvar med delegert forordning (EU) 2021/2178. Anvendelsesdatoen for denne forordningen bør derfor utsettes, mens endringene av delegert forordning (EU) 2021/2178 bør sikre at finansforetak og ikke-finansielle foretak har tilstrekkelig tid til å oppfylle sine rapporteringskrav i henhold til den nevnte forordningen.</w:t>
      </w:r>
    </w:p>
    <w:p w14:paraId="07DB5B78" w14:textId="77777777" w:rsidR="006561BA" w:rsidRDefault="005B4ED6">
      <w:pPr>
        <w:pStyle w:val="PreambleFinal"/>
        <w:spacing w:line="200" w:lineRule="exact"/>
      </w:pPr>
      <w:r>
        <w:t>VEDTATT DENNE FORORDNINGEN:</w:t>
      </w:r>
    </w:p>
    <w:p w14:paraId="0550D287" w14:textId="77777777" w:rsidR="006561BA" w:rsidRDefault="005B4ED6">
      <w:pPr>
        <w:pStyle w:val="TIART"/>
      </w:pPr>
      <w:r>
        <w:t>Artikkel 1</w:t>
      </w:r>
    </w:p>
    <w:p w14:paraId="08A946E9" w14:textId="77777777" w:rsidR="006561BA" w:rsidRDefault="005B4ED6">
      <w:pPr>
        <w:pStyle w:val="STIART"/>
      </w:pPr>
      <w:r>
        <w:t>Tekniske screeningkriterier for bærekraftig bruk og beskyttelse av vann- og havressurser</w:t>
      </w:r>
    </w:p>
    <w:p w14:paraId="6111FF28" w14:textId="77777777" w:rsidR="006561BA" w:rsidRDefault="005B4ED6">
      <w:pPr>
        <w:pStyle w:val="Alinea"/>
      </w:pPr>
      <w:r>
        <w:t>De tekniske screeningkriteriene for å fastslå vilkårene for at en økonomisk aktivitet skal anses å bidra vesentlig til bærekraftig bruk og beskyttelse av vann- og havressurser, og for å fastslå om det er slik at den økonomiske aktiviteten ikke er til betydelig skade for noen av de andre miljømålene fastsatt i artikkel 9 i forordning (EU) 2020/852, er angitt i vedlegg I til denne forordningen.</w:t>
      </w:r>
    </w:p>
    <w:p w14:paraId="0A76894F" w14:textId="77777777" w:rsidR="006561BA" w:rsidRDefault="005B4ED6">
      <w:pPr>
        <w:pStyle w:val="TIART"/>
      </w:pPr>
      <w:r>
        <w:t>Artikkel 2</w:t>
      </w:r>
    </w:p>
    <w:p w14:paraId="007E6522" w14:textId="77777777" w:rsidR="006561BA" w:rsidRDefault="005B4ED6">
      <w:pPr>
        <w:pStyle w:val="STIART"/>
      </w:pPr>
      <w:r>
        <w:t>Tekniske screeningkriterier for omstilling til en sirkulær økonomi</w:t>
      </w:r>
    </w:p>
    <w:p w14:paraId="0BFA7D21" w14:textId="77777777" w:rsidR="006561BA" w:rsidRDefault="005B4ED6">
      <w:pPr>
        <w:pStyle w:val="Alinea"/>
        <w:spacing w:after="0"/>
      </w:pPr>
      <w:r>
        <w:t>De tekniske screeningkriteriene for å fastslå vilkårene for at en økonomisk aktivitet skal anses å bidra vesentlig til omstilling til en sirkulær økonomi, og for å fastslå om det er slik at den økonomiske aktiviteten ikke er til betydelig skade for noen av de andre miljømålene fastsatt i artikkel 9 i forordning (EU) 2020/852, er angitt i vedlegg II til denne forordningen.</w:t>
      </w:r>
      <w:r>
        <w:br w:type="page"/>
      </w:r>
    </w:p>
    <w:p w14:paraId="239F222C" w14:textId="77777777" w:rsidR="006561BA" w:rsidRDefault="005B4ED6">
      <w:pPr>
        <w:pStyle w:val="TIART"/>
      </w:pPr>
      <w:r>
        <w:lastRenderedPageBreak/>
        <w:t>Artikkel 3</w:t>
      </w:r>
    </w:p>
    <w:p w14:paraId="2AEEC665" w14:textId="77777777" w:rsidR="006561BA" w:rsidRDefault="005B4ED6">
      <w:pPr>
        <w:pStyle w:val="STIART"/>
      </w:pPr>
      <w:r>
        <w:t>Tekniske screeningkriterier for forebygging og begrensning av forurensning</w:t>
      </w:r>
    </w:p>
    <w:p w14:paraId="253DC8B4" w14:textId="77777777" w:rsidR="006561BA" w:rsidRDefault="005B4ED6">
      <w:pPr>
        <w:pStyle w:val="Alinea"/>
      </w:pPr>
      <w:r>
        <w:t>De tekniske screeningkriteriene for å fastslå vilkårene for at en økonomisk aktivitet skal anses å bidra vesentlig til forebygging og begrensning av forurensning, og for å fastslå om det er slik at den økonomiske aktiviteten ikke er til betydelig skade for noen av de andre miljømålene fastsatt i artikkel 9 i forordning (EU) 2020/852, er angitt i vedlegg III til denne forordningen.</w:t>
      </w:r>
    </w:p>
    <w:p w14:paraId="4E495F78" w14:textId="77777777" w:rsidR="006561BA" w:rsidRDefault="005B4ED6">
      <w:pPr>
        <w:pStyle w:val="TIART"/>
      </w:pPr>
      <w:r>
        <w:t>Artikkel 4</w:t>
      </w:r>
    </w:p>
    <w:p w14:paraId="6FE05805" w14:textId="77777777" w:rsidR="006561BA" w:rsidRDefault="005B4ED6">
      <w:pPr>
        <w:pStyle w:val="STIART"/>
      </w:pPr>
      <w:r>
        <w:t>Tekniske screeningkriterier for beskyttelse og restaurering av biologisk mangfold og økosystemer</w:t>
      </w:r>
    </w:p>
    <w:p w14:paraId="0C9D9CAC" w14:textId="77777777" w:rsidR="006561BA" w:rsidRDefault="005B4ED6">
      <w:pPr>
        <w:pStyle w:val="Alinea"/>
      </w:pPr>
      <w:r>
        <w:t>De tekniske screeningkriteriene for å fastslå vilkårene for at en økonomisk aktivitet skal anses å bidra vesentlig til beskyttelse og restaurering av biologisk mangfold og økosystemer, og for å fastslå om det er slik at den økonomiske aktiviteten ikke er til betydelig skade for noen av de andre miljømålene fastsatt i artikkel 9 i forordning (EU) 2020/852, er angitt i vedlegg IV til denne forordningen.</w:t>
      </w:r>
    </w:p>
    <w:p w14:paraId="159038D8" w14:textId="77777777" w:rsidR="006561BA" w:rsidRDefault="005B4ED6">
      <w:pPr>
        <w:pStyle w:val="TIART"/>
      </w:pPr>
      <w:r>
        <w:t>Artikkel 5</w:t>
      </w:r>
    </w:p>
    <w:p w14:paraId="58E17F73" w14:textId="77777777" w:rsidR="006561BA" w:rsidRDefault="005B4ED6">
      <w:pPr>
        <w:pStyle w:val="STIART"/>
      </w:pPr>
      <w:r>
        <w:t>Endringer av delegert forordning (EU) 2021/2178</w:t>
      </w:r>
    </w:p>
    <w:p w14:paraId="5DE33578" w14:textId="77777777" w:rsidR="006561BA" w:rsidRDefault="005B4ED6">
      <w:pPr>
        <w:pStyle w:val="Alinea"/>
      </w:pPr>
      <w:r>
        <w:t>I delegert forordning (EU) 2021/2178 gjøres følgende endringer:</w:t>
      </w:r>
    </w:p>
    <w:p w14:paraId="70871C80" w14:textId="77777777" w:rsidR="006561BA" w:rsidRPr="00980A19" w:rsidRDefault="005B4ED6">
      <w:pPr>
        <w:pStyle w:val="NumberedText"/>
        <w:tabs>
          <w:tab w:val="clear" w:pos="2047"/>
        </w:tabs>
        <w:ind w:left="293" w:hanging="293"/>
        <w:rPr>
          <w:lang w:val="nn-NO"/>
        </w:rPr>
      </w:pPr>
      <w:r w:rsidRPr="00980A19">
        <w:rPr>
          <w:lang w:val="nn-NO"/>
        </w:rPr>
        <w:t>1)</w:t>
      </w:r>
      <w:r w:rsidRPr="00980A19">
        <w:rPr>
          <w:lang w:val="nn-NO"/>
        </w:rPr>
        <w:tab/>
        <w:t>I artikkel 8 utgår nr. 5.</w:t>
      </w:r>
    </w:p>
    <w:p w14:paraId="0A5D4786" w14:textId="77777777" w:rsidR="006561BA" w:rsidRPr="00980A19" w:rsidRDefault="005B4ED6">
      <w:pPr>
        <w:pStyle w:val="NumberedText"/>
        <w:tabs>
          <w:tab w:val="clear" w:pos="2047"/>
        </w:tabs>
        <w:ind w:left="293" w:hanging="293"/>
        <w:rPr>
          <w:lang w:val="nn-NO"/>
        </w:rPr>
      </w:pPr>
      <w:r w:rsidRPr="00980A19">
        <w:rPr>
          <w:lang w:val="nn-NO"/>
        </w:rPr>
        <w:t>2)</w:t>
      </w:r>
      <w:r w:rsidRPr="00980A19">
        <w:rPr>
          <w:lang w:val="nn-NO"/>
        </w:rPr>
        <w:tab/>
        <w:t>I artikkel 10 skal nytt nr. 6 og 7 lyde:</w:t>
      </w:r>
    </w:p>
    <w:p w14:paraId="378D9E3F" w14:textId="345AB76F" w:rsidR="006561BA" w:rsidRPr="00980A19" w:rsidRDefault="005B4ED6">
      <w:pPr>
        <w:pStyle w:val="AlineaWithParag"/>
        <w:tabs>
          <w:tab w:val="left" w:pos="693"/>
        </w:tabs>
        <w:ind w:left="293"/>
        <w:rPr>
          <w:lang w:val="nn-NO"/>
        </w:rPr>
      </w:pPr>
      <w:r w:rsidRPr="00980A19">
        <w:rPr>
          <w:lang w:val="nn-NO"/>
        </w:rPr>
        <w:t>«6.</w:t>
      </w:r>
      <w:r w:rsidRPr="00980A19">
        <w:rPr>
          <w:lang w:val="nn-NO"/>
        </w:rPr>
        <w:tab/>
        <w:t>Fra og med 1. januar 2024 til og med 31. desember 2024 skal ikke-finansielle foretak bare offentliggjøre opplysninger om hvor stor andel av deres samlede omsetning og investerings- og driftsutgifter som utgjøres av økonomiske aktiviteter som er omfattet av taksonomien, og av økonomiske aktiviteter som ikke er omfattet av taksonomien</w:t>
      </w:r>
      <w:r w:rsidR="003A1542" w:rsidRPr="00980A19">
        <w:rPr>
          <w:lang w:val="nn-NO"/>
        </w:rPr>
        <w:t>,</w:t>
      </w:r>
      <w:r w:rsidRPr="00980A19">
        <w:rPr>
          <w:lang w:val="nn-NO"/>
        </w:rPr>
        <w:t xml:space="preserve"> i henhold til delegert forordning (EU) 2023/2486 og avsnitt 3.18–3.21, avsnitt 6.18–6.20 i vedlegg I til delegert forordning (EU) 2021/2139 og avsnitt 5.13, 7.8, 8.4, 9.3, 14.1 og 14.2 i vedlegg II til delegert forordning (EU) 2021/2139, og de kvalitative opplysningene nevnt i avsnitt 1.2 i vedlegg I som er relevante for denne offentliggjøringen.</w:t>
      </w:r>
    </w:p>
    <w:p w14:paraId="4EFCA410" w14:textId="77777777" w:rsidR="006561BA" w:rsidRPr="00980A19" w:rsidRDefault="005B4ED6">
      <w:pPr>
        <w:pStyle w:val="Alinea"/>
        <w:ind w:left="293"/>
        <w:rPr>
          <w:lang w:val="nn-NO"/>
        </w:rPr>
      </w:pPr>
      <w:r w:rsidRPr="00980A19">
        <w:rPr>
          <w:lang w:val="nn-NO"/>
        </w:rPr>
        <w:t>Fra og med 1. januar 2025 skal ikke-finansielle foretaks nøkkelindikatorer («Key Performance Indicators», KPI-er) omfatte de økonomiske aktivitetene som er fastsatt i delegert forordning (EU) 2023/2486 og avsnitt 3.18–3.21, avsnitt 6.18–6.20 i vedlegg I til delegert forordning (EU) 2021/2139 og avsnitt 5.13, 7.8, 8.4, 9.3, 14.1 og 14.2 i vedlegg II til delegert forordning (EU) 2021/2139.</w:t>
      </w:r>
    </w:p>
    <w:p w14:paraId="4D2ED719" w14:textId="77777777" w:rsidR="006561BA" w:rsidRDefault="005B4ED6">
      <w:pPr>
        <w:pStyle w:val="AlineaWithParag"/>
        <w:tabs>
          <w:tab w:val="left" w:pos="693"/>
        </w:tabs>
        <w:ind w:left="293"/>
      </w:pPr>
      <w:r>
        <w:t>7.</w:t>
      </w:r>
      <w:r>
        <w:tab/>
        <w:t>Fra og med 1. januar 2024 til og med 31. desember 2025 skal finansforetak bare offentliggjøre opplysninger om</w:t>
      </w:r>
    </w:p>
    <w:p w14:paraId="18FEB965" w14:textId="13279FB9" w:rsidR="006561BA" w:rsidRDefault="005B4ED6">
      <w:pPr>
        <w:pStyle w:val="NumberedText"/>
        <w:ind w:left="587" w:hanging="293"/>
      </w:pPr>
      <w:r>
        <w:t>a)</w:t>
      </w:r>
      <w:r>
        <w:tab/>
        <w:t>andelen av deres dekkede eiendeler av eksponeringer mot økonomiske aktiviteter som ikke er omfattet av taksonomien, og av økonomiske aktiviteter som er omfattet av taksonomien</w:t>
      </w:r>
      <w:r w:rsidR="00F56229">
        <w:t>,</w:t>
      </w:r>
      <w:r>
        <w:t xml:space="preserve"> i henhold til delegert forordning (EU) 2023/2486 og avsnitt 3.18–3.21, avsnitt 6.18–6.20 i vedlegg I til delegert forordning (EU) 2021/2139 og avsnitt 5.13, 7.8, 8.4, 9.3, 14.1 og 14.2 i vedlegg II til delegert forordning (EU) 2021/2139,</w:t>
      </w:r>
    </w:p>
    <w:p w14:paraId="7F1B0CF6" w14:textId="77777777" w:rsidR="006561BA" w:rsidRDefault="005B4ED6">
      <w:pPr>
        <w:pStyle w:val="NumberedText"/>
        <w:ind w:left="587" w:hanging="293"/>
      </w:pPr>
      <w:r>
        <w:t>b)</w:t>
      </w:r>
      <w:r>
        <w:tab/>
        <w:t>de kvalitative opplysningene nevnt i vedlegg XI om økonomiske aktiviteter nevnt i bokstav a).</w:t>
      </w:r>
    </w:p>
    <w:p w14:paraId="4BCD3F30" w14:textId="77777777" w:rsidR="006561BA" w:rsidRDefault="005B4ED6">
      <w:pPr>
        <w:pStyle w:val="Alinea"/>
        <w:ind w:left="293"/>
      </w:pPr>
      <w:r>
        <w:t>Fra og med 1. januar 2026 skal finansforetaks nøkkelindikatorer omfatte de økonomiske aktivitetene som er fastsatt i delegert forordning (EU) 2023/2486 og avsnitt 3.18–3.21, avsnitt 6.18–6.20 i vedlegg I til delegert forordning (EU) 2021/2139 og avsnitt 5.13, 7.8, 8.4, 9.3, 14.1 og 14.2 i vedlegg II til delegert forordning (EU) 2021/2139.»</w:t>
      </w:r>
    </w:p>
    <w:p w14:paraId="1BFDFE2A" w14:textId="77777777" w:rsidR="006561BA" w:rsidRDefault="005B4ED6">
      <w:pPr>
        <w:pStyle w:val="NumberedText"/>
        <w:tabs>
          <w:tab w:val="clear" w:pos="2047"/>
        </w:tabs>
        <w:spacing w:after="0"/>
        <w:ind w:left="293" w:hanging="293"/>
      </w:pPr>
      <w:r>
        <w:t>3)</w:t>
      </w:r>
      <w:r>
        <w:tab/>
        <w:t xml:space="preserve">Vedlegg I, II, III, IV, V, VII, IX og </w:t>
      </w:r>
      <w:proofErr w:type="spellStart"/>
      <w:r>
        <w:t>X</w:t>
      </w:r>
      <w:proofErr w:type="spellEnd"/>
      <w:r>
        <w:t xml:space="preserve"> endres i samsvar med vedlegg V til denne forordningen.</w:t>
      </w:r>
    </w:p>
    <w:p w14:paraId="7A0C500B" w14:textId="77777777" w:rsidR="006561BA" w:rsidRDefault="006561BA">
      <w:pPr>
        <w:pStyle w:val="NumberedText"/>
        <w:tabs>
          <w:tab w:val="clear" w:pos="2047"/>
        </w:tabs>
        <w:ind w:left="293" w:hanging="293"/>
        <w:sectPr w:rsidR="006561BA" w:rsidSect="000D3D55">
          <w:headerReference w:type="even" r:id="rId8"/>
          <w:headerReference w:type="default" r:id="rId9"/>
          <w:footerReference w:type="even" r:id="rId10"/>
          <w:footerReference w:type="default" r:id="rId11"/>
          <w:headerReference w:type="first" r:id="rId12"/>
          <w:footerReference w:type="first" r:id="rId13"/>
          <w:footnotePr>
            <w:pos w:val="beneathText"/>
            <w:numRestart w:val="eachPage"/>
          </w:footnotePr>
          <w:type w:val="continuous"/>
          <w:pgSz w:w="11906" w:h="16838" w:code="9"/>
          <w:pgMar w:top="1680" w:right="1333" w:bottom="840" w:left="1333" w:header="920" w:footer="280" w:gutter="0"/>
          <w:cols w:space="708"/>
          <w:vAlign w:val="both"/>
          <w:docGrid w:linePitch="360"/>
        </w:sectPr>
      </w:pPr>
    </w:p>
    <w:p w14:paraId="4567BE71" w14:textId="77777777" w:rsidR="006561BA" w:rsidRDefault="005B4ED6">
      <w:pPr>
        <w:pStyle w:val="NumberedText"/>
        <w:tabs>
          <w:tab w:val="clear" w:pos="2047"/>
        </w:tabs>
        <w:spacing w:after="120"/>
        <w:ind w:left="293" w:hanging="293"/>
      </w:pPr>
      <w:r>
        <w:lastRenderedPageBreak/>
        <w:t>4)</w:t>
      </w:r>
      <w:r>
        <w:tab/>
        <w:t>Vedlegg VI erstattes med teksten i vedlegg VI til denne forordningen.</w:t>
      </w:r>
    </w:p>
    <w:p w14:paraId="3801C60D" w14:textId="77777777" w:rsidR="006561BA" w:rsidRDefault="005B4ED6">
      <w:pPr>
        <w:pStyle w:val="NumberedText"/>
        <w:tabs>
          <w:tab w:val="clear" w:pos="2047"/>
        </w:tabs>
        <w:spacing w:after="300"/>
        <w:ind w:left="293" w:hanging="293"/>
      </w:pPr>
      <w:r>
        <w:t>5)</w:t>
      </w:r>
      <w:r>
        <w:tab/>
        <w:t>Vedlegg VIII erstattes med teksten i vedlegg VII til denne forordningen.</w:t>
      </w:r>
    </w:p>
    <w:p w14:paraId="3717A1C3" w14:textId="77777777" w:rsidR="006561BA" w:rsidRDefault="005B4ED6">
      <w:pPr>
        <w:pStyle w:val="TIART"/>
      </w:pPr>
      <w:r>
        <w:t>Artikkel 6</w:t>
      </w:r>
    </w:p>
    <w:p w14:paraId="20A582CB" w14:textId="77777777" w:rsidR="006561BA" w:rsidRDefault="005B4ED6">
      <w:pPr>
        <w:pStyle w:val="Alinea"/>
      </w:pPr>
      <w:r>
        <w:t xml:space="preserve">Denne forordningen trer i kraft den 20. dagen etter at den er kunngjort i </w:t>
      </w:r>
      <w:r>
        <w:rPr>
          <w:i/>
        </w:rPr>
        <w:t>Den europeiske unions tidende</w:t>
      </w:r>
      <w:r>
        <w:t>.</w:t>
      </w:r>
    </w:p>
    <w:p w14:paraId="08976E21" w14:textId="77777777" w:rsidR="006561BA" w:rsidRDefault="005B4ED6">
      <w:pPr>
        <w:pStyle w:val="Alinea"/>
      </w:pPr>
      <w:r>
        <w:t>Den får anvendelse fra 1. januar 2024.</w:t>
      </w:r>
    </w:p>
    <w:p w14:paraId="3468AD4C" w14:textId="77777777" w:rsidR="006561BA" w:rsidRDefault="005B4ED6">
      <w:pPr>
        <w:pStyle w:val="Final"/>
        <w:spacing w:before="600" w:after="300"/>
        <w:ind w:left="1020"/>
      </w:pPr>
      <w:r>
        <w:t>Denne forordningen er bindende i alle deler og kommer direkte til anvendelse i alle medlemsstater.</w:t>
      </w:r>
    </w:p>
    <w:p w14:paraId="2ECD1720" w14:textId="77777777" w:rsidR="006561BA" w:rsidRDefault="005B4ED6">
      <w:pPr>
        <w:pStyle w:val="Final"/>
        <w:spacing w:after="300"/>
        <w:ind w:left="1020"/>
      </w:pPr>
      <w:r>
        <w:t>Utferdiget i Brussel 27. juni 2023.</w:t>
      </w:r>
    </w:p>
    <w:tbl>
      <w:tblPr>
        <w:tblW w:w="7908" w:type="dxa"/>
        <w:tblInd w:w="670" w:type="dxa"/>
        <w:tblLook w:val="04A0" w:firstRow="1" w:lastRow="0" w:firstColumn="1" w:lastColumn="0" w:noHBand="0" w:noVBand="1"/>
      </w:tblPr>
      <w:tblGrid>
        <w:gridCol w:w="4346"/>
        <w:gridCol w:w="3562"/>
      </w:tblGrid>
      <w:tr w:rsidR="006561BA" w14:paraId="4E788BA0" w14:textId="77777777">
        <w:trPr>
          <w:trHeight w:val="440"/>
        </w:trPr>
        <w:tc>
          <w:tcPr>
            <w:tcW w:w="4346" w:type="dxa"/>
          </w:tcPr>
          <w:p w14:paraId="0CFCEA4A" w14:textId="77777777" w:rsidR="006561BA" w:rsidRDefault="006561BA">
            <w:pPr>
              <w:pStyle w:val="Para"/>
            </w:pPr>
          </w:p>
        </w:tc>
        <w:tc>
          <w:tcPr>
            <w:tcW w:w="3562" w:type="dxa"/>
          </w:tcPr>
          <w:p w14:paraId="5DB4CD2E" w14:textId="77777777" w:rsidR="006561BA" w:rsidRDefault="005B4ED6">
            <w:pPr>
              <w:pStyle w:val="Signatory"/>
              <w:spacing w:after="120"/>
            </w:pPr>
            <w:r>
              <w:rPr>
                <w:i/>
              </w:rPr>
              <w:t>For Kommisjonen</w:t>
            </w:r>
          </w:p>
          <w:p w14:paraId="7C3055AB" w14:textId="77777777" w:rsidR="006561BA" w:rsidRDefault="005B4ED6">
            <w:pPr>
              <w:pStyle w:val="SignatorySmall"/>
              <w:spacing w:after="120"/>
            </w:pPr>
            <w:r>
              <w:t xml:space="preserve">Ursula </w:t>
            </w:r>
            <w:r>
              <w:rPr>
                <w:caps/>
              </w:rPr>
              <w:t>von der Leyen</w:t>
            </w:r>
          </w:p>
          <w:p w14:paraId="655379E7" w14:textId="77777777" w:rsidR="006561BA" w:rsidRDefault="005B4ED6">
            <w:pPr>
              <w:pStyle w:val="Signatory"/>
              <w:spacing w:after="0"/>
            </w:pPr>
            <w:r>
              <w:rPr>
                <w:i/>
              </w:rPr>
              <w:t>President</w:t>
            </w:r>
          </w:p>
        </w:tc>
      </w:tr>
    </w:tbl>
    <w:p w14:paraId="01916ADF" w14:textId="77777777" w:rsidR="006561BA" w:rsidRDefault="005B4ED6">
      <w:pPr>
        <w:pStyle w:val="line2"/>
        <w:pBdr>
          <w:bottom w:val="none" w:sz="0" w:space="0" w:color="auto"/>
        </w:pBdr>
        <w:tabs>
          <w:tab w:val="left" w:leader="underscore" w:pos="522"/>
        </w:tabs>
        <w:spacing w:before="240"/>
        <w:ind w:left="0" w:right="0"/>
        <w:rPr>
          <w:i/>
        </w:rPr>
      </w:pPr>
      <w:r>
        <w:tab/>
      </w:r>
    </w:p>
    <w:p w14:paraId="42BD9626" w14:textId="77777777" w:rsidR="006561BA" w:rsidRDefault="006561BA">
      <w:pPr>
        <w:pStyle w:val="AnnexTI"/>
        <w:sectPr w:rsidR="006561BA" w:rsidSect="000D3D55">
          <w:footnotePr>
            <w:pos w:val="beneathText"/>
            <w:numRestart w:val="eachPage"/>
          </w:footnotePr>
          <w:pgSz w:w="11906" w:h="16838" w:code="9"/>
          <w:pgMar w:top="1680" w:right="1333" w:bottom="840" w:left="1333" w:header="920" w:footer="280" w:gutter="0"/>
          <w:cols w:space="708"/>
          <w:docGrid w:linePitch="360"/>
        </w:sectPr>
      </w:pPr>
    </w:p>
    <w:p w14:paraId="7E35FEED" w14:textId="77777777" w:rsidR="006561BA" w:rsidRDefault="005B4ED6">
      <w:pPr>
        <w:pStyle w:val="AnnexTI"/>
        <w:spacing w:after="360"/>
      </w:pPr>
      <w:r>
        <w:lastRenderedPageBreak/>
        <w:t>VEDLEGG I</w:t>
      </w:r>
    </w:p>
    <w:p w14:paraId="7881CE91" w14:textId="77777777" w:rsidR="006561BA" w:rsidRDefault="005B4ED6">
      <w:pPr>
        <w:pStyle w:val="AnnexSTI"/>
      </w:pPr>
      <w:r>
        <w:t>Tekniske screeningkriterier for å fastslå vilkårene for at en økonomisk aktivitet skal anses å bidra vesentlig til bærekraftig bruk og beskyttelse av vann- og havressurser, og for å fastslå om det er slik at den økonomiske aktiviteten ikke er til betydelig skade for noen av de andre miljømålene</w:t>
      </w:r>
    </w:p>
    <w:p w14:paraId="26DE9646" w14:textId="77777777" w:rsidR="006561BA" w:rsidRDefault="005B4ED6">
      <w:pPr>
        <w:pStyle w:val="AnnexNormal"/>
        <w:spacing w:after="300"/>
        <w:jc w:val="center"/>
      </w:pPr>
      <w:r>
        <w:t>Innholdsfortegnelse</w:t>
      </w:r>
    </w:p>
    <w:p w14:paraId="4437D02C" w14:textId="77777777" w:rsidR="006561BA" w:rsidRDefault="005B4ED6">
      <w:pPr>
        <w:pStyle w:val="AnnexNormal"/>
        <w:jc w:val="right"/>
      </w:pPr>
      <w:r>
        <w:rPr>
          <w:i/>
        </w:rPr>
        <w:t>Side</w:t>
      </w:r>
    </w:p>
    <w:tbl>
      <w:tblPr>
        <w:tblW w:w="9240" w:type="dxa"/>
        <w:tblLayout w:type="fixed"/>
        <w:tblLook w:val="04A0" w:firstRow="1" w:lastRow="0" w:firstColumn="1" w:lastColumn="0" w:noHBand="0" w:noVBand="1"/>
      </w:tblPr>
      <w:tblGrid>
        <w:gridCol w:w="9240"/>
      </w:tblGrid>
      <w:tr w:rsidR="006561BA" w14:paraId="1B437BC7" w14:textId="77777777">
        <w:tc>
          <w:tcPr>
            <w:tcW w:w="9240" w:type="dxa"/>
            <w:tcMar>
              <w:left w:w="0" w:type="dxa"/>
              <w:right w:w="0" w:type="dxa"/>
            </w:tcMar>
          </w:tcPr>
          <w:p w14:paraId="2C3A1289" w14:textId="77777777" w:rsidR="006561BA" w:rsidRDefault="005B4ED6">
            <w:pPr>
              <w:pStyle w:val="AnnexNormal"/>
              <w:tabs>
                <w:tab w:val="left" w:leader="dot" w:pos="9036"/>
              </w:tabs>
              <w:spacing w:after="120"/>
              <w:ind w:left="300" w:hanging="300"/>
            </w:pPr>
            <w:r>
              <w:t>1.</w:t>
            </w:r>
            <w:r>
              <w:tab/>
              <w:t xml:space="preserve">Produksjon </w:t>
            </w:r>
            <w:r>
              <w:tab/>
              <w:t>11</w:t>
            </w:r>
          </w:p>
          <w:p w14:paraId="4AE5D07C" w14:textId="77777777" w:rsidR="006561BA" w:rsidRDefault="005B4ED6">
            <w:pPr>
              <w:pStyle w:val="AnnexNormal"/>
              <w:tabs>
                <w:tab w:val="left" w:leader="dot" w:pos="9036"/>
              </w:tabs>
              <w:spacing w:after="120"/>
              <w:ind w:left="660" w:hanging="360"/>
              <w:jc w:val="left"/>
            </w:pPr>
            <w:r>
              <w:t>1.1.</w:t>
            </w:r>
            <w:r>
              <w:tab/>
              <w:t xml:space="preserve">Produksjon, installasjon og tilknyttede tjenester med henblikk på teknikker for lekkasjekontroll som gjør det mulig å redusere og forebygge lekkasje i vannforsyningssystemer </w:t>
            </w:r>
            <w:r>
              <w:tab/>
              <w:t>11</w:t>
            </w:r>
          </w:p>
          <w:p w14:paraId="6D7C0028" w14:textId="579C83C5" w:rsidR="006561BA" w:rsidRDefault="005B4ED6">
            <w:pPr>
              <w:pStyle w:val="AnnexNormal"/>
              <w:tabs>
                <w:tab w:val="left" w:leader="dot" w:pos="9036"/>
              </w:tabs>
              <w:spacing w:after="120"/>
              <w:ind w:left="300" w:hanging="300"/>
            </w:pPr>
            <w:r>
              <w:t>2.</w:t>
            </w:r>
            <w:r>
              <w:tab/>
              <w:t xml:space="preserve">Vannforsyning, </w:t>
            </w:r>
            <w:r w:rsidR="00635114" w:rsidRPr="00635114">
              <w:t>rensing av avløpsvann</w:t>
            </w:r>
            <w:r>
              <w:t xml:space="preserve">, avfallshåndtering og oppryddingsaktiviteter </w:t>
            </w:r>
            <w:r>
              <w:tab/>
              <w:t>12</w:t>
            </w:r>
          </w:p>
          <w:p w14:paraId="491EF9F0" w14:textId="77777777" w:rsidR="006561BA" w:rsidRDefault="005B4ED6">
            <w:pPr>
              <w:pStyle w:val="AnnexNormal"/>
              <w:tabs>
                <w:tab w:val="left" w:leader="dot" w:pos="9036"/>
              </w:tabs>
              <w:spacing w:after="120"/>
              <w:ind w:left="660" w:hanging="360"/>
              <w:jc w:val="left"/>
            </w:pPr>
            <w:r>
              <w:t>2.1.</w:t>
            </w:r>
            <w:r>
              <w:tab/>
              <w:t xml:space="preserve">Vannforsyning </w:t>
            </w:r>
            <w:r>
              <w:tab/>
              <w:t>12</w:t>
            </w:r>
          </w:p>
          <w:p w14:paraId="44674C52" w14:textId="77777777" w:rsidR="006561BA" w:rsidRDefault="005B4ED6">
            <w:pPr>
              <w:pStyle w:val="AnnexNormal"/>
              <w:tabs>
                <w:tab w:val="left" w:leader="dot" w:pos="9036"/>
              </w:tabs>
              <w:spacing w:after="120"/>
              <w:ind w:left="660" w:hanging="360"/>
              <w:jc w:val="left"/>
            </w:pPr>
            <w:r>
              <w:t>2.2.</w:t>
            </w:r>
            <w:r>
              <w:tab/>
              <w:t xml:space="preserve">Rensing av avløpsvann fra byområder </w:t>
            </w:r>
            <w:r>
              <w:tab/>
              <w:t>15</w:t>
            </w:r>
          </w:p>
          <w:p w14:paraId="49E7C15A" w14:textId="77777777" w:rsidR="006561BA" w:rsidRDefault="005B4ED6">
            <w:pPr>
              <w:pStyle w:val="AnnexNormal"/>
              <w:tabs>
                <w:tab w:val="left" w:leader="dot" w:pos="9036"/>
              </w:tabs>
              <w:spacing w:after="120"/>
              <w:ind w:left="660" w:hanging="360"/>
              <w:jc w:val="left"/>
            </w:pPr>
            <w:r>
              <w:t>2.3.</w:t>
            </w:r>
            <w:r>
              <w:tab/>
              <w:t xml:space="preserve">Bærekraftige </w:t>
            </w:r>
            <w:proofErr w:type="spellStart"/>
            <w:r>
              <w:t>bydreneringssystemer</w:t>
            </w:r>
            <w:proofErr w:type="spellEnd"/>
            <w:r>
              <w:t xml:space="preserve"> (SUDS) </w:t>
            </w:r>
            <w:r>
              <w:tab/>
              <w:t>16</w:t>
            </w:r>
          </w:p>
          <w:p w14:paraId="5AF1722F" w14:textId="77777777" w:rsidR="006561BA" w:rsidRDefault="005B4ED6">
            <w:pPr>
              <w:pStyle w:val="AnnexNormal"/>
              <w:tabs>
                <w:tab w:val="left" w:leader="dot" w:pos="9036"/>
              </w:tabs>
              <w:spacing w:after="120"/>
              <w:ind w:left="300" w:hanging="300"/>
            </w:pPr>
            <w:r>
              <w:t>3.</w:t>
            </w:r>
            <w:r>
              <w:tab/>
              <w:t xml:space="preserve">Håndtering av katastroferisiko </w:t>
            </w:r>
            <w:r>
              <w:tab/>
              <w:t>18</w:t>
            </w:r>
          </w:p>
          <w:p w14:paraId="7BB662C4" w14:textId="77777777" w:rsidR="006561BA" w:rsidRDefault="005B4ED6">
            <w:pPr>
              <w:pStyle w:val="AnnexNormal"/>
              <w:tabs>
                <w:tab w:val="left" w:leader="dot" w:pos="9036"/>
              </w:tabs>
              <w:spacing w:after="120"/>
              <w:ind w:left="660" w:hanging="360"/>
              <w:jc w:val="left"/>
            </w:pPr>
            <w:r>
              <w:t>3.1.</w:t>
            </w:r>
            <w:r>
              <w:tab/>
              <w:t xml:space="preserve">Naturbaserte løsninger for forebygging av og beskyttelse mot flom og tørke </w:t>
            </w:r>
            <w:r>
              <w:tab/>
              <w:t>18</w:t>
            </w:r>
          </w:p>
          <w:p w14:paraId="1EF7F669" w14:textId="77777777" w:rsidR="006561BA" w:rsidRDefault="005B4ED6">
            <w:pPr>
              <w:pStyle w:val="AnnexNormal"/>
              <w:tabs>
                <w:tab w:val="left" w:leader="dot" w:pos="9036"/>
              </w:tabs>
              <w:spacing w:after="120"/>
              <w:ind w:left="300" w:hanging="300"/>
            </w:pPr>
            <w:r>
              <w:t>4.</w:t>
            </w:r>
            <w:r>
              <w:tab/>
              <w:t xml:space="preserve">Informasjon og kommunikasjon </w:t>
            </w:r>
            <w:r>
              <w:tab/>
              <w:t>21</w:t>
            </w:r>
          </w:p>
          <w:p w14:paraId="29B4E1B4" w14:textId="77777777" w:rsidR="006561BA" w:rsidRDefault="005B4ED6">
            <w:pPr>
              <w:pStyle w:val="AnnexNormal"/>
              <w:tabs>
                <w:tab w:val="left" w:leader="dot" w:pos="9036"/>
              </w:tabs>
              <w:spacing w:after="120"/>
              <w:ind w:left="660" w:hanging="360"/>
              <w:jc w:val="left"/>
            </w:pPr>
            <w:r>
              <w:t>4.1.</w:t>
            </w:r>
            <w:r>
              <w:tab/>
              <w:t xml:space="preserve">Levering av datadrevne IT-/OT-løsninger for lekkasjereduksjon </w:t>
            </w:r>
            <w:r>
              <w:tab/>
              <w:t>21</w:t>
            </w:r>
          </w:p>
        </w:tc>
      </w:tr>
    </w:tbl>
    <w:p w14:paraId="06F03C6A" w14:textId="77777777" w:rsidR="006561BA" w:rsidRDefault="005B4ED6">
      <w:pPr>
        <w:pStyle w:val="AnnexNumberedText"/>
        <w:spacing w:before="800"/>
        <w:ind w:left="414" w:hanging="414"/>
      </w:pPr>
      <w:r>
        <w:t>1.</w:t>
      </w:r>
      <w:r>
        <w:rPr>
          <w:b/>
          <w:i/>
        </w:rPr>
        <w:tab/>
        <w:t>Produksjon</w:t>
      </w:r>
    </w:p>
    <w:p w14:paraId="494A6E0C" w14:textId="77777777" w:rsidR="006561BA" w:rsidRDefault="005B4ED6">
      <w:pPr>
        <w:pStyle w:val="AnnexNumberedText"/>
        <w:spacing w:after="400"/>
        <w:ind w:left="414" w:hanging="414"/>
      </w:pPr>
      <w:r>
        <w:t>1.1.</w:t>
      </w:r>
      <w:r>
        <w:rPr>
          <w:b/>
        </w:rPr>
        <w:tab/>
        <w:t>Produksjon, installasjon og tilknyttede tjenester med henblikk på teknikker for lekkasjekontroll som gjør det mulig å redusere og forebygge lekkasje i vannforsyningssystemer</w:t>
      </w:r>
    </w:p>
    <w:p w14:paraId="476C9D66" w14:textId="77777777" w:rsidR="006561BA" w:rsidRDefault="005B4ED6">
      <w:pPr>
        <w:pStyle w:val="AnnexGrSeq3"/>
        <w:jc w:val="both"/>
      </w:pPr>
      <w:r>
        <w:rPr>
          <w:i/>
        </w:rPr>
        <w:t>Beskrivelse av aktiviteten</w:t>
      </w:r>
    </w:p>
    <w:p w14:paraId="2CDF2022" w14:textId="69083D63" w:rsidR="006561BA" w:rsidRDefault="005B4ED6">
      <w:pPr>
        <w:pStyle w:val="AnnexNormal"/>
      </w:pPr>
      <w:r>
        <w:t>Den økonomiske aktiviteten innebærer produksjon, install</w:t>
      </w:r>
      <w:r w:rsidR="00325963">
        <w:t>ering</w:t>
      </w:r>
      <w:r>
        <w:t xml:space="preserve"> eller levering av tilknyttede tjenester med henblikk på teknikker for lekkasjekontroll som gjør det mulig å redusere og forebygge lekkasje i vannforsyningssystemer.</w:t>
      </w:r>
    </w:p>
    <w:p w14:paraId="06E0762C" w14:textId="77777777" w:rsidR="006561BA" w:rsidRDefault="005B4ED6">
      <w:pPr>
        <w:pStyle w:val="AnnexNormal"/>
      </w:pPr>
      <w:r>
        <w:t>De økonomiske aktivitetene i denne kategorien kan knyttes til flere NACE-koder, særlig E36 og F42.99, i samsvar med standarden for næringsgruppering fastsatt ved forordning (EF) nr. 1893/2006.</w:t>
      </w:r>
    </w:p>
    <w:p w14:paraId="6C2223D7" w14:textId="77777777" w:rsidR="006561BA" w:rsidRDefault="005B4ED6">
      <w:pPr>
        <w:pStyle w:val="AnnexNormal"/>
        <w:spacing w:after="400"/>
      </w:pPr>
      <w:r>
        <w:t>En økonomisk aktivitet i denne kategorien er en muliggjørende aktivitet i samsvar med artikkel 12 nr. 1 bokstav e) i forordning (EU) 2020/852 dersom den oppfyller de tekniske screeningkriteriene fastsatt i dette avsnittet.</w:t>
      </w:r>
    </w:p>
    <w:p w14:paraId="74C5CF3C" w14:textId="77777777" w:rsidR="006561BA" w:rsidRDefault="005B4ED6">
      <w:pPr>
        <w:pStyle w:val="AnnexGrSeq3"/>
        <w:spacing w:after="400"/>
        <w:jc w:val="both"/>
      </w:pPr>
      <w:r>
        <w:rPr>
          <w:i/>
        </w:rPr>
        <w:t>Tekniske screeningkriterier</w:t>
      </w:r>
    </w:p>
    <w:tbl>
      <w:tblPr>
        <w:tblStyle w:val="EFTATable"/>
        <w:tblW w:w="9228" w:type="dxa"/>
        <w:tblInd w:w="12" w:type="dxa"/>
        <w:tblLayout w:type="fixed"/>
        <w:tblLook w:val="04A0" w:firstRow="1" w:lastRow="0" w:firstColumn="1" w:lastColumn="0" w:noHBand="0" w:noVBand="1"/>
      </w:tblPr>
      <w:tblGrid>
        <w:gridCol w:w="2544"/>
        <w:gridCol w:w="6684"/>
      </w:tblGrid>
      <w:tr w:rsidR="006561BA" w14:paraId="60259BA4" w14:textId="77777777">
        <w:trPr>
          <w:trHeight w:val="240"/>
        </w:trPr>
        <w:tc>
          <w:tcPr>
            <w:tcW w:w="9228" w:type="dxa"/>
            <w:gridSpan w:val="2"/>
            <w:tcMar>
              <w:top w:w="140" w:type="dxa"/>
              <w:left w:w="0" w:type="dxa"/>
              <w:bottom w:w="140" w:type="dxa"/>
              <w:right w:w="0" w:type="dxa"/>
            </w:tcMar>
          </w:tcPr>
          <w:p w14:paraId="63AC32CC" w14:textId="77777777" w:rsidR="006561BA" w:rsidRDefault="005B4ED6">
            <w:pPr>
              <w:pStyle w:val="AnnexTableCellLeft"/>
            </w:pPr>
            <w:r>
              <w:t>Vesentlig bidrag til bærekraftig bruk og beskyttelse av vann- og havressurser</w:t>
            </w:r>
          </w:p>
        </w:tc>
      </w:tr>
      <w:tr w:rsidR="006561BA" w14:paraId="6F401F5B" w14:textId="77777777">
        <w:trPr>
          <w:trHeight w:val="360"/>
        </w:trPr>
        <w:tc>
          <w:tcPr>
            <w:tcW w:w="9228" w:type="dxa"/>
            <w:gridSpan w:val="2"/>
            <w:tcMar>
              <w:top w:w="140" w:type="dxa"/>
              <w:left w:w="0" w:type="dxa"/>
              <w:bottom w:w="140" w:type="dxa"/>
              <w:right w:w="0" w:type="dxa"/>
            </w:tcMar>
          </w:tcPr>
          <w:p w14:paraId="1DD0D31F" w14:textId="77777777" w:rsidR="006561BA" w:rsidRDefault="005B4ED6">
            <w:pPr>
              <w:pStyle w:val="AnnexNumberedText"/>
              <w:tabs>
                <w:tab w:val="left" w:pos="276"/>
              </w:tabs>
              <w:spacing w:after="0"/>
              <w:ind w:left="0" w:firstLine="0"/>
            </w:pPr>
            <w:r>
              <w:t>1.</w:t>
            </w:r>
            <w:r>
              <w:tab/>
              <w:t>Aktiviteten produserer, installerer eller tilbyr vedlikehold, reparasjoner eller profesjonelle tjenester med henblikk på teknikker for lekkasjekontroll i nye eller eksisterende vannforsyningssystemer som har til formål å holde trykket i vannforsyningssystemets områder med målt vannforbruk (DMA - «</w:t>
            </w:r>
            <w:proofErr w:type="spellStart"/>
            <w:r>
              <w:t>district</w:t>
            </w:r>
            <w:proofErr w:type="spellEnd"/>
            <w:r>
              <w:t xml:space="preserve"> </w:t>
            </w:r>
            <w:proofErr w:type="spellStart"/>
            <w:r>
              <w:t>metered</w:t>
            </w:r>
            <w:proofErr w:type="spellEnd"/>
            <w:r>
              <w:t xml:space="preserve"> areas») på et minstetrykk. Teknikkene for lekkasjekontroll omfatter spesielt trykkreguleringsventiler, trykktransmittere, strømningsmålere og kommunikasjonsutstyr samt særlige anleggsarbeider, herunder mannhull for å vedlikeholde trykkreguleringsventilene.</w:t>
            </w:r>
          </w:p>
        </w:tc>
      </w:tr>
      <w:tr w:rsidR="006561BA" w14:paraId="16CC17DD" w14:textId="77777777">
        <w:tc>
          <w:tcPr>
            <w:tcW w:w="9228" w:type="dxa"/>
            <w:gridSpan w:val="2"/>
            <w:tcMar>
              <w:top w:w="200" w:type="dxa"/>
              <w:left w:w="0" w:type="dxa"/>
              <w:bottom w:w="200" w:type="dxa"/>
              <w:right w:w="0" w:type="dxa"/>
            </w:tcMar>
          </w:tcPr>
          <w:p w14:paraId="09FFD0C3" w14:textId="30971498" w:rsidR="006561BA" w:rsidRDefault="005B4ED6">
            <w:pPr>
              <w:pStyle w:val="AnnexNumberedText"/>
              <w:pageBreakBefore/>
              <w:tabs>
                <w:tab w:val="left" w:pos="276"/>
              </w:tabs>
              <w:ind w:left="0" w:firstLine="0"/>
            </w:pPr>
            <w:r>
              <w:lastRenderedPageBreak/>
              <w:t>2.</w:t>
            </w:r>
            <w:r>
              <w:tab/>
              <w:t xml:space="preserve">Risikoer for miljøforringelse knyttet til å bevare vannkvaliteten og unngå vannstress skal identifiseres og håndteres med sikte på å oppnå </w:t>
            </w:r>
            <w:r w:rsidR="007F704D">
              <w:t xml:space="preserve">en </w:t>
            </w:r>
            <w:r>
              <w:t xml:space="preserve">god vanntilstand og </w:t>
            </w:r>
            <w:r w:rsidR="007F704D">
              <w:t xml:space="preserve">et </w:t>
            </w:r>
            <w:r>
              <w:t>godt økologisk potensial som definert i artikkel 2 nr. 22 og 23 i forordning (EU) 2020/852, i samsvar med direktiv 2000/60/EF(</w:t>
            </w:r>
            <w:bookmarkStart w:id="23" w:name="NOTE_24"/>
            <w:r>
              <w:rPr>
                <w:rStyle w:val="FootnoteReference"/>
                <w:sz w:val="18"/>
              </w:rPr>
              <w:footnoteReference w:id="25"/>
            </w:r>
            <w:bookmarkEnd w:id="23"/>
            <w:r>
              <w:t>) og i henhold til en forvaltningsplan for bruk og beskyttelse av vann som er utarbeidet i henhold til det nevnte direktivet, for den eller de vannforekomstene som kan bli berørt, i samråd med relevante berørte parter.</w:t>
            </w:r>
          </w:p>
          <w:p w14:paraId="35F86F21" w14:textId="77777777" w:rsidR="006561BA" w:rsidRDefault="005B4ED6">
            <w:pPr>
              <w:pStyle w:val="AnnexTableCellLeft"/>
            </w:pPr>
            <w:r>
              <w:t>Dersom en miljøkonsekvensutredning gjennomføres i samsvar med europaparlaments- og rådsdirektiv 2011/92/EU(</w:t>
            </w:r>
            <w:bookmarkStart w:id="24" w:name="NOTE_25"/>
            <w:r>
              <w:rPr>
                <w:rStyle w:val="FootnoteReference"/>
                <w:sz w:val="18"/>
              </w:rPr>
              <w:footnoteReference w:id="26"/>
            </w:r>
            <w:bookmarkEnd w:id="24"/>
            <w:r>
              <w:t>), og dersom denne utredningen inneholder en vurdering av vannpåvirkningen i samsvar med direktiv 2000/60/EF, kreves ingen ytterligere vurdering av vannpåvirkningen, forutsatt at de identifiserte risikoene er håndtert.</w:t>
            </w:r>
          </w:p>
        </w:tc>
      </w:tr>
      <w:tr w:rsidR="006561BA" w14:paraId="0372CD80" w14:textId="77777777">
        <w:tc>
          <w:tcPr>
            <w:tcW w:w="9228" w:type="dxa"/>
            <w:gridSpan w:val="2"/>
            <w:tcMar>
              <w:top w:w="200" w:type="dxa"/>
              <w:left w:w="0" w:type="dxa"/>
              <w:bottom w:w="200" w:type="dxa"/>
              <w:right w:w="0" w:type="dxa"/>
            </w:tcMar>
          </w:tcPr>
          <w:p w14:paraId="2EBC28B7" w14:textId="77777777" w:rsidR="006561BA" w:rsidRDefault="005B4ED6">
            <w:pPr>
              <w:pStyle w:val="AnnexTableCellLeft"/>
            </w:pPr>
            <w:r>
              <w:t>Prinsippet om ikke å gjøre betydelig skade («DNSH»)</w:t>
            </w:r>
          </w:p>
        </w:tc>
      </w:tr>
      <w:tr w:rsidR="006561BA" w14:paraId="59E9E0F8" w14:textId="77777777">
        <w:tc>
          <w:tcPr>
            <w:tcW w:w="2544" w:type="dxa"/>
            <w:tcMar>
              <w:top w:w="200" w:type="dxa"/>
              <w:left w:w="0" w:type="dxa"/>
              <w:bottom w:w="200" w:type="dxa"/>
            </w:tcMar>
          </w:tcPr>
          <w:p w14:paraId="664252E2" w14:textId="77777777" w:rsidR="006561BA" w:rsidRDefault="005B4ED6">
            <w:pPr>
              <w:pStyle w:val="AnnexNumberedText"/>
              <w:spacing w:after="0"/>
              <w:ind w:left="293" w:hanging="293"/>
            </w:pPr>
            <w:r>
              <w:t>1)</w:t>
            </w:r>
            <w:r>
              <w:tab/>
              <w:t>Begrensning av klimaendringer</w:t>
            </w:r>
          </w:p>
        </w:tc>
        <w:tc>
          <w:tcPr>
            <w:tcW w:w="6684" w:type="dxa"/>
            <w:tcMar>
              <w:top w:w="200" w:type="dxa"/>
              <w:bottom w:w="200" w:type="dxa"/>
              <w:right w:w="0" w:type="dxa"/>
            </w:tcMar>
          </w:tcPr>
          <w:p w14:paraId="19728876" w14:textId="77777777" w:rsidR="006561BA" w:rsidRDefault="005B4ED6">
            <w:pPr>
              <w:pStyle w:val="AnnexTableCellLeft"/>
            </w:pPr>
            <w:r>
              <w:t>Ikke relevant</w:t>
            </w:r>
          </w:p>
        </w:tc>
      </w:tr>
      <w:tr w:rsidR="006561BA" w14:paraId="08618CA2" w14:textId="77777777">
        <w:tc>
          <w:tcPr>
            <w:tcW w:w="2544" w:type="dxa"/>
            <w:tcMar>
              <w:top w:w="200" w:type="dxa"/>
              <w:left w:w="0" w:type="dxa"/>
              <w:bottom w:w="200" w:type="dxa"/>
            </w:tcMar>
          </w:tcPr>
          <w:p w14:paraId="7C687C95" w14:textId="77777777" w:rsidR="006561BA" w:rsidRDefault="005B4ED6">
            <w:pPr>
              <w:pStyle w:val="AnnexNumberedText"/>
              <w:spacing w:after="0"/>
              <w:ind w:left="293" w:hanging="293"/>
            </w:pPr>
            <w:r>
              <w:t>2)</w:t>
            </w:r>
            <w:r>
              <w:tab/>
              <w:t>Tilpasning til klimaendringer</w:t>
            </w:r>
          </w:p>
        </w:tc>
        <w:tc>
          <w:tcPr>
            <w:tcW w:w="6684" w:type="dxa"/>
            <w:tcMar>
              <w:top w:w="200" w:type="dxa"/>
              <w:bottom w:w="200" w:type="dxa"/>
              <w:right w:w="0" w:type="dxa"/>
            </w:tcMar>
          </w:tcPr>
          <w:p w14:paraId="4F804EF2" w14:textId="77777777" w:rsidR="006561BA" w:rsidRDefault="005B4ED6">
            <w:pPr>
              <w:pStyle w:val="AnnexTableCellLeft"/>
            </w:pPr>
            <w:r>
              <w:t>Aktiviteten oppfyller kriteriene fastsatt i tillegg A til dette vedlegget.</w:t>
            </w:r>
          </w:p>
        </w:tc>
      </w:tr>
      <w:tr w:rsidR="006561BA" w14:paraId="7CEC7A23" w14:textId="77777777">
        <w:tc>
          <w:tcPr>
            <w:tcW w:w="2544" w:type="dxa"/>
            <w:tcMar>
              <w:top w:w="200" w:type="dxa"/>
              <w:left w:w="0" w:type="dxa"/>
              <w:bottom w:w="200" w:type="dxa"/>
            </w:tcMar>
          </w:tcPr>
          <w:p w14:paraId="215CD9DA" w14:textId="77777777" w:rsidR="006561BA" w:rsidRDefault="005B4ED6">
            <w:pPr>
              <w:pStyle w:val="AnnexNumberedText"/>
              <w:spacing w:after="0"/>
              <w:ind w:left="293" w:hanging="293"/>
            </w:pPr>
            <w:r>
              <w:t>4)</w:t>
            </w:r>
            <w:r>
              <w:tab/>
              <w:t>Omstilling til en sirkulær økonomi</w:t>
            </w:r>
          </w:p>
        </w:tc>
        <w:tc>
          <w:tcPr>
            <w:tcW w:w="6684" w:type="dxa"/>
            <w:tcMar>
              <w:top w:w="200" w:type="dxa"/>
              <w:bottom w:w="200" w:type="dxa"/>
              <w:right w:w="0" w:type="dxa"/>
            </w:tcMar>
          </w:tcPr>
          <w:p w14:paraId="021E401D" w14:textId="77777777" w:rsidR="006561BA" w:rsidRDefault="005B4ED6" w:rsidP="00943DA8">
            <w:pPr>
              <w:pStyle w:val="AnnexTableCellLeft"/>
              <w:spacing w:after="240"/>
            </w:pPr>
            <w:r>
              <w:t>I forbindelse med aktiviteten foretar man en vurdering av tilgjengeligheten av – og, når det er mulig, anvendes det – teknikker som støtter</w:t>
            </w:r>
          </w:p>
          <w:p w14:paraId="5D8E49B0" w14:textId="3D7D5266" w:rsidR="006561BA" w:rsidRDefault="005B4ED6">
            <w:pPr>
              <w:pStyle w:val="AnnexNumberedText"/>
              <w:ind w:left="293" w:hanging="293"/>
            </w:pPr>
            <w:r>
              <w:t>a)</w:t>
            </w:r>
            <w:r>
              <w:tab/>
              <w:t xml:space="preserve">ombruk og bruk av </w:t>
            </w:r>
            <w:r w:rsidR="00CB37B3" w:rsidRPr="00CB37B3">
              <w:t xml:space="preserve">sekundære råvarer </w:t>
            </w:r>
            <w:r>
              <w:t xml:space="preserve">og </w:t>
            </w:r>
            <w:proofErr w:type="spellStart"/>
            <w:r>
              <w:t>ombrukte</w:t>
            </w:r>
            <w:proofErr w:type="spellEnd"/>
            <w:r>
              <w:t xml:space="preserve"> komponenter i framstilte produkter,</w:t>
            </w:r>
          </w:p>
          <w:p w14:paraId="36ADC4C6" w14:textId="77777777" w:rsidR="006561BA" w:rsidRDefault="005B4ED6">
            <w:pPr>
              <w:pStyle w:val="AnnexNumberedText"/>
              <w:ind w:left="293" w:hanging="293"/>
            </w:pPr>
            <w:r>
              <w:t>b)</w:t>
            </w:r>
            <w:r>
              <w:tab/>
              <w:t>utforming med tanke på høy holdbarhet, gjenvinnbarhet, lett demontering og tilpasningsevne hos framstilte produkter,</w:t>
            </w:r>
          </w:p>
          <w:p w14:paraId="4362B69F" w14:textId="77777777" w:rsidR="006561BA" w:rsidRDefault="005B4ED6">
            <w:pPr>
              <w:pStyle w:val="AnnexNumberedText"/>
              <w:ind w:left="293" w:hanging="293"/>
            </w:pPr>
            <w:r>
              <w:t>c)</w:t>
            </w:r>
            <w:r>
              <w:tab/>
              <w:t>avfallshåndtering som prioriterer materialgjenvinning framfor sluttbehandling, i produksjonsprosessen,</w:t>
            </w:r>
          </w:p>
          <w:p w14:paraId="3D04D1AC" w14:textId="77777777" w:rsidR="006561BA" w:rsidRDefault="005B4ED6">
            <w:pPr>
              <w:pStyle w:val="AnnexNumberedText"/>
              <w:spacing w:after="0"/>
              <w:ind w:left="293" w:hanging="293"/>
            </w:pPr>
            <w:r>
              <w:t>d)</w:t>
            </w:r>
            <w:r>
              <w:tab/>
              <w:t>opplysninger om og sporbarhet av stoffer som gir grunn til bekymring, gjennom hele livssyklusen til de produserte produktene.</w:t>
            </w:r>
          </w:p>
        </w:tc>
      </w:tr>
      <w:tr w:rsidR="006561BA" w14:paraId="2853620E" w14:textId="77777777">
        <w:tc>
          <w:tcPr>
            <w:tcW w:w="2544" w:type="dxa"/>
            <w:tcMar>
              <w:top w:w="200" w:type="dxa"/>
              <w:left w:w="0" w:type="dxa"/>
              <w:bottom w:w="200" w:type="dxa"/>
            </w:tcMar>
          </w:tcPr>
          <w:p w14:paraId="17169BEF" w14:textId="77777777" w:rsidR="006561BA" w:rsidRDefault="005B4ED6">
            <w:pPr>
              <w:pStyle w:val="AnnexNumberedText"/>
              <w:spacing w:after="0"/>
              <w:ind w:left="293" w:hanging="293"/>
            </w:pPr>
            <w:r>
              <w:t>5)</w:t>
            </w:r>
            <w:r>
              <w:tab/>
              <w:t>Forebygging og begrensning av forurensning</w:t>
            </w:r>
          </w:p>
        </w:tc>
        <w:tc>
          <w:tcPr>
            <w:tcW w:w="6684" w:type="dxa"/>
            <w:tcMar>
              <w:top w:w="200" w:type="dxa"/>
              <w:bottom w:w="200" w:type="dxa"/>
              <w:right w:w="0" w:type="dxa"/>
            </w:tcMar>
          </w:tcPr>
          <w:p w14:paraId="5968E62E" w14:textId="77777777" w:rsidR="006561BA" w:rsidRDefault="005B4ED6">
            <w:pPr>
              <w:pStyle w:val="AnnexTableCellLeft"/>
            </w:pPr>
            <w:r>
              <w:t>Aktiviteten oppfyller kriteriene fastsatt i tillegg C til dette vedlegget.</w:t>
            </w:r>
          </w:p>
        </w:tc>
      </w:tr>
      <w:tr w:rsidR="006561BA" w14:paraId="1A60CC8D" w14:textId="77777777">
        <w:tc>
          <w:tcPr>
            <w:tcW w:w="2544" w:type="dxa"/>
            <w:tcMar>
              <w:top w:w="200" w:type="dxa"/>
              <w:left w:w="0" w:type="dxa"/>
              <w:bottom w:w="200" w:type="dxa"/>
            </w:tcMar>
          </w:tcPr>
          <w:p w14:paraId="21E589C8" w14:textId="77777777" w:rsidR="006561BA" w:rsidRDefault="005B4ED6">
            <w:pPr>
              <w:pStyle w:val="AnnexNumberedText"/>
              <w:spacing w:after="0"/>
              <w:ind w:left="293" w:hanging="293"/>
            </w:pPr>
            <w:r>
              <w:t>6)</w:t>
            </w:r>
            <w:r>
              <w:tab/>
              <w:t>Beskyttelse og restaurering av biologisk mangfold og økosystemer</w:t>
            </w:r>
          </w:p>
        </w:tc>
        <w:tc>
          <w:tcPr>
            <w:tcW w:w="6684" w:type="dxa"/>
            <w:tcMar>
              <w:top w:w="200" w:type="dxa"/>
              <w:bottom w:w="200" w:type="dxa"/>
              <w:right w:w="0" w:type="dxa"/>
            </w:tcMar>
          </w:tcPr>
          <w:p w14:paraId="7DE37733" w14:textId="77777777" w:rsidR="006561BA" w:rsidRDefault="005B4ED6">
            <w:pPr>
              <w:pStyle w:val="AnnexTableCellLeft"/>
            </w:pPr>
            <w:r>
              <w:t>Aktiviteten oppfyller kriteriene fastsatt i tillegg D til dette vedlegget.</w:t>
            </w:r>
          </w:p>
        </w:tc>
      </w:tr>
    </w:tbl>
    <w:p w14:paraId="0E93FBCB" w14:textId="28841558" w:rsidR="006561BA" w:rsidRDefault="005B4ED6">
      <w:pPr>
        <w:pStyle w:val="AnnexNumberedText"/>
        <w:spacing w:before="600"/>
        <w:ind w:left="414" w:hanging="414"/>
      </w:pPr>
      <w:r>
        <w:t>2.</w:t>
      </w:r>
      <w:r>
        <w:rPr>
          <w:b/>
          <w:i/>
        </w:rPr>
        <w:tab/>
        <w:t xml:space="preserve">Vannforsyning, </w:t>
      </w:r>
      <w:r w:rsidR="004B4D3F" w:rsidRPr="004B4D3F">
        <w:rPr>
          <w:b/>
          <w:i/>
        </w:rPr>
        <w:t>rensing av avløpsvann</w:t>
      </w:r>
      <w:r>
        <w:rPr>
          <w:b/>
          <w:i/>
        </w:rPr>
        <w:t>, avfallshåndtering og oppryddingsaktiviteter</w:t>
      </w:r>
    </w:p>
    <w:p w14:paraId="5E2F418F" w14:textId="77777777" w:rsidR="006561BA" w:rsidRDefault="005B4ED6">
      <w:pPr>
        <w:pStyle w:val="AnnexNumberedText"/>
        <w:spacing w:after="400"/>
        <w:ind w:left="414" w:hanging="414"/>
      </w:pPr>
      <w:r>
        <w:t>2.1.</w:t>
      </w:r>
      <w:r>
        <w:rPr>
          <w:b/>
        </w:rPr>
        <w:tab/>
        <w:t>Vannforsyning</w:t>
      </w:r>
    </w:p>
    <w:p w14:paraId="55F2E83C" w14:textId="77777777" w:rsidR="006561BA" w:rsidRDefault="005B4ED6">
      <w:pPr>
        <w:pStyle w:val="AnnexGrSeq3"/>
        <w:jc w:val="both"/>
      </w:pPr>
      <w:r>
        <w:rPr>
          <w:i/>
        </w:rPr>
        <w:t>Beskrivelse av aktiviteten</w:t>
      </w:r>
    </w:p>
    <w:p w14:paraId="62C4251B" w14:textId="77777777" w:rsidR="006561BA" w:rsidRDefault="005B4ED6">
      <w:pPr>
        <w:pStyle w:val="AnnexNormal"/>
        <w:spacing w:after="0"/>
      </w:pPr>
      <w:r>
        <w:t>Bygging, utvidelse, drift og fornyelse av systemer for oppsamling, rensing og forsyning av drikkevann som bygger på uttak av naturlige vannressurser fra overflate- eller grunnvannskilder.</w:t>
      </w:r>
      <w:r>
        <w:br w:type="page"/>
      </w:r>
    </w:p>
    <w:p w14:paraId="19D05873" w14:textId="4071EF6F" w:rsidR="006561BA" w:rsidRDefault="005B4ED6">
      <w:pPr>
        <w:pStyle w:val="AnnexNormal"/>
        <w:spacing w:after="300"/>
      </w:pPr>
      <w:r>
        <w:lastRenderedPageBreak/>
        <w:t xml:space="preserve">Den økonomiske aktiviteten omfatter uttak av vannressursen, nødvendig behandling for å bringe vannkvaliteten i samsvar med gjeldende lovgivning og distribusjon til befolkningen og driftsansvarlige for næringsmiddelforetak i </w:t>
      </w:r>
      <w:r w:rsidR="00AC2FF4">
        <w:t>vann</w:t>
      </w:r>
      <w:r>
        <w:t>rørsystemer.</w:t>
      </w:r>
    </w:p>
    <w:p w14:paraId="68DDECDF" w14:textId="77777777" w:rsidR="006561BA" w:rsidRDefault="005B4ED6">
      <w:pPr>
        <w:pStyle w:val="AnnexNormal"/>
        <w:spacing w:after="300"/>
      </w:pPr>
      <w:r>
        <w:t>Den økonomiske aktiviteten omfatter ikke vanning og uttak av vannressurser for avsalting av sjø- eller brakkvann.</w:t>
      </w:r>
    </w:p>
    <w:p w14:paraId="24D51096" w14:textId="10F46F7B" w:rsidR="006561BA" w:rsidRDefault="005B4ED6">
      <w:pPr>
        <w:pStyle w:val="AnnexNormal"/>
        <w:spacing w:after="1000"/>
      </w:pPr>
      <w:r>
        <w:t>De økonomiske aktivitetene i denne kategorien kan knyttes til flere NACE-koder, særlig E36.00 og F42.9</w:t>
      </w:r>
      <w:r w:rsidR="00366587">
        <w:t>,</w:t>
      </w:r>
      <w:r>
        <w:t xml:space="preserve"> i samsvar med standarden for næringsgruppering fastsatt ved forordning (EF) nr. 1893/2006.</w:t>
      </w:r>
    </w:p>
    <w:p w14:paraId="1CEA21B6" w14:textId="77777777" w:rsidR="006561BA" w:rsidRDefault="005B4ED6">
      <w:pPr>
        <w:pStyle w:val="AnnexGrSeq3"/>
        <w:jc w:val="both"/>
      </w:pPr>
      <w:r>
        <w:rPr>
          <w:i/>
        </w:rPr>
        <w:t>Tekniske screeningkriterier</w:t>
      </w:r>
    </w:p>
    <w:tbl>
      <w:tblPr>
        <w:tblStyle w:val="EFTATable"/>
        <w:tblW w:w="9228" w:type="dxa"/>
        <w:tblInd w:w="12" w:type="dxa"/>
        <w:tblLayout w:type="fixed"/>
        <w:tblLook w:val="04A0" w:firstRow="1" w:lastRow="0" w:firstColumn="1" w:lastColumn="0" w:noHBand="0" w:noVBand="1"/>
      </w:tblPr>
      <w:tblGrid>
        <w:gridCol w:w="2556"/>
        <w:gridCol w:w="6672"/>
      </w:tblGrid>
      <w:tr w:rsidR="006561BA" w14:paraId="17485A71" w14:textId="77777777">
        <w:tc>
          <w:tcPr>
            <w:tcW w:w="9228" w:type="dxa"/>
            <w:gridSpan w:val="2"/>
            <w:tcMar>
              <w:top w:w="140" w:type="dxa"/>
              <w:left w:w="0" w:type="dxa"/>
              <w:bottom w:w="140" w:type="dxa"/>
              <w:right w:w="0" w:type="dxa"/>
            </w:tcMar>
          </w:tcPr>
          <w:p w14:paraId="5D1C0713" w14:textId="77777777" w:rsidR="006561BA" w:rsidRDefault="005B4ED6">
            <w:pPr>
              <w:pStyle w:val="AnnexTableCellLeft"/>
            </w:pPr>
            <w:r>
              <w:t>Vesentlig bidrag til bærekraftig bruk og beskyttelse av vann- og havressurser</w:t>
            </w:r>
          </w:p>
        </w:tc>
      </w:tr>
      <w:tr w:rsidR="006561BA" w14:paraId="33E7476A" w14:textId="77777777">
        <w:tc>
          <w:tcPr>
            <w:tcW w:w="9228" w:type="dxa"/>
            <w:gridSpan w:val="2"/>
            <w:tcMar>
              <w:top w:w="140" w:type="dxa"/>
              <w:left w:w="0" w:type="dxa"/>
              <w:bottom w:w="140" w:type="dxa"/>
              <w:right w:w="0" w:type="dxa"/>
            </w:tcMar>
          </w:tcPr>
          <w:p w14:paraId="4DC2622A" w14:textId="77777777" w:rsidR="006561BA" w:rsidRDefault="005B4ED6">
            <w:pPr>
              <w:pStyle w:val="AnnexNumberedText"/>
              <w:spacing w:after="200"/>
              <w:ind w:left="279" w:hanging="279"/>
            </w:pPr>
            <w:r>
              <w:t>1.</w:t>
            </w:r>
            <w:r>
              <w:tab/>
              <w:t>Ved drift av et eksisterende vannforsyningssystem som sikrer forbrukerne vann av tilstrekkelig og sunn kvalitet og bidrar til en effektiv bruk av vannressursene, oppfyller aktiviteten følgende kriterier:</w:t>
            </w:r>
          </w:p>
          <w:p w14:paraId="353CB92E" w14:textId="77777777" w:rsidR="006561BA" w:rsidRDefault="005B4ED6">
            <w:pPr>
              <w:pStyle w:val="AnnexNumberedText"/>
              <w:spacing w:after="200"/>
              <w:ind w:left="572" w:hanging="293"/>
            </w:pPr>
            <w:r>
              <w:t>a)</w:t>
            </w:r>
            <w:r>
              <w:tab/>
              <w:t>Vannforsyningssystemet oppfyller kravene i direktiv (EU) 2020/2184, i kommisjonens gjennomføringsbeslutning (EU) 2022/679(</w:t>
            </w:r>
            <w:bookmarkStart w:id="25" w:name="NOTE_26"/>
            <w:r>
              <w:rPr>
                <w:rStyle w:val="FootnoteReference"/>
                <w:sz w:val="18"/>
              </w:rPr>
              <w:footnoteReference w:id="27"/>
            </w:r>
            <w:bookmarkEnd w:id="25"/>
            <w:r>
              <w:t>) og i delegerte rettsakter og gjennomføringsrettsakter vedtatt i henhold til det nevnte direktivet.</w:t>
            </w:r>
          </w:p>
          <w:p w14:paraId="7598DDF8" w14:textId="44197270" w:rsidR="006561BA" w:rsidRDefault="005B4ED6">
            <w:pPr>
              <w:pStyle w:val="AnnexNumberedText"/>
              <w:spacing w:after="200"/>
              <w:ind w:left="572" w:hanging="293"/>
            </w:pPr>
            <w:r>
              <w:t>b)</w:t>
            </w:r>
            <w:r>
              <w:tab/>
              <w:t>Systemets lekkasjenivå beregnes enten ved hjelp av vurderingsmetoden for infrastrukturlekkasjeindeksen (ILI – «</w:t>
            </w:r>
            <w:proofErr w:type="spellStart"/>
            <w:r>
              <w:t>Infrastructure</w:t>
            </w:r>
            <w:proofErr w:type="spellEnd"/>
            <w:r>
              <w:t xml:space="preserve"> </w:t>
            </w:r>
            <w:proofErr w:type="spellStart"/>
            <w:r>
              <w:t>Leakage</w:t>
            </w:r>
            <w:proofErr w:type="spellEnd"/>
            <w:r>
              <w:t xml:space="preserve"> Index»)</w:t>
            </w:r>
            <w:bookmarkStart w:id="26" w:name="NOTE_27"/>
            <w:r w:rsidR="003A1B7B">
              <w:t>(</w:t>
            </w:r>
            <w:r>
              <w:rPr>
                <w:rStyle w:val="FootnoteReference"/>
                <w:sz w:val="18"/>
              </w:rPr>
              <w:footnoteReference w:id="28"/>
            </w:r>
            <w:bookmarkEnd w:id="26"/>
            <w:r>
              <w:t>)</w:t>
            </w:r>
            <w:r w:rsidR="00CD3751">
              <w:t>,</w:t>
            </w:r>
            <w:r>
              <w:t xml:space="preserve"> og terskelverdien er lik eller lavere enn 2,0, eller beregnes ved hjelp av en annen egnet metode</w:t>
            </w:r>
            <w:r w:rsidR="00CD3751">
              <w:t>,</w:t>
            </w:r>
            <w:r>
              <w:t xml:space="preserve"> og terskelverdien fastsettes i samsvar med artikkel 4 i europaparlaments- og rådsdirektiv (EU) 2020/2184. Denne beregningen skal anvendes på en bestemt del av vannforsyningsnettet (distribusjonsnettet), det vil si for vannforsyningssoner, områder med målt vannforbruk (DMA «</w:t>
            </w:r>
            <w:proofErr w:type="spellStart"/>
            <w:r>
              <w:t>district</w:t>
            </w:r>
            <w:proofErr w:type="spellEnd"/>
            <w:r>
              <w:t xml:space="preserve"> </w:t>
            </w:r>
            <w:proofErr w:type="spellStart"/>
            <w:r>
              <w:t>metered</w:t>
            </w:r>
            <w:proofErr w:type="spellEnd"/>
            <w:r>
              <w:t xml:space="preserve"> areas») eller områder med trykkregulering (PMA – «</w:t>
            </w:r>
            <w:proofErr w:type="spellStart"/>
            <w:r>
              <w:t>pressure</w:t>
            </w:r>
            <w:proofErr w:type="spellEnd"/>
            <w:r>
              <w:t xml:space="preserve"> </w:t>
            </w:r>
            <w:proofErr w:type="spellStart"/>
            <w:r>
              <w:t>managed</w:t>
            </w:r>
            <w:proofErr w:type="spellEnd"/>
            <w:r>
              <w:t xml:space="preserve"> areas»).</w:t>
            </w:r>
          </w:p>
          <w:p w14:paraId="04885F25" w14:textId="77777777" w:rsidR="006561BA" w:rsidRDefault="005B4ED6">
            <w:pPr>
              <w:pStyle w:val="AnnexNumberedText"/>
              <w:spacing w:after="200"/>
              <w:ind w:left="572" w:hanging="293"/>
            </w:pPr>
            <w:r>
              <w:t>c)</w:t>
            </w:r>
            <w:r>
              <w:tab/>
              <w:t>Vannforsyningssystemene omfatter måling på forbrukernivå, der vann leveres til et kontraktbestemt leveringssted i forbrukerens eget distribusjonssystem for drikkevann.</w:t>
            </w:r>
          </w:p>
          <w:p w14:paraId="7EB6BF37" w14:textId="77777777" w:rsidR="006561BA" w:rsidRDefault="005B4ED6">
            <w:pPr>
              <w:pStyle w:val="AnnexNumberedText"/>
              <w:spacing w:after="200"/>
              <w:ind w:left="279" w:hanging="279"/>
            </w:pPr>
            <w:r>
              <w:t>2.</w:t>
            </w:r>
            <w:r>
              <w:tab/>
              <w:t>For bygging og drift av et nytt vannforsyningssystem, eller en utvidelse av et eksisterende vannforsyningssystem som leverer vann til nye områder eller forbedrer denne vannforsyningen til eksisterende områder, oppfyller aktiviteten følgende kriterier:</w:t>
            </w:r>
          </w:p>
          <w:p w14:paraId="43D2AAB3" w14:textId="77777777" w:rsidR="006561BA" w:rsidRDefault="005B4ED6">
            <w:pPr>
              <w:pStyle w:val="AnnexNumberedText"/>
              <w:spacing w:after="200"/>
              <w:ind w:left="572" w:hanging="293"/>
            </w:pPr>
            <w:r>
              <w:t>a)</w:t>
            </w:r>
            <w:r>
              <w:tab/>
              <w:t>Vannforsyningssystemet oppfyller kravene i direktiv (EU) 2020/2184, herunder kravene i artikkel 13 nr. 8 i det nevnte direktivet, i gjennomføringsbeslutning (EU) 2022/679 og i delegerte rettsakter og gjennomføringsrettsakter vedtatt i henhold til det nevnte direktivet.</w:t>
            </w:r>
          </w:p>
          <w:p w14:paraId="03EB697A" w14:textId="77777777" w:rsidR="006561BA" w:rsidRDefault="005B4ED6">
            <w:pPr>
              <w:pStyle w:val="AnnexNumberedText"/>
              <w:spacing w:after="200"/>
              <w:ind w:left="572" w:hanging="293"/>
            </w:pPr>
            <w:r>
              <w:t>b)</w:t>
            </w:r>
            <w:r>
              <w:tab/>
              <w:t>Lekkasjenivået i det nye eller utvidede systemet beregnes enten ved hjelp av vurderingsmetoden for infrastrukturlekkasjeindeksen (ILI), og terskelverdien er lik eller lavere enn 1,5, eller det beregnes ved hjelp av en annen egnet metode, og terskelverdien er fastsatt i samsvar med artikkel 4 i direktiv (EU) 2020/2184. Denne beregningen skal anvendes på hele den berørte og bestemte delen av vannforsyningsnettet (distribusjonsnettet) der arbeidet utføres, det vil si for vannforsyningssoner, områder med målt vannforbruk (DMA-er) eller områder med trykkregulering (PMA-er).</w:t>
            </w:r>
          </w:p>
          <w:p w14:paraId="793A15A1" w14:textId="77777777" w:rsidR="006561BA" w:rsidRDefault="005B4ED6">
            <w:pPr>
              <w:pStyle w:val="AnnexNumberedText"/>
              <w:spacing w:after="200"/>
              <w:ind w:left="572" w:hanging="293"/>
            </w:pPr>
            <w:r>
              <w:t>c)</w:t>
            </w:r>
            <w:r>
              <w:tab/>
              <w:t>Vannforsyningssystemet omfatter måling på forbrukernivå, der vann leveres til et kontraktbestemt leveringssted i forbrukernes eget distribusjonssystem for drikkevann.</w:t>
            </w:r>
          </w:p>
          <w:p w14:paraId="445CB70D" w14:textId="77777777" w:rsidR="006561BA" w:rsidRDefault="005B4ED6">
            <w:pPr>
              <w:pStyle w:val="AnnexNumberedText"/>
              <w:spacing w:after="0"/>
              <w:ind w:left="279" w:hanging="279"/>
            </w:pPr>
            <w:r>
              <w:t>3.</w:t>
            </w:r>
            <w:r>
              <w:tab/>
              <w:t>Ved fornyelse av eksisterende vannforsyningssystemer oppfyller aktiviteten følgende kriterier:</w:t>
            </w:r>
          </w:p>
        </w:tc>
      </w:tr>
      <w:tr w:rsidR="006561BA" w14:paraId="3CDF225F" w14:textId="77777777">
        <w:tc>
          <w:tcPr>
            <w:tcW w:w="9228" w:type="dxa"/>
            <w:gridSpan w:val="2"/>
            <w:tcMar>
              <w:top w:w="160" w:type="dxa"/>
              <w:left w:w="0" w:type="dxa"/>
              <w:bottom w:w="160" w:type="dxa"/>
              <w:right w:w="0" w:type="dxa"/>
            </w:tcMar>
          </w:tcPr>
          <w:p w14:paraId="4AAB713E" w14:textId="77777777" w:rsidR="006561BA" w:rsidRDefault="005B4ED6">
            <w:pPr>
              <w:pStyle w:val="AnnexNumberedText"/>
              <w:pageBreakBefore/>
              <w:spacing w:after="300"/>
            </w:pPr>
            <w:r>
              <w:lastRenderedPageBreak/>
              <w:t>a)</w:t>
            </w:r>
            <w:r>
              <w:tab/>
              <w:t>Aktiviteten reduserer forskjellen med minst 20 % enten mellom det nåværende lekkasjenivået som et gjennomsnitt over tre år, beregnet ved hjelp av vurderingsmetoden for infrastrukturlekkasjeindeksen (ILI) og en ILI på 1,5, eller mellom det nåværende lekkasjenivået som et gjennomsnitt over tre år, beregnet ved hjelp av en annen egnet metode og den terskelverdien som er fastsatt i samsvar med artikkel 4 i direktiv (EU) 2020/2184. Det nåværende lekkasjenivået som et gjennomsnitt over tre år beregnes for hele den berørte og bestemte delen av vannforsyningsnettet (distribusjonsnettet) der arbeidet utføres, det vil si for det fornyede vannforsyningsnettet (distribusjonsnettet) på områder med målt vannforbruk (DMA-er) eller områder med trykkregulering (PMA-er).</w:t>
            </w:r>
          </w:p>
          <w:p w14:paraId="2E243928" w14:textId="77777777" w:rsidR="006561BA" w:rsidRDefault="005B4ED6">
            <w:pPr>
              <w:pStyle w:val="AnnexNumberedText"/>
              <w:spacing w:after="300"/>
            </w:pPr>
            <w:r>
              <w:t>b)</w:t>
            </w:r>
            <w:r>
              <w:tab/>
              <w:t>En plan med mål og tidsfrister for gjennomføringen av måling på forbrukernivå utstedes av vannleverandøren og godkjennes av de vedkommende myndighetene.</w:t>
            </w:r>
          </w:p>
          <w:p w14:paraId="3EB18102" w14:textId="21595015" w:rsidR="006561BA" w:rsidRDefault="005B4ED6">
            <w:pPr>
              <w:pStyle w:val="AnnexNumberedText"/>
              <w:spacing w:after="300"/>
              <w:ind w:left="279" w:hanging="279"/>
            </w:pPr>
            <w:r>
              <w:t>4.</w:t>
            </w:r>
            <w:r>
              <w:tab/>
              <w:t>Vannforsyningssystemet har fått de nødvendige tillatelsene til vannuttak. Disse uttakene inngår i registeret for vannuttak i samsvar med direktiv 2000/60/EF. En vurdering av det faktiske uttakspotensialet er foretatt for å sikre at den tilgjengelige grunnvannsressursen ikke overstiges av det langsiktige gjennomsnittlige uttaksnivået per år, eller at forekomsten av overflatevann som vannet tas ut fra, ikke forhindres i å oppnå god økologisk tilstand og et godt økologisk potensial, og at uttaket ikke forringes av disse vannforekomstenes tilstand eller potensial.</w:t>
            </w:r>
          </w:p>
          <w:p w14:paraId="3AAEFC86" w14:textId="77777777" w:rsidR="006561BA" w:rsidRDefault="005B4ED6">
            <w:pPr>
              <w:pStyle w:val="AnnexTableCellLeft"/>
              <w:spacing w:after="300"/>
            </w:pPr>
            <w:r>
              <w:t>Driften av vannforsyningssystemet fører ikke til en forringelse av tilstanden til de berørte vannforekomstene og forhindrer heller ikke vannforekomsten i å oppnå en god tilstand og et godt økologisk potensial i samsvar med direktiv 2000/60/EF(</w:t>
            </w:r>
            <w:bookmarkStart w:id="27" w:name="NOTE_28"/>
            <w:r>
              <w:rPr>
                <w:rStyle w:val="FootnoteReference"/>
                <w:sz w:val="18"/>
              </w:rPr>
              <w:footnoteReference w:id="29"/>
            </w:r>
            <w:bookmarkEnd w:id="27"/>
            <w:r>
              <w:t>).</w:t>
            </w:r>
          </w:p>
          <w:p w14:paraId="661A6F81" w14:textId="77777777" w:rsidR="006561BA" w:rsidRDefault="005B4ED6">
            <w:pPr>
              <w:pStyle w:val="AnnexTableCellLeft"/>
              <w:spacing w:after="300"/>
            </w:pPr>
            <w:r>
              <w:t>Opplysninger om uttak, registeret over uttak, vannforekomsters tilstand samt belastninger og innvirkninger på disse inngår i en forvaltningsplan for nedbørfelter eller, når det gjelder aktiviteter i tredjeland, i en tilsvarende forvaltningsplan for bruk og beskyttelse av vann.</w:t>
            </w:r>
          </w:p>
          <w:p w14:paraId="1F348500" w14:textId="77777777" w:rsidR="006561BA" w:rsidRDefault="005B4ED6">
            <w:pPr>
              <w:pStyle w:val="AnnexTableCellLeft"/>
              <w:spacing w:after="300"/>
            </w:pPr>
            <w:r>
              <w:t>Aktiviteten omfatter ikke bygging av nye forsyningssystemer eller utvidelser av eksisterende forsyningssystemer dersom de potensielt berører en eller flere vannforekomster som ikke har en god tilstand eller et godt potensial på grunn av vannmengden.</w:t>
            </w:r>
          </w:p>
        </w:tc>
      </w:tr>
      <w:tr w:rsidR="006561BA" w14:paraId="60022D09" w14:textId="77777777">
        <w:tc>
          <w:tcPr>
            <w:tcW w:w="9228" w:type="dxa"/>
            <w:gridSpan w:val="2"/>
            <w:tcMar>
              <w:top w:w="160" w:type="dxa"/>
              <w:left w:w="0" w:type="dxa"/>
              <w:bottom w:w="160" w:type="dxa"/>
              <w:right w:w="0" w:type="dxa"/>
            </w:tcMar>
          </w:tcPr>
          <w:p w14:paraId="57367A64" w14:textId="77777777" w:rsidR="006561BA" w:rsidRDefault="005B4ED6">
            <w:pPr>
              <w:pStyle w:val="AnnexTableCellLeft"/>
            </w:pPr>
            <w:r>
              <w:t>Prinsippet om ikke å gjøre betydelig skade («DNSH»)</w:t>
            </w:r>
          </w:p>
        </w:tc>
      </w:tr>
      <w:tr w:rsidR="006561BA" w14:paraId="5B6AF99E" w14:textId="77777777">
        <w:tc>
          <w:tcPr>
            <w:tcW w:w="2556" w:type="dxa"/>
            <w:tcMar>
              <w:top w:w="160" w:type="dxa"/>
              <w:left w:w="0" w:type="dxa"/>
              <w:bottom w:w="160" w:type="dxa"/>
            </w:tcMar>
          </w:tcPr>
          <w:p w14:paraId="4E86A2E3" w14:textId="77777777" w:rsidR="006561BA" w:rsidRDefault="005B4ED6">
            <w:pPr>
              <w:pStyle w:val="AnnexNumberedText"/>
              <w:spacing w:after="0"/>
              <w:ind w:left="293" w:hanging="293"/>
            </w:pPr>
            <w:r>
              <w:t>1)</w:t>
            </w:r>
            <w:r>
              <w:tab/>
              <w:t>Begrensning av klimaendringer</w:t>
            </w:r>
          </w:p>
        </w:tc>
        <w:tc>
          <w:tcPr>
            <w:tcW w:w="6672" w:type="dxa"/>
            <w:tcMar>
              <w:top w:w="160" w:type="dxa"/>
              <w:bottom w:w="160" w:type="dxa"/>
              <w:right w:w="0" w:type="dxa"/>
            </w:tcMar>
          </w:tcPr>
          <w:p w14:paraId="1E23B888" w14:textId="77777777" w:rsidR="006561BA" w:rsidRDefault="005B4ED6">
            <w:pPr>
              <w:pStyle w:val="AnnexTableCellLeft"/>
            </w:pPr>
            <w:r>
              <w:t>Ikke relevant</w:t>
            </w:r>
          </w:p>
        </w:tc>
      </w:tr>
      <w:tr w:rsidR="006561BA" w14:paraId="2F47AE7C" w14:textId="77777777">
        <w:tc>
          <w:tcPr>
            <w:tcW w:w="2556" w:type="dxa"/>
            <w:tcMar>
              <w:top w:w="160" w:type="dxa"/>
              <w:left w:w="0" w:type="dxa"/>
              <w:bottom w:w="160" w:type="dxa"/>
            </w:tcMar>
          </w:tcPr>
          <w:p w14:paraId="31F715CA" w14:textId="77777777" w:rsidR="006561BA" w:rsidRDefault="005B4ED6">
            <w:pPr>
              <w:pStyle w:val="AnnexNumberedText"/>
              <w:spacing w:after="0"/>
              <w:ind w:left="293" w:hanging="293"/>
            </w:pPr>
            <w:r>
              <w:t>2)</w:t>
            </w:r>
            <w:r>
              <w:tab/>
              <w:t>Tilpasning til klimaendringer</w:t>
            </w:r>
          </w:p>
        </w:tc>
        <w:tc>
          <w:tcPr>
            <w:tcW w:w="6672" w:type="dxa"/>
            <w:tcMar>
              <w:top w:w="160" w:type="dxa"/>
              <w:bottom w:w="160" w:type="dxa"/>
              <w:right w:w="0" w:type="dxa"/>
            </w:tcMar>
          </w:tcPr>
          <w:p w14:paraId="6F0BB5BB" w14:textId="77777777" w:rsidR="006561BA" w:rsidRDefault="005B4ED6">
            <w:pPr>
              <w:pStyle w:val="AnnexTableCellLeft"/>
            </w:pPr>
            <w:r>
              <w:t>Aktiviteten oppfyller kriteriene fastsatt i tillegg A til dette vedlegget.</w:t>
            </w:r>
          </w:p>
        </w:tc>
      </w:tr>
      <w:tr w:rsidR="006561BA" w14:paraId="3B7A3881" w14:textId="77777777">
        <w:tc>
          <w:tcPr>
            <w:tcW w:w="2556" w:type="dxa"/>
            <w:tcMar>
              <w:top w:w="160" w:type="dxa"/>
              <w:left w:w="0" w:type="dxa"/>
              <w:bottom w:w="160" w:type="dxa"/>
            </w:tcMar>
          </w:tcPr>
          <w:p w14:paraId="6BFDA615" w14:textId="77777777" w:rsidR="006561BA" w:rsidRDefault="005B4ED6">
            <w:pPr>
              <w:pStyle w:val="AnnexNumberedText"/>
              <w:spacing w:after="0"/>
              <w:ind w:left="293" w:hanging="293"/>
            </w:pPr>
            <w:r>
              <w:t>4)</w:t>
            </w:r>
            <w:r>
              <w:tab/>
              <w:t>Omstilling til en sirkulær økonomi</w:t>
            </w:r>
          </w:p>
        </w:tc>
        <w:tc>
          <w:tcPr>
            <w:tcW w:w="6672" w:type="dxa"/>
            <w:tcMar>
              <w:top w:w="160" w:type="dxa"/>
              <w:bottom w:w="160" w:type="dxa"/>
              <w:right w:w="0" w:type="dxa"/>
            </w:tcMar>
          </w:tcPr>
          <w:p w14:paraId="7CD96810" w14:textId="77777777" w:rsidR="006561BA" w:rsidRDefault="005B4ED6">
            <w:pPr>
              <w:pStyle w:val="AnnexTableCellLeft"/>
            </w:pPr>
            <w:r>
              <w:t>Ikke relevant</w:t>
            </w:r>
          </w:p>
        </w:tc>
      </w:tr>
      <w:tr w:rsidR="006561BA" w14:paraId="4CD187F5" w14:textId="77777777">
        <w:tc>
          <w:tcPr>
            <w:tcW w:w="2556" w:type="dxa"/>
            <w:tcMar>
              <w:top w:w="160" w:type="dxa"/>
              <w:left w:w="0" w:type="dxa"/>
              <w:bottom w:w="160" w:type="dxa"/>
            </w:tcMar>
          </w:tcPr>
          <w:p w14:paraId="5AD68F18" w14:textId="77777777" w:rsidR="006561BA" w:rsidRDefault="005B4ED6">
            <w:pPr>
              <w:pStyle w:val="AnnexNumberedText"/>
              <w:spacing w:after="0"/>
              <w:ind w:left="293" w:hanging="293"/>
            </w:pPr>
            <w:r>
              <w:t>5)</w:t>
            </w:r>
            <w:r>
              <w:tab/>
              <w:t>Forebygging og begrensning av forurensning</w:t>
            </w:r>
          </w:p>
        </w:tc>
        <w:tc>
          <w:tcPr>
            <w:tcW w:w="6672" w:type="dxa"/>
            <w:tcMar>
              <w:top w:w="160" w:type="dxa"/>
              <w:bottom w:w="160" w:type="dxa"/>
              <w:right w:w="0" w:type="dxa"/>
            </w:tcMar>
          </w:tcPr>
          <w:p w14:paraId="743C6A93" w14:textId="77777777" w:rsidR="006561BA" w:rsidRDefault="005B4ED6">
            <w:pPr>
              <w:pStyle w:val="AnnexTableCellLeft"/>
            </w:pPr>
            <w:r>
              <w:t>Ikke relevant</w:t>
            </w:r>
          </w:p>
        </w:tc>
      </w:tr>
      <w:tr w:rsidR="006561BA" w14:paraId="5E3E890E" w14:textId="77777777">
        <w:tc>
          <w:tcPr>
            <w:tcW w:w="2556" w:type="dxa"/>
            <w:tcMar>
              <w:top w:w="160" w:type="dxa"/>
              <w:left w:w="0" w:type="dxa"/>
              <w:bottom w:w="160" w:type="dxa"/>
            </w:tcMar>
          </w:tcPr>
          <w:p w14:paraId="1D5993E7" w14:textId="77777777" w:rsidR="006561BA" w:rsidRDefault="005B4ED6">
            <w:pPr>
              <w:pStyle w:val="AnnexNumberedText"/>
              <w:spacing w:after="0"/>
              <w:ind w:left="293" w:hanging="293"/>
            </w:pPr>
            <w:r>
              <w:t>6)</w:t>
            </w:r>
            <w:r>
              <w:tab/>
              <w:t>Beskyttelse og restaurering av biologisk mangfold og økosystemer</w:t>
            </w:r>
          </w:p>
        </w:tc>
        <w:tc>
          <w:tcPr>
            <w:tcW w:w="6672" w:type="dxa"/>
            <w:tcMar>
              <w:top w:w="160" w:type="dxa"/>
              <w:bottom w:w="160" w:type="dxa"/>
              <w:right w:w="0" w:type="dxa"/>
            </w:tcMar>
          </w:tcPr>
          <w:p w14:paraId="108BCCDA" w14:textId="77777777" w:rsidR="006561BA" w:rsidRDefault="005B4ED6">
            <w:pPr>
              <w:pStyle w:val="AnnexTableCellLeft"/>
            </w:pPr>
            <w:r>
              <w:t>Aktiviteten oppfyller kriteriene fastsatt i tillegg D til dette vedlegget.</w:t>
            </w:r>
          </w:p>
        </w:tc>
      </w:tr>
    </w:tbl>
    <w:p w14:paraId="201CD154" w14:textId="77777777" w:rsidR="006561BA" w:rsidRDefault="005B4ED6">
      <w:pPr>
        <w:shd w:val="clear" w:color="auto" w:fill="auto"/>
        <w:spacing w:line="0" w:lineRule="auto"/>
        <w:jc w:val="left"/>
        <w:rPr>
          <w:color w:val="auto"/>
          <w14:ligatures w14:val="standard"/>
        </w:rPr>
      </w:pPr>
      <w:r>
        <w:br w:type="page"/>
      </w:r>
    </w:p>
    <w:p w14:paraId="0C9744EE" w14:textId="77777777" w:rsidR="006561BA" w:rsidRDefault="005B4ED6">
      <w:pPr>
        <w:pStyle w:val="AnnexNumberedText"/>
        <w:spacing w:after="600"/>
        <w:ind w:left="414" w:hanging="414"/>
      </w:pPr>
      <w:r>
        <w:lastRenderedPageBreak/>
        <w:t>2.2.</w:t>
      </w:r>
      <w:r>
        <w:rPr>
          <w:b/>
        </w:rPr>
        <w:tab/>
        <w:t>Rensing av avløpsvann fra byområder</w:t>
      </w:r>
    </w:p>
    <w:p w14:paraId="223C27E5" w14:textId="77777777" w:rsidR="006561BA" w:rsidRDefault="005B4ED6">
      <w:pPr>
        <w:pStyle w:val="AnnexGrSeq3"/>
        <w:jc w:val="both"/>
      </w:pPr>
      <w:r>
        <w:rPr>
          <w:i/>
        </w:rPr>
        <w:t>Beskrivelse av aktiviteten</w:t>
      </w:r>
    </w:p>
    <w:p w14:paraId="78D32FF7" w14:textId="2DDE283C" w:rsidR="006561BA" w:rsidRDefault="005B4ED6">
      <w:pPr>
        <w:pStyle w:val="AnnexNormal"/>
      </w:pPr>
      <w:r>
        <w:t xml:space="preserve">Bygging, utvidelse, oppgradering, drift og fornyelse av infrastruktur for avløpsvann fra byområder, herunder renseanlegg, </w:t>
      </w:r>
      <w:r w:rsidR="00E5357C">
        <w:t>avløpsnett</w:t>
      </w:r>
      <w:r>
        <w:t>, anlegg for håndtering av overvann, sammenkoplinger med infrastrukturen for avløpsvann, desentraliserte renseanlegg for avløpsvann, herunder individuelle og andre egnede systemer, samt strukturer for utslipp av renset avløpsvann. Aktiviteten kan omfatte innovativ og avansert rensing, herunder fjerning av mikroforurensende stoffer.</w:t>
      </w:r>
    </w:p>
    <w:p w14:paraId="58E40446" w14:textId="16C6065D" w:rsidR="006561BA" w:rsidRDefault="005B4ED6">
      <w:pPr>
        <w:pStyle w:val="AnnexNormal"/>
        <w:spacing w:after="600"/>
      </w:pPr>
      <w:r>
        <w:t>De økonomiske aktivitetene i denne kategorien kan knyttes til flere NACE-koder, særlig E37.00 og F42.9</w:t>
      </w:r>
      <w:r w:rsidR="00A92103">
        <w:t>,</w:t>
      </w:r>
      <w:r>
        <w:t xml:space="preserve"> i samsvar med standarden for næringsgruppering fastsatt ved forordning (EF) nr. 1893/2006.</w:t>
      </w:r>
    </w:p>
    <w:p w14:paraId="3E84E0D9" w14:textId="77777777" w:rsidR="006561BA" w:rsidRDefault="005B4ED6">
      <w:pPr>
        <w:pStyle w:val="AnnexGrSeq3"/>
        <w:jc w:val="both"/>
      </w:pPr>
      <w:r>
        <w:rPr>
          <w:i/>
        </w:rPr>
        <w:t>Tekniske screeningkriterier</w:t>
      </w:r>
    </w:p>
    <w:tbl>
      <w:tblPr>
        <w:tblStyle w:val="EFTATable"/>
        <w:tblW w:w="9240" w:type="dxa"/>
        <w:tblLayout w:type="fixed"/>
        <w:tblLook w:val="04A0" w:firstRow="1" w:lastRow="0" w:firstColumn="1" w:lastColumn="0" w:noHBand="0" w:noVBand="1"/>
      </w:tblPr>
      <w:tblGrid>
        <w:gridCol w:w="2568"/>
        <w:gridCol w:w="6672"/>
      </w:tblGrid>
      <w:tr w:rsidR="006561BA" w14:paraId="06DC3790" w14:textId="77777777">
        <w:trPr>
          <w:trHeight w:val="240"/>
        </w:trPr>
        <w:tc>
          <w:tcPr>
            <w:tcW w:w="9240" w:type="dxa"/>
            <w:gridSpan w:val="2"/>
            <w:tcMar>
              <w:top w:w="200" w:type="dxa"/>
              <w:left w:w="0" w:type="dxa"/>
              <w:bottom w:w="200" w:type="dxa"/>
              <w:right w:w="0" w:type="dxa"/>
            </w:tcMar>
          </w:tcPr>
          <w:p w14:paraId="0AB2C27F" w14:textId="77777777" w:rsidR="006561BA" w:rsidRDefault="005B4ED6">
            <w:pPr>
              <w:pStyle w:val="AnnexTableCellLeft"/>
            </w:pPr>
            <w:r>
              <w:t>Vesentlig bidrag til bærekraftig bruk og beskyttelse av vann- og havressurser</w:t>
            </w:r>
          </w:p>
        </w:tc>
      </w:tr>
      <w:tr w:rsidR="006561BA" w14:paraId="16B1AEEC" w14:textId="77777777">
        <w:trPr>
          <w:trHeight w:val="360"/>
        </w:trPr>
        <w:tc>
          <w:tcPr>
            <w:tcW w:w="9240" w:type="dxa"/>
            <w:gridSpan w:val="2"/>
            <w:tcMar>
              <w:top w:w="200" w:type="dxa"/>
              <w:left w:w="0" w:type="dxa"/>
              <w:bottom w:w="200" w:type="dxa"/>
              <w:right w:w="0" w:type="dxa"/>
            </w:tcMar>
          </w:tcPr>
          <w:p w14:paraId="494C5658" w14:textId="3A0D4F25" w:rsidR="006561BA" w:rsidRDefault="005B4ED6">
            <w:pPr>
              <w:pStyle w:val="AnnexNumberedText"/>
              <w:ind w:left="279" w:hanging="279"/>
            </w:pPr>
            <w:r>
              <w:t>1.</w:t>
            </w:r>
            <w:r>
              <w:tab/>
              <w:t>Renseanlegget for avløpsvann fører ikke til en forringelse av den gode tilstanden og det gode økologiske potensialet for noen av de berørte vannforekomstene, og det bidrar vesentlig til å oppnå god tilstand og et godt potensial for de berørte vannforekomstene, i samsvar med direktiv 2000/60/EF(</w:t>
            </w:r>
            <w:bookmarkStart w:id="28" w:name="NOTE_29"/>
            <w:r>
              <w:rPr>
                <w:rStyle w:val="FootnoteReference"/>
                <w:sz w:val="18"/>
              </w:rPr>
              <w:footnoteReference w:id="30"/>
            </w:r>
            <w:bookmarkEnd w:id="28"/>
            <w:r>
              <w:t>).</w:t>
            </w:r>
          </w:p>
          <w:p w14:paraId="10994F4E" w14:textId="77777777" w:rsidR="006561BA" w:rsidRDefault="005B4ED6" w:rsidP="0094751D">
            <w:pPr>
              <w:pStyle w:val="AnnexTableCellLeft"/>
              <w:spacing w:after="240"/>
              <w:ind w:left="279"/>
            </w:pPr>
            <w:r>
              <w:t>Opplysninger om vannforekomsters tilstand, om de aktivitetene som kan påvirke tilstanden, og om de tiltakene som er truffet for å unngå eller begrense slike virkninger, inngår i en forvaltningsplan for nedbørfelter eller, for aktiviteter i tredjeland, i en tilsvarende forvaltningsplan for bruk og beskyttelse av vann. Renseanlegget for avløpsvann oppfyller utslippskravene som er fastsatt av de vedkommende lokale myndighetene. Renseanlegget for avløpsvann bidrar også til å oppnå eller opprettholde god miljøtilstand for havområder i samsvar med direktiv 2008/56/EF, der dette er relevant.</w:t>
            </w:r>
          </w:p>
          <w:p w14:paraId="648414F0" w14:textId="77777777" w:rsidR="006561BA" w:rsidRDefault="005B4ED6">
            <w:pPr>
              <w:pStyle w:val="AnnexNumberedText"/>
              <w:ind w:left="279" w:hanging="279"/>
            </w:pPr>
            <w:r>
              <w:t>2.</w:t>
            </w:r>
            <w:r>
              <w:tab/>
              <w:t>Renseanlegget for avløpsvann har et oppsamlingssystem og sikrer sekundær rensing. Renseanlegget oppfyller de relevante, størrelsesspesifikke kravene til utslipp fra renseanlegg for avløpsvann fra byområder fastsatt i direktiv 91/271/EØF, særlig artikkel 3–8 og artikkel 13 i det nevnte direktivet og vedlegg I til det nevnte direktivet.</w:t>
            </w:r>
          </w:p>
          <w:p w14:paraId="3A241E78" w14:textId="785DAA6C" w:rsidR="006561BA" w:rsidRDefault="005B4ED6">
            <w:pPr>
              <w:pStyle w:val="AnnexNumberedText"/>
              <w:ind w:left="279" w:hanging="279"/>
            </w:pPr>
            <w:r>
              <w:t>3.</w:t>
            </w:r>
            <w:r>
              <w:tab/>
              <w:t>Dersom renseanlegget har en kapasitet på 100 000 personekvivalenter (</w:t>
            </w:r>
            <w:proofErr w:type="spellStart"/>
            <w:r>
              <w:t>pe</w:t>
            </w:r>
            <w:proofErr w:type="spellEnd"/>
            <w:r>
              <w:t>)(</w:t>
            </w:r>
            <w:bookmarkStart w:id="29" w:name="NOTE_30"/>
            <w:r>
              <w:rPr>
                <w:rStyle w:val="FootnoteReference"/>
                <w:sz w:val="18"/>
              </w:rPr>
              <w:footnoteReference w:id="31"/>
            </w:r>
            <w:bookmarkEnd w:id="29"/>
            <w:r>
              <w:t xml:space="preserve">) eller mer, eller en daglig tilstrømning med et biokjemisk oksygenforbruk (BOD5) på over 6 000 kg i løpet av fem døgn, bruker det en </w:t>
            </w:r>
            <w:proofErr w:type="spellStart"/>
            <w:r>
              <w:t>slambehandling</w:t>
            </w:r>
            <w:proofErr w:type="spellEnd"/>
            <w:r>
              <w:t xml:space="preserve"> som for eksempel anaerob nedbryting eller en teknikk med samme eller et lavere netto energibehov (samtidig som det tas hensyn til både energiproduksjon og energiforbruk), for å stabilisere slammet.</w:t>
            </w:r>
          </w:p>
        </w:tc>
      </w:tr>
      <w:tr w:rsidR="006561BA" w14:paraId="71A39648" w14:textId="77777777">
        <w:trPr>
          <w:trHeight w:val="240"/>
        </w:trPr>
        <w:tc>
          <w:tcPr>
            <w:tcW w:w="9240" w:type="dxa"/>
            <w:gridSpan w:val="2"/>
            <w:tcMar>
              <w:top w:w="200" w:type="dxa"/>
              <w:left w:w="0" w:type="dxa"/>
              <w:bottom w:w="200" w:type="dxa"/>
              <w:right w:w="0" w:type="dxa"/>
            </w:tcMar>
          </w:tcPr>
          <w:p w14:paraId="39905898" w14:textId="77777777" w:rsidR="006561BA" w:rsidRDefault="005B4ED6">
            <w:pPr>
              <w:pStyle w:val="AnnexTableCellLeft"/>
            </w:pPr>
            <w:r>
              <w:t>Prinsippet om ikke å gjøre betydelig skade («DNSH»)</w:t>
            </w:r>
          </w:p>
        </w:tc>
      </w:tr>
      <w:tr w:rsidR="006561BA" w14:paraId="43E0962F" w14:textId="77777777">
        <w:trPr>
          <w:trHeight w:val="360"/>
        </w:trPr>
        <w:tc>
          <w:tcPr>
            <w:tcW w:w="2568" w:type="dxa"/>
            <w:tcMar>
              <w:top w:w="200" w:type="dxa"/>
              <w:left w:w="0" w:type="dxa"/>
              <w:bottom w:w="200" w:type="dxa"/>
            </w:tcMar>
          </w:tcPr>
          <w:p w14:paraId="2BC94AE8" w14:textId="77777777" w:rsidR="006561BA" w:rsidRDefault="005B4ED6">
            <w:pPr>
              <w:pStyle w:val="AnnexNumberedText"/>
              <w:ind w:left="293" w:hanging="293"/>
            </w:pPr>
            <w:r>
              <w:t>1)</w:t>
            </w:r>
            <w:r>
              <w:tab/>
              <w:t>Begrensning av klimaendringer</w:t>
            </w:r>
          </w:p>
        </w:tc>
        <w:tc>
          <w:tcPr>
            <w:tcW w:w="6672" w:type="dxa"/>
            <w:tcMar>
              <w:top w:w="200" w:type="dxa"/>
              <w:bottom w:w="200" w:type="dxa"/>
              <w:right w:w="0" w:type="dxa"/>
            </w:tcMar>
          </w:tcPr>
          <w:p w14:paraId="644B7EC5" w14:textId="6DBDA7FF" w:rsidR="006561BA" w:rsidRDefault="005B4ED6">
            <w:pPr>
              <w:pStyle w:val="AnnexTableCellLeft"/>
              <w:spacing w:after="120"/>
            </w:pPr>
            <w:r>
              <w:t xml:space="preserve">Det er foretatt en vurdering av de direkte klimagassutslippene fra det </w:t>
            </w:r>
            <w:r w:rsidR="003C3F1C">
              <w:t>sentrale</w:t>
            </w:r>
            <w:r>
              <w:t xml:space="preserve"> </w:t>
            </w:r>
            <w:r w:rsidR="000A78C2">
              <w:t>systemet for re</w:t>
            </w:r>
            <w:r w:rsidR="003C3F1C">
              <w:t xml:space="preserve">nsing av </w:t>
            </w:r>
            <w:r>
              <w:t>avløpsvann, herunder oppsamling (</w:t>
            </w:r>
            <w:r w:rsidR="003C3F1C">
              <w:t>avløpsnett</w:t>
            </w:r>
            <w:r>
              <w:t xml:space="preserve">) og behandling. Resultatene </w:t>
            </w:r>
            <w:r w:rsidR="002863A1">
              <w:t>legges fram for</w:t>
            </w:r>
            <w:r>
              <w:t xml:space="preserve"> investorer og kunder på anmodning(</w:t>
            </w:r>
            <w:bookmarkStart w:id="30" w:name="NOTE_31"/>
            <w:r>
              <w:rPr>
                <w:rStyle w:val="FootnoteReference"/>
                <w:sz w:val="18"/>
              </w:rPr>
              <w:footnoteReference w:id="32"/>
            </w:r>
            <w:bookmarkEnd w:id="30"/>
            <w:r>
              <w:t>).</w:t>
            </w:r>
          </w:p>
          <w:p w14:paraId="3F4B3943" w14:textId="77777777" w:rsidR="006561BA" w:rsidRDefault="005B4ED6">
            <w:pPr>
              <w:pStyle w:val="AnnexTableCellLeft"/>
            </w:pPr>
            <w:r>
              <w:t>For anaerob nedbryting av avløpsslam finnes det en overvåkingsplan for metanlekkasje på anlegget.</w:t>
            </w:r>
          </w:p>
        </w:tc>
      </w:tr>
      <w:tr w:rsidR="006561BA" w14:paraId="0639A164" w14:textId="77777777">
        <w:trPr>
          <w:trHeight w:val="360"/>
        </w:trPr>
        <w:tc>
          <w:tcPr>
            <w:tcW w:w="2568" w:type="dxa"/>
            <w:tcMar>
              <w:top w:w="200" w:type="dxa"/>
              <w:left w:w="0" w:type="dxa"/>
              <w:bottom w:w="200" w:type="dxa"/>
            </w:tcMar>
          </w:tcPr>
          <w:p w14:paraId="19EE508F" w14:textId="77777777" w:rsidR="006561BA" w:rsidRDefault="005B4ED6">
            <w:pPr>
              <w:pStyle w:val="AnnexNumberedText"/>
              <w:pageBreakBefore/>
              <w:ind w:left="293" w:hanging="293"/>
            </w:pPr>
            <w:r>
              <w:lastRenderedPageBreak/>
              <w:t>2)</w:t>
            </w:r>
            <w:r>
              <w:tab/>
              <w:t>Tilpasning til klimaendringer</w:t>
            </w:r>
          </w:p>
        </w:tc>
        <w:tc>
          <w:tcPr>
            <w:tcW w:w="6672" w:type="dxa"/>
            <w:tcMar>
              <w:top w:w="200" w:type="dxa"/>
              <w:bottom w:w="200" w:type="dxa"/>
              <w:right w:w="0" w:type="dxa"/>
            </w:tcMar>
          </w:tcPr>
          <w:p w14:paraId="66953C5D" w14:textId="77777777" w:rsidR="006561BA" w:rsidRDefault="005B4ED6">
            <w:pPr>
              <w:pStyle w:val="AnnexTableCellLeft"/>
            </w:pPr>
            <w:r>
              <w:t>Aktiviteten oppfyller kriteriene fastsatt i tillegg A til dette vedlegget.</w:t>
            </w:r>
          </w:p>
        </w:tc>
      </w:tr>
      <w:tr w:rsidR="006561BA" w14:paraId="4ADF57B6" w14:textId="77777777">
        <w:trPr>
          <w:trHeight w:val="360"/>
        </w:trPr>
        <w:tc>
          <w:tcPr>
            <w:tcW w:w="2568" w:type="dxa"/>
            <w:tcMar>
              <w:top w:w="200" w:type="dxa"/>
              <w:left w:w="0" w:type="dxa"/>
              <w:bottom w:w="200" w:type="dxa"/>
            </w:tcMar>
          </w:tcPr>
          <w:p w14:paraId="6BF1387E" w14:textId="77777777" w:rsidR="006561BA" w:rsidRDefault="005B4ED6">
            <w:pPr>
              <w:pStyle w:val="AnnexNumberedText"/>
              <w:ind w:left="293" w:hanging="293"/>
            </w:pPr>
            <w:r>
              <w:t>4)</w:t>
            </w:r>
            <w:r>
              <w:tab/>
              <w:t>Omstilling til en sirkulær økonomi</w:t>
            </w:r>
          </w:p>
        </w:tc>
        <w:tc>
          <w:tcPr>
            <w:tcW w:w="6672" w:type="dxa"/>
            <w:tcMar>
              <w:top w:w="200" w:type="dxa"/>
              <w:bottom w:w="200" w:type="dxa"/>
              <w:right w:w="0" w:type="dxa"/>
            </w:tcMar>
          </w:tcPr>
          <w:p w14:paraId="20111856" w14:textId="77777777" w:rsidR="006561BA" w:rsidRDefault="005B4ED6">
            <w:pPr>
              <w:pStyle w:val="AnnexTableCellLeft"/>
            </w:pPr>
            <w:r>
              <w:t>Ikke relevant</w:t>
            </w:r>
          </w:p>
        </w:tc>
      </w:tr>
      <w:tr w:rsidR="006561BA" w14:paraId="432CC77A" w14:textId="77777777">
        <w:trPr>
          <w:trHeight w:val="360"/>
        </w:trPr>
        <w:tc>
          <w:tcPr>
            <w:tcW w:w="2568" w:type="dxa"/>
            <w:tcMar>
              <w:top w:w="200" w:type="dxa"/>
              <w:left w:w="0" w:type="dxa"/>
              <w:bottom w:w="200" w:type="dxa"/>
            </w:tcMar>
          </w:tcPr>
          <w:p w14:paraId="7534AAFE" w14:textId="77777777" w:rsidR="006561BA" w:rsidRDefault="005B4ED6">
            <w:pPr>
              <w:pStyle w:val="AnnexNumberedText"/>
              <w:ind w:left="293" w:hanging="293"/>
            </w:pPr>
            <w:r>
              <w:t>5)</w:t>
            </w:r>
            <w:r>
              <w:tab/>
              <w:t>Forebygging og begrensning av forurensning</w:t>
            </w:r>
          </w:p>
        </w:tc>
        <w:tc>
          <w:tcPr>
            <w:tcW w:w="6672" w:type="dxa"/>
            <w:tcMar>
              <w:top w:w="200" w:type="dxa"/>
              <w:bottom w:w="200" w:type="dxa"/>
              <w:right w:w="0" w:type="dxa"/>
            </w:tcMar>
          </w:tcPr>
          <w:p w14:paraId="0090D63A" w14:textId="77777777" w:rsidR="006561BA" w:rsidRDefault="005B4ED6">
            <w:pPr>
              <w:pStyle w:val="AnnexTableCellLeft"/>
              <w:spacing w:after="120"/>
            </w:pPr>
            <w:r>
              <w:t>Utslipp til resipient oppfyller kravene fastsatt i direktiv 91/271/EØF eller i nasjonale bestemmelser om høyeste tillatte forurensningsnivå fra utslipp til resipient.</w:t>
            </w:r>
          </w:p>
          <w:p w14:paraId="4F771D9A" w14:textId="77777777" w:rsidR="006561BA" w:rsidRDefault="005B4ED6">
            <w:pPr>
              <w:pStyle w:val="AnnexTableCellLeft"/>
              <w:spacing w:after="120"/>
            </w:pPr>
            <w:r>
              <w:t xml:space="preserve">Det er iverksatt tiltak for å unngå og redusere skadelige overløpsutslipp fra oppsamlingssystemet for avløpsvann, som kan omfatte naturbaserte løsninger, separate oppsamlingssystemer for overvann, </w:t>
            </w:r>
            <w:proofErr w:type="spellStart"/>
            <w:r>
              <w:t>fordrøyningsmagasiner</w:t>
            </w:r>
            <w:proofErr w:type="spellEnd"/>
            <w:r>
              <w:t xml:space="preserve"> og rensing av den første spylingen.</w:t>
            </w:r>
          </w:p>
          <w:p w14:paraId="27B76F12" w14:textId="77777777" w:rsidR="006561BA" w:rsidRDefault="005B4ED6">
            <w:pPr>
              <w:pStyle w:val="AnnexTableCellLeft"/>
            </w:pPr>
            <w:r>
              <w:t>Slam fra renseanlegg brukes i samsvar med rådsdirektiv 86/278/EØF(</w:t>
            </w:r>
            <w:bookmarkStart w:id="31" w:name="NOTE_32"/>
            <w:r>
              <w:rPr>
                <w:rStyle w:val="FootnoteReference"/>
                <w:sz w:val="18"/>
              </w:rPr>
              <w:footnoteReference w:id="33"/>
            </w:r>
            <w:bookmarkEnd w:id="31"/>
            <w:r>
              <w:t>) eller i samsvar med nasjonal lovgivning om spredning av slam på jord eller annen bruk av slam på og i jord.</w:t>
            </w:r>
          </w:p>
        </w:tc>
      </w:tr>
      <w:tr w:rsidR="006561BA" w14:paraId="416C6FD0" w14:textId="77777777">
        <w:trPr>
          <w:trHeight w:val="360"/>
        </w:trPr>
        <w:tc>
          <w:tcPr>
            <w:tcW w:w="2568" w:type="dxa"/>
            <w:tcMar>
              <w:top w:w="200" w:type="dxa"/>
              <w:left w:w="0" w:type="dxa"/>
              <w:bottom w:w="200" w:type="dxa"/>
            </w:tcMar>
          </w:tcPr>
          <w:p w14:paraId="27ED672B" w14:textId="77777777" w:rsidR="006561BA" w:rsidRDefault="005B4ED6">
            <w:pPr>
              <w:pStyle w:val="AnnexNumberedText"/>
              <w:spacing w:after="0"/>
              <w:ind w:left="293" w:hanging="293"/>
            </w:pPr>
            <w:r>
              <w:t>6)</w:t>
            </w:r>
            <w:r>
              <w:tab/>
              <w:t>Beskyttelse og restaurering av biologisk mangfold og økosystemer</w:t>
            </w:r>
          </w:p>
        </w:tc>
        <w:tc>
          <w:tcPr>
            <w:tcW w:w="6672" w:type="dxa"/>
            <w:tcMar>
              <w:top w:w="200" w:type="dxa"/>
              <w:bottom w:w="200" w:type="dxa"/>
              <w:right w:w="0" w:type="dxa"/>
            </w:tcMar>
          </w:tcPr>
          <w:p w14:paraId="599B99E9" w14:textId="77777777" w:rsidR="006561BA" w:rsidRDefault="005B4ED6">
            <w:pPr>
              <w:pStyle w:val="AnnexTableCellLeft"/>
            </w:pPr>
            <w:r>
              <w:t>Aktiviteten oppfyller kriteriene fastsatt i tillegg D til dette vedlegget.</w:t>
            </w:r>
          </w:p>
        </w:tc>
      </w:tr>
    </w:tbl>
    <w:p w14:paraId="780A552D" w14:textId="77777777" w:rsidR="006561BA" w:rsidRDefault="005B4ED6">
      <w:pPr>
        <w:pStyle w:val="AnnexNumberedText"/>
        <w:spacing w:before="400" w:after="300"/>
        <w:ind w:left="414" w:hanging="414"/>
      </w:pPr>
      <w:r>
        <w:t>2.3.</w:t>
      </w:r>
      <w:r>
        <w:rPr>
          <w:b/>
        </w:rPr>
        <w:tab/>
        <w:t xml:space="preserve">Bærekraftige </w:t>
      </w:r>
      <w:proofErr w:type="spellStart"/>
      <w:r>
        <w:rPr>
          <w:b/>
        </w:rPr>
        <w:t>bydreneringssystemer</w:t>
      </w:r>
      <w:proofErr w:type="spellEnd"/>
      <w:r>
        <w:rPr>
          <w:b/>
        </w:rPr>
        <w:t xml:space="preserve"> (SUDS)</w:t>
      </w:r>
    </w:p>
    <w:p w14:paraId="3F729EA7" w14:textId="77777777" w:rsidR="006561BA" w:rsidRDefault="005B4ED6">
      <w:pPr>
        <w:pStyle w:val="AnnexGrSeq3"/>
        <w:jc w:val="both"/>
      </w:pPr>
      <w:r>
        <w:rPr>
          <w:i/>
        </w:rPr>
        <w:t>Beskrivelse av aktiviteten</w:t>
      </w:r>
    </w:p>
    <w:p w14:paraId="2B3D3786" w14:textId="77777777" w:rsidR="006561BA" w:rsidRDefault="005B4ED6">
      <w:pPr>
        <w:pStyle w:val="AnnexNormal"/>
      </w:pPr>
      <w:r>
        <w:t xml:space="preserve">Bygging, utvidelse, drift og fornyelse av </w:t>
      </w:r>
      <w:proofErr w:type="spellStart"/>
      <w:r>
        <w:t>bydreneringssystemer</w:t>
      </w:r>
      <w:proofErr w:type="spellEnd"/>
      <w:r>
        <w:t xml:space="preserve"> reduserer risikoen for forurensning og flom som følge av avrenning fra byområder og forbedrer kvaliteten på og mengden av vann i byområder ved å utnytte naturlige prosesser, som for eksempel infiltrasjon og retensjon.</w:t>
      </w:r>
    </w:p>
    <w:p w14:paraId="6687D4C3" w14:textId="43A0F93F" w:rsidR="006561BA" w:rsidRDefault="005B4ED6">
      <w:pPr>
        <w:pStyle w:val="AnnexNormal"/>
      </w:pPr>
      <w:r>
        <w:t xml:space="preserve">Aktiviteten omfatter bærekraftige </w:t>
      </w:r>
      <w:proofErr w:type="spellStart"/>
      <w:r>
        <w:t>bydreneringssystemer</w:t>
      </w:r>
      <w:proofErr w:type="spellEnd"/>
      <w:r>
        <w:t xml:space="preserve"> (SUDS) som fremmer infiltrasjon, fordampning og andre behandlinger av regnvann (herunder regnvannstanker, utforming og forvaltning av områdene, permeabelt veidekke, filterdrenering, myrdrag, filtstrimler, dammer, våtmarker, dreneringsgroper, infiltrasjonsgrøfter og bassenger, grønne tak, biologiske oppsamlingsområder og anordninger for forbehandling av overvann, herunder sandfiltre eller anordninger for fjerning av bunnslam(</w:t>
      </w:r>
      <w:bookmarkStart w:id="32" w:name="NOTE_33"/>
      <w:r>
        <w:rPr>
          <w:rStyle w:val="FootnoteReference"/>
          <w:sz w:val="18"/>
        </w:rPr>
        <w:footnoteReference w:id="34"/>
      </w:r>
      <w:bookmarkEnd w:id="32"/>
      <w:r>
        <w:t>) og andre innovative systemer.</w:t>
      </w:r>
    </w:p>
    <w:p w14:paraId="03FA28D1" w14:textId="77777777" w:rsidR="006561BA" w:rsidRDefault="005B4ED6">
      <w:pPr>
        <w:pStyle w:val="AnnexNormal"/>
      </w:pPr>
      <w:r>
        <w:t>Aktiviteten omfatter ikke naturbaserte løsninger for forebygging av og beskyttelse mot flom og tørke utenfor bymiljøet (se avsnitt 3.1 i dette vedlegget).</w:t>
      </w:r>
    </w:p>
    <w:p w14:paraId="2EFC8396" w14:textId="4D18B915" w:rsidR="006561BA" w:rsidRDefault="005B4ED6">
      <w:pPr>
        <w:pStyle w:val="AnnexNormal"/>
      </w:pPr>
      <w:r>
        <w:t>De økonomiske aktivitetene i denne kategorien kan knyttes til flere NACE-koder, særlig E36.00, E37.00 og F42.9</w:t>
      </w:r>
      <w:r w:rsidR="0030164A">
        <w:t>,</w:t>
      </w:r>
      <w:r>
        <w:t xml:space="preserve"> i samsvar med standarden for næringsgruppering fastsatt ved forordning (EF) nr. 1893/2006.</w:t>
      </w:r>
      <w:r>
        <w:br w:type="page"/>
      </w:r>
    </w:p>
    <w:p w14:paraId="2850EB09" w14:textId="77777777" w:rsidR="006561BA" w:rsidRDefault="005B4ED6">
      <w:pPr>
        <w:pStyle w:val="AnnexGrSeq3"/>
        <w:jc w:val="both"/>
      </w:pPr>
      <w:r>
        <w:rPr>
          <w:i/>
        </w:rPr>
        <w:lastRenderedPageBreak/>
        <w:t>Tekniske screeningkriterier</w:t>
      </w:r>
    </w:p>
    <w:tbl>
      <w:tblPr>
        <w:tblStyle w:val="EFTATable"/>
        <w:tblW w:w="9228" w:type="dxa"/>
        <w:tblInd w:w="12" w:type="dxa"/>
        <w:tblLayout w:type="fixed"/>
        <w:tblLook w:val="04A0" w:firstRow="1" w:lastRow="0" w:firstColumn="1" w:lastColumn="0" w:noHBand="0" w:noVBand="1"/>
      </w:tblPr>
      <w:tblGrid>
        <w:gridCol w:w="2580"/>
        <w:gridCol w:w="6648"/>
      </w:tblGrid>
      <w:tr w:rsidR="006561BA" w14:paraId="3F6C6C0D" w14:textId="77777777">
        <w:trPr>
          <w:trHeight w:val="240"/>
        </w:trPr>
        <w:tc>
          <w:tcPr>
            <w:tcW w:w="9228" w:type="dxa"/>
            <w:gridSpan w:val="2"/>
            <w:tcMar>
              <w:top w:w="140" w:type="dxa"/>
              <w:left w:w="0" w:type="dxa"/>
              <w:bottom w:w="140" w:type="dxa"/>
              <w:right w:w="0" w:type="dxa"/>
            </w:tcMar>
          </w:tcPr>
          <w:p w14:paraId="43556E11" w14:textId="77777777" w:rsidR="006561BA" w:rsidRDefault="005B4ED6">
            <w:pPr>
              <w:pStyle w:val="AnnexTableCellLeft"/>
            </w:pPr>
            <w:r>
              <w:t>Vesentlig bidrag til bærekraftig bruk og beskyttelse av vann- og havressurser</w:t>
            </w:r>
          </w:p>
        </w:tc>
      </w:tr>
      <w:tr w:rsidR="006561BA" w14:paraId="15E01BAE" w14:textId="77777777">
        <w:trPr>
          <w:trHeight w:val="360"/>
        </w:trPr>
        <w:tc>
          <w:tcPr>
            <w:tcW w:w="9228" w:type="dxa"/>
            <w:gridSpan w:val="2"/>
            <w:tcMar>
              <w:top w:w="140" w:type="dxa"/>
              <w:left w:w="0" w:type="dxa"/>
              <w:bottom w:w="140" w:type="dxa"/>
              <w:right w:w="0" w:type="dxa"/>
            </w:tcMar>
          </w:tcPr>
          <w:p w14:paraId="3D79FB73" w14:textId="77777777" w:rsidR="006561BA" w:rsidRDefault="005B4ED6" w:rsidP="00E72327">
            <w:pPr>
              <w:pStyle w:val="AnnexTableCellLeft"/>
              <w:spacing w:after="240"/>
            </w:pPr>
            <w:r>
              <w:t>Aktiviteten fører til oppsamling av regnvann i et bestemt område eller til forbedring av vannkvaliteten ved å oppfylle følgende kriterier:</w:t>
            </w:r>
          </w:p>
          <w:p w14:paraId="0BB0449F" w14:textId="72DDCF8E" w:rsidR="006561BA" w:rsidRDefault="005B4ED6">
            <w:pPr>
              <w:pStyle w:val="AnnexNumberedText"/>
              <w:ind w:left="293" w:hanging="293"/>
            </w:pPr>
            <w:r>
              <w:t>a)</w:t>
            </w:r>
            <w:r>
              <w:tab/>
              <w:t xml:space="preserve">Bygging og drift av det bærekraftige </w:t>
            </w:r>
            <w:proofErr w:type="spellStart"/>
            <w:r>
              <w:t>bydreneringssystemet</w:t>
            </w:r>
            <w:proofErr w:type="spellEnd"/>
            <w:r>
              <w:t xml:space="preserve"> er integrert i systemet for </w:t>
            </w:r>
            <w:proofErr w:type="spellStart"/>
            <w:r>
              <w:t>bydrenering</w:t>
            </w:r>
            <w:proofErr w:type="spellEnd"/>
            <w:r>
              <w:t xml:space="preserve"> og rensing av avløpsvann, hvilket framgår av en plan for håndtering av</w:t>
            </w:r>
            <w:r w:rsidR="00227949">
              <w:t xml:space="preserve"> flom</w:t>
            </w:r>
            <w:r>
              <w:t xml:space="preserve">risiko eller </w:t>
            </w:r>
            <w:r w:rsidR="00FA6E72">
              <w:t xml:space="preserve">av </w:t>
            </w:r>
            <w:r>
              <w:t xml:space="preserve">andre relevante byplanleggingsverktøyer. Aktiviteten bidrar vesentlig til å oppnå god tilstand og </w:t>
            </w:r>
            <w:r w:rsidR="002E73FD">
              <w:t xml:space="preserve">et </w:t>
            </w:r>
            <w:r>
              <w:t>godt økologisk potensial for forekomster av overflatevann og grunnvann eller til å forhindre forringelse av vannforekomster som allerede har god tilstand og et godt potensial, og utøves for å sikre samsvar med direktiv 2000/60/EF(</w:t>
            </w:r>
            <w:bookmarkStart w:id="33" w:name="NOTE_34"/>
            <w:r>
              <w:rPr>
                <w:rStyle w:val="FootnoteReference"/>
                <w:sz w:val="18"/>
              </w:rPr>
              <w:footnoteReference w:id="35"/>
            </w:r>
            <w:bookmarkEnd w:id="33"/>
            <w:r>
              <w:t>) og direktiv 2008/56/EF.</w:t>
            </w:r>
          </w:p>
          <w:p w14:paraId="04453313" w14:textId="77777777" w:rsidR="006561BA" w:rsidRDefault="005B4ED6">
            <w:pPr>
              <w:pStyle w:val="AnnexNumberedText"/>
              <w:ind w:left="293" w:hanging="293"/>
            </w:pPr>
            <w:r>
              <w:t>b)</w:t>
            </w:r>
            <w:r>
              <w:tab/>
              <w:t>Det gis opplysninger om den prosentdelen av et bestemt område, for eksempel et bolig- eller næringsområde, der regnvann ikke dreneres direkte, men samles opp på området.</w:t>
            </w:r>
          </w:p>
          <w:p w14:paraId="6DC512ED" w14:textId="77777777" w:rsidR="006561BA" w:rsidRDefault="005B4ED6">
            <w:pPr>
              <w:pStyle w:val="AnnexNumberedText"/>
              <w:ind w:left="293" w:hanging="293"/>
            </w:pPr>
            <w:r>
              <w:t>c)</w:t>
            </w:r>
            <w:r>
              <w:tab/>
              <w:t xml:space="preserve">Utformingen av det bærekraftige </w:t>
            </w:r>
            <w:proofErr w:type="spellStart"/>
            <w:r>
              <w:t>bydreneringssystemet</w:t>
            </w:r>
            <w:proofErr w:type="spellEnd"/>
            <w:r>
              <w:t xml:space="preserve"> gir minst én av følgende virkninger:</w:t>
            </w:r>
          </w:p>
          <w:p w14:paraId="3C7402B0" w14:textId="77777777" w:rsidR="006561BA" w:rsidRDefault="005B4ED6">
            <w:pPr>
              <w:pStyle w:val="AnnexNumberedText"/>
              <w:ind w:left="647" w:hanging="353"/>
            </w:pPr>
            <w:r>
              <w:t>i)</w:t>
            </w:r>
            <w:r>
              <w:tab/>
              <w:t>En kvantifisert prosentdel av regnvann i nedbørfeltet til dreneringssystemet beholdes og slippes ut med en forskjøvet forsinkelse til de mottakende vannforekomstene.</w:t>
            </w:r>
          </w:p>
          <w:p w14:paraId="4997E5B1" w14:textId="77777777" w:rsidR="006561BA" w:rsidRDefault="005B4ED6">
            <w:pPr>
              <w:pStyle w:val="AnnexNumberedText"/>
              <w:ind w:left="647" w:hanging="353"/>
            </w:pPr>
            <w:r>
              <w:t>ii)</w:t>
            </w:r>
            <w:r>
              <w:tab/>
              <w:t>En kvantifisert prosentdel av forurensende stoffer, herunder olje, tungmetaller, farlige kjemikalier og mikroplast, fjernes fra avrenning fra byområder før utslipp til de mottakende vannforekomstene.</w:t>
            </w:r>
          </w:p>
          <w:p w14:paraId="63538347" w14:textId="77777777" w:rsidR="006561BA" w:rsidRDefault="005B4ED6">
            <w:pPr>
              <w:pStyle w:val="AnnexNumberedText"/>
              <w:spacing w:after="0"/>
              <w:ind w:left="647" w:hanging="353"/>
            </w:pPr>
            <w:r>
              <w:t>iii)</w:t>
            </w:r>
            <w:r>
              <w:tab/>
              <w:t>Avrenningens høyeste strøm, med en returperiode som er i samsvar med kravene i planen for håndtering av flomrisiko eller andre gjeldende lokale bestemmelser, reduseres med en kvantifisert prosentdel.</w:t>
            </w:r>
          </w:p>
        </w:tc>
      </w:tr>
      <w:tr w:rsidR="006561BA" w14:paraId="7EB93BCA" w14:textId="77777777">
        <w:trPr>
          <w:trHeight w:val="240"/>
        </w:trPr>
        <w:tc>
          <w:tcPr>
            <w:tcW w:w="9228" w:type="dxa"/>
            <w:gridSpan w:val="2"/>
            <w:tcMar>
              <w:top w:w="140" w:type="dxa"/>
              <w:left w:w="0" w:type="dxa"/>
              <w:bottom w:w="140" w:type="dxa"/>
              <w:right w:w="0" w:type="dxa"/>
            </w:tcMar>
          </w:tcPr>
          <w:p w14:paraId="5192905E" w14:textId="77777777" w:rsidR="006561BA" w:rsidRDefault="005B4ED6">
            <w:pPr>
              <w:pStyle w:val="AnnexTableCellLeft"/>
            </w:pPr>
            <w:r>
              <w:t>Prinsippet om ikke å gjøre betydelig skade («DNSH»)</w:t>
            </w:r>
          </w:p>
        </w:tc>
      </w:tr>
      <w:tr w:rsidR="006561BA" w14:paraId="6AA457ED" w14:textId="77777777">
        <w:trPr>
          <w:trHeight w:val="360"/>
        </w:trPr>
        <w:tc>
          <w:tcPr>
            <w:tcW w:w="2580" w:type="dxa"/>
            <w:tcMar>
              <w:top w:w="140" w:type="dxa"/>
              <w:left w:w="0" w:type="dxa"/>
              <w:bottom w:w="140" w:type="dxa"/>
            </w:tcMar>
          </w:tcPr>
          <w:p w14:paraId="2337A5D4" w14:textId="77777777" w:rsidR="006561BA" w:rsidRDefault="005B4ED6">
            <w:pPr>
              <w:pStyle w:val="AnnexNumberedText"/>
              <w:spacing w:after="0"/>
              <w:ind w:left="293" w:hanging="293"/>
            </w:pPr>
            <w:r>
              <w:t>1)</w:t>
            </w:r>
            <w:r>
              <w:tab/>
              <w:t>Begrensning av klimaendringer</w:t>
            </w:r>
          </w:p>
        </w:tc>
        <w:tc>
          <w:tcPr>
            <w:tcW w:w="6648" w:type="dxa"/>
            <w:tcMar>
              <w:top w:w="140" w:type="dxa"/>
              <w:bottom w:w="140" w:type="dxa"/>
              <w:right w:w="0" w:type="dxa"/>
            </w:tcMar>
          </w:tcPr>
          <w:p w14:paraId="28E169CB" w14:textId="77777777" w:rsidR="006561BA" w:rsidRDefault="005B4ED6">
            <w:pPr>
              <w:pStyle w:val="AnnexTableCellLeft"/>
            </w:pPr>
            <w:r>
              <w:t>Ikke relevant</w:t>
            </w:r>
          </w:p>
        </w:tc>
      </w:tr>
      <w:tr w:rsidR="006561BA" w14:paraId="0B107E0B" w14:textId="77777777">
        <w:trPr>
          <w:trHeight w:val="360"/>
        </w:trPr>
        <w:tc>
          <w:tcPr>
            <w:tcW w:w="2580" w:type="dxa"/>
            <w:tcMar>
              <w:top w:w="140" w:type="dxa"/>
              <w:left w:w="0" w:type="dxa"/>
              <w:bottom w:w="140" w:type="dxa"/>
            </w:tcMar>
          </w:tcPr>
          <w:p w14:paraId="3DCE0E5E" w14:textId="77777777" w:rsidR="006561BA" w:rsidRDefault="005B4ED6">
            <w:pPr>
              <w:pStyle w:val="AnnexNumberedText"/>
              <w:spacing w:after="0"/>
              <w:ind w:left="293" w:hanging="293"/>
            </w:pPr>
            <w:r>
              <w:t>2)</w:t>
            </w:r>
            <w:r>
              <w:tab/>
              <w:t>Tilpasning til klimaendringer</w:t>
            </w:r>
          </w:p>
        </w:tc>
        <w:tc>
          <w:tcPr>
            <w:tcW w:w="6648" w:type="dxa"/>
            <w:tcMar>
              <w:top w:w="140" w:type="dxa"/>
              <w:bottom w:w="140" w:type="dxa"/>
              <w:right w:w="0" w:type="dxa"/>
            </w:tcMar>
          </w:tcPr>
          <w:p w14:paraId="2509FBE0" w14:textId="77777777" w:rsidR="006561BA" w:rsidRDefault="005B4ED6">
            <w:pPr>
              <w:pStyle w:val="AnnexTableCellLeft"/>
            </w:pPr>
            <w:r>
              <w:t>Aktiviteten oppfyller kriteriene fastsatt i tillegg A til dette vedlegget.</w:t>
            </w:r>
          </w:p>
        </w:tc>
      </w:tr>
      <w:tr w:rsidR="006561BA" w14:paraId="5D3A6A6F" w14:textId="77777777">
        <w:trPr>
          <w:trHeight w:val="360"/>
        </w:trPr>
        <w:tc>
          <w:tcPr>
            <w:tcW w:w="2580" w:type="dxa"/>
            <w:tcMar>
              <w:top w:w="140" w:type="dxa"/>
              <w:left w:w="0" w:type="dxa"/>
              <w:bottom w:w="140" w:type="dxa"/>
            </w:tcMar>
          </w:tcPr>
          <w:p w14:paraId="12C03248" w14:textId="77777777" w:rsidR="006561BA" w:rsidRDefault="005B4ED6">
            <w:pPr>
              <w:pStyle w:val="AnnexNumberedText"/>
              <w:spacing w:after="0"/>
              <w:ind w:left="293" w:hanging="293"/>
            </w:pPr>
            <w:r>
              <w:t>4)</w:t>
            </w:r>
            <w:r>
              <w:tab/>
              <w:t>Omstilling til en sirkulær økonomi</w:t>
            </w:r>
          </w:p>
        </w:tc>
        <w:tc>
          <w:tcPr>
            <w:tcW w:w="6648" w:type="dxa"/>
            <w:tcMar>
              <w:top w:w="140" w:type="dxa"/>
              <w:bottom w:w="140" w:type="dxa"/>
              <w:right w:w="0" w:type="dxa"/>
            </w:tcMar>
          </w:tcPr>
          <w:p w14:paraId="7255B62A" w14:textId="77777777" w:rsidR="006561BA" w:rsidRDefault="005B4ED6">
            <w:pPr>
              <w:pStyle w:val="AnnexTableCellLeft"/>
            </w:pPr>
            <w:r>
              <w:t>Ikke relevant</w:t>
            </w:r>
          </w:p>
        </w:tc>
      </w:tr>
      <w:tr w:rsidR="006561BA" w14:paraId="69D78D8A" w14:textId="77777777">
        <w:trPr>
          <w:trHeight w:val="360"/>
        </w:trPr>
        <w:tc>
          <w:tcPr>
            <w:tcW w:w="2580" w:type="dxa"/>
            <w:tcMar>
              <w:top w:w="140" w:type="dxa"/>
              <w:left w:w="0" w:type="dxa"/>
              <w:bottom w:w="140" w:type="dxa"/>
            </w:tcMar>
          </w:tcPr>
          <w:p w14:paraId="251203DC" w14:textId="77777777" w:rsidR="006561BA" w:rsidRDefault="005B4ED6">
            <w:pPr>
              <w:pStyle w:val="AnnexNumberedText"/>
              <w:spacing w:after="0"/>
              <w:ind w:left="293" w:hanging="293"/>
            </w:pPr>
            <w:r>
              <w:t>5)</w:t>
            </w:r>
            <w:r>
              <w:tab/>
              <w:t>Forebygging og begrensning av forurensning</w:t>
            </w:r>
          </w:p>
        </w:tc>
        <w:tc>
          <w:tcPr>
            <w:tcW w:w="6648" w:type="dxa"/>
            <w:tcMar>
              <w:top w:w="140" w:type="dxa"/>
              <w:bottom w:w="140" w:type="dxa"/>
              <w:right w:w="0" w:type="dxa"/>
            </w:tcMar>
          </w:tcPr>
          <w:p w14:paraId="3F2AD91A" w14:textId="77777777" w:rsidR="006561BA" w:rsidRDefault="005B4ED6">
            <w:pPr>
              <w:pStyle w:val="AnnexTableCellLeft"/>
            </w:pPr>
            <w:r>
              <w:t xml:space="preserve">Avhengig av opprinnelsen til det mottatte vannet og den ulike forurensningsbelastningen, for eksempel regnvann, avrenning fra tak, avrenning fra veier eller overvann, behandles disse </w:t>
            </w:r>
            <w:proofErr w:type="spellStart"/>
            <w:r>
              <w:t>vanntypene</w:t>
            </w:r>
            <w:proofErr w:type="spellEnd"/>
            <w:r>
              <w:t xml:space="preserve"> ved hjelp av bærekraftige </w:t>
            </w:r>
            <w:proofErr w:type="spellStart"/>
            <w:r>
              <w:t>bydreneringssystemer</w:t>
            </w:r>
            <w:proofErr w:type="spellEnd"/>
            <w:r>
              <w:t xml:space="preserve"> (SUDS) før vannet slippes ut eller infiltreres i andre miljøområder.</w:t>
            </w:r>
          </w:p>
        </w:tc>
      </w:tr>
      <w:tr w:rsidR="006561BA" w14:paraId="77120615" w14:textId="77777777">
        <w:trPr>
          <w:trHeight w:val="360"/>
        </w:trPr>
        <w:tc>
          <w:tcPr>
            <w:tcW w:w="2580" w:type="dxa"/>
            <w:tcMar>
              <w:top w:w="140" w:type="dxa"/>
              <w:left w:w="0" w:type="dxa"/>
              <w:bottom w:w="140" w:type="dxa"/>
            </w:tcMar>
          </w:tcPr>
          <w:p w14:paraId="0D5DD1D6" w14:textId="77777777" w:rsidR="006561BA" w:rsidRDefault="005B4ED6">
            <w:pPr>
              <w:pStyle w:val="AnnexNumberedText"/>
              <w:spacing w:after="0"/>
              <w:ind w:left="293" w:hanging="293"/>
            </w:pPr>
            <w:r>
              <w:t>6)</w:t>
            </w:r>
            <w:r>
              <w:tab/>
              <w:t>Beskyttelse og restaurering av biologisk mangfold og økosystemer</w:t>
            </w:r>
          </w:p>
        </w:tc>
        <w:tc>
          <w:tcPr>
            <w:tcW w:w="6648" w:type="dxa"/>
            <w:tcMar>
              <w:top w:w="140" w:type="dxa"/>
              <w:bottom w:w="140" w:type="dxa"/>
              <w:right w:w="0" w:type="dxa"/>
            </w:tcMar>
          </w:tcPr>
          <w:p w14:paraId="6347A507" w14:textId="77777777" w:rsidR="006561BA" w:rsidRDefault="005B4ED6">
            <w:pPr>
              <w:pStyle w:val="AnnexTableCellLeft"/>
            </w:pPr>
            <w:r>
              <w:t>Aktiviteten oppfyller kriteriene fastsatt i tillegg D til dette vedlegget.</w:t>
            </w:r>
          </w:p>
          <w:p w14:paraId="4E92F6C7" w14:textId="77777777" w:rsidR="006561BA" w:rsidRDefault="005B4ED6">
            <w:pPr>
              <w:pStyle w:val="AnnexTableCellLeft"/>
            </w:pPr>
            <w:r>
              <w:t>Innføringen av fremmede skadelige arter forhindres eller spredningen av dem håndteres i samsvar med europaparlaments- og rådsforordning (EU) nr. 1143/2014(</w:t>
            </w:r>
            <w:bookmarkStart w:id="34" w:name="NOTE_35"/>
            <w:r>
              <w:rPr>
                <w:rStyle w:val="FootnoteReference"/>
                <w:sz w:val="18"/>
              </w:rPr>
              <w:footnoteReference w:id="36"/>
            </w:r>
            <w:bookmarkEnd w:id="34"/>
            <w:r>
              <w:t>).</w:t>
            </w:r>
          </w:p>
        </w:tc>
      </w:tr>
    </w:tbl>
    <w:p w14:paraId="09805303" w14:textId="77777777" w:rsidR="006561BA" w:rsidRDefault="005B4ED6">
      <w:pPr>
        <w:shd w:val="clear" w:color="auto" w:fill="auto"/>
        <w:jc w:val="left"/>
        <w:rPr>
          <w:color w:val="auto"/>
          <w14:ligatures w14:val="standard"/>
        </w:rPr>
      </w:pPr>
      <w:r>
        <w:br w:type="page"/>
      </w:r>
    </w:p>
    <w:p w14:paraId="1AFD457A" w14:textId="77777777" w:rsidR="006561BA" w:rsidRDefault="005B4ED6">
      <w:pPr>
        <w:pStyle w:val="AnnexNumberedText"/>
        <w:ind w:left="414" w:hanging="414"/>
      </w:pPr>
      <w:r>
        <w:lastRenderedPageBreak/>
        <w:t>3.</w:t>
      </w:r>
      <w:r>
        <w:rPr>
          <w:b/>
          <w:i/>
        </w:rPr>
        <w:tab/>
        <w:t>Håndtering av katastroferisiko</w:t>
      </w:r>
    </w:p>
    <w:p w14:paraId="015F1352" w14:textId="77777777" w:rsidR="006561BA" w:rsidRDefault="005B4ED6">
      <w:pPr>
        <w:pStyle w:val="AnnexNumberedText"/>
        <w:ind w:left="414" w:hanging="414"/>
      </w:pPr>
      <w:r>
        <w:t>3.1.</w:t>
      </w:r>
      <w:r>
        <w:rPr>
          <w:b/>
        </w:rPr>
        <w:tab/>
        <w:t>Naturbaserte løsninger for forebygging av og beskyttelse mot flom og tørke</w:t>
      </w:r>
    </w:p>
    <w:p w14:paraId="3774D488" w14:textId="77777777" w:rsidR="006561BA" w:rsidRDefault="005B4ED6">
      <w:pPr>
        <w:pStyle w:val="AnnexGrSeq3"/>
        <w:jc w:val="both"/>
      </w:pPr>
      <w:r>
        <w:rPr>
          <w:i/>
        </w:rPr>
        <w:t>Beskrivelse av aktiviteten</w:t>
      </w:r>
    </w:p>
    <w:p w14:paraId="180A318A" w14:textId="22C65C0A" w:rsidR="006561BA" w:rsidRDefault="005B4ED6">
      <w:pPr>
        <w:pStyle w:val="AnnexNormal"/>
      </w:pPr>
      <w:r>
        <w:t>Planlegging, bygging, utvidelse og drift av omfattende naturbasert</w:t>
      </w:r>
      <w:r w:rsidR="00B2101A">
        <w:t>e tiltak for</w:t>
      </w:r>
      <w:r>
        <w:t xml:space="preserve"> håndtering av flom eller tørke og for restaurering av </w:t>
      </w:r>
      <w:r w:rsidR="00CE6D04">
        <w:t xml:space="preserve">akvatiske </w:t>
      </w:r>
      <w:r>
        <w:t xml:space="preserve">økosystemer i kystområder, overgangsområder eller innlandsområder som bidrar til å forebygge og beskytte mot flom eller tørke, </w:t>
      </w:r>
      <w:r w:rsidR="00343AF3">
        <w:t>samt</w:t>
      </w:r>
      <w:r>
        <w:t xml:space="preserve"> forbedre vannets naturlige retensjonsevne, det biologiske mangfoldet og vannkvaliteten.</w:t>
      </w:r>
    </w:p>
    <w:p w14:paraId="5A1B28B0" w14:textId="77777777" w:rsidR="006561BA" w:rsidRDefault="005B4ED6">
      <w:pPr>
        <w:pStyle w:val="AnnexNormal"/>
      </w:pPr>
      <w:r>
        <w:t>Disse omfattende naturbaserte tiltakene for håndtering av flom eller tørke brukes i bynære områder, landdistrikter og kystområder og koordineres for det enkelte nedbørfeltet, på regionalt eller lokalt plan, for eksempel på kommunalt plan.</w:t>
      </w:r>
    </w:p>
    <w:p w14:paraId="5EF4D28F" w14:textId="77777777" w:rsidR="006561BA" w:rsidRDefault="005B4ED6">
      <w:pPr>
        <w:pStyle w:val="AnnexNormal"/>
      </w:pPr>
      <w:r>
        <w:t>Den økonomiske aktiviteten omfatter</w:t>
      </w:r>
    </w:p>
    <w:p w14:paraId="713EA3FE" w14:textId="77777777" w:rsidR="006561BA" w:rsidRDefault="005B4ED6">
      <w:pPr>
        <w:pStyle w:val="AnnexNumberedText"/>
        <w:ind w:left="293" w:hanging="293"/>
      </w:pPr>
      <w:r>
        <w:t>a)</w:t>
      </w:r>
      <w:r>
        <w:tab/>
        <w:t>tiltak for elver eller innsjøer, herunder</w:t>
      </w:r>
    </w:p>
    <w:p w14:paraId="0B2644A2" w14:textId="0B0DFC36" w:rsidR="006561BA" w:rsidRDefault="005B4ED6">
      <w:pPr>
        <w:pStyle w:val="AnnexNumberedText"/>
        <w:ind w:left="647" w:hanging="353"/>
      </w:pPr>
      <w:r>
        <w:t>i)</w:t>
      </w:r>
      <w:r>
        <w:tab/>
        <w:t>utvikling av vegetasjon langs breddene ved vannløp eller på flomsletter eller restaurering av flomsletter, herunder gjenoppretting av sammenløpet til en elv eller innsjø med dens flomslette eller forbedring av avløpskanaler / laterale forbindelser for å gjenopprette flomslettens retensjonskapasitet og dens økosystemfunksjon,</w:t>
      </w:r>
    </w:p>
    <w:p w14:paraId="5623A9FB" w14:textId="77777777" w:rsidR="006561BA" w:rsidRDefault="005B4ED6">
      <w:pPr>
        <w:pStyle w:val="AnnexNumberedText"/>
        <w:ind w:left="647" w:hanging="353"/>
      </w:pPr>
      <w:r>
        <w:t>ii)</w:t>
      </w:r>
      <w:r>
        <w:tab/>
        <w:t>gjenoppretting av elveløp ved å skape en ny meander eller ved å gjenopprette forbindelsen mellom isolerte meandere eller ved å gjenopprette forbindelsen mellom en innsjø eller en gruppe av innsjøer og en elv,</w:t>
      </w:r>
    </w:p>
    <w:p w14:paraId="313CE5B1" w14:textId="43C91643" w:rsidR="006561BA" w:rsidRDefault="005B4ED6">
      <w:pPr>
        <w:pStyle w:val="AnnexNumberedText"/>
        <w:ind w:left="647" w:hanging="353"/>
      </w:pPr>
      <w:r>
        <w:t>iii)</w:t>
      </w:r>
      <w:r>
        <w:tab/>
        <w:t>restaurering av de</w:t>
      </w:r>
      <w:r w:rsidR="00921459">
        <w:t>t</w:t>
      </w:r>
      <w:r>
        <w:t xml:space="preserve"> langsgående </w:t>
      </w:r>
      <w:r w:rsidR="00921459">
        <w:t xml:space="preserve">løpet </w:t>
      </w:r>
      <w:r>
        <w:t xml:space="preserve">og </w:t>
      </w:r>
      <w:r w:rsidR="00921459">
        <w:t>sideløpet</w:t>
      </w:r>
      <w:r>
        <w:t xml:space="preserve"> til en elv (herunder kroksjøer) ved å fjerne foreldede hindre, herunder demninger og overløpskanaler eller små hindre på tvers av eller langs elven,</w:t>
      </w:r>
    </w:p>
    <w:p w14:paraId="0844732C" w14:textId="77777777" w:rsidR="006561BA" w:rsidRDefault="005B4ED6">
      <w:pPr>
        <w:pStyle w:val="AnnexNumberedText"/>
        <w:ind w:left="647" w:hanging="353"/>
      </w:pPr>
      <w:r>
        <w:t>iv)</w:t>
      </w:r>
      <w:r>
        <w:tab/>
        <w:t>erstatning av kunstig beskyttelse langs elvebredder eller langs innsjøer med naturbaserte løsninger for stabilisering av elvebredder eller -leier som tiltak for restaurering av elver eller innsjøer,</w:t>
      </w:r>
    </w:p>
    <w:p w14:paraId="4503177B" w14:textId="77777777" w:rsidR="006561BA" w:rsidRDefault="005B4ED6">
      <w:pPr>
        <w:pStyle w:val="AnnexNumberedText"/>
        <w:ind w:left="647" w:hanging="353"/>
      </w:pPr>
      <w:r>
        <w:t>v)</w:t>
      </w:r>
      <w:r>
        <w:tab/>
        <w:t>tiltak som har til formål å forbedre diversifiseringen av elvens eller innsjøens dybde og bredde for å øke variasjonen av habitater,</w:t>
      </w:r>
    </w:p>
    <w:p w14:paraId="22A8A1E0" w14:textId="77777777" w:rsidR="006561BA" w:rsidRDefault="005B4ED6">
      <w:pPr>
        <w:pStyle w:val="AnnexNumberedText"/>
        <w:ind w:left="293" w:hanging="293"/>
      </w:pPr>
      <w:r>
        <w:t>b)</w:t>
      </w:r>
      <w:r>
        <w:tab/>
        <w:t>tiltak for våtmarker, herunder</w:t>
      </w:r>
    </w:p>
    <w:p w14:paraId="3A56E033" w14:textId="27554A05" w:rsidR="006561BA" w:rsidRDefault="005B4ED6">
      <w:pPr>
        <w:pStyle w:val="AnnexNumberedText"/>
        <w:ind w:left="647" w:hanging="353"/>
      </w:pPr>
      <w:r>
        <w:t>i)</w:t>
      </w:r>
      <w:r>
        <w:tab/>
        <w:t xml:space="preserve">anleggelse av grøfter for gjenfukting, fjerning av dreneringsanlegg, </w:t>
      </w:r>
      <w:r w:rsidR="008F0DE5">
        <w:t>utskifting</w:t>
      </w:r>
      <w:r>
        <w:t xml:space="preserve"> med anlegg som regulerer avrenningen</w:t>
      </w:r>
      <w:r w:rsidR="006A4419">
        <w:t>,</w:t>
      </w:r>
      <w:r>
        <w:t xml:space="preserve"> eller tilbakeføring av diker for å åpne for oversvømmelse,</w:t>
      </w:r>
    </w:p>
    <w:p w14:paraId="31E3C57E" w14:textId="77777777" w:rsidR="006561BA" w:rsidRDefault="005B4ED6">
      <w:pPr>
        <w:pStyle w:val="AnnexNumberedText"/>
        <w:ind w:left="647" w:hanging="353"/>
      </w:pPr>
      <w:r>
        <w:t>ii)</w:t>
      </w:r>
      <w:r>
        <w:tab/>
        <w:t>anleggelse av våtmarker for å holde tilbake og rense vann, både på land og langs vannområder uten vegetasjon, i landdistrikter og byområder,</w:t>
      </w:r>
    </w:p>
    <w:p w14:paraId="0A1C38C3" w14:textId="77777777" w:rsidR="006561BA" w:rsidRDefault="005B4ED6">
      <w:pPr>
        <w:pStyle w:val="AnnexNumberedText"/>
        <w:ind w:left="647" w:hanging="353"/>
      </w:pPr>
      <w:r>
        <w:t>iii)</w:t>
      </w:r>
      <w:r>
        <w:tab/>
      </w:r>
      <w:proofErr w:type="spellStart"/>
      <w:r>
        <w:t>fordrøyningsbassenger</w:t>
      </w:r>
      <w:proofErr w:type="spellEnd"/>
      <w:r>
        <w:t xml:space="preserve"> og reguleringsdammer,</w:t>
      </w:r>
    </w:p>
    <w:p w14:paraId="77BA36FA" w14:textId="77777777" w:rsidR="006561BA" w:rsidRDefault="005B4ED6">
      <w:pPr>
        <w:pStyle w:val="AnnexNumberedText"/>
        <w:ind w:left="293" w:hanging="293"/>
      </w:pPr>
      <w:r>
        <w:t>c)</w:t>
      </w:r>
      <w:r>
        <w:tab/>
        <w:t>kystnære tiltak, herunder</w:t>
      </w:r>
    </w:p>
    <w:p w14:paraId="3DDC001E" w14:textId="2539C436" w:rsidR="006561BA" w:rsidRDefault="005B4ED6">
      <w:pPr>
        <w:pStyle w:val="AnnexNumberedText"/>
        <w:ind w:left="647" w:hanging="353"/>
      </w:pPr>
      <w:r>
        <w:t>i)</w:t>
      </w:r>
      <w:r>
        <w:tab/>
        <w:t>bevaring eller restaurering av kystnære våtmarker, herunder mangroveskog</w:t>
      </w:r>
      <w:r w:rsidR="00F208D0">
        <w:t>er</w:t>
      </w:r>
      <w:r>
        <w:t xml:space="preserve"> eller sjøgress</w:t>
      </w:r>
      <w:r w:rsidR="00891351">
        <w:t>enger</w:t>
      </w:r>
      <w:r>
        <w:t>, som fungerer som et naturlig hinder,</w:t>
      </w:r>
    </w:p>
    <w:p w14:paraId="3BFD5CEF" w14:textId="77777777" w:rsidR="006561BA" w:rsidRDefault="005B4ED6">
      <w:pPr>
        <w:pStyle w:val="AnnexNumberedText"/>
        <w:ind w:left="647" w:hanging="353"/>
      </w:pPr>
      <w:r>
        <w:t>ii)</w:t>
      </w:r>
      <w:r>
        <w:tab/>
        <w:t xml:space="preserve">tiltak som består av morfologiske endringer og fjerning av hindre for å minimere behovet for kunstig kystfôring og forbedre forholdene for kystøkosystemer, som begrunnes på grunnlag av en undersøkelse av </w:t>
      </w:r>
      <w:proofErr w:type="spellStart"/>
      <w:r>
        <w:t>sedimentbalansen</w:t>
      </w:r>
      <w:proofErr w:type="spellEnd"/>
      <w:r>
        <w:t>,</w:t>
      </w:r>
    </w:p>
    <w:p w14:paraId="01E31518" w14:textId="47C92F3C" w:rsidR="006561BA" w:rsidRDefault="005B4ED6">
      <w:pPr>
        <w:pStyle w:val="AnnexNumberedText"/>
        <w:ind w:left="647" w:hanging="353"/>
      </w:pPr>
      <w:r>
        <w:t>iii)</w:t>
      </w:r>
      <w:r>
        <w:tab/>
        <w:t>forsterking og restaurering av sanddyner, herunder planting av sanddynevegetasjon,</w:t>
      </w:r>
    </w:p>
    <w:p w14:paraId="7FACEC24" w14:textId="77777777" w:rsidR="006561BA" w:rsidRDefault="005B4ED6">
      <w:pPr>
        <w:pStyle w:val="AnnexNumberedText"/>
        <w:ind w:left="647" w:hanging="353"/>
      </w:pPr>
      <w:r>
        <w:t>iv)</w:t>
      </w:r>
      <w:r>
        <w:tab/>
        <w:t>bevaring eller restaurering av kystrev,</w:t>
      </w:r>
    </w:p>
    <w:p w14:paraId="27EC2AA7" w14:textId="77777777" w:rsidR="006561BA" w:rsidRDefault="005B4ED6">
      <w:pPr>
        <w:pStyle w:val="AnnexNumberedText"/>
        <w:ind w:left="647" w:hanging="353"/>
      </w:pPr>
      <w:r>
        <w:t>v)</w:t>
      </w:r>
      <w:r>
        <w:tab/>
        <w:t>sandfôring i kystsonen,</w:t>
      </w:r>
    </w:p>
    <w:p w14:paraId="2A2CFFBE" w14:textId="77777777" w:rsidR="006561BA" w:rsidRDefault="005B4ED6">
      <w:pPr>
        <w:pStyle w:val="AnnexNumberedText"/>
        <w:ind w:left="293" w:hanging="293"/>
      </w:pPr>
      <w:r>
        <w:t>d)</w:t>
      </w:r>
      <w:r>
        <w:tab/>
        <w:t>forvaltningstiltak som omfatter hele nedbørfeltet, herunder</w:t>
      </w:r>
    </w:p>
    <w:p w14:paraId="1B5BE2E8" w14:textId="77777777" w:rsidR="006561BA" w:rsidRDefault="005B4ED6">
      <w:pPr>
        <w:pStyle w:val="AnnexNumberedText"/>
        <w:ind w:left="647" w:hanging="353"/>
      </w:pPr>
      <w:r>
        <w:t>i)</w:t>
      </w:r>
      <w:r>
        <w:tab/>
        <w:t>arealforvaltningstiltak, herunder nyplanting av skog ved reservoarer i nedbørfelter, beskyttelsesområder for kilder eller brønnhoder og de øvre delene av nedbørfeltet generelt,</w:t>
      </w:r>
    </w:p>
    <w:p w14:paraId="2F1CB1AE" w14:textId="77777777" w:rsidR="006561BA" w:rsidRDefault="005B4ED6">
      <w:pPr>
        <w:pStyle w:val="AnnexNumberedText"/>
        <w:ind w:left="647" w:hanging="353"/>
      </w:pPr>
      <w:r>
        <w:t>ii)</w:t>
      </w:r>
      <w:r>
        <w:tab/>
        <w:t>gjenoppretting av naturlig infiltrasjon for grunnvannsdannelse ved å legge til rette for eller øke jordbunnens retensjonskapasitet og infiltrasjon,</w:t>
      </w:r>
    </w:p>
    <w:p w14:paraId="7AD91A0D" w14:textId="696278EE" w:rsidR="006561BA" w:rsidRDefault="005B4ED6">
      <w:pPr>
        <w:pStyle w:val="AnnexNumberedText"/>
        <w:spacing w:after="0"/>
        <w:ind w:left="647" w:hanging="353"/>
      </w:pPr>
      <w:r>
        <w:t>iii)</w:t>
      </w:r>
      <w:r>
        <w:tab/>
      </w:r>
      <w:r w:rsidR="006B75BF" w:rsidRPr="006B75BF">
        <w:t xml:space="preserve">styrt gjenoppfylling av grunnvannsmagasiner </w:t>
      </w:r>
      <w:r>
        <w:t>(«</w:t>
      </w:r>
      <w:proofErr w:type="spellStart"/>
      <w:r>
        <w:t>managed</w:t>
      </w:r>
      <w:proofErr w:type="spellEnd"/>
      <w:r>
        <w:t xml:space="preserve"> </w:t>
      </w:r>
      <w:proofErr w:type="spellStart"/>
      <w:r>
        <w:t>aquifer</w:t>
      </w:r>
      <w:proofErr w:type="spellEnd"/>
      <w:r>
        <w:t xml:space="preserve"> </w:t>
      </w:r>
      <w:proofErr w:type="spellStart"/>
      <w:r>
        <w:t>recharge</w:t>
      </w:r>
      <w:proofErr w:type="spellEnd"/>
      <w:r>
        <w:t>», MAR)</w:t>
      </w:r>
      <w:bookmarkStart w:id="35" w:name="NOTE_36"/>
      <w:r w:rsidR="00052EED">
        <w:t>(</w:t>
      </w:r>
      <w:r>
        <w:rPr>
          <w:rStyle w:val="FootnoteReference"/>
          <w:sz w:val="18"/>
        </w:rPr>
        <w:footnoteReference w:id="37"/>
      </w:r>
      <w:bookmarkEnd w:id="35"/>
      <w:r>
        <w:t>).</w:t>
      </w:r>
      <w:r>
        <w:br w:type="page"/>
      </w:r>
    </w:p>
    <w:p w14:paraId="75C96D9D" w14:textId="77777777" w:rsidR="006561BA" w:rsidRDefault="005B4ED6">
      <w:pPr>
        <w:pStyle w:val="AnnexNormal"/>
        <w:spacing w:after="300"/>
      </w:pPr>
      <w:r>
        <w:lastRenderedPageBreak/>
        <w:t xml:space="preserve">Aktiviteten omfatter ikke småskala naturbaserte løsninger for å redusere flom og tørke, herunder grønne og blå løsninger som brukes i byområder, som for eksempel grønne tak, myrdrag, permeabelt dekke og infiltrasjonsbassenger for anlegg for håndtering av overvann fra byområder eller bærekraftige </w:t>
      </w:r>
      <w:proofErr w:type="spellStart"/>
      <w:r>
        <w:t>bydreneringssystemer</w:t>
      </w:r>
      <w:proofErr w:type="spellEnd"/>
      <w:r>
        <w:t xml:space="preserve"> (se avsnitt 2.3 i dette vedlegget).</w:t>
      </w:r>
    </w:p>
    <w:p w14:paraId="4B7F1AD8" w14:textId="77777777" w:rsidR="006561BA" w:rsidRDefault="005B4ED6">
      <w:pPr>
        <w:pStyle w:val="AnnexNormal"/>
        <w:spacing w:after="1000"/>
      </w:pPr>
      <w:r>
        <w:t>De økonomiske aktivitetene i denne kategorien kan knyttes til NACE-kode F42.91 i samsvar med standarden for næringsgruppering fastsatt ved forordning (EF) nr. 1893/2006.</w:t>
      </w:r>
    </w:p>
    <w:p w14:paraId="66359F37" w14:textId="77777777" w:rsidR="006561BA" w:rsidRDefault="005B4ED6">
      <w:pPr>
        <w:pStyle w:val="AnnexGrSeq3"/>
        <w:jc w:val="both"/>
      </w:pPr>
      <w:r>
        <w:rPr>
          <w:i/>
        </w:rPr>
        <w:t>Tekniske screeningkriterier</w:t>
      </w:r>
    </w:p>
    <w:tbl>
      <w:tblPr>
        <w:tblStyle w:val="EFTATable"/>
        <w:tblW w:w="9228" w:type="dxa"/>
        <w:tblInd w:w="12" w:type="dxa"/>
        <w:tblLayout w:type="fixed"/>
        <w:tblLook w:val="04A0" w:firstRow="1" w:lastRow="0" w:firstColumn="1" w:lastColumn="0" w:noHBand="0" w:noVBand="1"/>
      </w:tblPr>
      <w:tblGrid>
        <w:gridCol w:w="2592"/>
        <w:gridCol w:w="6636"/>
      </w:tblGrid>
      <w:tr w:rsidR="006561BA" w14:paraId="0FEF6016" w14:textId="77777777">
        <w:trPr>
          <w:trHeight w:val="240"/>
        </w:trPr>
        <w:tc>
          <w:tcPr>
            <w:tcW w:w="9228" w:type="dxa"/>
            <w:gridSpan w:val="2"/>
            <w:tcMar>
              <w:top w:w="200" w:type="dxa"/>
              <w:left w:w="0" w:type="dxa"/>
              <w:bottom w:w="200" w:type="dxa"/>
              <w:right w:w="0" w:type="dxa"/>
            </w:tcMar>
          </w:tcPr>
          <w:p w14:paraId="3229FD83" w14:textId="77777777" w:rsidR="006561BA" w:rsidRDefault="005B4ED6">
            <w:pPr>
              <w:pStyle w:val="AnnexTableCellLeft"/>
            </w:pPr>
            <w:r>
              <w:t>Vesentlig bidrag til bærekraftig bruk og beskyttelse av vann- og havressurser</w:t>
            </w:r>
          </w:p>
        </w:tc>
      </w:tr>
      <w:tr w:rsidR="006561BA" w14:paraId="6FEDF03C" w14:textId="77777777">
        <w:trPr>
          <w:trHeight w:val="360"/>
        </w:trPr>
        <w:tc>
          <w:tcPr>
            <w:tcW w:w="9228" w:type="dxa"/>
            <w:gridSpan w:val="2"/>
            <w:tcMar>
              <w:top w:w="200" w:type="dxa"/>
              <w:left w:w="0" w:type="dxa"/>
              <w:bottom w:w="200" w:type="dxa"/>
              <w:right w:w="0" w:type="dxa"/>
            </w:tcMar>
          </w:tcPr>
          <w:p w14:paraId="6D45E922" w14:textId="77777777" w:rsidR="006561BA" w:rsidRDefault="005B4ED6">
            <w:pPr>
              <w:pStyle w:val="AnnexNumberedText"/>
              <w:tabs>
                <w:tab w:val="left" w:pos="276"/>
              </w:tabs>
              <w:spacing w:after="200"/>
              <w:ind w:left="0" w:firstLine="0"/>
            </w:pPr>
            <w:r>
              <w:t>1.</w:t>
            </w:r>
            <w:r>
              <w:tab/>
              <w:t>Aktiviteten er et kvantifiserbart og tidsbegrenset tiltak for å nå målene for reduksjon av flomrisiko i samsvar med en samordnet plan for håndtering av flomrisiko som er koordinert for det enkelte nedbørfeltet, og er utarbeidet i henhold til europaparlaments- og rådsdirektiv 2007/60/EF(</w:t>
            </w:r>
            <w:bookmarkStart w:id="36" w:name="NOTE_37"/>
            <w:r>
              <w:rPr>
                <w:rStyle w:val="FootnoteReference"/>
                <w:sz w:val="18"/>
              </w:rPr>
              <w:footnoteReference w:id="38"/>
            </w:r>
            <w:bookmarkEnd w:id="36"/>
            <w:r>
              <w:t>). Når det gjelder reduksjon av risikoen for tørke, er aktiviteten et kvantifiserbart og tidsbegrenset tiltak med henblikk på å nå målene i direktiv 2000/60/EF i samsvar med en forvaltningsplan for nedbørfelter, eller en plan for håndtering av tørke som inngår i en forvaltningsplan for nedbørfelter.</w:t>
            </w:r>
          </w:p>
          <w:p w14:paraId="2E0D9F95" w14:textId="77777777" w:rsidR="006561BA" w:rsidRDefault="005B4ED6">
            <w:pPr>
              <w:pStyle w:val="AnnexTableCellLeft"/>
              <w:spacing w:after="200"/>
            </w:pPr>
            <w:r>
              <w:t>For aktiviteter i tredjeland er aktiviteten identifisert som et tiltak for å redusere flomrisiko eller et tiltak for å redusere tørkerisiko, enten i en forvaltningsplan for bruk og beskyttelse av vann for det enkelte nedbørfeltet eller i en integrert forvaltningsplan for kystsoner langs en kyst. Disse planene har til hensikt å nå målene for håndtering av flomrisiko og tørkerisiko for eventuelt å redusere negative konsekvenser for menneskers helse, miljøet, kulturarven og den økonomiske aktiviteten.</w:t>
            </w:r>
          </w:p>
          <w:p w14:paraId="5BAFF610" w14:textId="0C88103C" w:rsidR="006561BA" w:rsidRDefault="005B4ED6">
            <w:pPr>
              <w:pStyle w:val="AnnexNumberedText"/>
              <w:tabs>
                <w:tab w:val="left" w:pos="276"/>
              </w:tabs>
              <w:spacing w:after="200"/>
              <w:ind w:left="0" w:firstLine="0"/>
            </w:pPr>
            <w:r>
              <w:t>2.</w:t>
            </w:r>
            <w:r>
              <w:tab/>
              <w:t>Risikoer for miljøforringelse knyttet til å bevare vannkvaliteten og unngå vannstress samt forhindre forringelse av de berørte vannforekomstenes tilstand skal identifiseres og håndteres med sikte på å oppnå god vanntilstand og et godt økologisk potensial som definert i artikkel 2 nr. 22 og 23 i forordning (EU) 2020/852, i samsvar med direktiv 2000/60/EF, og i henhold til en forvaltningsplan for nedbørfelter som er utarbeidet i henhold til dette for den eller de vannforekomstene som kan bli berørt, i samråd med relevante berørte parter.</w:t>
            </w:r>
          </w:p>
          <w:p w14:paraId="087FA2FA" w14:textId="77777777" w:rsidR="006561BA" w:rsidRDefault="005B4ED6">
            <w:pPr>
              <w:pStyle w:val="AnnexTableCellLeft"/>
              <w:spacing w:after="200"/>
            </w:pPr>
            <w:r>
              <w:t>Risikoer for miljøforringelse knyttet til å bevare havmiljøet skal identifiseres og håndteres med sikte på å oppnå eller opprettholde en god miljøtilstand som definert i artikkel 3 nr. 5 i direktiv 2008/56/EF.</w:t>
            </w:r>
          </w:p>
          <w:p w14:paraId="239BF829" w14:textId="63782A24" w:rsidR="006561BA" w:rsidRDefault="005B4ED6">
            <w:pPr>
              <w:pStyle w:val="AnnexNumberedText"/>
              <w:tabs>
                <w:tab w:val="left" w:pos="276"/>
              </w:tabs>
              <w:spacing w:after="200"/>
              <w:ind w:left="0" w:firstLine="0"/>
            </w:pPr>
            <w:r>
              <w:t>3.</w:t>
            </w:r>
            <w:r>
              <w:tab/>
              <w:t xml:space="preserve">Aktiviteten omfatter tiltak for restaurering eller bevaring av naturen som medfører andre særskilte fordeler for økosystemet, og som bidrar til å oppnå god vanntilstand eller et godt vannpotensial i samsvar med direktiv 2000/60/EF, god miljøtilstand i samsvar med direktiv 2008/56/EF og de målene for restaurering og bevaring av naturen som er angitt i kommisjonsmelding av 20. mai 2020 om EUs strategi for biologisk mangfold for 2030 («EU </w:t>
            </w:r>
            <w:proofErr w:type="spellStart"/>
            <w:r>
              <w:t>Biodiversity</w:t>
            </w:r>
            <w:proofErr w:type="spellEnd"/>
            <w:r>
              <w:t xml:space="preserve"> </w:t>
            </w:r>
            <w:proofErr w:type="spellStart"/>
            <w:r>
              <w:t>Strategy</w:t>
            </w:r>
            <w:proofErr w:type="spellEnd"/>
            <w:r>
              <w:t xml:space="preserve"> for 2030»)(</w:t>
            </w:r>
            <w:bookmarkStart w:id="37" w:name="NOTE_38"/>
            <w:r>
              <w:rPr>
                <w:rStyle w:val="FootnoteReference"/>
                <w:sz w:val="18"/>
              </w:rPr>
              <w:footnoteReference w:id="39"/>
            </w:r>
            <w:bookmarkEnd w:id="37"/>
            <w:r>
              <w:t xml:space="preserve">). Aktiviteten inneholder klare og bindende mål for restaurering eller bevaring av naturen innenfor en klart definert tidsramme og beskriver tiltak for å nå disse målene. Lokale berørte parter involveres allerede fra starten av i planleggings- og utformingsfasen. Aktiviteten bygger på prinsippene i </w:t>
            </w:r>
            <w:proofErr w:type="spellStart"/>
            <w:r>
              <w:t>IUCNs</w:t>
            </w:r>
            <w:proofErr w:type="spellEnd"/>
            <w:r>
              <w:t xml:space="preserve"> globale standard for naturbaserte løsninger.</w:t>
            </w:r>
          </w:p>
          <w:p w14:paraId="318BFE3C" w14:textId="77777777" w:rsidR="006561BA" w:rsidRDefault="005B4ED6">
            <w:pPr>
              <w:pStyle w:val="AnnexTableCellLeft"/>
              <w:spacing w:after="200"/>
            </w:pPr>
            <w:r>
              <w:t>For aktiviteter i tredjeland skal aktiviteten ta hensyn til nasjonale strategier og handlingsplaner med hensyn til biologisk mangfold for å fastsette mål for bevaring og restaurering av naturen og for å beskrive de tiltakene som skal treffes for å nå disse målene.</w:t>
            </w:r>
          </w:p>
          <w:p w14:paraId="62A50642" w14:textId="77777777" w:rsidR="006561BA" w:rsidRDefault="005B4ED6">
            <w:pPr>
              <w:pStyle w:val="AnnexNumberedText"/>
              <w:tabs>
                <w:tab w:val="left" w:pos="276"/>
              </w:tabs>
              <w:ind w:left="0" w:firstLine="0"/>
            </w:pPr>
            <w:r>
              <w:t>4.</w:t>
            </w:r>
            <w:r>
              <w:tab/>
              <w:t>Det er innført et overvåkingsprogram for å vurdere hvor effektiv et system med naturbaserte løsninger er for å forbedre tilstanden til den berørte vannforekomsten, nå målene for bevaring og restaurering og tilpasse seg endrede klimaforhold. Programmet gjennomgås i henhold til den periodiske strategien for forvaltningsplanene for nedbørfelter (herunder planer for håndtering av tørke, dersom det er relevant) og planen for håndtering av flomrisiko.</w:t>
            </w:r>
          </w:p>
        </w:tc>
      </w:tr>
      <w:tr w:rsidR="006561BA" w14:paraId="4EE56898" w14:textId="77777777">
        <w:trPr>
          <w:trHeight w:val="240"/>
        </w:trPr>
        <w:tc>
          <w:tcPr>
            <w:tcW w:w="9228" w:type="dxa"/>
            <w:gridSpan w:val="2"/>
            <w:tcMar>
              <w:top w:w="300" w:type="dxa"/>
              <w:left w:w="0" w:type="dxa"/>
              <w:bottom w:w="300" w:type="dxa"/>
              <w:right w:w="0" w:type="dxa"/>
            </w:tcMar>
          </w:tcPr>
          <w:p w14:paraId="16261AF8" w14:textId="392A0BE6" w:rsidR="006561BA" w:rsidRDefault="005B4ED6">
            <w:pPr>
              <w:pStyle w:val="AnnexTableCellLeft"/>
              <w:pageBreakBefore/>
            </w:pPr>
            <w:r>
              <w:lastRenderedPageBreak/>
              <w:t>For aktiviteter i tredjeland skal programmet gjennomgås minst én gang per programperiode og under alle omstendigheter hvert tiende år. Programmet overholder og er i samsvar med gjeldende lover og forskrifter, og er tydelig på hvor det rettslige ansvaret og de rettslige forpliktelsene ligger. Programmet engasjerer aktivt lokalsamfunn og andre berørte parter.</w:t>
            </w:r>
          </w:p>
        </w:tc>
      </w:tr>
      <w:tr w:rsidR="006561BA" w14:paraId="2B6AF7FD" w14:textId="77777777">
        <w:trPr>
          <w:trHeight w:val="240"/>
        </w:trPr>
        <w:tc>
          <w:tcPr>
            <w:tcW w:w="9228" w:type="dxa"/>
            <w:gridSpan w:val="2"/>
            <w:tcMar>
              <w:top w:w="300" w:type="dxa"/>
              <w:left w:w="0" w:type="dxa"/>
              <w:bottom w:w="300" w:type="dxa"/>
              <w:right w:w="0" w:type="dxa"/>
            </w:tcMar>
          </w:tcPr>
          <w:p w14:paraId="51EA7A84" w14:textId="77777777" w:rsidR="006561BA" w:rsidRDefault="005B4ED6">
            <w:pPr>
              <w:pStyle w:val="AnnexTableCellLeft"/>
            </w:pPr>
            <w:r>
              <w:t>Prinsippet om ikke å gjøre betydelig skade («DNSH»)</w:t>
            </w:r>
          </w:p>
        </w:tc>
      </w:tr>
      <w:tr w:rsidR="006561BA" w14:paraId="6ABD21EB" w14:textId="77777777">
        <w:trPr>
          <w:trHeight w:val="360"/>
        </w:trPr>
        <w:tc>
          <w:tcPr>
            <w:tcW w:w="2592" w:type="dxa"/>
            <w:tcMar>
              <w:top w:w="300" w:type="dxa"/>
              <w:left w:w="0" w:type="dxa"/>
              <w:bottom w:w="300" w:type="dxa"/>
            </w:tcMar>
          </w:tcPr>
          <w:p w14:paraId="41B87D2D" w14:textId="77777777" w:rsidR="006561BA" w:rsidRDefault="005B4ED6">
            <w:pPr>
              <w:pStyle w:val="AnnexNumberedText"/>
              <w:spacing w:after="0"/>
              <w:ind w:left="293" w:hanging="293"/>
            </w:pPr>
            <w:r>
              <w:t>1)</w:t>
            </w:r>
            <w:r>
              <w:tab/>
              <w:t>Begrensning av klimaendringer</w:t>
            </w:r>
          </w:p>
        </w:tc>
        <w:tc>
          <w:tcPr>
            <w:tcW w:w="6636" w:type="dxa"/>
            <w:tcMar>
              <w:top w:w="300" w:type="dxa"/>
              <w:bottom w:w="300" w:type="dxa"/>
              <w:right w:w="0" w:type="dxa"/>
            </w:tcMar>
          </w:tcPr>
          <w:p w14:paraId="5DA70023" w14:textId="77777777" w:rsidR="006561BA" w:rsidRDefault="005B4ED6">
            <w:pPr>
              <w:pStyle w:val="AnnexTableCellLeft"/>
            </w:pPr>
            <w:r>
              <w:t>Aktiviteten omfatter ikke forringelse av areal og havmiljø med stort karbonlager(</w:t>
            </w:r>
            <w:bookmarkStart w:id="38" w:name="NOTE_39"/>
            <w:r>
              <w:rPr>
                <w:rStyle w:val="FootnoteReference"/>
                <w:sz w:val="18"/>
              </w:rPr>
              <w:footnoteReference w:id="40"/>
            </w:r>
            <w:bookmarkEnd w:id="38"/>
            <w:r>
              <w:t>).</w:t>
            </w:r>
          </w:p>
        </w:tc>
      </w:tr>
      <w:tr w:rsidR="006561BA" w14:paraId="285ACFDF" w14:textId="77777777">
        <w:trPr>
          <w:trHeight w:val="360"/>
        </w:trPr>
        <w:tc>
          <w:tcPr>
            <w:tcW w:w="2592" w:type="dxa"/>
            <w:tcMar>
              <w:top w:w="300" w:type="dxa"/>
              <w:left w:w="0" w:type="dxa"/>
              <w:bottom w:w="300" w:type="dxa"/>
            </w:tcMar>
          </w:tcPr>
          <w:p w14:paraId="74CB2117" w14:textId="77777777" w:rsidR="006561BA" w:rsidRDefault="005B4ED6">
            <w:pPr>
              <w:pStyle w:val="AnnexNumberedText"/>
              <w:spacing w:after="0"/>
              <w:ind w:left="293" w:hanging="293"/>
            </w:pPr>
            <w:r>
              <w:t>2)</w:t>
            </w:r>
            <w:r>
              <w:tab/>
              <w:t>Tilpasning til klimaendringer</w:t>
            </w:r>
          </w:p>
        </w:tc>
        <w:tc>
          <w:tcPr>
            <w:tcW w:w="6636" w:type="dxa"/>
            <w:tcMar>
              <w:top w:w="300" w:type="dxa"/>
              <w:bottom w:w="300" w:type="dxa"/>
              <w:right w:w="0" w:type="dxa"/>
            </w:tcMar>
          </w:tcPr>
          <w:p w14:paraId="2FC15EB3" w14:textId="77777777" w:rsidR="006561BA" w:rsidRDefault="005B4ED6">
            <w:pPr>
              <w:pStyle w:val="AnnexTableCellLeft"/>
            </w:pPr>
            <w:r>
              <w:t>Aktiviteten oppfyller kriteriene fastsatt i tillegg A til dette vedlegget.</w:t>
            </w:r>
          </w:p>
        </w:tc>
      </w:tr>
      <w:tr w:rsidR="006561BA" w14:paraId="45BE41D3" w14:textId="77777777">
        <w:trPr>
          <w:trHeight w:val="360"/>
        </w:trPr>
        <w:tc>
          <w:tcPr>
            <w:tcW w:w="2592" w:type="dxa"/>
            <w:tcMar>
              <w:top w:w="300" w:type="dxa"/>
              <w:left w:w="0" w:type="dxa"/>
              <w:bottom w:w="300" w:type="dxa"/>
            </w:tcMar>
          </w:tcPr>
          <w:p w14:paraId="3EE5657E" w14:textId="77777777" w:rsidR="006561BA" w:rsidRDefault="005B4ED6">
            <w:pPr>
              <w:pStyle w:val="AnnexNumberedText"/>
              <w:spacing w:after="0"/>
              <w:ind w:left="293" w:hanging="293"/>
            </w:pPr>
            <w:r>
              <w:t>4)</w:t>
            </w:r>
            <w:r>
              <w:tab/>
              <w:t>Omstilling til en sirkulær økonomi</w:t>
            </w:r>
          </w:p>
        </w:tc>
        <w:tc>
          <w:tcPr>
            <w:tcW w:w="6636" w:type="dxa"/>
            <w:tcMar>
              <w:top w:w="300" w:type="dxa"/>
              <w:bottom w:w="300" w:type="dxa"/>
              <w:right w:w="0" w:type="dxa"/>
            </w:tcMar>
          </w:tcPr>
          <w:p w14:paraId="0173778E" w14:textId="77777777" w:rsidR="006561BA" w:rsidRDefault="005B4ED6">
            <w:pPr>
              <w:pStyle w:val="AnnexTableCellLeft"/>
            </w:pPr>
            <w:r>
              <w:t xml:space="preserve">Aktivitetsutøvere begrenser avfallsgenereringen i prosesser knyttet til bygging og </w:t>
            </w:r>
            <w:proofErr w:type="spellStart"/>
            <w:r>
              <w:t>riving</w:t>
            </w:r>
            <w:proofErr w:type="spellEnd"/>
            <w:r>
              <w:t xml:space="preserve"> og tar hensyn til beste tilgjengelige teknikker. Minst 70 % (i vektprosent) av det ikke-farlige bygge- og </w:t>
            </w:r>
            <w:proofErr w:type="spellStart"/>
            <w:r>
              <w:t>rivingsavfallet</w:t>
            </w:r>
            <w:proofErr w:type="spellEnd"/>
            <w:r>
              <w:t xml:space="preserve"> (unntatt naturlig forekommende materiale som omhandlet i kategori 17 05 04 på den europeiske listen over avfall opprettet ved vedtak 2000/532/EF) som genereres på byggeplassen, forberedes til ombruk, materialgjenvinning og annen materialutnytting, herunder utfylling der avfall benyttes som erstatning for andre materialer, i samsvar med avfallshierarkiet og EUs protokoll om håndtering av bygge- og </w:t>
            </w:r>
            <w:proofErr w:type="spellStart"/>
            <w:r>
              <w:t>rivingsavfall</w:t>
            </w:r>
            <w:proofErr w:type="spellEnd"/>
            <w:r>
              <w:t>(</w:t>
            </w:r>
            <w:bookmarkStart w:id="39" w:name="NOTE_40"/>
            <w:r>
              <w:rPr>
                <w:rStyle w:val="FootnoteReference"/>
                <w:sz w:val="18"/>
              </w:rPr>
              <w:footnoteReference w:id="41"/>
            </w:r>
            <w:bookmarkEnd w:id="39"/>
            <w:r>
              <w:t xml:space="preserve">). Aktivitetsutøvere bruker selektiv </w:t>
            </w:r>
            <w:proofErr w:type="spellStart"/>
            <w:r>
              <w:t>riving</w:t>
            </w:r>
            <w:proofErr w:type="spellEnd"/>
            <w:r>
              <w:t xml:space="preserve"> for å muliggjøre fjerning og sikker håndtering av farlige stoffer og for å lette ombruk og materialgjenvinning av høy kvalitet.</w:t>
            </w:r>
          </w:p>
        </w:tc>
      </w:tr>
      <w:tr w:rsidR="006561BA" w14:paraId="23D5C5F6" w14:textId="77777777">
        <w:trPr>
          <w:trHeight w:val="360"/>
        </w:trPr>
        <w:tc>
          <w:tcPr>
            <w:tcW w:w="2592" w:type="dxa"/>
            <w:tcMar>
              <w:top w:w="300" w:type="dxa"/>
              <w:left w:w="0" w:type="dxa"/>
              <w:bottom w:w="300" w:type="dxa"/>
            </w:tcMar>
          </w:tcPr>
          <w:p w14:paraId="2EF0212F" w14:textId="77777777" w:rsidR="006561BA" w:rsidRDefault="005B4ED6">
            <w:pPr>
              <w:pStyle w:val="AnnexNumberedText"/>
              <w:spacing w:after="0"/>
              <w:ind w:left="293" w:hanging="293"/>
            </w:pPr>
            <w:r>
              <w:t>5)</w:t>
            </w:r>
            <w:r>
              <w:tab/>
              <w:t>Forebygging og begrensning av forurensning</w:t>
            </w:r>
          </w:p>
        </w:tc>
        <w:tc>
          <w:tcPr>
            <w:tcW w:w="6636" w:type="dxa"/>
            <w:tcMar>
              <w:top w:w="300" w:type="dxa"/>
              <w:bottom w:w="300" w:type="dxa"/>
              <w:right w:w="0" w:type="dxa"/>
            </w:tcMar>
          </w:tcPr>
          <w:p w14:paraId="4D35CBBC" w14:textId="77777777" w:rsidR="006561BA" w:rsidRDefault="005B4ED6">
            <w:pPr>
              <w:pStyle w:val="AnnexTableCellLeft"/>
            </w:pPr>
            <w:r>
              <w:t>Bruken av pesticider minimeres og alternative metoder eller teknikker, som kan omfatte ikke-kjemiske alternativer til pesticider, foretrekkes i samsvar med europaparlaments- og rådsdirektiv 2009/128/EF(</w:t>
            </w:r>
            <w:bookmarkStart w:id="40" w:name="NOTE_41"/>
            <w:r>
              <w:rPr>
                <w:rStyle w:val="FootnoteReference"/>
                <w:sz w:val="18"/>
              </w:rPr>
              <w:footnoteReference w:id="42"/>
            </w:r>
            <w:bookmarkEnd w:id="40"/>
            <w:r>
              <w:t>), med unntak av tilfeller der bruken av pesticider er nødvendig for å bekjempe skadedyrs- og sykdomsutbrudd. Aktiviteten minimerer bruken av gjødsel og bruker ikke husdyrgjødsel.</w:t>
            </w:r>
          </w:p>
        </w:tc>
      </w:tr>
      <w:tr w:rsidR="006561BA" w14:paraId="04380A62" w14:textId="77777777">
        <w:trPr>
          <w:trHeight w:val="360"/>
        </w:trPr>
        <w:tc>
          <w:tcPr>
            <w:tcW w:w="2592" w:type="dxa"/>
            <w:tcMar>
              <w:top w:w="300" w:type="dxa"/>
              <w:left w:w="0" w:type="dxa"/>
              <w:bottom w:w="300" w:type="dxa"/>
            </w:tcMar>
          </w:tcPr>
          <w:p w14:paraId="5B183FF6" w14:textId="77777777" w:rsidR="006561BA" w:rsidRDefault="005B4ED6">
            <w:pPr>
              <w:pStyle w:val="AnnexNumberedText"/>
              <w:spacing w:after="0"/>
              <w:ind w:left="293" w:hanging="293"/>
            </w:pPr>
            <w:r>
              <w:t>6)</w:t>
            </w:r>
            <w:r>
              <w:tab/>
              <w:t>Beskyttelse og restaurering av biologisk mangfold og økosystemer</w:t>
            </w:r>
          </w:p>
        </w:tc>
        <w:tc>
          <w:tcPr>
            <w:tcW w:w="6636" w:type="dxa"/>
            <w:tcMar>
              <w:top w:w="300" w:type="dxa"/>
              <w:bottom w:w="300" w:type="dxa"/>
              <w:right w:w="0" w:type="dxa"/>
            </w:tcMar>
          </w:tcPr>
          <w:p w14:paraId="4C5AB927" w14:textId="77777777" w:rsidR="006561BA" w:rsidRDefault="005B4ED6">
            <w:pPr>
              <w:pStyle w:val="AnnexTableCellLeft"/>
              <w:spacing w:after="120"/>
            </w:pPr>
            <w:r>
              <w:t>Aktiviteten oppfyller kriteriene fastsatt i tillegg D til dette vedlegget.</w:t>
            </w:r>
          </w:p>
          <w:p w14:paraId="4F7DDF83" w14:textId="77777777" w:rsidR="006561BA" w:rsidRDefault="005B4ED6">
            <w:pPr>
              <w:pStyle w:val="AnnexTableCellLeft"/>
              <w:spacing w:after="120"/>
            </w:pPr>
            <w:r>
              <w:t>Dessuten kreves følgende:</w:t>
            </w:r>
          </w:p>
          <w:p w14:paraId="2AF49655" w14:textId="4E064CA3" w:rsidR="006561BA" w:rsidRDefault="005B4ED6">
            <w:pPr>
              <w:pStyle w:val="AnnexNumberedText"/>
              <w:spacing w:after="0"/>
              <w:ind w:left="283" w:hanging="283"/>
            </w:pPr>
            <w:r>
              <w:t>a)</w:t>
            </w:r>
            <w:r>
              <w:tab/>
              <w:t>I EU, når det gjelder Natura 2000-områder: Aktiviteten har ingen vesentlig innvirkning på Natura 2000-områder med tanke på deres bevaringsmål på grunnlag av en hensiktsmessig vurdering foretatt i samsvar med artikkel 6 nr. 3 i rådsdirektiv 92/43/EØF(</w:t>
            </w:r>
            <w:bookmarkStart w:id="41" w:name="NOTE_42"/>
            <w:r>
              <w:rPr>
                <w:rStyle w:val="FootnoteReference"/>
                <w:sz w:val="18"/>
              </w:rPr>
              <w:footnoteReference w:id="43"/>
            </w:r>
            <w:bookmarkEnd w:id="41"/>
            <w:r>
              <w:t>)</w:t>
            </w:r>
            <w:r w:rsidR="0029543C">
              <w:t>.</w:t>
            </w:r>
          </w:p>
        </w:tc>
      </w:tr>
      <w:tr w:rsidR="006561BA" w14:paraId="28B49C27" w14:textId="77777777">
        <w:trPr>
          <w:trHeight w:val="240"/>
        </w:trPr>
        <w:tc>
          <w:tcPr>
            <w:tcW w:w="2592" w:type="dxa"/>
            <w:tcMar>
              <w:top w:w="200" w:type="dxa"/>
              <w:left w:w="0" w:type="dxa"/>
              <w:bottom w:w="200" w:type="dxa"/>
            </w:tcMar>
          </w:tcPr>
          <w:p w14:paraId="74F2FA5C" w14:textId="77777777" w:rsidR="006561BA" w:rsidRDefault="006561BA">
            <w:pPr>
              <w:pStyle w:val="AnnexTableCellLeft"/>
              <w:pageBreakBefore/>
            </w:pPr>
          </w:p>
        </w:tc>
        <w:tc>
          <w:tcPr>
            <w:tcW w:w="6636" w:type="dxa"/>
            <w:tcMar>
              <w:top w:w="200" w:type="dxa"/>
              <w:bottom w:w="200" w:type="dxa"/>
              <w:right w:w="0" w:type="dxa"/>
            </w:tcMar>
          </w:tcPr>
          <w:p w14:paraId="287B946F" w14:textId="77777777" w:rsidR="006561BA" w:rsidRDefault="005B4ED6">
            <w:pPr>
              <w:pStyle w:val="AnnexNumberedText"/>
              <w:ind w:left="293" w:hanging="293"/>
            </w:pPr>
            <w:r>
              <w:t>b)</w:t>
            </w:r>
            <w:r>
              <w:tab/>
              <w:t>I EU, i alle områder: Aktiviteten er ikke til skade for gjenoppretting eller opprettholdelse av en gunstig bevaringsstatus for de populasjonene av arter som er beskyttet i henhold til direktiv 92/43/EØF og europaparlaments- og rådsdirektiv 2009/147/EF(</w:t>
            </w:r>
            <w:bookmarkStart w:id="42" w:name="NOTE_43"/>
            <w:r>
              <w:rPr>
                <w:rStyle w:val="FootnoteReference"/>
                <w:sz w:val="18"/>
              </w:rPr>
              <w:footnoteReference w:id="44"/>
            </w:r>
            <w:bookmarkEnd w:id="42"/>
            <w:r>
              <w:t>). Aktiviteten er heller ikke til skade for gjenoppretting eller opprettholdelse av en gunstig bevaringsstatus for de aktuelle habitattypene som er beskyttet i henhold til direktiv 92/43/EØF.</w:t>
            </w:r>
          </w:p>
          <w:p w14:paraId="27FA274A" w14:textId="77777777" w:rsidR="006561BA" w:rsidRDefault="005B4ED6">
            <w:pPr>
              <w:pStyle w:val="AnnexNumberedText"/>
              <w:ind w:left="293" w:hanging="293"/>
            </w:pPr>
            <w:r>
              <w:t>c)</w:t>
            </w:r>
            <w:r>
              <w:tab/>
              <w:t>I EU forhindres innføringen av fremmede skadelige arter eller spredningen av dem håndteres i samsvar med forordning (EU) nr. 1143/2014.</w:t>
            </w:r>
          </w:p>
          <w:p w14:paraId="42C207DE" w14:textId="77777777" w:rsidR="006561BA" w:rsidRDefault="005B4ED6">
            <w:pPr>
              <w:pStyle w:val="AnnexNumberedText"/>
              <w:spacing w:after="0"/>
              <w:ind w:left="293" w:hanging="293"/>
            </w:pPr>
            <w:r>
              <w:t>d)</w:t>
            </w:r>
            <w:r>
              <w:tab/>
              <w:t>Utenfor EU utøves aktivitetene i samsvar med gjeldende rett knyttet til bevaring av habitater, arter og håndtering av fremmede skadelige arter.</w:t>
            </w:r>
          </w:p>
        </w:tc>
      </w:tr>
    </w:tbl>
    <w:p w14:paraId="33D7491A" w14:textId="77777777" w:rsidR="006561BA" w:rsidRDefault="005B4ED6">
      <w:pPr>
        <w:pStyle w:val="AnnexNumberedText"/>
        <w:spacing w:before="700" w:after="300"/>
        <w:ind w:left="414" w:hanging="414"/>
      </w:pPr>
      <w:r>
        <w:t>4.</w:t>
      </w:r>
      <w:r>
        <w:rPr>
          <w:b/>
          <w:i/>
        </w:rPr>
        <w:tab/>
        <w:t>Informasjon og kommunikasjon</w:t>
      </w:r>
    </w:p>
    <w:p w14:paraId="651C487A" w14:textId="77777777" w:rsidR="006561BA" w:rsidRDefault="005B4ED6">
      <w:pPr>
        <w:pStyle w:val="AnnexNumberedText"/>
        <w:spacing w:after="600"/>
        <w:ind w:left="414" w:hanging="414"/>
      </w:pPr>
      <w:r>
        <w:t>4.1.</w:t>
      </w:r>
      <w:r>
        <w:rPr>
          <w:b/>
        </w:rPr>
        <w:tab/>
        <w:t>Levering av datadrevne IT-/OT-løsninger for lekkasjereduksjon</w:t>
      </w:r>
    </w:p>
    <w:p w14:paraId="09156EF4" w14:textId="77777777" w:rsidR="006561BA" w:rsidRDefault="005B4ED6">
      <w:pPr>
        <w:pStyle w:val="AnnexGrSeq3"/>
        <w:jc w:val="both"/>
      </w:pPr>
      <w:r>
        <w:rPr>
          <w:i/>
        </w:rPr>
        <w:t>Beskrivelse av aktiviteten</w:t>
      </w:r>
    </w:p>
    <w:p w14:paraId="164E3912" w14:textId="77777777" w:rsidR="006561BA" w:rsidRDefault="005B4ED6">
      <w:pPr>
        <w:pStyle w:val="AnnexNormal"/>
      </w:pPr>
      <w:r>
        <w:t>Aktiviteten innebærer produksjon, utvikling, installering, gjennomføring, vedlikehold, reparasjon eller levering av profesjonelle tjenester, herunder teknisk rådgivning i forbindelse med utforming eller overvåking, med henblikk på datadrevne løsninger basert på informasjonsteknologi (IT) eller operativ teknologi (OT)(</w:t>
      </w:r>
      <w:bookmarkStart w:id="43" w:name="NOTE_44"/>
      <w:r>
        <w:rPr>
          <w:rStyle w:val="FootnoteReference"/>
          <w:sz w:val="18"/>
        </w:rPr>
        <w:footnoteReference w:id="45"/>
      </w:r>
      <w:bookmarkEnd w:id="43"/>
      <w:r>
        <w:t>) for å kontrollere, håndtere, redusere og begrense lekkasje i vannforsyningssystemer.</w:t>
      </w:r>
    </w:p>
    <w:p w14:paraId="51F02461" w14:textId="48812F5F" w:rsidR="006561BA" w:rsidRDefault="005B4ED6">
      <w:pPr>
        <w:pStyle w:val="AnnexNormal"/>
      </w:pPr>
      <w:r>
        <w:t>De økonomiske aktivitetene i denne kategorien kan knyttes til flere NACE-koder, særlig E36, F42.99 og J62</w:t>
      </w:r>
      <w:r w:rsidR="0030164A">
        <w:t>,</w:t>
      </w:r>
      <w:r>
        <w:t xml:space="preserve"> i samsvar med standarden for næringsgruppering fastsatt ved forordning (EF) nr. 1893/2006.</w:t>
      </w:r>
    </w:p>
    <w:p w14:paraId="04B089F7" w14:textId="77777777" w:rsidR="006561BA" w:rsidRDefault="005B4ED6">
      <w:pPr>
        <w:pStyle w:val="AnnexNormal"/>
        <w:spacing w:after="600"/>
      </w:pPr>
      <w:r>
        <w:t>En økonomisk aktivitet i denne kategorien er en muliggjørende aktivitet i samsvar med artikkel 12 nr. 1 bokstav e) i forordning (EU) 2020/852 dersom den oppfyller de tekniske screeningkriteriene fastsatt i dette avsnittet.</w:t>
      </w:r>
    </w:p>
    <w:p w14:paraId="03A96B5A" w14:textId="77777777" w:rsidR="006561BA" w:rsidRDefault="005B4ED6">
      <w:pPr>
        <w:pStyle w:val="AnnexGrSeq3"/>
        <w:spacing w:after="300"/>
        <w:jc w:val="both"/>
      </w:pPr>
      <w:r>
        <w:rPr>
          <w:i/>
        </w:rPr>
        <w:t>Tekniske screeningkriterier</w:t>
      </w:r>
    </w:p>
    <w:tbl>
      <w:tblPr>
        <w:tblStyle w:val="EFTATable"/>
        <w:tblW w:w="9228" w:type="dxa"/>
        <w:tblInd w:w="12" w:type="dxa"/>
        <w:tblLayout w:type="fixed"/>
        <w:tblLook w:val="04A0" w:firstRow="1" w:lastRow="0" w:firstColumn="1" w:lastColumn="0" w:noHBand="0" w:noVBand="1"/>
      </w:tblPr>
      <w:tblGrid>
        <w:gridCol w:w="2592"/>
        <w:gridCol w:w="6636"/>
      </w:tblGrid>
      <w:tr w:rsidR="006561BA" w14:paraId="1F422217" w14:textId="77777777">
        <w:trPr>
          <w:trHeight w:val="240"/>
        </w:trPr>
        <w:tc>
          <w:tcPr>
            <w:tcW w:w="9228" w:type="dxa"/>
            <w:gridSpan w:val="2"/>
            <w:tcMar>
              <w:top w:w="200" w:type="dxa"/>
              <w:left w:w="0" w:type="dxa"/>
              <w:bottom w:w="200" w:type="dxa"/>
              <w:right w:w="0" w:type="dxa"/>
            </w:tcMar>
          </w:tcPr>
          <w:p w14:paraId="15880C07" w14:textId="77777777" w:rsidR="006561BA" w:rsidRDefault="005B4ED6">
            <w:pPr>
              <w:pStyle w:val="AnnexTableCellLeft"/>
            </w:pPr>
            <w:r>
              <w:t>Vesentlig bidrag til bærekraftig bruk og beskyttelse av vann- og havressurser</w:t>
            </w:r>
          </w:p>
        </w:tc>
      </w:tr>
      <w:tr w:rsidR="006561BA" w14:paraId="12E4BD0F" w14:textId="77777777">
        <w:trPr>
          <w:trHeight w:val="360"/>
        </w:trPr>
        <w:tc>
          <w:tcPr>
            <w:tcW w:w="9228" w:type="dxa"/>
            <w:gridSpan w:val="2"/>
            <w:tcMar>
              <w:top w:w="200" w:type="dxa"/>
              <w:left w:w="0" w:type="dxa"/>
              <w:bottom w:w="200" w:type="dxa"/>
              <w:right w:w="0" w:type="dxa"/>
            </w:tcMar>
          </w:tcPr>
          <w:p w14:paraId="47229303" w14:textId="77777777" w:rsidR="006561BA" w:rsidRDefault="005B4ED6">
            <w:pPr>
              <w:pStyle w:val="AnnexNumberedText"/>
              <w:tabs>
                <w:tab w:val="left" w:pos="276"/>
              </w:tabs>
              <w:ind w:left="0" w:firstLine="0"/>
            </w:pPr>
            <w:r>
              <w:t>1.</w:t>
            </w:r>
            <w:r>
              <w:tab/>
              <w:t>Den økonomiske aktiviteten innebærer produksjon, utvikling, installering, gjennomføring, vedlikehold, reparasjon eller levering av profesjonelle tjenester, herunder teknisk rådgivning i forbindelse med utforming eller overvåking, til en eller flere av følgende datadrevne IT-/OT-løsninger for å kontrollere, håndtere, redusere og begrense lekkasje i de nye eller eksisterende vannforsyningssystemene:</w:t>
            </w:r>
          </w:p>
          <w:p w14:paraId="146EBEF2" w14:textId="77777777" w:rsidR="006561BA" w:rsidRDefault="005B4ED6">
            <w:pPr>
              <w:pStyle w:val="AnnexNumberedText"/>
              <w:ind w:left="293" w:hanging="293"/>
            </w:pPr>
            <w:r>
              <w:t>a)</w:t>
            </w:r>
            <w:r>
              <w:tab/>
              <w:t>Overvåkingssystemer, herunder helhetlige IT-/OT-programvarepakker/-verktøyer, eller tillegg til / utvidelser av slike verktøyer som sikrer identifisering, lokalisering og sporing av vannlekkasje.</w:t>
            </w:r>
          </w:p>
          <w:p w14:paraId="77A0101E" w14:textId="77777777" w:rsidR="006561BA" w:rsidRDefault="005B4ED6">
            <w:pPr>
              <w:pStyle w:val="AnnexNumberedText"/>
              <w:ind w:left="293" w:hanging="293"/>
            </w:pPr>
            <w:r>
              <w:t>b)</w:t>
            </w:r>
            <w:r>
              <w:tab/>
              <w:t>IT-/OT-løsninger, eller tillegg til / utvidelser av slike verktøyer, som sikrer kontroll, håndtering og begrensning av vannlekkasje.</w:t>
            </w:r>
          </w:p>
          <w:p w14:paraId="529756AB" w14:textId="77777777" w:rsidR="006561BA" w:rsidRDefault="005B4ED6">
            <w:pPr>
              <w:pStyle w:val="AnnexNumberedText"/>
              <w:spacing w:after="0"/>
              <w:ind w:left="293" w:hanging="293"/>
            </w:pPr>
            <w:r>
              <w:t>c)</w:t>
            </w:r>
            <w:r>
              <w:tab/>
              <w:t>IT-/OT-løsninger, eller tillegg til /utvidelser av slike verktøyer, som sikrer interoperabilitet mellom systemene i områder med målt forbruk, når nye overvåkingssystemer eller IT-/OT-løsninger installeres.</w:t>
            </w:r>
          </w:p>
        </w:tc>
      </w:tr>
      <w:tr w:rsidR="006561BA" w14:paraId="6077BB96" w14:textId="77777777">
        <w:trPr>
          <w:trHeight w:val="360"/>
        </w:trPr>
        <w:tc>
          <w:tcPr>
            <w:tcW w:w="9228" w:type="dxa"/>
            <w:gridSpan w:val="2"/>
            <w:tcMar>
              <w:top w:w="140" w:type="dxa"/>
              <w:left w:w="0" w:type="dxa"/>
              <w:bottom w:w="140" w:type="dxa"/>
              <w:right w:w="0" w:type="dxa"/>
            </w:tcMar>
          </w:tcPr>
          <w:p w14:paraId="6C35A13E" w14:textId="2373F4C8" w:rsidR="006561BA" w:rsidRDefault="005B4ED6">
            <w:pPr>
              <w:pStyle w:val="AnnexNumberedText"/>
              <w:tabs>
                <w:tab w:val="left" w:pos="276"/>
              </w:tabs>
              <w:ind w:left="0" w:firstLine="0"/>
            </w:pPr>
            <w:r>
              <w:lastRenderedPageBreak/>
              <w:t>2.</w:t>
            </w:r>
            <w:r>
              <w:tab/>
              <w:t>Risikoer for miljøforringelse knyttet til å bevare vannkvaliteten og unngå vannstress skal identifiseres og håndteres med sikte på å oppnå god vanntilstand og et godt økologisk potensial som definert i artikkel 2 nr. 22 og 23 i forordning (EU) 2020/852, i samsvar med direktiv 2000/60/EF(</w:t>
            </w:r>
            <w:bookmarkStart w:id="44" w:name="NOTE_45"/>
            <w:r>
              <w:rPr>
                <w:rStyle w:val="FootnoteReference"/>
                <w:sz w:val="18"/>
              </w:rPr>
              <w:footnoteReference w:id="46"/>
            </w:r>
            <w:bookmarkEnd w:id="44"/>
            <w:r>
              <w:t>) og i henhold til en forvaltningsplan for bruk og beskyttelse av vann som er utarbeidet i henhold til dette for den eller de vannforekomstene som kan bli berørt, i samråd med relevante berørte parter.</w:t>
            </w:r>
          </w:p>
        </w:tc>
      </w:tr>
      <w:tr w:rsidR="006561BA" w14:paraId="5F8E8D7F" w14:textId="77777777">
        <w:trPr>
          <w:trHeight w:val="240"/>
        </w:trPr>
        <w:tc>
          <w:tcPr>
            <w:tcW w:w="9228" w:type="dxa"/>
            <w:gridSpan w:val="2"/>
            <w:tcMar>
              <w:top w:w="140" w:type="dxa"/>
              <w:left w:w="0" w:type="dxa"/>
              <w:bottom w:w="140" w:type="dxa"/>
              <w:right w:w="0" w:type="dxa"/>
            </w:tcMar>
          </w:tcPr>
          <w:p w14:paraId="6C645144" w14:textId="77777777" w:rsidR="006561BA" w:rsidRDefault="005B4ED6">
            <w:pPr>
              <w:pStyle w:val="AnnexTableCellLeft"/>
            </w:pPr>
            <w:r>
              <w:t>Prinsippet om ikke å gjøre betydelig skade («DNSH»)</w:t>
            </w:r>
          </w:p>
        </w:tc>
      </w:tr>
      <w:tr w:rsidR="006561BA" w14:paraId="5342F4E0" w14:textId="77777777">
        <w:trPr>
          <w:trHeight w:val="360"/>
        </w:trPr>
        <w:tc>
          <w:tcPr>
            <w:tcW w:w="2592" w:type="dxa"/>
            <w:tcMar>
              <w:top w:w="140" w:type="dxa"/>
              <w:left w:w="0" w:type="dxa"/>
              <w:bottom w:w="140" w:type="dxa"/>
            </w:tcMar>
          </w:tcPr>
          <w:p w14:paraId="7AD71B46" w14:textId="77777777" w:rsidR="006561BA" w:rsidRDefault="005B4ED6">
            <w:pPr>
              <w:pStyle w:val="AnnexNumberedText"/>
              <w:ind w:left="293" w:hanging="293"/>
            </w:pPr>
            <w:r>
              <w:t>1)</w:t>
            </w:r>
            <w:r>
              <w:tab/>
              <w:t>Begrensning av klimaendringer</w:t>
            </w:r>
          </w:p>
        </w:tc>
        <w:tc>
          <w:tcPr>
            <w:tcW w:w="6636" w:type="dxa"/>
            <w:tcMar>
              <w:top w:w="140" w:type="dxa"/>
              <w:bottom w:w="140" w:type="dxa"/>
              <w:right w:w="0" w:type="dxa"/>
            </w:tcMar>
          </w:tcPr>
          <w:p w14:paraId="293E39FA" w14:textId="77777777" w:rsidR="006561BA" w:rsidRDefault="005B4ED6">
            <w:pPr>
              <w:pStyle w:val="AnnexTableCellLeft"/>
            </w:pPr>
            <w:r>
              <w:t>Ikke relevant</w:t>
            </w:r>
          </w:p>
        </w:tc>
      </w:tr>
      <w:tr w:rsidR="006561BA" w14:paraId="066D327C" w14:textId="77777777">
        <w:trPr>
          <w:trHeight w:val="360"/>
        </w:trPr>
        <w:tc>
          <w:tcPr>
            <w:tcW w:w="2592" w:type="dxa"/>
            <w:tcMar>
              <w:top w:w="140" w:type="dxa"/>
              <w:left w:w="0" w:type="dxa"/>
              <w:bottom w:w="140" w:type="dxa"/>
            </w:tcMar>
          </w:tcPr>
          <w:p w14:paraId="4AB91309" w14:textId="77777777" w:rsidR="006561BA" w:rsidRDefault="005B4ED6">
            <w:pPr>
              <w:pStyle w:val="AnnexNumberedText"/>
              <w:ind w:left="293" w:hanging="293"/>
            </w:pPr>
            <w:r>
              <w:t>2)</w:t>
            </w:r>
            <w:r>
              <w:tab/>
              <w:t>Tilpasning til klimaendringer</w:t>
            </w:r>
          </w:p>
        </w:tc>
        <w:tc>
          <w:tcPr>
            <w:tcW w:w="6636" w:type="dxa"/>
            <w:tcMar>
              <w:top w:w="140" w:type="dxa"/>
              <w:bottom w:w="140" w:type="dxa"/>
              <w:right w:w="0" w:type="dxa"/>
            </w:tcMar>
          </w:tcPr>
          <w:p w14:paraId="391C1C0F" w14:textId="77777777" w:rsidR="006561BA" w:rsidRDefault="005B4ED6">
            <w:pPr>
              <w:pStyle w:val="AnnexTableCellLeft"/>
            </w:pPr>
            <w:r>
              <w:t>Aktiviteten oppfyller kriteriene fastsatt i tillegg A til dette vedlegget.</w:t>
            </w:r>
          </w:p>
        </w:tc>
      </w:tr>
      <w:tr w:rsidR="006561BA" w14:paraId="14F77C7F" w14:textId="77777777">
        <w:trPr>
          <w:trHeight w:val="360"/>
        </w:trPr>
        <w:tc>
          <w:tcPr>
            <w:tcW w:w="2592" w:type="dxa"/>
            <w:tcMar>
              <w:top w:w="140" w:type="dxa"/>
              <w:left w:w="0" w:type="dxa"/>
              <w:bottom w:w="140" w:type="dxa"/>
            </w:tcMar>
          </w:tcPr>
          <w:p w14:paraId="26367A04" w14:textId="77777777" w:rsidR="006561BA" w:rsidRDefault="005B4ED6">
            <w:pPr>
              <w:pStyle w:val="AnnexNumberedText"/>
              <w:ind w:left="293" w:hanging="293"/>
            </w:pPr>
            <w:r>
              <w:t>4)</w:t>
            </w:r>
            <w:r>
              <w:tab/>
              <w:t>Omstilling til en sirkulær økonomi</w:t>
            </w:r>
          </w:p>
        </w:tc>
        <w:tc>
          <w:tcPr>
            <w:tcW w:w="6636" w:type="dxa"/>
            <w:tcMar>
              <w:top w:w="140" w:type="dxa"/>
              <w:bottom w:w="140" w:type="dxa"/>
              <w:right w:w="0" w:type="dxa"/>
            </w:tcMar>
          </w:tcPr>
          <w:p w14:paraId="12F3C36C" w14:textId="3144AB38" w:rsidR="006561BA" w:rsidRDefault="005B4ED6" w:rsidP="006367AE">
            <w:pPr>
              <w:pStyle w:val="AnnexTableCellLeft"/>
              <w:spacing w:after="240"/>
            </w:pPr>
            <w:r>
              <w:t xml:space="preserve">Det er innført tiltak for håndtering og gjenvinning av avfall ved endt levetid, herunder gjennom avtaler om skroting med leverandører av materialgjenvinningstjenester, integrering i økonomiske prognoser eller offisiell prosjektdokumentasjon. Disse tiltakene sikrer at komponenter og materialer sorteres og behandles for å maksimere materialgjenvinningen og ombruken i samsvar med avfallshierarkiet, prinsippene i EUs avfallsregelverk og gjeldende bestemmelser, særlig gjennom ombruk og materialgjenvinning av batterier og elektronikk og av kritiske </w:t>
            </w:r>
            <w:r w:rsidR="00BA53C1">
              <w:t xml:space="preserve">råvarer </w:t>
            </w:r>
            <w:r>
              <w:t>som inngår i disse. Disse tiltakene omfatter også kontroll med og håndtering av farlige materialer.</w:t>
            </w:r>
          </w:p>
          <w:p w14:paraId="2C9CC327" w14:textId="77777777" w:rsidR="006561BA" w:rsidRDefault="005B4ED6">
            <w:pPr>
              <w:pStyle w:val="AnnexTableCellLeft"/>
            </w:pPr>
            <w:r>
              <w:t>Forberedelser til ombruk, utnytting eller materialgjenvinning, eller korrekt behandling, herunder uttak av alle væsker og selektiv behandling utføres i samsvar med vedlegg VII til europaparlaments- og rådsdirektiv 2012/19/EU(</w:t>
            </w:r>
            <w:bookmarkStart w:id="45" w:name="NOTE_46"/>
            <w:r>
              <w:rPr>
                <w:rStyle w:val="FootnoteReference"/>
                <w:sz w:val="18"/>
              </w:rPr>
              <w:footnoteReference w:id="47"/>
            </w:r>
            <w:bookmarkEnd w:id="45"/>
            <w:r>
              <w:t>).</w:t>
            </w:r>
          </w:p>
        </w:tc>
      </w:tr>
      <w:tr w:rsidR="006561BA" w14:paraId="54E43873" w14:textId="77777777">
        <w:trPr>
          <w:trHeight w:val="360"/>
        </w:trPr>
        <w:tc>
          <w:tcPr>
            <w:tcW w:w="2592" w:type="dxa"/>
            <w:tcMar>
              <w:top w:w="140" w:type="dxa"/>
              <w:left w:w="0" w:type="dxa"/>
              <w:bottom w:w="140" w:type="dxa"/>
            </w:tcMar>
          </w:tcPr>
          <w:p w14:paraId="756FD8FE" w14:textId="77777777" w:rsidR="006561BA" w:rsidRDefault="005B4ED6">
            <w:pPr>
              <w:pStyle w:val="AnnexNumberedText"/>
              <w:ind w:left="293" w:hanging="293"/>
            </w:pPr>
            <w:r>
              <w:t>5)</w:t>
            </w:r>
            <w:r>
              <w:tab/>
              <w:t>Forebygging og begrensning av forurensning</w:t>
            </w:r>
          </w:p>
        </w:tc>
        <w:tc>
          <w:tcPr>
            <w:tcW w:w="6636" w:type="dxa"/>
            <w:tcMar>
              <w:top w:w="140" w:type="dxa"/>
              <w:bottom w:w="140" w:type="dxa"/>
              <w:right w:w="0" w:type="dxa"/>
            </w:tcMar>
          </w:tcPr>
          <w:p w14:paraId="5EE485B4" w14:textId="77777777" w:rsidR="006561BA" w:rsidRDefault="005B4ED6" w:rsidP="00BA08E9">
            <w:pPr>
              <w:pStyle w:val="AnnexTableCellLeft"/>
              <w:spacing w:after="240"/>
            </w:pPr>
            <w:r>
              <w:t>Utstyret som brukes, oppfyller kravene i europaparlaments- og rådsdirektiv 2009/125/EF(</w:t>
            </w:r>
            <w:bookmarkStart w:id="46" w:name="NOTE_47"/>
            <w:r>
              <w:rPr>
                <w:rStyle w:val="FootnoteReference"/>
                <w:sz w:val="18"/>
              </w:rPr>
              <w:footnoteReference w:id="48"/>
            </w:r>
            <w:bookmarkEnd w:id="46"/>
            <w:r>
              <w:t>) for servere og datalagringsprodukter.</w:t>
            </w:r>
          </w:p>
          <w:p w14:paraId="7FEA26EC" w14:textId="77777777" w:rsidR="006561BA" w:rsidRDefault="005B4ED6">
            <w:pPr>
              <w:pStyle w:val="AnnexTableCellLeft"/>
            </w:pPr>
            <w:r>
              <w:t>Utstyret som brukes, inneholder ikke de stoffene som er underlagt begrensninger, og som er oppført i vedlegg II til europaparlaments- og rådsdirektiv 2011/65/EU(</w:t>
            </w:r>
            <w:bookmarkStart w:id="47" w:name="NOTE_48"/>
            <w:r>
              <w:rPr>
                <w:rStyle w:val="FootnoteReference"/>
                <w:sz w:val="18"/>
              </w:rPr>
              <w:footnoteReference w:id="49"/>
            </w:r>
            <w:bookmarkEnd w:id="47"/>
            <w:r>
              <w:t>), med mindre konsentrasjonsverdiene i vektprosent i homogene materialer ikke overskrider maksimumsverdiene oppført i det nevnte vedlegget.</w:t>
            </w:r>
          </w:p>
        </w:tc>
      </w:tr>
      <w:tr w:rsidR="006561BA" w14:paraId="3B1ABCEE" w14:textId="77777777">
        <w:trPr>
          <w:trHeight w:val="360"/>
        </w:trPr>
        <w:tc>
          <w:tcPr>
            <w:tcW w:w="2592" w:type="dxa"/>
            <w:tcMar>
              <w:top w:w="140" w:type="dxa"/>
              <w:left w:w="0" w:type="dxa"/>
              <w:bottom w:w="140" w:type="dxa"/>
            </w:tcMar>
          </w:tcPr>
          <w:p w14:paraId="52567269" w14:textId="77777777" w:rsidR="006561BA" w:rsidRDefault="005B4ED6">
            <w:pPr>
              <w:pStyle w:val="AnnexNumberedText"/>
              <w:ind w:left="293" w:hanging="293"/>
            </w:pPr>
            <w:r>
              <w:t>6)</w:t>
            </w:r>
            <w:r>
              <w:tab/>
              <w:t>Beskyttelse og restaurering av biologisk mangfold og økosystemer</w:t>
            </w:r>
          </w:p>
        </w:tc>
        <w:tc>
          <w:tcPr>
            <w:tcW w:w="6636" w:type="dxa"/>
            <w:tcMar>
              <w:top w:w="140" w:type="dxa"/>
              <w:bottom w:w="140" w:type="dxa"/>
              <w:right w:w="0" w:type="dxa"/>
            </w:tcMar>
          </w:tcPr>
          <w:p w14:paraId="59700FCB" w14:textId="77777777" w:rsidR="006561BA" w:rsidRDefault="005B4ED6">
            <w:pPr>
              <w:pStyle w:val="AnnexTableCellLeft"/>
            </w:pPr>
            <w:r>
              <w:t>Ikke relevant</w:t>
            </w:r>
          </w:p>
        </w:tc>
      </w:tr>
    </w:tbl>
    <w:p w14:paraId="0BCEDCAB" w14:textId="77777777" w:rsidR="006561BA" w:rsidRDefault="006561BA">
      <w:pPr>
        <w:shd w:val="clear" w:color="auto" w:fill="auto"/>
        <w:jc w:val="left"/>
        <w:rPr>
          <w:i/>
          <w:color w:val="auto"/>
          <w:sz w:val="16"/>
          <w14:ligatures w14:val="standard"/>
        </w:rPr>
      </w:pPr>
    </w:p>
    <w:p w14:paraId="19F4364F" w14:textId="77777777" w:rsidR="006561BA" w:rsidRDefault="006561BA">
      <w:pPr>
        <w:pStyle w:val="AnnexTI"/>
        <w:sectPr w:rsidR="006561BA" w:rsidSect="000D3D55">
          <w:footnotePr>
            <w:pos w:val="beneathText"/>
            <w:numRestart w:val="eachPage"/>
          </w:footnotePr>
          <w:pgSz w:w="11906" w:h="16838" w:code="9"/>
          <w:pgMar w:top="1680" w:right="1333" w:bottom="840" w:left="1333" w:header="920" w:footer="280" w:gutter="0"/>
          <w:cols w:space="708"/>
          <w:docGrid w:linePitch="360"/>
        </w:sectPr>
      </w:pPr>
    </w:p>
    <w:p w14:paraId="48D4324A" w14:textId="77777777" w:rsidR="006561BA" w:rsidRDefault="005B4ED6">
      <w:pPr>
        <w:pStyle w:val="AnnexTI"/>
      </w:pPr>
      <w:r>
        <w:lastRenderedPageBreak/>
        <w:t>Tillegg A</w:t>
      </w:r>
    </w:p>
    <w:p w14:paraId="0F9A2690" w14:textId="77777777" w:rsidR="006561BA" w:rsidRDefault="005B4ED6">
      <w:pPr>
        <w:pStyle w:val="AnnexSTI"/>
      </w:pPr>
      <w:r>
        <w:t>Generiske kriterier for anvendelse av prinsippet om ikke å gjøre betydelig skade (DNSH-kriterier) for tilpasning til klimaendringer</w:t>
      </w:r>
    </w:p>
    <w:p w14:paraId="27C62872" w14:textId="77777777" w:rsidR="006561BA" w:rsidRDefault="005B4ED6">
      <w:pPr>
        <w:pStyle w:val="AnnexNumberedText"/>
        <w:ind w:left="308" w:hanging="308"/>
      </w:pPr>
      <w:r>
        <w:t>I.</w:t>
      </w:r>
      <w:r>
        <w:rPr>
          <w:b/>
        </w:rPr>
        <w:tab/>
        <w:t>Kriterier</w:t>
      </w:r>
    </w:p>
    <w:tbl>
      <w:tblPr>
        <w:tblStyle w:val="EFTATable"/>
        <w:tblW w:w="9228" w:type="dxa"/>
        <w:tblInd w:w="112" w:type="dxa"/>
        <w:tblLayout w:type="fixed"/>
        <w:tblLook w:val="04A0" w:firstRow="1" w:lastRow="0" w:firstColumn="1" w:lastColumn="0" w:noHBand="0" w:noVBand="1"/>
      </w:tblPr>
      <w:tblGrid>
        <w:gridCol w:w="9228"/>
      </w:tblGrid>
      <w:tr w:rsidR="006561BA" w14:paraId="07A0CDDF" w14:textId="77777777">
        <w:tc>
          <w:tcPr>
            <w:tcW w:w="9228" w:type="dxa"/>
            <w:tcBorders>
              <w:left w:val="single" w:sz="4" w:space="0" w:color="auto"/>
              <w:right w:val="single" w:sz="4" w:space="0" w:color="auto"/>
            </w:tcBorders>
            <w:shd w:val="clear" w:color="auto" w:fill="F2F2F2"/>
            <w:tcMar>
              <w:top w:w="100" w:type="dxa"/>
              <w:left w:w="100" w:type="dxa"/>
              <w:bottom w:w="100" w:type="dxa"/>
              <w:right w:w="100" w:type="dxa"/>
            </w:tcMar>
          </w:tcPr>
          <w:p w14:paraId="780A77D9" w14:textId="77777777" w:rsidR="006561BA" w:rsidRDefault="005B4ED6">
            <w:pPr>
              <w:pStyle w:val="AnnexNormal"/>
              <w:spacing w:after="120"/>
            </w:pPr>
            <w:r>
              <w:t>De fysiske klimarisikoene som er vesentlige for aktiviteten, er identifisert ut fra dem som er oppført i tabellen i avsnitt II i dette tillegget, ved å utføre en robust klimarisiko- og sårbarhetsvurdering med følgende trinn:</w:t>
            </w:r>
          </w:p>
          <w:p w14:paraId="44A4C940" w14:textId="77777777" w:rsidR="006561BA" w:rsidRDefault="005B4ED6">
            <w:pPr>
              <w:pStyle w:val="AnnexNumberedText"/>
              <w:ind w:left="293" w:hanging="293"/>
            </w:pPr>
            <w:r>
              <w:t>a)</w:t>
            </w:r>
            <w:r>
              <w:tab/>
              <w:t>Screening av aktiviteten for å identifisere hvilke fysiske klimarisikoer fra listen i avsnitt II i dette tillegget som kan påvirke den økonomiske aktivitetens prestasjon i dens forventede levetid.</w:t>
            </w:r>
          </w:p>
          <w:p w14:paraId="00C97B30" w14:textId="77777777" w:rsidR="006561BA" w:rsidRDefault="005B4ED6">
            <w:pPr>
              <w:pStyle w:val="AnnexNumberedText"/>
              <w:ind w:left="293" w:hanging="293"/>
            </w:pPr>
            <w:r>
              <w:t>b)</w:t>
            </w:r>
            <w:r>
              <w:tab/>
              <w:t>Dersom aktiviteten vurderes å være utsatt for en eller flere av de fysiske klimarisikoene som er oppført i avsnitt II i dette tillegget, en klimarisiko- og sårbarhetsvurdering for å vurdere hvor vesentlige de fysiske klimarisikoene er for den økonomiske aktiviteten.</w:t>
            </w:r>
          </w:p>
          <w:p w14:paraId="4C87993C" w14:textId="77777777" w:rsidR="006561BA" w:rsidRDefault="005B4ED6">
            <w:pPr>
              <w:pStyle w:val="AnnexNumberedText"/>
              <w:ind w:left="293" w:hanging="293"/>
            </w:pPr>
            <w:r>
              <w:t>c)</w:t>
            </w:r>
            <w:r>
              <w:tab/>
              <w:t>En vurdering av tilpasningsløsninger som kan redusere den identifiserte fysiske klimarisikoen.</w:t>
            </w:r>
          </w:p>
          <w:p w14:paraId="090E6081" w14:textId="77777777" w:rsidR="006561BA" w:rsidRDefault="005B4ED6">
            <w:pPr>
              <w:pStyle w:val="AnnexNormal"/>
              <w:spacing w:after="120"/>
            </w:pPr>
            <w:r>
              <w:t>Klimarisiko- og sårbarhetsvurderingen står i forhold til aktivitetens omfang og forventede levetid, slik at</w:t>
            </w:r>
          </w:p>
          <w:p w14:paraId="0798DB4E" w14:textId="77777777" w:rsidR="006561BA" w:rsidRDefault="005B4ED6">
            <w:pPr>
              <w:pStyle w:val="AnnexNumberedText"/>
              <w:ind w:left="293" w:hanging="293"/>
            </w:pPr>
            <w:r>
              <w:t>a)</w:t>
            </w:r>
            <w:r>
              <w:tab/>
              <w:t>vurderingen av aktiviteter med en forventet levetid på mindre enn ti år som et minimum utføres ved å bruke klimaframskrivninger i minste hensiktsmessige skala,</w:t>
            </w:r>
          </w:p>
          <w:p w14:paraId="0E21F9C9" w14:textId="77777777" w:rsidR="006561BA" w:rsidRDefault="005B4ED6">
            <w:pPr>
              <w:pStyle w:val="AnnexNumberedText"/>
              <w:ind w:left="293" w:hanging="293"/>
            </w:pPr>
            <w:r>
              <w:t>b)</w:t>
            </w:r>
            <w:r>
              <w:tab/>
              <w:t>vurderingen av alle andre aktiviteter utføres ved hjelp av avanserte klimaframskrivninger med høyest tilgjengelig oppløsning på tvers av alle eksisterende framtidige scenarioer(</w:t>
            </w:r>
            <w:bookmarkStart w:id="48" w:name="NOTE_49"/>
            <w:r>
              <w:rPr>
                <w:rStyle w:val="FootnoteReference"/>
                <w:sz w:val="18"/>
              </w:rPr>
              <w:footnoteReference w:id="50"/>
            </w:r>
            <w:bookmarkEnd w:id="48"/>
            <w:r>
              <w:t>), som er i samsvar med aktivitetens forventede levetid, herunder klimaframskrivningsscenarioer på minst 10–30 år for større investeringer.</w:t>
            </w:r>
          </w:p>
          <w:p w14:paraId="48783B35" w14:textId="77777777" w:rsidR="006561BA" w:rsidRDefault="005B4ED6">
            <w:pPr>
              <w:pStyle w:val="AnnexNormal"/>
              <w:spacing w:after="120"/>
            </w:pPr>
            <w:r>
              <w:t>Klimaframskrivningene og vurderingen av virkninger er basert på beste praksis og tilgjengelig veiledning og tar hensyn til den nyeste vitenskapen for sårbarhets- og risikoanalyser og relaterte metoder i tråd med de nyeste rapportene fra FNs klimapanel(</w:t>
            </w:r>
            <w:bookmarkStart w:id="49" w:name="NOTE_50"/>
            <w:r>
              <w:rPr>
                <w:rStyle w:val="FootnoteReference"/>
                <w:sz w:val="18"/>
              </w:rPr>
              <w:footnoteReference w:id="51"/>
            </w:r>
            <w:bookmarkEnd w:id="49"/>
            <w:r>
              <w:t>), fagfellevurderte vitenskapelige publikasjoner og modeller som bruker åpen kildekode(</w:t>
            </w:r>
            <w:bookmarkStart w:id="50" w:name="NOTE_51"/>
            <w:r>
              <w:rPr>
                <w:rStyle w:val="FootnoteReference"/>
                <w:sz w:val="18"/>
              </w:rPr>
              <w:footnoteReference w:id="52"/>
            </w:r>
            <w:bookmarkEnd w:id="50"/>
            <w:r>
              <w:t>), eller betalingsmodeller.</w:t>
            </w:r>
          </w:p>
          <w:p w14:paraId="47843A05" w14:textId="77777777" w:rsidR="006561BA" w:rsidRDefault="005B4ED6">
            <w:pPr>
              <w:pStyle w:val="AnnexNormal"/>
              <w:spacing w:after="120"/>
            </w:pPr>
            <w:r>
              <w:t>For eksisterende aktiviteter og nye aktiviteter som bruker eksisterende fysiske eiendeler, gjennomfører markedsdeltakeren fysiske og ikke-fysiske løsninger («tilpasningsløsninger») over et tidsrom på inntil fem år, som reduserer de viktigste identifiserte fysiske klimarisikoene som er vesentlige for denne aktiviteten. En tilpasningsplan for gjennomføringen av disse løsningene utarbeides i samsvar med dette.</w:t>
            </w:r>
          </w:p>
          <w:p w14:paraId="36B29C85" w14:textId="77777777" w:rsidR="006561BA" w:rsidRDefault="005B4ED6">
            <w:pPr>
              <w:pStyle w:val="AnnexNormal"/>
              <w:spacing w:after="120"/>
            </w:pPr>
            <w:r>
              <w:t>For nye aktiviteter og eksisterende aktiviteter som bruker nybygde fysiske eiendeler, integrerer markedsdeltakeren tilpasningsløsningene som reduserer de viktigste identifiserte fysiske klimarisikoene som er vesentlige for denne aktiviteten, på tidspunktet for utforming og bygging, og har gjennomført dem før driften igangsettes.</w:t>
            </w:r>
          </w:p>
          <w:p w14:paraId="7D2B77D3" w14:textId="77777777" w:rsidR="006561BA" w:rsidRDefault="005B4ED6">
            <w:pPr>
              <w:pStyle w:val="AnnexNormal"/>
            </w:pPr>
            <w:r>
              <w:t>De gjennomførte tilpasningsløsningene har ingen negativ innvirkning på tilpasningstiltakene eller motstandsdyktigheten mot fysiske klimarisikoer hos andre mennesker, naturen, kulturarv, eiendeler og andre økonomiske aktiviteter, er i samsvar med lokale, sektorielle, regionale eller nasjonale tilpasningsstrategier og -planer, og vurderer bruken av naturbaserte løsninger(</w:t>
            </w:r>
            <w:bookmarkStart w:id="51" w:name="NOTE_52"/>
            <w:r>
              <w:rPr>
                <w:rStyle w:val="FootnoteReference"/>
                <w:sz w:val="18"/>
              </w:rPr>
              <w:footnoteReference w:id="53"/>
            </w:r>
            <w:bookmarkEnd w:id="51"/>
            <w:r>
              <w:t>) eller støtter seg på blå eller grønn infrastruktur(</w:t>
            </w:r>
            <w:bookmarkStart w:id="52" w:name="NOTE_53"/>
            <w:r>
              <w:rPr>
                <w:rStyle w:val="FootnoteReference"/>
                <w:sz w:val="18"/>
              </w:rPr>
              <w:footnoteReference w:id="54"/>
            </w:r>
            <w:bookmarkEnd w:id="52"/>
            <w:r>
              <w:t>) i den grad det er mulig.</w:t>
            </w:r>
          </w:p>
        </w:tc>
      </w:tr>
    </w:tbl>
    <w:p w14:paraId="3F068CFF" w14:textId="77777777" w:rsidR="006561BA" w:rsidRDefault="005B4ED6">
      <w:pPr>
        <w:pStyle w:val="AnnexNormal"/>
        <w:ind w:left="308"/>
      </w:pPr>
      <w:r>
        <w:br w:type="page"/>
      </w:r>
    </w:p>
    <w:p w14:paraId="795BFA2F" w14:textId="77777777" w:rsidR="006561BA" w:rsidRDefault="005B4ED6">
      <w:pPr>
        <w:pStyle w:val="AnnexNumberedText"/>
        <w:spacing w:after="200"/>
        <w:ind w:left="308" w:hanging="308"/>
      </w:pPr>
      <w:r>
        <w:lastRenderedPageBreak/>
        <w:t>II.</w:t>
      </w:r>
      <w:r>
        <w:rPr>
          <w:b/>
        </w:rPr>
        <w:tab/>
        <w:t>Klassifisering av klimarelaterte farer</w:t>
      </w:r>
      <w:r>
        <w:t>(</w:t>
      </w:r>
      <w:bookmarkStart w:id="53" w:name="NOTE_54"/>
      <w:r>
        <w:rPr>
          <w:rStyle w:val="FootnoteReference"/>
          <w:sz w:val="18"/>
        </w:rPr>
        <w:footnoteReference w:id="55"/>
      </w:r>
      <w:bookmarkEnd w:id="53"/>
      <w:r>
        <w:t>)</w:t>
      </w:r>
    </w:p>
    <w:tbl>
      <w:tblPr>
        <w:tblStyle w:val="EFTATable"/>
        <w:tblW w:w="9240" w:type="dxa"/>
        <w:tblLayout w:type="fixed"/>
        <w:tblLook w:val="04A0" w:firstRow="1" w:lastRow="0" w:firstColumn="1" w:lastColumn="0" w:noHBand="0" w:noVBand="1"/>
      </w:tblPr>
      <w:tblGrid>
        <w:gridCol w:w="936"/>
        <w:gridCol w:w="2076"/>
        <w:gridCol w:w="2076"/>
        <w:gridCol w:w="2076"/>
        <w:gridCol w:w="2076"/>
      </w:tblGrid>
      <w:tr w:rsidR="006561BA" w14:paraId="4BC88ACC" w14:textId="77777777">
        <w:trPr>
          <w:trHeight w:val="243"/>
          <w:tblHeader/>
        </w:trPr>
        <w:tc>
          <w:tcPr>
            <w:tcW w:w="936" w:type="dxa"/>
            <w:shd w:val="clear" w:color="auto" w:fill="F2F2F2"/>
            <w:tcMar>
              <w:left w:w="0" w:type="dxa"/>
            </w:tcMar>
            <w:vAlign w:val="center"/>
          </w:tcPr>
          <w:p w14:paraId="5899DE53" w14:textId="77777777" w:rsidR="006561BA" w:rsidRDefault="006561BA">
            <w:pPr>
              <w:pStyle w:val="AnnexTableHeader"/>
              <w:spacing w:line="200" w:lineRule="exact"/>
            </w:pPr>
          </w:p>
        </w:tc>
        <w:tc>
          <w:tcPr>
            <w:tcW w:w="2076" w:type="dxa"/>
            <w:shd w:val="clear" w:color="auto" w:fill="F2F2F2"/>
            <w:vAlign w:val="center"/>
          </w:tcPr>
          <w:p w14:paraId="21F2FCBB" w14:textId="77777777" w:rsidR="006561BA" w:rsidRDefault="005B4ED6">
            <w:pPr>
              <w:pStyle w:val="AnnexTableHeader"/>
              <w:spacing w:line="200" w:lineRule="exact"/>
            </w:pPr>
            <w:r>
              <w:rPr>
                <w:b/>
              </w:rPr>
              <w:t>Temperaturrelatert</w:t>
            </w:r>
          </w:p>
        </w:tc>
        <w:tc>
          <w:tcPr>
            <w:tcW w:w="2076" w:type="dxa"/>
            <w:shd w:val="clear" w:color="auto" w:fill="F2F2F2"/>
            <w:vAlign w:val="center"/>
          </w:tcPr>
          <w:p w14:paraId="01D65EF7" w14:textId="77777777" w:rsidR="006561BA" w:rsidRDefault="005B4ED6">
            <w:pPr>
              <w:pStyle w:val="AnnexTableHeader"/>
              <w:spacing w:line="200" w:lineRule="exact"/>
            </w:pPr>
            <w:r>
              <w:rPr>
                <w:b/>
              </w:rPr>
              <w:t>Vindrelatert</w:t>
            </w:r>
          </w:p>
        </w:tc>
        <w:tc>
          <w:tcPr>
            <w:tcW w:w="2076" w:type="dxa"/>
            <w:shd w:val="clear" w:color="auto" w:fill="F2F2F2"/>
            <w:vAlign w:val="center"/>
          </w:tcPr>
          <w:p w14:paraId="1805D2B8" w14:textId="77777777" w:rsidR="006561BA" w:rsidRDefault="005B4ED6">
            <w:pPr>
              <w:pStyle w:val="AnnexTableHeader"/>
              <w:spacing w:line="200" w:lineRule="exact"/>
            </w:pPr>
            <w:r>
              <w:rPr>
                <w:b/>
              </w:rPr>
              <w:t>Vannrelatert</w:t>
            </w:r>
          </w:p>
        </w:tc>
        <w:tc>
          <w:tcPr>
            <w:tcW w:w="2076" w:type="dxa"/>
            <w:shd w:val="clear" w:color="auto" w:fill="F2F2F2"/>
            <w:tcMar>
              <w:right w:w="0" w:type="dxa"/>
            </w:tcMar>
            <w:vAlign w:val="center"/>
          </w:tcPr>
          <w:p w14:paraId="32719E09" w14:textId="77777777" w:rsidR="006561BA" w:rsidRDefault="005B4ED6">
            <w:pPr>
              <w:pStyle w:val="AnnexTableHeader"/>
              <w:spacing w:line="200" w:lineRule="exact"/>
            </w:pPr>
            <w:r>
              <w:rPr>
                <w:b/>
              </w:rPr>
              <w:t>Relatert til fast masse</w:t>
            </w:r>
          </w:p>
        </w:tc>
      </w:tr>
      <w:tr w:rsidR="006561BA" w14:paraId="0427C860" w14:textId="77777777">
        <w:tc>
          <w:tcPr>
            <w:tcW w:w="936" w:type="dxa"/>
            <w:vMerge w:val="restart"/>
            <w:shd w:val="clear" w:color="auto" w:fill="F2F2F2"/>
            <w:tcMar>
              <w:top w:w="60" w:type="dxa"/>
              <w:left w:w="0" w:type="dxa"/>
              <w:bottom w:w="60" w:type="dxa"/>
            </w:tcMar>
            <w:textDirection w:val="btLr"/>
            <w:vAlign w:val="center"/>
          </w:tcPr>
          <w:p w14:paraId="6781918B" w14:textId="77777777" w:rsidR="006561BA" w:rsidRDefault="005B4ED6">
            <w:pPr>
              <w:pStyle w:val="AnnexTableCellLeft"/>
              <w:ind w:left="113" w:right="113"/>
              <w:jc w:val="center"/>
            </w:pPr>
            <w:r>
              <w:rPr>
                <w:b/>
              </w:rPr>
              <w:t>Kronisk</w:t>
            </w:r>
          </w:p>
        </w:tc>
        <w:tc>
          <w:tcPr>
            <w:tcW w:w="2076" w:type="dxa"/>
            <w:shd w:val="clear" w:color="auto" w:fill="F2F2F2"/>
            <w:tcMar>
              <w:top w:w="60" w:type="dxa"/>
              <w:bottom w:w="60" w:type="dxa"/>
            </w:tcMar>
          </w:tcPr>
          <w:p w14:paraId="70B96EBD" w14:textId="77777777" w:rsidR="006561BA" w:rsidRDefault="005B4ED6">
            <w:pPr>
              <w:pStyle w:val="AnnexTableCellLeft"/>
            </w:pPr>
            <w:r>
              <w:t>Endringer i temperatur (luft, ferskvann, sjøvann)</w:t>
            </w:r>
          </w:p>
        </w:tc>
        <w:tc>
          <w:tcPr>
            <w:tcW w:w="2076" w:type="dxa"/>
            <w:shd w:val="clear" w:color="auto" w:fill="F2F2F2"/>
            <w:tcMar>
              <w:top w:w="60" w:type="dxa"/>
              <w:bottom w:w="60" w:type="dxa"/>
            </w:tcMar>
          </w:tcPr>
          <w:p w14:paraId="14DA426C" w14:textId="77777777" w:rsidR="006561BA" w:rsidRDefault="005B4ED6">
            <w:pPr>
              <w:pStyle w:val="AnnexTableCellLeft"/>
            </w:pPr>
            <w:r>
              <w:t>Endringer i vindmønstre</w:t>
            </w:r>
          </w:p>
        </w:tc>
        <w:tc>
          <w:tcPr>
            <w:tcW w:w="2076" w:type="dxa"/>
            <w:shd w:val="clear" w:color="auto" w:fill="F2F2F2"/>
            <w:tcMar>
              <w:top w:w="60" w:type="dxa"/>
              <w:bottom w:w="60" w:type="dxa"/>
            </w:tcMar>
          </w:tcPr>
          <w:p w14:paraId="1432E328" w14:textId="77777777" w:rsidR="006561BA" w:rsidRDefault="005B4ED6">
            <w:pPr>
              <w:pStyle w:val="AnnexTableCellLeft"/>
            </w:pPr>
            <w:r>
              <w:t>Endringer i nedbørsmønstre og -typer (regn, hagl, snø/is)</w:t>
            </w:r>
          </w:p>
        </w:tc>
        <w:tc>
          <w:tcPr>
            <w:tcW w:w="2076" w:type="dxa"/>
            <w:shd w:val="clear" w:color="auto" w:fill="F2F2F2"/>
            <w:tcMar>
              <w:top w:w="60" w:type="dxa"/>
              <w:bottom w:w="60" w:type="dxa"/>
              <w:right w:w="0" w:type="dxa"/>
            </w:tcMar>
          </w:tcPr>
          <w:p w14:paraId="7F4138AA" w14:textId="77777777" w:rsidR="006561BA" w:rsidRDefault="005B4ED6">
            <w:pPr>
              <w:pStyle w:val="AnnexTableCellLeft"/>
            </w:pPr>
            <w:r>
              <w:t>Kysterosjon</w:t>
            </w:r>
          </w:p>
        </w:tc>
      </w:tr>
      <w:tr w:rsidR="006561BA" w14:paraId="49229868" w14:textId="77777777">
        <w:tc>
          <w:tcPr>
            <w:tcW w:w="936" w:type="dxa"/>
            <w:vMerge/>
            <w:shd w:val="clear" w:color="auto" w:fill="F2F2F2"/>
            <w:tcMar>
              <w:top w:w="60" w:type="dxa"/>
              <w:left w:w="0" w:type="dxa"/>
              <w:bottom w:w="60" w:type="dxa"/>
            </w:tcMar>
            <w:textDirection w:val="btLr"/>
            <w:vAlign w:val="center"/>
          </w:tcPr>
          <w:p w14:paraId="053EACAC" w14:textId="77777777" w:rsidR="006561BA" w:rsidRDefault="006561BA">
            <w:pPr>
              <w:pStyle w:val="Para"/>
              <w:ind w:left="113" w:right="113"/>
              <w:jc w:val="center"/>
            </w:pPr>
          </w:p>
        </w:tc>
        <w:tc>
          <w:tcPr>
            <w:tcW w:w="2076" w:type="dxa"/>
            <w:shd w:val="clear" w:color="auto" w:fill="F2F2F2"/>
            <w:tcMar>
              <w:top w:w="60" w:type="dxa"/>
              <w:bottom w:w="60" w:type="dxa"/>
            </w:tcMar>
          </w:tcPr>
          <w:p w14:paraId="5072F2E3" w14:textId="77777777" w:rsidR="006561BA" w:rsidRDefault="005B4ED6">
            <w:pPr>
              <w:pStyle w:val="AnnexTableCellLeft"/>
            </w:pPr>
            <w:r>
              <w:t>Varmestress</w:t>
            </w:r>
          </w:p>
        </w:tc>
        <w:tc>
          <w:tcPr>
            <w:tcW w:w="2076" w:type="dxa"/>
            <w:shd w:val="clear" w:color="auto" w:fill="F2F2F2"/>
            <w:tcMar>
              <w:top w:w="60" w:type="dxa"/>
              <w:bottom w:w="60" w:type="dxa"/>
            </w:tcMar>
          </w:tcPr>
          <w:p w14:paraId="64DCD557" w14:textId="77777777" w:rsidR="006561BA" w:rsidRDefault="006561BA">
            <w:pPr>
              <w:pStyle w:val="AnnexTableCellLeft"/>
            </w:pPr>
          </w:p>
        </w:tc>
        <w:tc>
          <w:tcPr>
            <w:tcW w:w="2076" w:type="dxa"/>
            <w:shd w:val="clear" w:color="auto" w:fill="F2F2F2"/>
            <w:tcMar>
              <w:top w:w="60" w:type="dxa"/>
              <w:bottom w:w="60" w:type="dxa"/>
            </w:tcMar>
          </w:tcPr>
          <w:p w14:paraId="06F15382" w14:textId="77777777" w:rsidR="006561BA" w:rsidRDefault="005B4ED6">
            <w:pPr>
              <w:pStyle w:val="AnnexTableCellLeft"/>
            </w:pPr>
            <w:proofErr w:type="spellStart"/>
            <w:r>
              <w:t>Nedbørsmessige</w:t>
            </w:r>
            <w:proofErr w:type="spellEnd"/>
            <w:r>
              <w:t xml:space="preserve"> eller hydrologiske variasjoner</w:t>
            </w:r>
          </w:p>
        </w:tc>
        <w:tc>
          <w:tcPr>
            <w:tcW w:w="2076" w:type="dxa"/>
            <w:shd w:val="clear" w:color="auto" w:fill="F2F2F2"/>
            <w:tcMar>
              <w:top w:w="60" w:type="dxa"/>
              <w:bottom w:w="60" w:type="dxa"/>
              <w:right w:w="0" w:type="dxa"/>
            </w:tcMar>
          </w:tcPr>
          <w:p w14:paraId="731D6117" w14:textId="77777777" w:rsidR="006561BA" w:rsidRDefault="005B4ED6">
            <w:pPr>
              <w:pStyle w:val="AnnexTableCellLeft"/>
            </w:pPr>
            <w:r>
              <w:t>Jordforringelse</w:t>
            </w:r>
          </w:p>
        </w:tc>
      </w:tr>
      <w:tr w:rsidR="006561BA" w14:paraId="28E5F35F" w14:textId="77777777">
        <w:tc>
          <w:tcPr>
            <w:tcW w:w="936" w:type="dxa"/>
            <w:vMerge/>
            <w:shd w:val="clear" w:color="auto" w:fill="F2F2F2"/>
            <w:tcMar>
              <w:top w:w="60" w:type="dxa"/>
              <w:left w:w="0" w:type="dxa"/>
              <w:bottom w:w="60" w:type="dxa"/>
            </w:tcMar>
            <w:textDirection w:val="btLr"/>
            <w:vAlign w:val="center"/>
          </w:tcPr>
          <w:p w14:paraId="4F3D9ABB" w14:textId="77777777" w:rsidR="006561BA" w:rsidRDefault="006561BA">
            <w:pPr>
              <w:pStyle w:val="Para"/>
              <w:ind w:left="113" w:right="113"/>
              <w:jc w:val="center"/>
            </w:pPr>
          </w:p>
        </w:tc>
        <w:tc>
          <w:tcPr>
            <w:tcW w:w="2076" w:type="dxa"/>
            <w:shd w:val="clear" w:color="auto" w:fill="F2F2F2"/>
            <w:tcMar>
              <w:top w:w="60" w:type="dxa"/>
              <w:bottom w:w="60" w:type="dxa"/>
            </w:tcMar>
          </w:tcPr>
          <w:p w14:paraId="0965E6AE" w14:textId="77777777" w:rsidR="006561BA" w:rsidRDefault="005B4ED6">
            <w:pPr>
              <w:pStyle w:val="AnnexTableCellLeft"/>
            </w:pPr>
            <w:r>
              <w:t>Temperaturvariasjoner</w:t>
            </w:r>
          </w:p>
        </w:tc>
        <w:tc>
          <w:tcPr>
            <w:tcW w:w="2076" w:type="dxa"/>
            <w:shd w:val="clear" w:color="auto" w:fill="F2F2F2"/>
            <w:tcMar>
              <w:top w:w="60" w:type="dxa"/>
              <w:bottom w:w="60" w:type="dxa"/>
            </w:tcMar>
          </w:tcPr>
          <w:p w14:paraId="254F6686" w14:textId="77777777" w:rsidR="006561BA" w:rsidRDefault="006561BA">
            <w:pPr>
              <w:pStyle w:val="AnnexTableCellLeft"/>
            </w:pPr>
          </w:p>
        </w:tc>
        <w:tc>
          <w:tcPr>
            <w:tcW w:w="2076" w:type="dxa"/>
            <w:shd w:val="clear" w:color="auto" w:fill="F2F2F2"/>
            <w:tcMar>
              <w:top w:w="60" w:type="dxa"/>
              <w:bottom w:w="60" w:type="dxa"/>
            </w:tcMar>
          </w:tcPr>
          <w:p w14:paraId="721CD6D4" w14:textId="77777777" w:rsidR="006561BA" w:rsidRDefault="005B4ED6">
            <w:pPr>
              <w:pStyle w:val="AnnexTableCellLeft"/>
            </w:pPr>
            <w:r>
              <w:t>Havforsuring</w:t>
            </w:r>
          </w:p>
        </w:tc>
        <w:tc>
          <w:tcPr>
            <w:tcW w:w="2076" w:type="dxa"/>
            <w:shd w:val="clear" w:color="auto" w:fill="F2F2F2"/>
            <w:tcMar>
              <w:top w:w="60" w:type="dxa"/>
              <w:bottom w:w="60" w:type="dxa"/>
              <w:right w:w="0" w:type="dxa"/>
            </w:tcMar>
          </w:tcPr>
          <w:p w14:paraId="576A6D0A" w14:textId="77777777" w:rsidR="006561BA" w:rsidRDefault="005B4ED6">
            <w:pPr>
              <w:pStyle w:val="AnnexTableCellLeft"/>
            </w:pPr>
            <w:r>
              <w:t>Jorderosjon</w:t>
            </w:r>
          </w:p>
        </w:tc>
      </w:tr>
      <w:tr w:rsidR="006561BA" w14:paraId="2922E7CA" w14:textId="77777777">
        <w:tc>
          <w:tcPr>
            <w:tcW w:w="936" w:type="dxa"/>
            <w:vMerge/>
            <w:shd w:val="clear" w:color="auto" w:fill="F2F2F2"/>
            <w:tcMar>
              <w:top w:w="60" w:type="dxa"/>
              <w:left w:w="0" w:type="dxa"/>
              <w:bottom w:w="60" w:type="dxa"/>
            </w:tcMar>
            <w:textDirection w:val="btLr"/>
            <w:vAlign w:val="center"/>
          </w:tcPr>
          <w:p w14:paraId="18B65C14" w14:textId="77777777" w:rsidR="006561BA" w:rsidRDefault="006561BA">
            <w:pPr>
              <w:pStyle w:val="Para"/>
              <w:ind w:left="113" w:right="113"/>
              <w:jc w:val="center"/>
            </w:pPr>
          </w:p>
        </w:tc>
        <w:tc>
          <w:tcPr>
            <w:tcW w:w="2076" w:type="dxa"/>
            <w:shd w:val="clear" w:color="auto" w:fill="F2F2F2"/>
            <w:tcMar>
              <w:top w:w="60" w:type="dxa"/>
              <w:bottom w:w="60" w:type="dxa"/>
            </w:tcMar>
          </w:tcPr>
          <w:p w14:paraId="26F73991" w14:textId="77777777" w:rsidR="006561BA" w:rsidRDefault="005B4ED6">
            <w:pPr>
              <w:pStyle w:val="AnnexTableCellLeft"/>
            </w:pPr>
            <w:r>
              <w:t>Tinende permafrost</w:t>
            </w:r>
          </w:p>
        </w:tc>
        <w:tc>
          <w:tcPr>
            <w:tcW w:w="2076" w:type="dxa"/>
            <w:shd w:val="clear" w:color="auto" w:fill="F2F2F2"/>
            <w:tcMar>
              <w:top w:w="60" w:type="dxa"/>
              <w:bottom w:w="60" w:type="dxa"/>
            </w:tcMar>
          </w:tcPr>
          <w:p w14:paraId="75684265" w14:textId="77777777" w:rsidR="006561BA" w:rsidRDefault="006561BA">
            <w:pPr>
              <w:pStyle w:val="AnnexTableCellLeft"/>
            </w:pPr>
          </w:p>
        </w:tc>
        <w:tc>
          <w:tcPr>
            <w:tcW w:w="2076" w:type="dxa"/>
            <w:shd w:val="clear" w:color="auto" w:fill="F2F2F2"/>
            <w:tcMar>
              <w:top w:w="60" w:type="dxa"/>
              <w:bottom w:w="60" w:type="dxa"/>
            </w:tcMar>
          </w:tcPr>
          <w:p w14:paraId="3BC80AE9" w14:textId="77777777" w:rsidR="006561BA" w:rsidRDefault="005B4ED6">
            <w:pPr>
              <w:pStyle w:val="AnnexTableCellLeft"/>
            </w:pPr>
            <w:r>
              <w:t>Saltvannsinntrengning</w:t>
            </w:r>
          </w:p>
        </w:tc>
        <w:tc>
          <w:tcPr>
            <w:tcW w:w="2076" w:type="dxa"/>
            <w:shd w:val="clear" w:color="auto" w:fill="F2F2F2"/>
            <w:tcMar>
              <w:top w:w="60" w:type="dxa"/>
              <w:bottom w:w="60" w:type="dxa"/>
              <w:right w:w="0" w:type="dxa"/>
            </w:tcMar>
          </w:tcPr>
          <w:p w14:paraId="04576DFB" w14:textId="77777777" w:rsidR="006561BA" w:rsidRDefault="005B4ED6">
            <w:pPr>
              <w:pStyle w:val="AnnexTableCellLeft"/>
            </w:pPr>
            <w:proofErr w:type="spellStart"/>
            <w:r>
              <w:t>Jordsig</w:t>
            </w:r>
            <w:proofErr w:type="spellEnd"/>
          </w:p>
        </w:tc>
      </w:tr>
      <w:tr w:rsidR="006561BA" w14:paraId="19DB65F7" w14:textId="77777777">
        <w:tc>
          <w:tcPr>
            <w:tcW w:w="936" w:type="dxa"/>
            <w:vMerge/>
            <w:shd w:val="clear" w:color="auto" w:fill="F2F2F2"/>
            <w:tcMar>
              <w:top w:w="60" w:type="dxa"/>
              <w:left w:w="0" w:type="dxa"/>
              <w:bottom w:w="60" w:type="dxa"/>
            </w:tcMar>
            <w:textDirection w:val="btLr"/>
            <w:vAlign w:val="center"/>
          </w:tcPr>
          <w:p w14:paraId="3B22ED4D" w14:textId="77777777" w:rsidR="006561BA" w:rsidRDefault="006561BA">
            <w:pPr>
              <w:pStyle w:val="Para"/>
              <w:ind w:left="113" w:right="113"/>
              <w:jc w:val="center"/>
            </w:pPr>
          </w:p>
        </w:tc>
        <w:tc>
          <w:tcPr>
            <w:tcW w:w="2076" w:type="dxa"/>
            <w:shd w:val="clear" w:color="auto" w:fill="F2F2F2"/>
            <w:tcMar>
              <w:top w:w="60" w:type="dxa"/>
              <w:bottom w:w="60" w:type="dxa"/>
            </w:tcMar>
          </w:tcPr>
          <w:p w14:paraId="45F6704C" w14:textId="77777777" w:rsidR="006561BA" w:rsidRDefault="006561BA">
            <w:pPr>
              <w:pStyle w:val="AnnexTableCellLeft"/>
            </w:pPr>
          </w:p>
        </w:tc>
        <w:tc>
          <w:tcPr>
            <w:tcW w:w="2076" w:type="dxa"/>
            <w:shd w:val="clear" w:color="auto" w:fill="F2F2F2"/>
            <w:tcMar>
              <w:top w:w="60" w:type="dxa"/>
              <w:bottom w:w="60" w:type="dxa"/>
            </w:tcMar>
          </w:tcPr>
          <w:p w14:paraId="1A3EFED6" w14:textId="77777777" w:rsidR="006561BA" w:rsidRDefault="006561BA">
            <w:pPr>
              <w:pStyle w:val="AnnexTableCellLeft"/>
            </w:pPr>
          </w:p>
        </w:tc>
        <w:tc>
          <w:tcPr>
            <w:tcW w:w="2076" w:type="dxa"/>
            <w:shd w:val="clear" w:color="auto" w:fill="F2F2F2"/>
            <w:tcMar>
              <w:top w:w="60" w:type="dxa"/>
              <w:bottom w:w="60" w:type="dxa"/>
            </w:tcMar>
          </w:tcPr>
          <w:p w14:paraId="7DC30871" w14:textId="77777777" w:rsidR="006561BA" w:rsidRDefault="005B4ED6">
            <w:pPr>
              <w:pStyle w:val="AnnexTableCellLeft"/>
            </w:pPr>
            <w:r>
              <w:t>Havnivåstigning</w:t>
            </w:r>
          </w:p>
        </w:tc>
        <w:tc>
          <w:tcPr>
            <w:tcW w:w="2076" w:type="dxa"/>
            <w:shd w:val="clear" w:color="auto" w:fill="F2F2F2"/>
            <w:tcMar>
              <w:top w:w="60" w:type="dxa"/>
              <w:bottom w:w="60" w:type="dxa"/>
              <w:right w:w="0" w:type="dxa"/>
            </w:tcMar>
          </w:tcPr>
          <w:p w14:paraId="3E27D9CD" w14:textId="77777777" w:rsidR="006561BA" w:rsidRDefault="006561BA">
            <w:pPr>
              <w:pStyle w:val="AnnexTableCellLeft"/>
            </w:pPr>
          </w:p>
        </w:tc>
      </w:tr>
      <w:tr w:rsidR="006561BA" w14:paraId="3EBE1493" w14:textId="77777777">
        <w:tc>
          <w:tcPr>
            <w:tcW w:w="936" w:type="dxa"/>
            <w:vMerge/>
            <w:shd w:val="clear" w:color="auto" w:fill="F2F2F2"/>
            <w:tcMar>
              <w:top w:w="60" w:type="dxa"/>
              <w:left w:w="0" w:type="dxa"/>
              <w:bottom w:w="60" w:type="dxa"/>
            </w:tcMar>
            <w:textDirection w:val="btLr"/>
            <w:vAlign w:val="center"/>
          </w:tcPr>
          <w:p w14:paraId="10E37C11" w14:textId="77777777" w:rsidR="006561BA" w:rsidRDefault="006561BA">
            <w:pPr>
              <w:pStyle w:val="Para"/>
              <w:ind w:left="113" w:right="113"/>
              <w:jc w:val="center"/>
            </w:pPr>
          </w:p>
        </w:tc>
        <w:tc>
          <w:tcPr>
            <w:tcW w:w="2076" w:type="dxa"/>
            <w:shd w:val="clear" w:color="auto" w:fill="F2F2F2"/>
            <w:tcMar>
              <w:top w:w="60" w:type="dxa"/>
              <w:bottom w:w="60" w:type="dxa"/>
            </w:tcMar>
          </w:tcPr>
          <w:p w14:paraId="021B48A9" w14:textId="77777777" w:rsidR="006561BA" w:rsidRDefault="006561BA">
            <w:pPr>
              <w:pStyle w:val="AnnexTableCellLeft"/>
            </w:pPr>
          </w:p>
        </w:tc>
        <w:tc>
          <w:tcPr>
            <w:tcW w:w="2076" w:type="dxa"/>
            <w:shd w:val="clear" w:color="auto" w:fill="F2F2F2"/>
            <w:tcMar>
              <w:top w:w="60" w:type="dxa"/>
              <w:bottom w:w="60" w:type="dxa"/>
            </w:tcMar>
          </w:tcPr>
          <w:p w14:paraId="6BBF1C83" w14:textId="77777777" w:rsidR="006561BA" w:rsidRDefault="006561BA">
            <w:pPr>
              <w:pStyle w:val="AnnexTableCellLeft"/>
            </w:pPr>
          </w:p>
        </w:tc>
        <w:tc>
          <w:tcPr>
            <w:tcW w:w="2076" w:type="dxa"/>
            <w:shd w:val="clear" w:color="auto" w:fill="F2F2F2"/>
            <w:tcMar>
              <w:top w:w="60" w:type="dxa"/>
              <w:bottom w:w="60" w:type="dxa"/>
            </w:tcMar>
          </w:tcPr>
          <w:p w14:paraId="1DB5B260" w14:textId="77777777" w:rsidR="006561BA" w:rsidRDefault="005B4ED6">
            <w:pPr>
              <w:pStyle w:val="AnnexTableCellLeft"/>
            </w:pPr>
            <w:r>
              <w:t>Vannstress</w:t>
            </w:r>
          </w:p>
        </w:tc>
        <w:tc>
          <w:tcPr>
            <w:tcW w:w="2076" w:type="dxa"/>
            <w:shd w:val="clear" w:color="auto" w:fill="F2F2F2"/>
            <w:tcMar>
              <w:top w:w="60" w:type="dxa"/>
              <w:bottom w:w="60" w:type="dxa"/>
              <w:right w:w="0" w:type="dxa"/>
            </w:tcMar>
          </w:tcPr>
          <w:p w14:paraId="5E88BCC1" w14:textId="77777777" w:rsidR="006561BA" w:rsidRDefault="006561BA">
            <w:pPr>
              <w:pStyle w:val="AnnexTableCellLeft"/>
            </w:pPr>
          </w:p>
        </w:tc>
      </w:tr>
      <w:tr w:rsidR="006561BA" w14:paraId="52934E7B" w14:textId="77777777">
        <w:tc>
          <w:tcPr>
            <w:tcW w:w="936" w:type="dxa"/>
            <w:vMerge w:val="restart"/>
            <w:shd w:val="clear" w:color="auto" w:fill="F2F2F2"/>
            <w:tcMar>
              <w:top w:w="60" w:type="dxa"/>
              <w:left w:w="0" w:type="dxa"/>
              <w:bottom w:w="60" w:type="dxa"/>
            </w:tcMar>
            <w:textDirection w:val="btLr"/>
            <w:vAlign w:val="center"/>
          </w:tcPr>
          <w:p w14:paraId="1D282ACA" w14:textId="77777777" w:rsidR="006561BA" w:rsidRDefault="005B4ED6">
            <w:pPr>
              <w:pStyle w:val="AnnexTableCellLeft"/>
              <w:ind w:left="113" w:right="113"/>
              <w:jc w:val="center"/>
            </w:pPr>
            <w:r>
              <w:rPr>
                <w:b/>
              </w:rPr>
              <w:t>Akutt</w:t>
            </w:r>
          </w:p>
        </w:tc>
        <w:tc>
          <w:tcPr>
            <w:tcW w:w="2076" w:type="dxa"/>
            <w:shd w:val="clear" w:color="auto" w:fill="F2F2F2"/>
            <w:tcMar>
              <w:top w:w="60" w:type="dxa"/>
              <w:bottom w:w="60" w:type="dxa"/>
            </w:tcMar>
          </w:tcPr>
          <w:p w14:paraId="28FE43A0" w14:textId="77777777" w:rsidR="006561BA" w:rsidRDefault="005B4ED6">
            <w:pPr>
              <w:pStyle w:val="AnnexTableCellLeft"/>
            </w:pPr>
            <w:r>
              <w:t>Varmebølge</w:t>
            </w:r>
          </w:p>
        </w:tc>
        <w:tc>
          <w:tcPr>
            <w:tcW w:w="2076" w:type="dxa"/>
            <w:shd w:val="clear" w:color="auto" w:fill="F2F2F2"/>
            <w:tcMar>
              <w:top w:w="60" w:type="dxa"/>
              <w:bottom w:w="60" w:type="dxa"/>
            </w:tcMar>
          </w:tcPr>
          <w:p w14:paraId="3D752C77" w14:textId="77777777" w:rsidR="006561BA" w:rsidRDefault="005B4ED6">
            <w:pPr>
              <w:pStyle w:val="AnnexTableCellLeft"/>
            </w:pPr>
            <w:r>
              <w:t>Syklon, orkan, tyfon</w:t>
            </w:r>
          </w:p>
        </w:tc>
        <w:tc>
          <w:tcPr>
            <w:tcW w:w="2076" w:type="dxa"/>
            <w:shd w:val="clear" w:color="auto" w:fill="F2F2F2"/>
            <w:tcMar>
              <w:top w:w="60" w:type="dxa"/>
              <w:bottom w:w="60" w:type="dxa"/>
            </w:tcMar>
          </w:tcPr>
          <w:p w14:paraId="533794D1" w14:textId="77777777" w:rsidR="006561BA" w:rsidRDefault="005B4ED6">
            <w:pPr>
              <w:pStyle w:val="AnnexTableCellLeft"/>
            </w:pPr>
            <w:r>
              <w:t>Tørke</w:t>
            </w:r>
          </w:p>
        </w:tc>
        <w:tc>
          <w:tcPr>
            <w:tcW w:w="2076" w:type="dxa"/>
            <w:shd w:val="clear" w:color="auto" w:fill="F2F2F2"/>
            <w:tcMar>
              <w:top w:w="60" w:type="dxa"/>
              <w:bottom w:w="60" w:type="dxa"/>
              <w:right w:w="0" w:type="dxa"/>
            </w:tcMar>
          </w:tcPr>
          <w:p w14:paraId="1654E9A0" w14:textId="77777777" w:rsidR="006561BA" w:rsidRDefault="005B4ED6">
            <w:pPr>
              <w:pStyle w:val="AnnexTableCellLeft"/>
            </w:pPr>
            <w:r>
              <w:t>Snøskred</w:t>
            </w:r>
          </w:p>
        </w:tc>
      </w:tr>
      <w:tr w:rsidR="006561BA" w14:paraId="26789146" w14:textId="77777777">
        <w:tc>
          <w:tcPr>
            <w:tcW w:w="936" w:type="dxa"/>
            <w:vMerge/>
            <w:shd w:val="clear" w:color="auto" w:fill="F2F2F2"/>
            <w:tcMar>
              <w:top w:w="60" w:type="dxa"/>
              <w:left w:w="0" w:type="dxa"/>
              <w:bottom w:w="60" w:type="dxa"/>
            </w:tcMar>
          </w:tcPr>
          <w:p w14:paraId="783696BA" w14:textId="77777777" w:rsidR="006561BA" w:rsidRDefault="006561BA">
            <w:pPr>
              <w:pStyle w:val="Para"/>
            </w:pPr>
          </w:p>
        </w:tc>
        <w:tc>
          <w:tcPr>
            <w:tcW w:w="2076" w:type="dxa"/>
            <w:shd w:val="clear" w:color="auto" w:fill="F2F2F2"/>
            <w:tcMar>
              <w:top w:w="60" w:type="dxa"/>
              <w:bottom w:w="60" w:type="dxa"/>
            </w:tcMar>
          </w:tcPr>
          <w:p w14:paraId="614159CD" w14:textId="77777777" w:rsidR="006561BA" w:rsidRDefault="005B4ED6">
            <w:pPr>
              <w:pStyle w:val="AnnexTableCellLeft"/>
            </w:pPr>
            <w:r>
              <w:t>Kuldebølge/frost</w:t>
            </w:r>
          </w:p>
        </w:tc>
        <w:tc>
          <w:tcPr>
            <w:tcW w:w="2076" w:type="dxa"/>
            <w:shd w:val="clear" w:color="auto" w:fill="F2F2F2"/>
            <w:tcMar>
              <w:top w:w="60" w:type="dxa"/>
              <w:bottom w:w="60" w:type="dxa"/>
            </w:tcMar>
          </w:tcPr>
          <w:p w14:paraId="231EED9C" w14:textId="77777777" w:rsidR="006561BA" w:rsidRDefault="005B4ED6">
            <w:pPr>
              <w:pStyle w:val="AnnexTableCellLeft"/>
            </w:pPr>
            <w:r>
              <w:t>Storm (herunder snø-, støv- og sandstormer)</w:t>
            </w:r>
          </w:p>
        </w:tc>
        <w:tc>
          <w:tcPr>
            <w:tcW w:w="2076" w:type="dxa"/>
            <w:shd w:val="clear" w:color="auto" w:fill="F2F2F2"/>
            <w:tcMar>
              <w:top w:w="60" w:type="dxa"/>
              <w:bottom w:w="60" w:type="dxa"/>
            </w:tcMar>
          </w:tcPr>
          <w:p w14:paraId="748E2EDE" w14:textId="77777777" w:rsidR="006561BA" w:rsidRDefault="005B4ED6">
            <w:pPr>
              <w:pStyle w:val="AnnexTableCellLeft"/>
            </w:pPr>
            <w:r>
              <w:t>Kraftig nedbør (regn, hagl, snø/is)</w:t>
            </w:r>
          </w:p>
        </w:tc>
        <w:tc>
          <w:tcPr>
            <w:tcW w:w="2076" w:type="dxa"/>
            <w:shd w:val="clear" w:color="auto" w:fill="F2F2F2"/>
            <w:tcMar>
              <w:top w:w="60" w:type="dxa"/>
              <w:bottom w:w="60" w:type="dxa"/>
              <w:right w:w="0" w:type="dxa"/>
            </w:tcMar>
          </w:tcPr>
          <w:p w14:paraId="0DA8F981" w14:textId="77777777" w:rsidR="006561BA" w:rsidRDefault="005B4ED6">
            <w:pPr>
              <w:pStyle w:val="AnnexTableCellLeft"/>
            </w:pPr>
            <w:r>
              <w:t>Jordskred</w:t>
            </w:r>
          </w:p>
        </w:tc>
      </w:tr>
      <w:tr w:rsidR="006561BA" w14:paraId="2C7CEF08" w14:textId="77777777">
        <w:tc>
          <w:tcPr>
            <w:tcW w:w="936" w:type="dxa"/>
            <w:vMerge/>
            <w:shd w:val="clear" w:color="auto" w:fill="F2F2F2"/>
            <w:tcMar>
              <w:top w:w="60" w:type="dxa"/>
              <w:left w:w="0" w:type="dxa"/>
              <w:bottom w:w="60" w:type="dxa"/>
            </w:tcMar>
          </w:tcPr>
          <w:p w14:paraId="7A69E1E0" w14:textId="77777777" w:rsidR="006561BA" w:rsidRDefault="006561BA">
            <w:pPr>
              <w:pStyle w:val="Para"/>
            </w:pPr>
          </w:p>
        </w:tc>
        <w:tc>
          <w:tcPr>
            <w:tcW w:w="2076" w:type="dxa"/>
            <w:shd w:val="clear" w:color="auto" w:fill="F2F2F2"/>
            <w:tcMar>
              <w:top w:w="60" w:type="dxa"/>
              <w:bottom w:w="60" w:type="dxa"/>
            </w:tcMar>
          </w:tcPr>
          <w:p w14:paraId="4B0B3819" w14:textId="77777777" w:rsidR="006561BA" w:rsidRDefault="005B4ED6">
            <w:pPr>
              <w:pStyle w:val="AnnexTableCellLeft"/>
            </w:pPr>
            <w:r>
              <w:t>Skog- og utmarksbrann</w:t>
            </w:r>
          </w:p>
        </w:tc>
        <w:tc>
          <w:tcPr>
            <w:tcW w:w="2076" w:type="dxa"/>
            <w:shd w:val="clear" w:color="auto" w:fill="F2F2F2"/>
            <w:tcMar>
              <w:top w:w="60" w:type="dxa"/>
              <w:bottom w:w="60" w:type="dxa"/>
            </w:tcMar>
          </w:tcPr>
          <w:p w14:paraId="0873FC50" w14:textId="77777777" w:rsidR="006561BA" w:rsidRDefault="005B4ED6">
            <w:pPr>
              <w:pStyle w:val="AnnexTableCellLeft"/>
            </w:pPr>
            <w:r>
              <w:t>Tornado</w:t>
            </w:r>
          </w:p>
        </w:tc>
        <w:tc>
          <w:tcPr>
            <w:tcW w:w="2076" w:type="dxa"/>
            <w:shd w:val="clear" w:color="auto" w:fill="F2F2F2"/>
            <w:tcMar>
              <w:top w:w="60" w:type="dxa"/>
              <w:bottom w:w="60" w:type="dxa"/>
            </w:tcMar>
          </w:tcPr>
          <w:p w14:paraId="64A34BBF" w14:textId="77777777" w:rsidR="006561BA" w:rsidRDefault="005B4ED6">
            <w:pPr>
              <w:pStyle w:val="AnnexTableCellLeft"/>
            </w:pPr>
            <w:r>
              <w:t>Flom (kystvann, fluvial, pluvial, grunnvann)</w:t>
            </w:r>
          </w:p>
        </w:tc>
        <w:tc>
          <w:tcPr>
            <w:tcW w:w="2076" w:type="dxa"/>
            <w:shd w:val="clear" w:color="auto" w:fill="F2F2F2"/>
            <w:tcMar>
              <w:top w:w="60" w:type="dxa"/>
              <w:bottom w:w="60" w:type="dxa"/>
              <w:right w:w="0" w:type="dxa"/>
            </w:tcMar>
          </w:tcPr>
          <w:p w14:paraId="679DD18D" w14:textId="77777777" w:rsidR="006561BA" w:rsidRDefault="005B4ED6">
            <w:pPr>
              <w:pStyle w:val="AnnexTableCellLeft"/>
            </w:pPr>
            <w:r>
              <w:t>Innsynkning</w:t>
            </w:r>
          </w:p>
        </w:tc>
      </w:tr>
      <w:tr w:rsidR="006561BA" w14:paraId="75B30110" w14:textId="77777777">
        <w:tc>
          <w:tcPr>
            <w:tcW w:w="936" w:type="dxa"/>
            <w:vMerge/>
            <w:shd w:val="clear" w:color="auto" w:fill="F2F2F2"/>
            <w:tcMar>
              <w:top w:w="60" w:type="dxa"/>
              <w:left w:w="0" w:type="dxa"/>
              <w:bottom w:w="60" w:type="dxa"/>
            </w:tcMar>
          </w:tcPr>
          <w:p w14:paraId="4FEAD375" w14:textId="77777777" w:rsidR="006561BA" w:rsidRDefault="006561BA">
            <w:pPr>
              <w:pStyle w:val="Para"/>
            </w:pPr>
          </w:p>
        </w:tc>
        <w:tc>
          <w:tcPr>
            <w:tcW w:w="2076" w:type="dxa"/>
            <w:shd w:val="clear" w:color="auto" w:fill="F2F2F2"/>
            <w:tcMar>
              <w:top w:w="60" w:type="dxa"/>
              <w:bottom w:w="60" w:type="dxa"/>
            </w:tcMar>
          </w:tcPr>
          <w:p w14:paraId="7EBF0944" w14:textId="77777777" w:rsidR="006561BA" w:rsidRDefault="006561BA">
            <w:pPr>
              <w:pStyle w:val="AnnexTableCellLeft"/>
            </w:pPr>
          </w:p>
        </w:tc>
        <w:tc>
          <w:tcPr>
            <w:tcW w:w="2076" w:type="dxa"/>
            <w:shd w:val="clear" w:color="auto" w:fill="F2F2F2"/>
            <w:tcMar>
              <w:top w:w="60" w:type="dxa"/>
              <w:bottom w:w="60" w:type="dxa"/>
            </w:tcMar>
          </w:tcPr>
          <w:p w14:paraId="01D366C6" w14:textId="77777777" w:rsidR="006561BA" w:rsidRDefault="006561BA">
            <w:pPr>
              <w:pStyle w:val="AnnexTableCellLeft"/>
            </w:pPr>
          </w:p>
        </w:tc>
        <w:tc>
          <w:tcPr>
            <w:tcW w:w="2076" w:type="dxa"/>
            <w:shd w:val="clear" w:color="auto" w:fill="F2F2F2"/>
            <w:tcMar>
              <w:top w:w="60" w:type="dxa"/>
              <w:bottom w:w="60" w:type="dxa"/>
            </w:tcMar>
          </w:tcPr>
          <w:p w14:paraId="261A7127" w14:textId="77777777" w:rsidR="006561BA" w:rsidRDefault="005B4ED6">
            <w:pPr>
              <w:pStyle w:val="AnnexTableCellLeft"/>
            </w:pPr>
            <w:proofErr w:type="spellStart"/>
            <w:r>
              <w:t>Jøkullaup</w:t>
            </w:r>
            <w:proofErr w:type="spellEnd"/>
          </w:p>
        </w:tc>
        <w:tc>
          <w:tcPr>
            <w:tcW w:w="2076" w:type="dxa"/>
            <w:shd w:val="clear" w:color="auto" w:fill="F2F2F2"/>
            <w:tcMar>
              <w:top w:w="60" w:type="dxa"/>
              <w:bottom w:w="60" w:type="dxa"/>
              <w:right w:w="0" w:type="dxa"/>
            </w:tcMar>
          </w:tcPr>
          <w:p w14:paraId="5F73B9FD" w14:textId="77777777" w:rsidR="006561BA" w:rsidRDefault="006561BA">
            <w:pPr>
              <w:pStyle w:val="AnnexTableCellLeft"/>
            </w:pPr>
          </w:p>
        </w:tc>
      </w:tr>
    </w:tbl>
    <w:p w14:paraId="6F3CC110" w14:textId="77777777" w:rsidR="006561BA" w:rsidRDefault="006561BA">
      <w:pPr>
        <w:pStyle w:val="AnnexTI"/>
        <w:jc w:val="both"/>
        <w:rPr>
          <w:i w:val="0"/>
          <w:sz w:val="18"/>
        </w:rPr>
      </w:pPr>
    </w:p>
    <w:p w14:paraId="08C78591" w14:textId="77777777" w:rsidR="006561BA" w:rsidRDefault="006561BA">
      <w:pPr>
        <w:pStyle w:val="AnnexTI"/>
        <w:sectPr w:rsidR="006561BA" w:rsidSect="000D3D55">
          <w:footnotePr>
            <w:pos w:val="beneathText"/>
            <w:numRestart w:val="eachPage"/>
          </w:footnotePr>
          <w:pgSz w:w="11906" w:h="16838" w:code="9"/>
          <w:pgMar w:top="1680" w:right="1333" w:bottom="840" w:left="1333" w:header="920" w:footer="280" w:gutter="0"/>
          <w:cols w:space="708"/>
          <w:docGrid w:linePitch="360"/>
        </w:sectPr>
      </w:pPr>
    </w:p>
    <w:p w14:paraId="695BBDCD" w14:textId="77777777" w:rsidR="006561BA" w:rsidRDefault="005B4ED6">
      <w:pPr>
        <w:pStyle w:val="AnnexTI"/>
      </w:pPr>
      <w:r>
        <w:lastRenderedPageBreak/>
        <w:t>Tillegg C</w:t>
      </w:r>
    </w:p>
    <w:p w14:paraId="7F8D4F2A" w14:textId="77777777" w:rsidR="006561BA" w:rsidRDefault="005B4ED6">
      <w:pPr>
        <w:pStyle w:val="AnnexSTI"/>
      </w:pPr>
      <w:r>
        <w:t>Generiske DNSH-kriterier for forebygging og begrensning av forurensning med hensyn til bruk og forekomst av kjemikalier</w:t>
      </w:r>
    </w:p>
    <w:tbl>
      <w:tblPr>
        <w:tblStyle w:val="EFTATable"/>
        <w:tblW w:w="9228" w:type="dxa"/>
        <w:tblInd w:w="112" w:type="dxa"/>
        <w:tblLayout w:type="fixed"/>
        <w:tblLook w:val="04A0" w:firstRow="1" w:lastRow="0" w:firstColumn="1" w:lastColumn="0" w:noHBand="0" w:noVBand="1"/>
      </w:tblPr>
      <w:tblGrid>
        <w:gridCol w:w="9228"/>
      </w:tblGrid>
      <w:tr w:rsidR="006561BA" w14:paraId="11B33201" w14:textId="77777777">
        <w:tc>
          <w:tcPr>
            <w:tcW w:w="9228" w:type="dxa"/>
            <w:tcBorders>
              <w:left w:val="single" w:sz="4" w:space="0" w:color="auto"/>
              <w:right w:val="single" w:sz="4" w:space="0" w:color="auto"/>
            </w:tcBorders>
            <w:shd w:val="clear" w:color="auto" w:fill="F2F2F2"/>
            <w:tcMar>
              <w:top w:w="100" w:type="dxa"/>
              <w:left w:w="100" w:type="dxa"/>
              <w:bottom w:w="100" w:type="dxa"/>
              <w:right w:w="100" w:type="dxa"/>
            </w:tcMar>
          </w:tcPr>
          <w:p w14:paraId="6B22FB76" w14:textId="77777777" w:rsidR="006561BA" w:rsidRDefault="005B4ED6">
            <w:pPr>
              <w:pStyle w:val="AnnexNormal"/>
              <w:spacing w:after="120"/>
            </w:pPr>
            <w:r>
              <w:t>Aktiviteten fører ikke til at følgende stoffer produseres, bringes i omsetning eller brukes:</w:t>
            </w:r>
          </w:p>
          <w:p w14:paraId="3815CBCA" w14:textId="77777777" w:rsidR="006561BA" w:rsidRDefault="005B4ED6">
            <w:pPr>
              <w:pStyle w:val="AnnexNumberedText"/>
              <w:ind w:left="293" w:hanging="293"/>
            </w:pPr>
            <w:r>
              <w:t>a)</w:t>
            </w:r>
            <w:r>
              <w:tab/>
              <w:t>Stoffer for seg, i stoffblandinger eller i et produkt, som er oppført i vedlegg I eller II til europaparlaments- og rådsforordning (EU) 2019/1021(</w:t>
            </w:r>
            <w:bookmarkStart w:id="54" w:name="NOTE_55"/>
            <w:r>
              <w:rPr>
                <w:rStyle w:val="FootnoteReference"/>
                <w:sz w:val="18"/>
              </w:rPr>
              <w:footnoteReference w:id="56"/>
            </w:r>
            <w:bookmarkEnd w:id="54"/>
            <w:r>
              <w:t>), med unntak av stoffer som forekommer som utilsiktede sporforurensninger.</w:t>
            </w:r>
          </w:p>
          <w:p w14:paraId="3737C9D8" w14:textId="77777777" w:rsidR="006561BA" w:rsidRDefault="005B4ED6">
            <w:pPr>
              <w:pStyle w:val="AnnexNumberedText"/>
              <w:ind w:left="293" w:hanging="293"/>
            </w:pPr>
            <w:r>
              <w:t>b)</w:t>
            </w:r>
            <w:r>
              <w:tab/>
              <w:t>Kvikksølv og kvikksølvforbindelser, deres stoffblandinger og produkter tilsatt kvikksølv som definert i artikkel 2 i europaparlaments- og rådsforordning (EU) 2017/852(</w:t>
            </w:r>
            <w:bookmarkStart w:id="55" w:name="NOTE_56"/>
            <w:r>
              <w:rPr>
                <w:rStyle w:val="FootnoteReference"/>
                <w:sz w:val="18"/>
              </w:rPr>
              <w:footnoteReference w:id="57"/>
            </w:r>
            <w:bookmarkEnd w:id="55"/>
            <w:r>
              <w:t>).</w:t>
            </w:r>
          </w:p>
          <w:p w14:paraId="7247258E" w14:textId="77777777" w:rsidR="006561BA" w:rsidRDefault="005B4ED6">
            <w:pPr>
              <w:pStyle w:val="AnnexNumberedText"/>
              <w:ind w:left="293" w:hanging="293"/>
            </w:pPr>
            <w:r>
              <w:t>c)</w:t>
            </w:r>
            <w:r>
              <w:tab/>
              <w:t>Stoffer for seg, i stoffblandinger eller i et produkt, som er oppført i vedlegg I eller II til europaparlaments- og rådsforordning (EF) nr. 1005/2009(</w:t>
            </w:r>
            <w:bookmarkStart w:id="56" w:name="NOTE_57"/>
            <w:r>
              <w:rPr>
                <w:rStyle w:val="FootnoteReference"/>
                <w:sz w:val="18"/>
              </w:rPr>
              <w:footnoteReference w:id="58"/>
            </w:r>
            <w:bookmarkEnd w:id="56"/>
            <w:r>
              <w:t>).</w:t>
            </w:r>
          </w:p>
          <w:p w14:paraId="2E789A5E" w14:textId="77777777" w:rsidR="006561BA" w:rsidRDefault="005B4ED6">
            <w:pPr>
              <w:pStyle w:val="AnnexNumberedText"/>
              <w:ind w:left="293" w:hanging="293"/>
            </w:pPr>
            <w:r>
              <w:t>d)</w:t>
            </w:r>
            <w:r>
              <w:tab/>
              <w:t>Stoffer for seg, i stoffblandinger eller i et produkt, som er oppført i vedlegg II til direktiv 2011/65/EU, med mindre artikkel 4 nr. 1 i det nevnte direktivet overholdes fullt ut.</w:t>
            </w:r>
          </w:p>
          <w:p w14:paraId="63C6E3A2" w14:textId="77777777" w:rsidR="006561BA" w:rsidRDefault="005B4ED6">
            <w:pPr>
              <w:pStyle w:val="AnnexNumberedText"/>
              <w:ind w:left="293" w:hanging="293"/>
            </w:pPr>
            <w:r>
              <w:t>e)</w:t>
            </w:r>
            <w:r>
              <w:tab/>
              <w:t>Stoffer for seg, i stoffblandinger eller i et produkt, som er oppført i vedlegg XVII til europaparlaments- og rådsforordning (EF) 1907/2006(</w:t>
            </w:r>
            <w:bookmarkStart w:id="57" w:name="NOTE_58"/>
            <w:r>
              <w:rPr>
                <w:rStyle w:val="FootnoteReference"/>
                <w:sz w:val="18"/>
              </w:rPr>
              <w:footnoteReference w:id="59"/>
            </w:r>
            <w:bookmarkEnd w:id="57"/>
            <w:r>
              <w:t>), med mindre vilkårene angitt i det nevnte vedlegget oppfylles fullt ut.</w:t>
            </w:r>
          </w:p>
          <w:p w14:paraId="6017B5BC" w14:textId="77777777" w:rsidR="006561BA" w:rsidRDefault="005B4ED6">
            <w:pPr>
              <w:pStyle w:val="AnnexNumberedText"/>
              <w:ind w:left="293" w:hanging="293"/>
            </w:pPr>
            <w:r>
              <w:t>f)</w:t>
            </w:r>
            <w:r>
              <w:tab/>
              <w:t>Stoffer for seg, i stoffblandinger eller i et produkt, i en konsentrasjon på over 0,1 vektprosent (w/w), og som oppfyller kriteriene fastsatt i artikkel 57 i forordning (EF) nr. 1907/2006 og er identifisert i samsvar med artikkel 59 nr. 1 i den nevnte forordningen i en periode på minst 18 måneder, med mindre det er vurdert og dokumentert av aktørene at det ikke finnes andre egnede alternative stoffer eller teknikker på markedet, og at de brukes under kontrollerte forhold (</w:t>
            </w:r>
            <w:bookmarkStart w:id="58" w:name="NOTE_59"/>
            <w:r>
              <w:rPr>
                <w:rStyle w:val="FootnoteReference"/>
                <w:sz w:val="18"/>
              </w:rPr>
              <w:footnoteReference w:id="60"/>
            </w:r>
            <w:bookmarkEnd w:id="58"/>
            <w:r>
              <w:t>).</w:t>
            </w:r>
          </w:p>
          <w:p w14:paraId="08A3DF1E" w14:textId="77777777" w:rsidR="006561BA" w:rsidRDefault="005B4ED6">
            <w:pPr>
              <w:pStyle w:val="AnnexNormal"/>
            </w:pPr>
            <w:r>
              <w:t xml:space="preserve">Dessuten fører ikke aktiviteten til produksjon, forekomst i sluttproduktet eller sluttresultatet, eller omsetning av andre stoffer for seg, eller i stoffblandinger eller i et produkt, i en konsentrasjon på over 0,1 vektprosent (w/w), som oppfyller kriteriene i forordning (EF) nr. 1272/2008 for en av de fareklassene eller </w:t>
            </w:r>
            <w:proofErr w:type="spellStart"/>
            <w:r>
              <w:t>farekategoriene</w:t>
            </w:r>
            <w:proofErr w:type="spellEnd"/>
            <w:r>
              <w:t xml:space="preserve"> som er nevnt i artikkel 57 i forordning (EF) nr. 1907/2006, med mindre det er vurdert og dokumentert av aktørene at det ikke finnes andre egnede alternative stoffer eller teknikker på markedet, og at de brukes under kontrollerte forhold(</w:t>
            </w:r>
            <w:bookmarkStart w:id="59" w:name="NOTE_60"/>
            <w:r>
              <w:rPr>
                <w:rStyle w:val="FootnoteReference"/>
                <w:sz w:val="18"/>
              </w:rPr>
              <w:footnoteReference w:id="61"/>
            </w:r>
            <w:bookmarkEnd w:id="59"/>
            <w:r>
              <w:t>).</w:t>
            </w:r>
          </w:p>
        </w:tc>
      </w:tr>
    </w:tbl>
    <w:p w14:paraId="22921B5E" w14:textId="77777777" w:rsidR="006561BA" w:rsidRDefault="006561BA">
      <w:pPr>
        <w:pStyle w:val="AnnexTI"/>
        <w:rPr>
          <w:i w:val="0"/>
          <w:sz w:val="18"/>
        </w:rPr>
      </w:pPr>
    </w:p>
    <w:p w14:paraId="5A30B82B" w14:textId="77777777" w:rsidR="006561BA" w:rsidRDefault="006561BA">
      <w:pPr>
        <w:pStyle w:val="AnnexTI"/>
        <w:sectPr w:rsidR="006561BA" w:rsidSect="000D3D55">
          <w:footnotePr>
            <w:pos w:val="beneathText"/>
            <w:numRestart w:val="eachPage"/>
          </w:footnotePr>
          <w:pgSz w:w="11906" w:h="16838" w:code="9"/>
          <w:pgMar w:top="1680" w:right="1333" w:bottom="840" w:left="1333" w:header="920" w:footer="280" w:gutter="0"/>
          <w:cols w:space="708"/>
          <w:docGrid w:linePitch="360"/>
        </w:sectPr>
      </w:pPr>
    </w:p>
    <w:p w14:paraId="1A162D5A" w14:textId="77777777" w:rsidR="006561BA" w:rsidRDefault="005B4ED6">
      <w:pPr>
        <w:pStyle w:val="AnnexTI"/>
      </w:pPr>
      <w:r>
        <w:lastRenderedPageBreak/>
        <w:t>Tillegg D</w:t>
      </w:r>
    </w:p>
    <w:p w14:paraId="5FD6A677" w14:textId="77777777" w:rsidR="006561BA" w:rsidRDefault="005B4ED6">
      <w:pPr>
        <w:pStyle w:val="AnnexSTI"/>
      </w:pPr>
      <w:r>
        <w:t>Generiske DNSH-kriterier for beskyttelse og restaurering av biologisk mangfold og økosystemer</w:t>
      </w:r>
    </w:p>
    <w:tbl>
      <w:tblPr>
        <w:tblStyle w:val="EFTATable"/>
        <w:tblW w:w="9228" w:type="dxa"/>
        <w:tblInd w:w="112" w:type="dxa"/>
        <w:tblLayout w:type="fixed"/>
        <w:tblLook w:val="04A0" w:firstRow="1" w:lastRow="0" w:firstColumn="1" w:lastColumn="0" w:noHBand="0" w:noVBand="1"/>
      </w:tblPr>
      <w:tblGrid>
        <w:gridCol w:w="9228"/>
      </w:tblGrid>
      <w:tr w:rsidR="006561BA" w14:paraId="2AD3F0E6" w14:textId="77777777">
        <w:tc>
          <w:tcPr>
            <w:tcW w:w="9228" w:type="dxa"/>
            <w:tcBorders>
              <w:left w:val="single" w:sz="4" w:space="0" w:color="auto"/>
              <w:right w:val="single" w:sz="4" w:space="0" w:color="auto"/>
            </w:tcBorders>
            <w:shd w:val="clear" w:color="auto" w:fill="F2F2F2"/>
            <w:tcMar>
              <w:top w:w="100" w:type="dxa"/>
              <w:left w:w="100" w:type="dxa"/>
              <w:bottom w:w="100" w:type="dxa"/>
              <w:right w:w="100" w:type="dxa"/>
            </w:tcMar>
          </w:tcPr>
          <w:p w14:paraId="48BD1C17" w14:textId="77777777" w:rsidR="006561BA" w:rsidRDefault="005B4ED6">
            <w:pPr>
              <w:pStyle w:val="AnnexNormal"/>
              <w:spacing w:after="120"/>
            </w:pPr>
            <w:r>
              <w:t>En miljøkonsekvensutredning eller screening(</w:t>
            </w:r>
            <w:bookmarkStart w:id="60" w:name="NOTE_61"/>
            <w:r>
              <w:rPr>
                <w:rStyle w:val="FootnoteReference"/>
                <w:sz w:val="18"/>
              </w:rPr>
              <w:footnoteReference w:id="62"/>
            </w:r>
            <w:bookmarkEnd w:id="60"/>
            <w:r>
              <w:t>) er utført i samsvar med direktiv 2011/92/EU(</w:t>
            </w:r>
            <w:bookmarkStart w:id="61" w:name="NOTE_62"/>
            <w:r>
              <w:rPr>
                <w:rStyle w:val="FootnoteReference"/>
                <w:sz w:val="18"/>
              </w:rPr>
              <w:footnoteReference w:id="63"/>
            </w:r>
            <w:bookmarkEnd w:id="61"/>
            <w:r>
              <w:t>).</w:t>
            </w:r>
          </w:p>
          <w:p w14:paraId="19EB77AC" w14:textId="77777777" w:rsidR="006561BA" w:rsidRDefault="005B4ED6">
            <w:pPr>
              <w:pStyle w:val="AnnexNormal"/>
              <w:spacing w:after="120"/>
            </w:pPr>
            <w:r>
              <w:t>Når det er gjennomført en miljøkonsekvensutredning, gjennomføres de nødvendige avbøtende tiltakene og kompensasjonstiltakene for å beskytte miljøet.</w:t>
            </w:r>
          </w:p>
          <w:p w14:paraId="795AC8BD" w14:textId="77777777" w:rsidR="006561BA" w:rsidRDefault="005B4ED6">
            <w:pPr>
              <w:pStyle w:val="AnnexNormal"/>
            </w:pPr>
            <w:r>
              <w:t xml:space="preserve">For </w:t>
            </w:r>
            <w:proofErr w:type="spellStart"/>
            <w:r>
              <w:t>anleggssteder</w:t>
            </w:r>
            <w:proofErr w:type="spellEnd"/>
            <w:r>
              <w:t xml:space="preserve">/prosjekter som ligger i eller i nærheten av områder med sårbart biologisk mangfold (herunder Natura 2000-nettverket av beskyttede områder, </w:t>
            </w:r>
            <w:proofErr w:type="spellStart"/>
            <w:r>
              <w:t>UNESCOs</w:t>
            </w:r>
            <w:proofErr w:type="spellEnd"/>
            <w:r>
              <w:t xml:space="preserve"> verdensarvsteder og viktige områder for biologisk mangfold, samt andre beskyttede områder), er det foretatt en hensiktsmessig vurdering(</w:t>
            </w:r>
            <w:bookmarkStart w:id="62" w:name="NOTE_63"/>
            <w:r>
              <w:rPr>
                <w:rStyle w:val="FootnoteReference"/>
                <w:sz w:val="18"/>
              </w:rPr>
              <w:footnoteReference w:id="64"/>
            </w:r>
            <w:bookmarkEnd w:id="62"/>
            <w:r>
              <w:t>), der det er relevant, og på grunnlag av konklusjonene i denne er nødvendige avbøtende tiltak(</w:t>
            </w:r>
            <w:bookmarkStart w:id="63" w:name="NOTE_64"/>
            <w:r>
              <w:rPr>
                <w:rStyle w:val="FootnoteReference"/>
                <w:sz w:val="18"/>
              </w:rPr>
              <w:footnoteReference w:id="65"/>
            </w:r>
            <w:bookmarkEnd w:id="63"/>
            <w:r>
              <w:t>) gjennomført.</w:t>
            </w:r>
          </w:p>
        </w:tc>
      </w:tr>
    </w:tbl>
    <w:p w14:paraId="1FCD734F" w14:textId="77777777" w:rsidR="006561BA" w:rsidRDefault="006561BA">
      <w:pPr>
        <w:pStyle w:val="AnnexTI"/>
        <w:jc w:val="both"/>
        <w:rPr>
          <w:i w:val="0"/>
          <w:sz w:val="18"/>
        </w:rPr>
      </w:pPr>
    </w:p>
    <w:p w14:paraId="27CD69AE" w14:textId="77777777" w:rsidR="006561BA" w:rsidRDefault="006561BA">
      <w:pPr>
        <w:pStyle w:val="AnnexTI"/>
        <w:sectPr w:rsidR="006561BA" w:rsidSect="000D3D55">
          <w:footnotePr>
            <w:pos w:val="beneathText"/>
            <w:numRestart w:val="eachPage"/>
          </w:footnotePr>
          <w:pgSz w:w="11906" w:h="16838" w:code="9"/>
          <w:pgMar w:top="1680" w:right="1333" w:bottom="840" w:left="1333" w:header="920" w:footer="280" w:gutter="0"/>
          <w:cols w:space="708"/>
          <w:docGrid w:linePitch="360"/>
        </w:sectPr>
      </w:pPr>
    </w:p>
    <w:p w14:paraId="0E5BF2BC" w14:textId="77777777" w:rsidR="006561BA" w:rsidRDefault="005B4ED6">
      <w:pPr>
        <w:pStyle w:val="AnnexTI"/>
        <w:spacing w:after="360"/>
      </w:pPr>
      <w:r>
        <w:lastRenderedPageBreak/>
        <w:t>VEDLEGG II</w:t>
      </w:r>
    </w:p>
    <w:p w14:paraId="787BC473" w14:textId="77777777" w:rsidR="006561BA" w:rsidRDefault="005B4ED6">
      <w:pPr>
        <w:pStyle w:val="AnnexSTI"/>
      </w:pPr>
      <w:r>
        <w:t>Tekniske screeningkriterier for å fastslå vilkårene for at en økonomisk aktivitet skal anses å bidra vesentlig til omstillingen til en sirkulær økonomi, og for å fastslå om det er slik at den økonomiske aktiviteten ikke er til betydelig skade for noen av de andre miljømålene</w:t>
      </w:r>
    </w:p>
    <w:p w14:paraId="3F2C6BC9" w14:textId="77777777" w:rsidR="006561BA" w:rsidRDefault="005B4ED6">
      <w:pPr>
        <w:pStyle w:val="AnnexNormal"/>
        <w:jc w:val="center"/>
      </w:pPr>
      <w:r>
        <w:t>Innholdsfortegnelse</w:t>
      </w:r>
    </w:p>
    <w:p w14:paraId="262FC92D" w14:textId="77777777" w:rsidR="006561BA" w:rsidRDefault="005B4ED6">
      <w:pPr>
        <w:pStyle w:val="AnnexNormal"/>
        <w:jc w:val="right"/>
      </w:pPr>
      <w:r>
        <w:rPr>
          <w:i/>
        </w:rPr>
        <w:t>Side</w:t>
      </w:r>
    </w:p>
    <w:p w14:paraId="12457DF2" w14:textId="77777777" w:rsidR="006561BA" w:rsidRDefault="005B4ED6">
      <w:pPr>
        <w:pStyle w:val="AnnexNormal"/>
        <w:tabs>
          <w:tab w:val="left" w:leader="dot" w:pos="9024"/>
        </w:tabs>
        <w:ind w:left="360" w:hanging="360"/>
        <w:jc w:val="left"/>
      </w:pPr>
      <w:r>
        <w:t>1.</w:t>
      </w:r>
      <w:r>
        <w:tab/>
        <w:t>Produksjon</w:t>
      </w:r>
      <w:r>
        <w:tab/>
        <w:t>28</w:t>
      </w:r>
    </w:p>
    <w:p w14:paraId="0EFD620B" w14:textId="77777777" w:rsidR="006561BA" w:rsidRDefault="005B4ED6">
      <w:pPr>
        <w:pStyle w:val="AnnexNormal"/>
        <w:tabs>
          <w:tab w:val="left" w:leader="dot" w:pos="9036"/>
        </w:tabs>
        <w:ind w:left="720" w:hanging="360"/>
        <w:jc w:val="left"/>
      </w:pPr>
      <w:r>
        <w:t>1.1.</w:t>
      </w:r>
      <w:r>
        <w:tab/>
        <w:t>Produksjon av plastemballasje</w:t>
      </w:r>
      <w:r>
        <w:tab/>
        <w:t>28</w:t>
      </w:r>
    </w:p>
    <w:p w14:paraId="29A6EB28" w14:textId="77777777" w:rsidR="006561BA" w:rsidRDefault="005B4ED6">
      <w:pPr>
        <w:pStyle w:val="AnnexNormal"/>
        <w:tabs>
          <w:tab w:val="left" w:leader="dot" w:pos="9036"/>
        </w:tabs>
        <w:ind w:left="720" w:hanging="360"/>
        <w:jc w:val="left"/>
      </w:pPr>
      <w:r>
        <w:t>1.2.</w:t>
      </w:r>
      <w:r>
        <w:tab/>
        <w:t>Produksjon av elektrisk og elektroniske utstyr</w:t>
      </w:r>
      <w:r>
        <w:tab/>
        <w:t>32</w:t>
      </w:r>
    </w:p>
    <w:p w14:paraId="039828FD" w14:textId="45880F2B" w:rsidR="006561BA" w:rsidRDefault="005B4ED6">
      <w:pPr>
        <w:pStyle w:val="AnnexNormal"/>
        <w:tabs>
          <w:tab w:val="left" w:leader="dot" w:pos="9024"/>
        </w:tabs>
        <w:ind w:left="360" w:hanging="360"/>
        <w:jc w:val="left"/>
      </w:pPr>
      <w:r>
        <w:t>2.</w:t>
      </w:r>
      <w:r>
        <w:tab/>
        <w:t xml:space="preserve">Vannforsyning, </w:t>
      </w:r>
      <w:r w:rsidR="004B4D3F" w:rsidRPr="004B4D3F">
        <w:t>rensing av avløpsvann</w:t>
      </w:r>
      <w:r>
        <w:t>, avfallshåndtering og oppryddingsaktiviteter</w:t>
      </w:r>
      <w:r>
        <w:tab/>
        <w:t>39</w:t>
      </w:r>
    </w:p>
    <w:p w14:paraId="7F692203" w14:textId="77777777" w:rsidR="006561BA" w:rsidRDefault="005B4ED6">
      <w:pPr>
        <w:pStyle w:val="AnnexNormal"/>
        <w:tabs>
          <w:tab w:val="left" w:leader="dot" w:pos="9036"/>
        </w:tabs>
        <w:ind w:left="720" w:hanging="360"/>
        <w:jc w:val="left"/>
      </w:pPr>
      <w:r>
        <w:t>2.1.</w:t>
      </w:r>
      <w:r>
        <w:tab/>
        <w:t>Gjenvinning av fosfor fra spillvann</w:t>
      </w:r>
      <w:r>
        <w:tab/>
        <w:t>39</w:t>
      </w:r>
    </w:p>
    <w:p w14:paraId="7F4ABE74" w14:textId="77777777" w:rsidR="006561BA" w:rsidRDefault="005B4ED6">
      <w:pPr>
        <w:pStyle w:val="AnnexNormal"/>
        <w:tabs>
          <w:tab w:val="left" w:leader="dot" w:pos="9036"/>
        </w:tabs>
        <w:ind w:left="720" w:hanging="360"/>
        <w:jc w:val="left"/>
      </w:pPr>
      <w:r>
        <w:t>2.2.</w:t>
      </w:r>
      <w:r>
        <w:tab/>
        <w:t>Produksjon av alternative vannressurser til andre formål enn drikkevann</w:t>
      </w:r>
      <w:r>
        <w:tab/>
        <w:t>40</w:t>
      </w:r>
    </w:p>
    <w:p w14:paraId="71796199" w14:textId="77777777" w:rsidR="006561BA" w:rsidRDefault="005B4ED6">
      <w:pPr>
        <w:pStyle w:val="AnnexNormal"/>
        <w:tabs>
          <w:tab w:val="left" w:leader="dot" w:pos="9036"/>
        </w:tabs>
        <w:ind w:left="720" w:hanging="360"/>
        <w:jc w:val="left"/>
      </w:pPr>
      <w:r>
        <w:t>2.3.</w:t>
      </w:r>
      <w:r>
        <w:tab/>
        <w:t>Innsamling og transport av ikke-farlig og farlig avfall</w:t>
      </w:r>
      <w:r>
        <w:tab/>
        <w:t>42</w:t>
      </w:r>
    </w:p>
    <w:p w14:paraId="58A2155B" w14:textId="77777777" w:rsidR="006561BA" w:rsidRDefault="005B4ED6">
      <w:pPr>
        <w:pStyle w:val="AnnexNormal"/>
        <w:tabs>
          <w:tab w:val="left" w:leader="dot" w:pos="9036"/>
        </w:tabs>
        <w:ind w:left="720" w:hanging="360"/>
        <w:jc w:val="left"/>
      </w:pPr>
      <w:r>
        <w:t>2.4.</w:t>
      </w:r>
      <w:r>
        <w:tab/>
        <w:t>Behandling av farlig avfall</w:t>
      </w:r>
      <w:r>
        <w:tab/>
        <w:t>44</w:t>
      </w:r>
    </w:p>
    <w:p w14:paraId="5D1A17C1" w14:textId="77777777" w:rsidR="006561BA" w:rsidRDefault="005B4ED6">
      <w:pPr>
        <w:pStyle w:val="AnnexNormal"/>
        <w:tabs>
          <w:tab w:val="left" w:leader="dot" w:pos="9036"/>
        </w:tabs>
        <w:ind w:left="720" w:hanging="360"/>
        <w:jc w:val="left"/>
      </w:pPr>
      <w:r>
        <w:t>2.5.</w:t>
      </w:r>
      <w:r>
        <w:tab/>
        <w:t>Gjenvinning av bioavfall via anaerob nedbryting eller kompostering</w:t>
      </w:r>
      <w:r>
        <w:tab/>
        <w:t>46</w:t>
      </w:r>
    </w:p>
    <w:p w14:paraId="4D0E1CD5" w14:textId="77777777" w:rsidR="006561BA" w:rsidRDefault="005B4ED6">
      <w:pPr>
        <w:pStyle w:val="AnnexNormal"/>
        <w:tabs>
          <w:tab w:val="left" w:leader="dot" w:pos="9036"/>
        </w:tabs>
        <w:ind w:left="720" w:hanging="360"/>
        <w:jc w:val="left"/>
      </w:pPr>
      <w:r>
        <w:t>2.6.</w:t>
      </w:r>
      <w:r>
        <w:tab/>
        <w:t>Rensing og demontering av kasserte produkter</w:t>
      </w:r>
      <w:r>
        <w:tab/>
        <w:t>47</w:t>
      </w:r>
    </w:p>
    <w:p w14:paraId="3174E96D" w14:textId="77777777" w:rsidR="006561BA" w:rsidRDefault="005B4ED6">
      <w:pPr>
        <w:pStyle w:val="AnnexNormal"/>
        <w:tabs>
          <w:tab w:val="left" w:leader="dot" w:pos="9036"/>
        </w:tabs>
        <w:ind w:left="720" w:hanging="360"/>
        <w:jc w:val="left"/>
      </w:pPr>
      <w:r>
        <w:t>2.7.</w:t>
      </w:r>
      <w:r>
        <w:tab/>
        <w:t>Sortering og materialutnytting av ikke-farlig avfall</w:t>
      </w:r>
      <w:r>
        <w:tab/>
        <w:t>49</w:t>
      </w:r>
    </w:p>
    <w:p w14:paraId="6D2BD077" w14:textId="77777777" w:rsidR="006561BA" w:rsidRDefault="005B4ED6">
      <w:pPr>
        <w:pStyle w:val="AnnexNormal"/>
        <w:tabs>
          <w:tab w:val="left" w:leader="dot" w:pos="9024"/>
        </w:tabs>
        <w:ind w:left="360" w:hanging="360"/>
        <w:jc w:val="left"/>
      </w:pPr>
      <w:r>
        <w:t>3.</w:t>
      </w:r>
      <w:r>
        <w:tab/>
        <w:t>Bygge- og anleggsvirksomhet og fast eiendom</w:t>
      </w:r>
      <w:r>
        <w:tab/>
        <w:t>51</w:t>
      </w:r>
    </w:p>
    <w:p w14:paraId="44E94537" w14:textId="77777777" w:rsidR="006561BA" w:rsidRDefault="005B4ED6">
      <w:pPr>
        <w:pStyle w:val="AnnexNormal"/>
        <w:tabs>
          <w:tab w:val="left" w:leader="dot" w:pos="9036"/>
        </w:tabs>
        <w:ind w:left="720" w:hanging="360"/>
        <w:jc w:val="left"/>
      </w:pPr>
      <w:r>
        <w:t>3.1.</w:t>
      </w:r>
      <w:r>
        <w:tab/>
        <w:t>Oppføring av nye bygninger</w:t>
      </w:r>
      <w:r>
        <w:tab/>
        <w:t>51</w:t>
      </w:r>
    </w:p>
    <w:p w14:paraId="44111CAE" w14:textId="77777777" w:rsidR="006561BA" w:rsidRDefault="005B4ED6">
      <w:pPr>
        <w:pStyle w:val="AnnexNormal"/>
        <w:tabs>
          <w:tab w:val="left" w:leader="dot" w:pos="9036"/>
        </w:tabs>
        <w:ind w:left="720" w:hanging="360"/>
        <w:jc w:val="left"/>
      </w:pPr>
      <w:r>
        <w:t>3.2.</w:t>
      </w:r>
      <w:r>
        <w:tab/>
        <w:t>Renovering av eksisterende bygninger</w:t>
      </w:r>
      <w:r>
        <w:tab/>
        <w:t>55</w:t>
      </w:r>
    </w:p>
    <w:p w14:paraId="5F8626E9" w14:textId="77777777" w:rsidR="006561BA" w:rsidRDefault="005B4ED6">
      <w:pPr>
        <w:pStyle w:val="AnnexNormal"/>
        <w:tabs>
          <w:tab w:val="left" w:leader="dot" w:pos="9036"/>
        </w:tabs>
        <w:ind w:left="720" w:hanging="360"/>
        <w:jc w:val="left"/>
      </w:pPr>
      <w:r>
        <w:t>3.3.</w:t>
      </w:r>
      <w:r>
        <w:tab/>
      </w:r>
      <w:proofErr w:type="spellStart"/>
      <w:r>
        <w:t>Riving</w:t>
      </w:r>
      <w:proofErr w:type="spellEnd"/>
      <w:r>
        <w:t xml:space="preserve"> av bygninger og andre anlegg</w:t>
      </w:r>
      <w:r>
        <w:tab/>
        <w:t>59</w:t>
      </w:r>
    </w:p>
    <w:p w14:paraId="388FA178" w14:textId="77777777" w:rsidR="006561BA" w:rsidRDefault="005B4ED6">
      <w:pPr>
        <w:pStyle w:val="AnnexNormal"/>
        <w:tabs>
          <w:tab w:val="left" w:leader="dot" w:pos="9036"/>
        </w:tabs>
        <w:ind w:left="720" w:hanging="360"/>
        <w:jc w:val="left"/>
      </w:pPr>
      <w:r>
        <w:t>3.4.</w:t>
      </w:r>
      <w:r>
        <w:tab/>
        <w:t>Vedlikehold av veier og motorveier</w:t>
      </w:r>
      <w:r>
        <w:tab/>
        <w:t>61</w:t>
      </w:r>
    </w:p>
    <w:p w14:paraId="793256DA" w14:textId="77777777" w:rsidR="006561BA" w:rsidRDefault="005B4ED6">
      <w:pPr>
        <w:pStyle w:val="AnnexNormal"/>
        <w:tabs>
          <w:tab w:val="left" w:leader="dot" w:pos="9036"/>
        </w:tabs>
        <w:ind w:left="720" w:hanging="360"/>
        <w:jc w:val="left"/>
      </w:pPr>
      <w:r>
        <w:t>3.5.</w:t>
      </w:r>
      <w:r>
        <w:tab/>
        <w:t>Bruk av betong i bygge- og anleggsarbeider</w:t>
      </w:r>
      <w:r>
        <w:tab/>
        <w:t>63</w:t>
      </w:r>
    </w:p>
    <w:p w14:paraId="1B3AD65E" w14:textId="77777777" w:rsidR="006561BA" w:rsidRDefault="005B4ED6">
      <w:pPr>
        <w:pStyle w:val="AnnexNormal"/>
        <w:tabs>
          <w:tab w:val="left" w:leader="dot" w:pos="9024"/>
        </w:tabs>
        <w:ind w:left="360" w:hanging="360"/>
        <w:jc w:val="left"/>
      </w:pPr>
      <w:r>
        <w:t>4.</w:t>
      </w:r>
      <w:r>
        <w:tab/>
        <w:t>Informasjon og kommunikasjon</w:t>
      </w:r>
      <w:r>
        <w:tab/>
        <w:t>67</w:t>
      </w:r>
    </w:p>
    <w:p w14:paraId="3B3EA0A7" w14:textId="77777777" w:rsidR="006561BA" w:rsidRDefault="005B4ED6">
      <w:pPr>
        <w:pStyle w:val="AnnexNormal"/>
        <w:tabs>
          <w:tab w:val="left" w:leader="dot" w:pos="9036"/>
        </w:tabs>
        <w:ind w:left="720" w:hanging="360"/>
        <w:jc w:val="left"/>
      </w:pPr>
      <w:r>
        <w:t>4.1.</w:t>
      </w:r>
      <w:r>
        <w:tab/>
        <w:t>Levering av datadrevne IT-/OT-løsninger</w:t>
      </w:r>
      <w:r>
        <w:tab/>
        <w:t>67</w:t>
      </w:r>
    </w:p>
    <w:p w14:paraId="6CA5EB99" w14:textId="77777777" w:rsidR="006561BA" w:rsidRDefault="005B4ED6">
      <w:pPr>
        <w:pStyle w:val="AnnexNormal"/>
        <w:tabs>
          <w:tab w:val="left" w:leader="dot" w:pos="9024"/>
        </w:tabs>
        <w:ind w:left="360" w:hanging="360"/>
        <w:jc w:val="left"/>
      </w:pPr>
      <w:r>
        <w:t>5.</w:t>
      </w:r>
      <w:r>
        <w:tab/>
        <w:t>Tjenester</w:t>
      </w:r>
      <w:r>
        <w:tab/>
        <w:t>71</w:t>
      </w:r>
    </w:p>
    <w:p w14:paraId="344C50FB" w14:textId="77777777" w:rsidR="006561BA" w:rsidRDefault="005B4ED6">
      <w:pPr>
        <w:pStyle w:val="AnnexNormal"/>
        <w:tabs>
          <w:tab w:val="left" w:leader="dot" w:pos="9036"/>
        </w:tabs>
        <w:ind w:left="720" w:hanging="360"/>
        <w:jc w:val="left"/>
      </w:pPr>
      <w:r>
        <w:t>5.1.</w:t>
      </w:r>
      <w:r>
        <w:tab/>
        <w:t xml:space="preserve">Reparasjon, renovering og </w:t>
      </w:r>
      <w:proofErr w:type="spellStart"/>
      <w:r>
        <w:t>refabrikasjon</w:t>
      </w:r>
      <w:proofErr w:type="spellEnd"/>
      <w:r>
        <w:tab/>
        <w:t>71</w:t>
      </w:r>
    </w:p>
    <w:p w14:paraId="6ECB8586" w14:textId="77777777" w:rsidR="006561BA" w:rsidRDefault="005B4ED6">
      <w:pPr>
        <w:pStyle w:val="AnnexNormal"/>
        <w:tabs>
          <w:tab w:val="left" w:leader="dot" w:pos="9036"/>
        </w:tabs>
        <w:ind w:left="720" w:hanging="360"/>
        <w:jc w:val="left"/>
      </w:pPr>
      <w:r>
        <w:t>5.2.</w:t>
      </w:r>
      <w:r>
        <w:tab/>
        <w:t>Salg av reservedeler</w:t>
      </w:r>
      <w:r>
        <w:tab/>
        <w:t>73</w:t>
      </w:r>
    </w:p>
    <w:p w14:paraId="10CE4571" w14:textId="77777777" w:rsidR="006561BA" w:rsidRDefault="005B4ED6">
      <w:pPr>
        <w:pStyle w:val="AnnexNormal"/>
        <w:tabs>
          <w:tab w:val="left" w:leader="dot" w:pos="9036"/>
        </w:tabs>
        <w:ind w:left="720" w:hanging="360"/>
        <w:jc w:val="left"/>
      </w:pPr>
      <w:r>
        <w:t>5.3.</w:t>
      </w:r>
      <w:r>
        <w:tab/>
        <w:t>Forberedelse til ombruk av kasserte produkter og produktkomponenter</w:t>
      </w:r>
      <w:r>
        <w:tab/>
        <w:t>74</w:t>
      </w:r>
    </w:p>
    <w:p w14:paraId="544AB8EC" w14:textId="77777777" w:rsidR="006561BA" w:rsidRDefault="005B4ED6">
      <w:pPr>
        <w:pStyle w:val="AnnexNormal"/>
        <w:tabs>
          <w:tab w:val="left" w:leader="dot" w:pos="9036"/>
        </w:tabs>
        <w:ind w:left="720" w:hanging="360"/>
        <w:jc w:val="left"/>
      </w:pPr>
      <w:r>
        <w:t>5.4.</w:t>
      </w:r>
      <w:r>
        <w:tab/>
        <w:t>Salg av brukte varer</w:t>
      </w:r>
      <w:r>
        <w:tab/>
        <w:t>76</w:t>
      </w:r>
    </w:p>
    <w:p w14:paraId="51A50A67" w14:textId="77777777" w:rsidR="006561BA" w:rsidRDefault="005B4ED6">
      <w:pPr>
        <w:pStyle w:val="AnnexNormal"/>
        <w:tabs>
          <w:tab w:val="left" w:leader="dot" w:pos="9036"/>
        </w:tabs>
        <w:ind w:left="720" w:hanging="360"/>
        <w:jc w:val="left"/>
      </w:pPr>
      <w:r>
        <w:t>5.5.</w:t>
      </w:r>
      <w:r>
        <w:tab/>
        <w:t>«Produkt som en tjeneste» og andre sirkulære bruks- og resultatorienterte tjenestemodeller</w:t>
      </w:r>
      <w:r>
        <w:tab/>
        <w:t>79</w:t>
      </w:r>
    </w:p>
    <w:p w14:paraId="438CF4FF" w14:textId="77777777" w:rsidR="006561BA" w:rsidRDefault="005B4ED6">
      <w:pPr>
        <w:pStyle w:val="AnnexNormal"/>
        <w:tabs>
          <w:tab w:val="left" w:leader="dot" w:pos="9036"/>
        </w:tabs>
        <w:spacing w:after="0"/>
        <w:ind w:left="720" w:hanging="360"/>
        <w:jc w:val="left"/>
      </w:pPr>
      <w:r>
        <w:t>5.6.</w:t>
      </w:r>
      <w:r>
        <w:tab/>
        <w:t>Markedsplass for handel med brukte varer for ombruk</w:t>
      </w:r>
      <w:r>
        <w:tab/>
        <w:t>81</w:t>
      </w:r>
    </w:p>
    <w:p w14:paraId="119FC3D7" w14:textId="77777777" w:rsidR="006561BA" w:rsidRDefault="005B4ED6">
      <w:pPr>
        <w:pStyle w:val="Para"/>
      </w:pPr>
      <w:r>
        <w:br w:type="page"/>
      </w:r>
    </w:p>
    <w:p w14:paraId="3928C37B" w14:textId="77777777" w:rsidR="006561BA" w:rsidRDefault="005B4ED6">
      <w:pPr>
        <w:pStyle w:val="AnnexNumberedText"/>
        <w:spacing w:after="400"/>
        <w:ind w:left="414" w:hanging="414"/>
      </w:pPr>
      <w:r>
        <w:lastRenderedPageBreak/>
        <w:t>1.</w:t>
      </w:r>
      <w:r>
        <w:rPr>
          <w:b/>
          <w:i/>
        </w:rPr>
        <w:tab/>
        <w:t>Produksjon</w:t>
      </w:r>
    </w:p>
    <w:p w14:paraId="6BE01E3F" w14:textId="77777777" w:rsidR="006561BA" w:rsidRDefault="005B4ED6">
      <w:pPr>
        <w:pStyle w:val="AnnexNumberedText"/>
        <w:spacing w:after="500"/>
        <w:ind w:left="414" w:hanging="414"/>
      </w:pPr>
      <w:r>
        <w:t>1.1.</w:t>
      </w:r>
      <w:r>
        <w:rPr>
          <w:b/>
        </w:rPr>
        <w:tab/>
        <w:t>Produksjon av plastemballasje</w:t>
      </w:r>
    </w:p>
    <w:p w14:paraId="0FF54B8E" w14:textId="77777777" w:rsidR="006561BA" w:rsidRDefault="005B4ED6">
      <w:pPr>
        <w:pStyle w:val="AnnexGrSeq3"/>
        <w:jc w:val="both"/>
      </w:pPr>
      <w:r>
        <w:rPr>
          <w:i/>
        </w:rPr>
        <w:t>Beskrivelse av aktiviteten</w:t>
      </w:r>
    </w:p>
    <w:p w14:paraId="50603305" w14:textId="77777777" w:rsidR="006561BA" w:rsidRDefault="005B4ED6">
      <w:pPr>
        <w:pStyle w:val="AnnexNormal"/>
      </w:pPr>
      <w:r>
        <w:t>Produksjon av plastemballasje.</w:t>
      </w:r>
    </w:p>
    <w:p w14:paraId="159215A5" w14:textId="77777777" w:rsidR="006561BA" w:rsidRDefault="005B4ED6">
      <w:pPr>
        <w:pStyle w:val="AnnexNormal"/>
        <w:spacing w:after="500"/>
      </w:pPr>
      <w:r>
        <w:t>De økonomiske aktivitetene i denne kategorien kan knyttes til NACE-kode C22.22 i samsvar med standarden for næringsgruppering fastsatt ved forordning (EF) nr. 1893/2006.</w:t>
      </w:r>
    </w:p>
    <w:p w14:paraId="205511B7" w14:textId="77777777" w:rsidR="006561BA" w:rsidRDefault="005B4ED6">
      <w:pPr>
        <w:pStyle w:val="AnnexGrSeq3"/>
        <w:spacing w:after="300"/>
        <w:jc w:val="both"/>
      </w:pPr>
      <w:r>
        <w:rPr>
          <w:i/>
        </w:rPr>
        <w:t>Tekniske screeningkriterier</w:t>
      </w:r>
    </w:p>
    <w:tbl>
      <w:tblPr>
        <w:tblStyle w:val="EFTATable"/>
        <w:tblW w:w="9228" w:type="dxa"/>
        <w:tblInd w:w="12" w:type="dxa"/>
        <w:tblLayout w:type="fixed"/>
        <w:tblLook w:val="04A0" w:firstRow="1" w:lastRow="0" w:firstColumn="1" w:lastColumn="0" w:noHBand="0" w:noVBand="1"/>
      </w:tblPr>
      <w:tblGrid>
        <w:gridCol w:w="2592"/>
        <w:gridCol w:w="6636"/>
      </w:tblGrid>
      <w:tr w:rsidR="006561BA" w14:paraId="51311113" w14:textId="77777777">
        <w:tc>
          <w:tcPr>
            <w:tcW w:w="9228" w:type="dxa"/>
            <w:gridSpan w:val="2"/>
            <w:tcMar>
              <w:top w:w="200" w:type="dxa"/>
              <w:left w:w="0" w:type="dxa"/>
              <w:bottom w:w="200" w:type="dxa"/>
              <w:right w:w="0" w:type="dxa"/>
            </w:tcMar>
          </w:tcPr>
          <w:p w14:paraId="7A956AD9" w14:textId="77777777" w:rsidR="006561BA" w:rsidRDefault="005B4ED6">
            <w:pPr>
              <w:pStyle w:val="AnnexTableCellLeft"/>
            </w:pPr>
            <w:r>
              <w:t>Vesentlig bidrag til omstilling til en sirkulær økonomi</w:t>
            </w:r>
          </w:p>
        </w:tc>
      </w:tr>
      <w:tr w:rsidR="006561BA" w14:paraId="668A499E" w14:textId="77777777">
        <w:tc>
          <w:tcPr>
            <w:tcW w:w="9228" w:type="dxa"/>
            <w:gridSpan w:val="2"/>
            <w:tcMar>
              <w:top w:w="200" w:type="dxa"/>
              <w:left w:w="0" w:type="dxa"/>
              <w:bottom w:w="200" w:type="dxa"/>
              <w:right w:w="0" w:type="dxa"/>
            </w:tcMar>
          </w:tcPr>
          <w:p w14:paraId="6268E4AF" w14:textId="77777777" w:rsidR="006561BA" w:rsidRDefault="005B4ED6">
            <w:pPr>
              <w:pStyle w:val="AnnexNumberedText"/>
              <w:tabs>
                <w:tab w:val="left" w:pos="288"/>
              </w:tabs>
              <w:spacing w:after="200"/>
              <w:ind w:left="0" w:firstLine="0"/>
            </w:pPr>
            <w:r>
              <w:t>1.</w:t>
            </w:r>
            <w:r>
              <w:tab/>
              <w:t>Aktiviteten oppfyller et av følgende kriterier:</w:t>
            </w:r>
          </w:p>
          <w:p w14:paraId="6D1A0528" w14:textId="348D6E39" w:rsidR="006561BA" w:rsidRDefault="005B4ED6">
            <w:pPr>
              <w:pStyle w:val="AnnexNumberedText"/>
              <w:spacing w:after="200"/>
              <w:ind w:left="293" w:hanging="293"/>
            </w:pPr>
            <w:r>
              <w:t>a)</w:t>
            </w:r>
            <w:r>
              <w:tab/>
              <w:t xml:space="preserve">Bruk av sirkulære råvarer: Fram til 2028 skal minst 35 % av emballasjeproduktets vekt bestå av </w:t>
            </w:r>
            <w:r w:rsidR="00D4332D">
              <w:t>material</w:t>
            </w:r>
            <w:r>
              <w:t xml:space="preserve">gjenvunne </w:t>
            </w:r>
            <w:r w:rsidR="00FF17D9">
              <w:t>råvarer</w:t>
            </w:r>
            <w:r>
              <w:t xml:space="preserve"> etter forbrukerleddet for ikke-kontaktsensitiv emballasje og minst 10 % for kontaktsensitiv emballasje(</w:t>
            </w:r>
            <w:bookmarkStart w:id="64" w:name="NOTE_65"/>
            <w:r>
              <w:rPr>
                <w:rStyle w:val="FootnoteReference"/>
                <w:sz w:val="18"/>
              </w:rPr>
              <w:footnoteReference w:id="66"/>
            </w:r>
            <w:bookmarkEnd w:id="64"/>
            <w:r>
              <w:t xml:space="preserve">). Fra 2028 består minst 65 % av emballasjeproduktets vekt av </w:t>
            </w:r>
            <w:r w:rsidR="00D4332D">
              <w:t>material</w:t>
            </w:r>
            <w:r>
              <w:t xml:space="preserve">gjenvunne </w:t>
            </w:r>
            <w:r w:rsidR="005C3F06">
              <w:t>råvarer</w:t>
            </w:r>
            <w:r>
              <w:t xml:space="preserve"> etter forbrukerleddet for ikke-kontaktsensitiv emballasje og minst 50 % for kontaktsensitiv emballasje.</w:t>
            </w:r>
          </w:p>
          <w:p w14:paraId="1A44CBD7" w14:textId="43DF6622" w:rsidR="006561BA" w:rsidRDefault="005B4ED6">
            <w:pPr>
              <w:pStyle w:val="AnnexNumberedText"/>
              <w:spacing w:after="200"/>
              <w:ind w:left="293" w:hanging="293"/>
            </w:pPr>
            <w:r>
              <w:t>b)</w:t>
            </w:r>
            <w:r>
              <w:tab/>
              <w:t xml:space="preserve">Utforming med tanke på ombruk: Emballasjeproduktet er utformet for å kunne </w:t>
            </w:r>
            <w:proofErr w:type="spellStart"/>
            <w:r>
              <w:t>ombrukes</w:t>
            </w:r>
            <w:proofErr w:type="spellEnd"/>
            <w:r>
              <w:t xml:space="preserve"> i et ombrukssystem(</w:t>
            </w:r>
            <w:bookmarkStart w:id="65" w:name="NOTE_66"/>
            <w:r>
              <w:rPr>
                <w:rStyle w:val="FootnoteReference"/>
                <w:sz w:val="18"/>
              </w:rPr>
              <w:footnoteReference w:id="67"/>
            </w:r>
            <w:bookmarkEnd w:id="65"/>
            <w:r>
              <w:t xml:space="preserve">) og oppfyller kravene til bruk av sirkulære råvarer som fastsatt i nr. 1 bokstav a) med mål på 35 % og 10 % for </w:t>
            </w:r>
            <w:r w:rsidR="00D161ED">
              <w:t>material</w:t>
            </w:r>
            <w:r>
              <w:t>gjenvunne råvarer som gjelder fra 2028, og med mål på 65 % og 50 % som gjelder fra 2032. Systemet for ombruk er innrettet på en måte som sikrer muligheten for ombruk i et lukket eller åpent kretsløp som</w:t>
            </w:r>
          </w:p>
          <w:p w14:paraId="5C4CB7C4" w14:textId="77777777" w:rsidR="006561BA" w:rsidRDefault="005B4ED6">
            <w:pPr>
              <w:pStyle w:val="AnnexNumberedText"/>
              <w:spacing w:after="200"/>
              <w:ind w:left="596" w:hanging="303"/>
            </w:pPr>
            <w:r>
              <w:t>i)</w:t>
            </w:r>
            <w:r>
              <w:tab/>
              <w:t xml:space="preserve">sikrer en definert styringsstruktur og fører register over antall fyllinger, ombruk, kasserte produkter, innsamlingsgrad, mengden av emballasje som kan </w:t>
            </w:r>
            <w:proofErr w:type="spellStart"/>
            <w:r>
              <w:t>ombrukes</w:t>
            </w:r>
            <w:proofErr w:type="spellEnd"/>
            <w:r>
              <w:t>, og som er bragt i omsetning, samt salgsenheter eller tilsvarende enheter,</w:t>
            </w:r>
          </w:p>
          <w:p w14:paraId="0632D10B" w14:textId="77777777" w:rsidR="006561BA" w:rsidRDefault="005B4ED6">
            <w:pPr>
              <w:pStyle w:val="AnnexNumberedText"/>
              <w:spacing w:after="0"/>
              <w:ind w:left="596" w:hanging="303"/>
            </w:pPr>
            <w:r>
              <w:t>ii)</w:t>
            </w:r>
            <w:r>
              <w:tab/>
              <w:t>inneholder regler om produktomfang og emballasjeformater samt om innsamling av ombruksemballasje, herunder insentiver for forbrukerne,</w:t>
            </w:r>
          </w:p>
        </w:tc>
      </w:tr>
      <w:tr w:rsidR="006561BA" w14:paraId="123B83CE" w14:textId="77777777">
        <w:tc>
          <w:tcPr>
            <w:tcW w:w="9228" w:type="dxa"/>
            <w:gridSpan w:val="2"/>
            <w:tcMar>
              <w:top w:w="200" w:type="dxa"/>
              <w:left w:w="0" w:type="dxa"/>
              <w:bottom w:w="200" w:type="dxa"/>
              <w:right w:w="0" w:type="dxa"/>
            </w:tcMar>
          </w:tcPr>
          <w:p w14:paraId="62371C32" w14:textId="77777777" w:rsidR="006561BA" w:rsidRDefault="005B4ED6">
            <w:pPr>
              <w:pStyle w:val="AnnexNumberedText"/>
              <w:pageBreakBefore/>
              <w:ind w:left="596" w:hanging="303"/>
            </w:pPr>
            <w:r>
              <w:lastRenderedPageBreak/>
              <w:t>iii)</w:t>
            </w:r>
            <w:r>
              <w:tab/>
              <w:t>sikrer åpen og lik tilgang og vilkår for alle markedsdeltakere som ønsker å bli en del av det, herunder en forholdsmessig fordeling av kostnader og fordeler for alle systemdeltakere(</w:t>
            </w:r>
            <w:bookmarkStart w:id="66" w:name="NOTE_67"/>
            <w:r>
              <w:rPr>
                <w:rStyle w:val="FootnoteReference"/>
                <w:sz w:val="18"/>
              </w:rPr>
              <w:footnoteReference w:id="68"/>
            </w:r>
            <w:bookmarkEnd w:id="66"/>
            <w:r>
              <w:t>).</w:t>
            </w:r>
          </w:p>
          <w:p w14:paraId="77419648" w14:textId="72479D4C" w:rsidR="006561BA" w:rsidRDefault="005B4ED6">
            <w:pPr>
              <w:pStyle w:val="AnnexNumberedText"/>
              <w:ind w:left="293" w:hanging="293"/>
            </w:pPr>
            <w:r>
              <w:t>c)</w:t>
            </w:r>
            <w:r>
              <w:tab/>
              <w:t xml:space="preserve">Bruk av </w:t>
            </w:r>
            <w:r w:rsidR="00C13AEA">
              <w:t>bioavfall som råvare</w:t>
            </w:r>
            <w:r>
              <w:t xml:space="preserve">: minst 65 % av emballasjeproduktets vekt består av </w:t>
            </w:r>
            <w:r w:rsidR="008657A5">
              <w:t xml:space="preserve">bioavfall som </w:t>
            </w:r>
            <w:r>
              <w:t xml:space="preserve">bærekraftig </w:t>
            </w:r>
            <w:r w:rsidR="00313EE9">
              <w:t>råvare</w:t>
            </w:r>
            <w:r>
              <w:t>(</w:t>
            </w:r>
            <w:bookmarkStart w:id="67" w:name="NOTE_68"/>
            <w:r>
              <w:rPr>
                <w:rStyle w:val="FootnoteReference"/>
                <w:sz w:val="18"/>
              </w:rPr>
              <w:footnoteReference w:id="69"/>
            </w:r>
            <w:bookmarkEnd w:id="67"/>
            <w:r>
              <w:t>). Bioavfall fra landbruket som brukes til produksjon av plastemballasje, oppfyller kriteriene fastsatt i artikkel 29 nr. 2–5 i direktiv (EU) 2018/2001. Biomasse fra skog som brukes til produksjon av plastemballasje, oppfyller kriteriene fastsatt i artikkel 29 nr. 6 og 7 i det nevnte direktivet.</w:t>
            </w:r>
          </w:p>
          <w:p w14:paraId="2A2F4C7B" w14:textId="77777777" w:rsidR="006561BA" w:rsidRDefault="005B4ED6">
            <w:pPr>
              <w:pStyle w:val="AnnexNumberedText"/>
              <w:tabs>
                <w:tab w:val="left" w:pos="288"/>
              </w:tabs>
              <w:ind w:left="0" w:firstLine="0"/>
            </w:pPr>
            <w:r>
              <w:t>2.</w:t>
            </w:r>
            <w:r>
              <w:tab/>
              <w:t>Emballasjeproduktet kan gjenvinnes i praksis og i stor skala. Det er påvist at emballasjeproduktet kan gjenvinnes i praksis og i stor skala, og det oppfyller alle de kriteriene som er angitt nedenfor(</w:t>
            </w:r>
            <w:bookmarkStart w:id="68" w:name="NOTE_69"/>
            <w:r>
              <w:rPr>
                <w:rStyle w:val="FootnoteReference"/>
                <w:sz w:val="18"/>
              </w:rPr>
              <w:footnoteReference w:id="70"/>
            </w:r>
            <w:bookmarkEnd w:id="68"/>
            <w:r>
              <w:t>).</w:t>
            </w:r>
          </w:p>
          <w:p w14:paraId="7395DC21" w14:textId="1A8D1C60" w:rsidR="006561BA" w:rsidRDefault="005B4ED6">
            <w:pPr>
              <w:pStyle w:val="AnnexNumberedText"/>
              <w:tabs>
                <w:tab w:val="left" w:pos="384"/>
              </w:tabs>
              <w:ind w:left="0" w:firstLine="0"/>
            </w:pPr>
            <w:r>
              <w:t>2.1.</w:t>
            </w:r>
            <w:r>
              <w:tab/>
              <w:t>Emballasjeenheten(</w:t>
            </w:r>
            <w:bookmarkStart w:id="69" w:name="NOTE_70"/>
            <w:r>
              <w:rPr>
                <w:rStyle w:val="FootnoteReference"/>
                <w:sz w:val="18"/>
              </w:rPr>
              <w:footnoteReference w:id="71"/>
            </w:r>
            <w:bookmarkEnd w:id="69"/>
            <w:r>
              <w:t xml:space="preserve">) er utformet for å kunne gjenvinnes, slik at den kan sorteres og </w:t>
            </w:r>
            <w:proofErr w:type="spellStart"/>
            <w:r>
              <w:t>materialgjenvinnes</w:t>
            </w:r>
            <w:proofErr w:type="spellEnd"/>
            <w:r>
              <w:t xml:space="preserve"> når den er </w:t>
            </w:r>
            <w:r w:rsidR="0070387E">
              <w:t>uttjent</w:t>
            </w:r>
            <w:r>
              <w:t>, og slik at de</w:t>
            </w:r>
            <w:r w:rsidR="00284EBD">
              <w:t>n</w:t>
            </w:r>
            <w:r>
              <w:t xml:space="preserve"> materialgjenvunne </w:t>
            </w:r>
            <w:r w:rsidR="00284EBD">
              <w:t xml:space="preserve">råvaren </w:t>
            </w:r>
            <w:r>
              <w:t>er av en slik kvalitet at de</w:t>
            </w:r>
            <w:r w:rsidR="00BF7528">
              <w:t>n</w:t>
            </w:r>
            <w:r>
              <w:t xml:space="preserve"> kan brukes på nytt til emballasjeformål. Farger, tilsetningsstoffer eller utformingselementer på emballasjen som forurenser gjenvinningsstrømmen når emballasjen blir til avfall, og i vesentlig grad reduserer kvaliteten på de materialgjenvunne </w:t>
            </w:r>
            <w:r w:rsidR="004B1668">
              <w:t>råvarene</w:t>
            </w:r>
            <w:r>
              <w:t>, blir ikke brukt. I beste fall er emballasjen laget av samme materiale (oppløsning av ett enkelt materiale), men i det minste er de materialene som finnes i emballasjen, kompatible med de eksisterende gjenvinningsstrømmene og sorteringsprosessene. Dersom ingen av emballasjekomponentene er kompatible med de eksisterende materialgjenvinningsstrømmene og -prosessene, skal det være mulig å separere de komponentene som ikke kan gjenvinnes, enten manuelt av forbrukerne eller som ledd i de eksisterende sorterings- og materialgjenvinningsprosessene.</w:t>
            </w:r>
          </w:p>
          <w:p w14:paraId="572AC8D6" w14:textId="77777777" w:rsidR="006561BA" w:rsidRDefault="005B4ED6">
            <w:pPr>
              <w:pStyle w:val="AnnexNumberedText"/>
              <w:tabs>
                <w:tab w:val="left" w:pos="384"/>
              </w:tabs>
              <w:ind w:left="0" w:firstLine="0"/>
            </w:pPr>
            <w:r>
              <w:t>2.2.</w:t>
            </w:r>
            <w:r>
              <w:tab/>
              <w:t>Dessuten vurderes emballasjen som gjenvinnbar i stor skala dersom den oppfyller et av følgende kriterier:</w:t>
            </w:r>
          </w:p>
          <w:p w14:paraId="1F67947C" w14:textId="3725E685" w:rsidR="006561BA" w:rsidRDefault="005B4ED6">
            <w:pPr>
              <w:pStyle w:val="AnnexNumberedText"/>
              <w:ind w:left="293" w:hanging="293"/>
            </w:pPr>
            <w:r>
              <w:t>a)</w:t>
            </w:r>
            <w:r>
              <w:tab/>
              <w:t>Innsamling, sortering og materialgjenvinning har vist seg å fungere i praksis og i stor skala: Plastemballasjematerialet i emballasjeenheten oppfyller målet for laveste materialgjenvinningsgrad(</w:t>
            </w:r>
            <w:bookmarkStart w:id="70" w:name="NOTE_71"/>
            <w:r>
              <w:rPr>
                <w:rStyle w:val="FootnoteReference"/>
                <w:sz w:val="18"/>
              </w:rPr>
              <w:footnoteReference w:id="72"/>
            </w:r>
            <w:bookmarkEnd w:id="70"/>
            <w:r>
              <w:t>) for plastemballasjeavfall som er fastsatt i direktiv 94/62/EF, enten i den nasjonale jurisdiksjonen der emballasjen bringes i omsetning, uavhengig av jurisdiksjonens størrelse, eller i medlemsstater som til</w:t>
            </w:r>
            <w:r w:rsidR="008D4BCA">
              <w:t xml:space="preserve"> </w:t>
            </w:r>
            <w:r>
              <w:t>sammen representerer minst 100 millioner innbyggere.</w:t>
            </w:r>
          </w:p>
          <w:p w14:paraId="63B80B3F" w14:textId="77777777" w:rsidR="006561BA" w:rsidRDefault="005B4ED6">
            <w:pPr>
              <w:pStyle w:val="AnnexNumberedText"/>
              <w:ind w:left="293" w:hanging="293"/>
            </w:pPr>
            <w:r>
              <w:t>b)</w:t>
            </w:r>
            <w:r>
              <w:tab/>
              <w:t>Innsamling, sortering og materialgjenvinning har vist seg å fungere i praksis og i stor skala: Det finnes sorterings- og materialgjenvinningsprosesser på teknologimodenhetsnivå 9 i henhold til definisjonen i ISO 16290:2013(</w:t>
            </w:r>
            <w:bookmarkStart w:id="71" w:name="NOTE_72"/>
            <w:r>
              <w:rPr>
                <w:rStyle w:val="FootnoteReference"/>
                <w:sz w:val="18"/>
              </w:rPr>
              <w:footnoteReference w:id="73"/>
            </w:r>
            <w:bookmarkEnd w:id="71"/>
            <w:r>
              <w:t>).</w:t>
            </w:r>
          </w:p>
          <w:p w14:paraId="2694648D" w14:textId="77777777" w:rsidR="006561BA" w:rsidRDefault="005B4ED6">
            <w:pPr>
              <w:pStyle w:val="AnnexNumberedText"/>
              <w:tabs>
                <w:tab w:val="left" w:pos="288"/>
              </w:tabs>
              <w:ind w:left="0" w:firstLine="0"/>
            </w:pPr>
            <w:r>
              <w:t>3.</w:t>
            </w:r>
            <w:r>
              <w:tab/>
              <w:t>Når emballasjen produseres, skal følgende stoffer med de farlige egenskapene som er angitt nedenfor, ikke legges til råvaren:</w:t>
            </w:r>
          </w:p>
          <w:p w14:paraId="25E247F2" w14:textId="77777777" w:rsidR="006561BA" w:rsidRDefault="005B4ED6">
            <w:pPr>
              <w:pStyle w:val="AnnexNumberedText"/>
              <w:ind w:left="293" w:hanging="293"/>
            </w:pPr>
            <w:r>
              <w:t>a)</w:t>
            </w:r>
            <w:r>
              <w:tab/>
              <w:t>Stoffene som oppfyller kriteriene fastsatt i artikkel 57, og er identifisert i samsvar med artikkel 59 nr. 1 i forordning (EF) nr. 1907/2006.</w:t>
            </w:r>
          </w:p>
          <w:p w14:paraId="74EED6C4" w14:textId="77777777" w:rsidR="006561BA" w:rsidRDefault="005B4ED6">
            <w:pPr>
              <w:pStyle w:val="AnnexNumberedText"/>
              <w:ind w:left="293" w:hanging="293"/>
            </w:pPr>
            <w:r>
              <w:t>b)</w:t>
            </w:r>
            <w:r>
              <w:tab/>
              <w:t xml:space="preserve">Stoffene som oppfyller kriteriene for klassifisering som </w:t>
            </w:r>
            <w:proofErr w:type="spellStart"/>
            <w:r>
              <w:t>kreftframkallende</w:t>
            </w:r>
            <w:proofErr w:type="spellEnd"/>
            <w:r>
              <w:t xml:space="preserve"> i kategori 1 eller 2 i samsvar med europaparlaments- og rådsforordning (EF) nr. 1272/2008(</w:t>
            </w:r>
            <w:bookmarkStart w:id="72" w:name="NOTE_73"/>
            <w:r>
              <w:rPr>
                <w:rStyle w:val="FootnoteReference"/>
                <w:sz w:val="18"/>
              </w:rPr>
              <w:footnoteReference w:id="74"/>
            </w:r>
            <w:bookmarkEnd w:id="72"/>
            <w:r>
              <w:t>).</w:t>
            </w:r>
          </w:p>
          <w:p w14:paraId="09B224D4" w14:textId="77777777" w:rsidR="006561BA" w:rsidRDefault="005B4ED6">
            <w:pPr>
              <w:pStyle w:val="AnnexNumberedText"/>
              <w:spacing w:after="0"/>
              <w:ind w:left="293" w:hanging="293"/>
            </w:pPr>
            <w:r>
              <w:t>c)</w:t>
            </w:r>
            <w:r>
              <w:tab/>
              <w:t>Stoffer som oppfyller kriteriene for klassifisering som arvestoffskadelige i kategori 1 eller 2 i samsvar med forordning (EF) nr. 12722008.</w:t>
            </w:r>
          </w:p>
        </w:tc>
      </w:tr>
      <w:tr w:rsidR="006561BA" w14:paraId="0313A27C" w14:textId="77777777">
        <w:tc>
          <w:tcPr>
            <w:tcW w:w="9228" w:type="dxa"/>
            <w:gridSpan w:val="2"/>
            <w:tcMar>
              <w:top w:w="200" w:type="dxa"/>
              <w:left w:w="0" w:type="dxa"/>
              <w:bottom w:w="200" w:type="dxa"/>
              <w:right w:w="0" w:type="dxa"/>
            </w:tcMar>
          </w:tcPr>
          <w:p w14:paraId="103C1E73" w14:textId="77777777" w:rsidR="006561BA" w:rsidRDefault="005B4ED6">
            <w:pPr>
              <w:pStyle w:val="AnnexNumberedText"/>
              <w:pageBreakBefore/>
              <w:ind w:left="293" w:hanging="293"/>
            </w:pPr>
            <w:r>
              <w:lastRenderedPageBreak/>
              <w:t>d)</w:t>
            </w:r>
            <w:r>
              <w:tab/>
              <w:t>Stoffer som oppfyller kriteriene for klassifisering som reproduksjonstoksiske i kategori 1 eller 2 i samsvar med forordning (EF) nr. 12722008.</w:t>
            </w:r>
          </w:p>
          <w:p w14:paraId="6D68E67C" w14:textId="77777777" w:rsidR="006561BA" w:rsidRDefault="005B4ED6">
            <w:pPr>
              <w:pStyle w:val="AnnexNumberedText"/>
              <w:ind w:left="293" w:hanging="293"/>
            </w:pPr>
            <w:r>
              <w:t>e)</w:t>
            </w:r>
            <w:r>
              <w:tab/>
              <w:t>Stoffer som oppfyller kriteriene for klassifisering som hormonforstyrrende for menneskers helse i kategori 1 eller som hormonforstyrrende for miljøet i kategori 1 i samsvar med forordning (EF) nr. 1272/2008.</w:t>
            </w:r>
          </w:p>
          <w:p w14:paraId="6C5F128A" w14:textId="77777777" w:rsidR="006561BA" w:rsidRDefault="005B4ED6">
            <w:pPr>
              <w:pStyle w:val="AnnexNumberedText"/>
              <w:ind w:left="293" w:hanging="293"/>
            </w:pPr>
            <w:r>
              <w:t>f)</w:t>
            </w:r>
            <w:r>
              <w:tab/>
              <w:t>Stoffer som oppfyller kriteriene for klassifisering som persistente, bioakkumulerende og giftige i samsvar med forordning (EF) nr. 1272/2008.</w:t>
            </w:r>
          </w:p>
          <w:p w14:paraId="16571CC4" w14:textId="77777777" w:rsidR="006561BA" w:rsidRDefault="005B4ED6">
            <w:pPr>
              <w:pStyle w:val="AnnexNumberedText"/>
              <w:ind w:left="293" w:hanging="293"/>
            </w:pPr>
            <w:r>
              <w:t>g)</w:t>
            </w:r>
            <w:r>
              <w:tab/>
              <w:t>Stoffer som oppfyller kriteriene for klassifisering som svært persistente og svært bioakkumulerende i samsvar med forordning (EF) nr. 1272/2008.</w:t>
            </w:r>
          </w:p>
          <w:p w14:paraId="26F73C95" w14:textId="77777777" w:rsidR="006561BA" w:rsidRDefault="005B4ED6">
            <w:pPr>
              <w:pStyle w:val="AnnexNumberedText"/>
              <w:ind w:left="293" w:hanging="293"/>
            </w:pPr>
            <w:r>
              <w:t>h)</w:t>
            </w:r>
            <w:r>
              <w:tab/>
              <w:t>Stoffer som oppfyller kriteriene for klassifisering som persistente, mobile og giftige i samsvar med forordning (EF) nr. 1272/2008.</w:t>
            </w:r>
          </w:p>
          <w:p w14:paraId="75DBEE80" w14:textId="77777777" w:rsidR="006561BA" w:rsidRDefault="005B4ED6">
            <w:pPr>
              <w:pStyle w:val="AnnexNumberedText"/>
              <w:ind w:left="293" w:hanging="293"/>
            </w:pPr>
            <w:r>
              <w:t>i)</w:t>
            </w:r>
            <w:r>
              <w:tab/>
              <w:t>Stoffer som oppfyller kriteriene for klassifisering som svært persistente og svært mobile i samsvar med forordning (EF) nr. 1272/2008.</w:t>
            </w:r>
          </w:p>
          <w:p w14:paraId="1159A48E" w14:textId="77777777" w:rsidR="006561BA" w:rsidRDefault="005B4ED6">
            <w:pPr>
              <w:pStyle w:val="AnnexNumberedText"/>
              <w:ind w:left="293" w:hanging="293"/>
            </w:pPr>
            <w:r>
              <w:t>j)</w:t>
            </w:r>
            <w:r>
              <w:tab/>
              <w:t>Stoffer som oppfyller kriteriene for klassifisering som luftveissensibiliserende i kategori 1 i samsvar med forordning (EF) nr. 1272/2008.</w:t>
            </w:r>
          </w:p>
          <w:p w14:paraId="370A9F66" w14:textId="77777777" w:rsidR="006561BA" w:rsidRDefault="005B4ED6">
            <w:pPr>
              <w:pStyle w:val="AnnexNumberedText"/>
              <w:ind w:left="293" w:hanging="293"/>
            </w:pPr>
            <w:r>
              <w:t>k)</w:t>
            </w:r>
            <w:r>
              <w:tab/>
              <w:t>Stoffer som oppfyller kriteriene for klassifisering som hudsensibiliserende i kategori 1 i samsvar med forordning (EF) nr. 12722008.</w:t>
            </w:r>
          </w:p>
          <w:p w14:paraId="2D91CE4B" w14:textId="77777777" w:rsidR="006561BA" w:rsidRDefault="005B4ED6">
            <w:pPr>
              <w:pStyle w:val="AnnexNumberedText"/>
              <w:ind w:left="293" w:hanging="293"/>
            </w:pPr>
            <w:r>
              <w:t>l)</w:t>
            </w:r>
            <w:r>
              <w:tab/>
              <w:t>Stoffer som oppfyller kriteriene for klassifisering som farlige for vannmiljøet med kronisk fare i kategori 1, 2, 3 eller 4 i samsvar med forordning (EF) nr. 1272/2008.</w:t>
            </w:r>
          </w:p>
          <w:p w14:paraId="4DA3DC9A" w14:textId="77777777" w:rsidR="006561BA" w:rsidRDefault="005B4ED6">
            <w:pPr>
              <w:pStyle w:val="AnnexNumberedText"/>
              <w:ind w:left="293" w:hanging="293"/>
            </w:pPr>
            <w:r>
              <w:t>m)</w:t>
            </w:r>
            <w:r>
              <w:tab/>
              <w:t>Stoffer som oppfyller kriteriene for klassifisering som farlige for ozonlaget i samsvar med forordning (EF) nr. 1272/2008.</w:t>
            </w:r>
          </w:p>
          <w:p w14:paraId="2252D31E" w14:textId="77777777" w:rsidR="006561BA" w:rsidRDefault="005B4ED6">
            <w:pPr>
              <w:pStyle w:val="AnnexNumberedText"/>
              <w:ind w:left="293" w:hanging="293"/>
            </w:pPr>
            <w:r>
              <w:t>n)</w:t>
            </w:r>
            <w:r>
              <w:tab/>
              <w:t>Stoffer som oppfyller kriteriene for klassifisering som stoffer med spesifikk målorgantoksisitet – gjentatt eksponering i kategori 1 eller 2 i samsvar med forordning (EF) nr. 12722008.</w:t>
            </w:r>
          </w:p>
          <w:p w14:paraId="5E79F133" w14:textId="77777777" w:rsidR="006561BA" w:rsidRDefault="005B4ED6">
            <w:pPr>
              <w:pStyle w:val="AnnexNumberedText"/>
              <w:ind w:left="293" w:hanging="293"/>
            </w:pPr>
            <w:r>
              <w:t>o)</w:t>
            </w:r>
            <w:r>
              <w:tab/>
              <w:t>Stoffer som oppfyller kriteriene for klassifisering som stoffer med spesifikk målorgantoksisitet – enkeleksponering i kategori 1 eller 2 i samsvar med forordning (EF) nr. 1272/2008.</w:t>
            </w:r>
          </w:p>
          <w:p w14:paraId="0727206D" w14:textId="77777777" w:rsidR="006561BA" w:rsidRDefault="005B4ED6">
            <w:pPr>
              <w:pStyle w:val="AnnexNumberedText"/>
              <w:tabs>
                <w:tab w:val="left" w:pos="288"/>
              </w:tabs>
              <w:spacing w:after="0"/>
              <w:ind w:left="0" w:firstLine="0"/>
            </w:pPr>
            <w:r>
              <w:t>4.</w:t>
            </w:r>
            <w:r>
              <w:tab/>
              <w:t xml:space="preserve">Komposterbare plastmaterialer til emballasjeformål brukes bare til bæreposer i svært tynn plast, teposer, kaffeposer eller andre poser til drikkevarer, </w:t>
            </w:r>
            <w:proofErr w:type="spellStart"/>
            <w:r>
              <w:t>tekapsler</w:t>
            </w:r>
            <w:proofErr w:type="spellEnd"/>
            <w:r>
              <w:t>, kaffekapsler eller andre kapsler til drikkevarer og selvklebende etiketter festet til frukt og grønnsaker.</w:t>
            </w:r>
          </w:p>
        </w:tc>
      </w:tr>
      <w:tr w:rsidR="006561BA" w14:paraId="600FED6A" w14:textId="77777777">
        <w:tc>
          <w:tcPr>
            <w:tcW w:w="9228" w:type="dxa"/>
            <w:gridSpan w:val="2"/>
            <w:tcMar>
              <w:top w:w="200" w:type="dxa"/>
              <w:left w:w="0" w:type="dxa"/>
              <w:bottom w:w="200" w:type="dxa"/>
              <w:right w:w="0" w:type="dxa"/>
            </w:tcMar>
          </w:tcPr>
          <w:p w14:paraId="234D1AF5" w14:textId="77777777" w:rsidR="006561BA" w:rsidRDefault="005B4ED6">
            <w:pPr>
              <w:pStyle w:val="AnnexTableCellLeft"/>
            </w:pPr>
            <w:r>
              <w:t>Prinsippet om ikke å gjøre betydelig skade («DNSH»)</w:t>
            </w:r>
          </w:p>
        </w:tc>
      </w:tr>
      <w:tr w:rsidR="006561BA" w14:paraId="3FED6C43" w14:textId="77777777">
        <w:tc>
          <w:tcPr>
            <w:tcW w:w="2592" w:type="dxa"/>
            <w:tcMar>
              <w:top w:w="200" w:type="dxa"/>
              <w:left w:w="0" w:type="dxa"/>
              <w:bottom w:w="200" w:type="dxa"/>
            </w:tcMar>
          </w:tcPr>
          <w:p w14:paraId="5E13E621" w14:textId="77777777" w:rsidR="006561BA" w:rsidRDefault="005B4ED6">
            <w:pPr>
              <w:pStyle w:val="AnnexNumberedText"/>
              <w:ind w:left="293" w:hanging="293"/>
            </w:pPr>
            <w:r>
              <w:t>1)</w:t>
            </w:r>
            <w:r>
              <w:tab/>
              <w:t>Begrensning av klimaendringer</w:t>
            </w:r>
          </w:p>
        </w:tc>
        <w:tc>
          <w:tcPr>
            <w:tcW w:w="6636" w:type="dxa"/>
            <w:tcMar>
              <w:top w:w="200" w:type="dxa"/>
              <w:bottom w:w="200" w:type="dxa"/>
              <w:right w:w="0" w:type="dxa"/>
            </w:tcMar>
          </w:tcPr>
          <w:p w14:paraId="3C706C09" w14:textId="748782B9" w:rsidR="006561BA" w:rsidRDefault="005B4ED6">
            <w:pPr>
              <w:pStyle w:val="AnnexTableCellLeft"/>
            </w:pPr>
            <w:r>
              <w:t xml:space="preserve">For plast som er framstilt av kjemisk materialgjenvunne råvarer, er livsløpsutslippene av klimagasser for den framstilte plasten, eksklusive eventuelt beregnet tilgodehavende fra produksjonen av brensler, lavere enn livsløpsutslippene av klimagasser for tilsvarende </w:t>
            </w:r>
            <w:r w:rsidR="00765082">
              <w:t>primær</w:t>
            </w:r>
            <w:r>
              <w:t xml:space="preserve">plast som er framstilt av </w:t>
            </w:r>
            <w:r w:rsidR="001651DB">
              <w:t xml:space="preserve">fossile </w:t>
            </w:r>
            <w:r>
              <w:t>råvarer. Livsløpsutslipp av klimagasser beregnes ved hjelp kommisjonsrekommandasjon (EU) 2021/2279(</w:t>
            </w:r>
            <w:bookmarkStart w:id="73" w:name="NOTE_74"/>
            <w:r>
              <w:rPr>
                <w:rStyle w:val="FootnoteReference"/>
                <w:sz w:val="18"/>
              </w:rPr>
              <w:footnoteReference w:id="75"/>
            </w:r>
            <w:bookmarkEnd w:id="73"/>
            <w:r>
              <w:t>) eller alternativt ISO 14067:2018(</w:t>
            </w:r>
            <w:bookmarkStart w:id="74" w:name="NOTE_75"/>
            <w:r>
              <w:rPr>
                <w:rStyle w:val="FootnoteReference"/>
                <w:sz w:val="18"/>
              </w:rPr>
              <w:footnoteReference w:id="76"/>
            </w:r>
            <w:bookmarkEnd w:id="74"/>
            <w:r>
              <w:t>) eller ISO 14064-1:2018(</w:t>
            </w:r>
            <w:bookmarkStart w:id="75" w:name="NOTE_76"/>
            <w:r>
              <w:rPr>
                <w:rStyle w:val="FootnoteReference"/>
                <w:sz w:val="18"/>
              </w:rPr>
              <w:footnoteReference w:id="77"/>
            </w:r>
            <w:bookmarkEnd w:id="75"/>
            <w:r>
              <w:t>). Kvantifiserte livsløpsutslipp av klimagasser verifiseres av en uavhengig tredjepart.</w:t>
            </w:r>
          </w:p>
        </w:tc>
      </w:tr>
      <w:tr w:rsidR="006561BA" w14:paraId="7B5E5F70" w14:textId="77777777">
        <w:tc>
          <w:tcPr>
            <w:tcW w:w="2592" w:type="dxa"/>
            <w:tcMar>
              <w:top w:w="200" w:type="dxa"/>
              <w:left w:w="0" w:type="dxa"/>
              <w:bottom w:w="200" w:type="dxa"/>
            </w:tcMar>
          </w:tcPr>
          <w:p w14:paraId="125F1BC3" w14:textId="77777777" w:rsidR="006561BA" w:rsidRDefault="006561BA">
            <w:pPr>
              <w:pStyle w:val="AnnexTableCellLeft"/>
              <w:pageBreakBefore/>
            </w:pPr>
          </w:p>
        </w:tc>
        <w:tc>
          <w:tcPr>
            <w:tcW w:w="6636" w:type="dxa"/>
            <w:tcMar>
              <w:top w:w="200" w:type="dxa"/>
              <w:bottom w:w="200" w:type="dxa"/>
              <w:right w:w="0" w:type="dxa"/>
            </w:tcMar>
          </w:tcPr>
          <w:p w14:paraId="65B8BE03" w14:textId="062E247B" w:rsidR="006561BA" w:rsidRDefault="005B4ED6">
            <w:pPr>
              <w:pStyle w:val="AnnexTableCellLeft"/>
            </w:pPr>
            <w:r>
              <w:t xml:space="preserve">Livsløpsutslipp av klimagasser for plast som er framstilt av bærekraftige råvarer fra bioavfall, er lavere enn livsløpsutslippene av klimagasser for tilsvarende </w:t>
            </w:r>
            <w:r w:rsidR="00765082">
              <w:t>primær</w:t>
            </w:r>
            <w:r>
              <w:t xml:space="preserve">plast som er framstilt av </w:t>
            </w:r>
            <w:r w:rsidR="00BF5915">
              <w:t xml:space="preserve">fossile </w:t>
            </w:r>
            <w:r>
              <w:t>råvarer. Livsløpsutslipp av klimagasser beregnes ved hjelp av kommisjonsrekommandasjon 2013/179/EU(</w:t>
            </w:r>
            <w:bookmarkStart w:id="76" w:name="NOTE_77"/>
            <w:r>
              <w:rPr>
                <w:rStyle w:val="FootnoteReference"/>
                <w:sz w:val="18"/>
              </w:rPr>
              <w:footnoteReference w:id="78"/>
            </w:r>
            <w:bookmarkEnd w:id="76"/>
            <w:r>
              <w:t>) eller alternativt ISO 14067:2018 eller ISO 14064-1:2018. Kvantifiserte livsløpsutslipp av klimagasser verifiseres av en uavhengig tredjepart.</w:t>
            </w:r>
          </w:p>
        </w:tc>
      </w:tr>
      <w:tr w:rsidR="006561BA" w14:paraId="18C3FC0F" w14:textId="77777777">
        <w:tc>
          <w:tcPr>
            <w:tcW w:w="2592" w:type="dxa"/>
            <w:tcMar>
              <w:top w:w="200" w:type="dxa"/>
              <w:left w:w="0" w:type="dxa"/>
              <w:bottom w:w="200" w:type="dxa"/>
            </w:tcMar>
          </w:tcPr>
          <w:p w14:paraId="6E805088" w14:textId="77777777" w:rsidR="006561BA" w:rsidRDefault="005B4ED6">
            <w:pPr>
              <w:pStyle w:val="AnnexNumberedText"/>
              <w:spacing w:after="0"/>
              <w:ind w:left="293" w:hanging="293"/>
            </w:pPr>
            <w:r>
              <w:t>2)</w:t>
            </w:r>
            <w:r>
              <w:tab/>
              <w:t>Tilpasning til klimaendringer</w:t>
            </w:r>
          </w:p>
        </w:tc>
        <w:tc>
          <w:tcPr>
            <w:tcW w:w="6636" w:type="dxa"/>
            <w:tcMar>
              <w:top w:w="200" w:type="dxa"/>
              <w:bottom w:w="200" w:type="dxa"/>
              <w:right w:w="0" w:type="dxa"/>
            </w:tcMar>
          </w:tcPr>
          <w:p w14:paraId="4B9E738E" w14:textId="77777777" w:rsidR="006561BA" w:rsidRDefault="005B4ED6">
            <w:pPr>
              <w:pStyle w:val="AnnexTableCellLeft"/>
            </w:pPr>
            <w:r>
              <w:t>Aktiviteten oppfyller kriteriene fastsatt i tillegg A til dette vedlegget.</w:t>
            </w:r>
          </w:p>
        </w:tc>
      </w:tr>
      <w:tr w:rsidR="006561BA" w14:paraId="6D8702DA" w14:textId="77777777">
        <w:tc>
          <w:tcPr>
            <w:tcW w:w="2592" w:type="dxa"/>
            <w:tcMar>
              <w:top w:w="200" w:type="dxa"/>
              <w:left w:w="0" w:type="dxa"/>
              <w:bottom w:w="200" w:type="dxa"/>
            </w:tcMar>
          </w:tcPr>
          <w:p w14:paraId="31A98D63" w14:textId="77777777" w:rsidR="006561BA" w:rsidRDefault="005B4ED6">
            <w:pPr>
              <w:pStyle w:val="AnnexNumberedText"/>
              <w:spacing w:after="0"/>
              <w:ind w:left="293" w:hanging="293"/>
            </w:pPr>
            <w:r>
              <w:t>3)</w:t>
            </w:r>
            <w:r>
              <w:tab/>
              <w:t>Bærekraftig bruk og beskyttelse av vann- og havressurser</w:t>
            </w:r>
          </w:p>
        </w:tc>
        <w:tc>
          <w:tcPr>
            <w:tcW w:w="6636" w:type="dxa"/>
            <w:tcMar>
              <w:top w:w="200" w:type="dxa"/>
              <w:bottom w:w="200" w:type="dxa"/>
              <w:right w:w="0" w:type="dxa"/>
            </w:tcMar>
          </w:tcPr>
          <w:p w14:paraId="50A1E2CF" w14:textId="77777777" w:rsidR="006561BA" w:rsidRDefault="005B4ED6">
            <w:pPr>
              <w:pStyle w:val="AnnexTableCellLeft"/>
            </w:pPr>
            <w:r>
              <w:t>Aktiviteten oppfyller kriteriene fastsatt i tillegg B til dette vedlegget.</w:t>
            </w:r>
          </w:p>
        </w:tc>
      </w:tr>
      <w:tr w:rsidR="006561BA" w14:paraId="216FEDEB" w14:textId="77777777">
        <w:tc>
          <w:tcPr>
            <w:tcW w:w="2592" w:type="dxa"/>
            <w:tcMar>
              <w:top w:w="200" w:type="dxa"/>
              <w:left w:w="0" w:type="dxa"/>
              <w:bottom w:w="200" w:type="dxa"/>
            </w:tcMar>
          </w:tcPr>
          <w:p w14:paraId="6F85555C" w14:textId="77777777" w:rsidR="006561BA" w:rsidRDefault="005B4ED6">
            <w:pPr>
              <w:pStyle w:val="AnnexNumberedText"/>
              <w:ind w:left="293" w:hanging="293"/>
            </w:pPr>
            <w:r>
              <w:t>5)</w:t>
            </w:r>
            <w:r>
              <w:tab/>
              <w:t>Forebygging og begrensning av forurensning</w:t>
            </w:r>
          </w:p>
        </w:tc>
        <w:tc>
          <w:tcPr>
            <w:tcW w:w="6636" w:type="dxa"/>
            <w:tcMar>
              <w:top w:w="200" w:type="dxa"/>
              <w:bottom w:w="200" w:type="dxa"/>
              <w:right w:w="0" w:type="dxa"/>
            </w:tcMar>
          </w:tcPr>
          <w:p w14:paraId="6928A77A" w14:textId="77777777" w:rsidR="006561BA" w:rsidRDefault="005B4ED6">
            <w:pPr>
              <w:pStyle w:val="AnnexTableCellLeft"/>
              <w:spacing w:after="120"/>
            </w:pPr>
            <w:r>
              <w:t>Aktiviteten oppfyller kriteriene fastsatt i tillegg C til dette vedlegget.</w:t>
            </w:r>
          </w:p>
          <w:p w14:paraId="57ADD34D" w14:textId="33715639" w:rsidR="006561BA" w:rsidRDefault="005B4ED6">
            <w:pPr>
              <w:pStyle w:val="AnnexTableCellLeft"/>
              <w:spacing w:after="120"/>
            </w:pPr>
            <w:r>
              <w:t xml:space="preserve">For produkter som er framstilt av </w:t>
            </w:r>
            <w:r w:rsidR="00D20EE9">
              <w:t>primær</w:t>
            </w:r>
            <w:r>
              <w:t>plastmaterialer, ligger utslippene fra produksjonen av disse plastmaterialene innenfor eller under de utslippsnivåene som er forbundet med de beste tilgjengelige teknikkene (BAT-AEL), og som er angitt i de relevante konklusjonene om beste tilgjengelige teknikker (BAT-konklusjoner), herunder</w:t>
            </w:r>
          </w:p>
          <w:p w14:paraId="429024F6" w14:textId="77777777" w:rsidR="006561BA" w:rsidRDefault="005B4ED6">
            <w:pPr>
              <w:pStyle w:val="AnnexNumberedText"/>
              <w:ind w:left="293" w:hanging="293"/>
            </w:pPr>
            <w:r>
              <w:t>a)</w:t>
            </w:r>
            <w:r>
              <w:tab/>
              <w:t>konklusjonene om beste tilgjengelige teknikker (BAT-konklusjoner) for felles systemer for rensing/håndtering av spillvann og avgasser i kjemisk sektor(</w:t>
            </w:r>
            <w:bookmarkStart w:id="77" w:name="NOTE_78"/>
            <w:r>
              <w:rPr>
                <w:rStyle w:val="FootnoteReference"/>
                <w:sz w:val="18"/>
              </w:rPr>
              <w:footnoteReference w:id="79"/>
            </w:r>
            <w:bookmarkEnd w:id="77"/>
            <w:r>
              <w:t>), når det gjelder utslipp til vann der relevante utslippsterskler får anvendelse,</w:t>
            </w:r>
          </w:p>
          <w:p w14:paraId="2EE6D21A" w14:textId="77777777" w:rsidR="006561BA" w:rsidRDefault="005B4ED6">
            <w:pPr>
              <w:pStyle w:val="AnnexNumberedText"/>
              <w:ind w:left="293" w:hanging="293"/>
            </w:pPr>
            <w:r>
              <w:t>b)</w:t>
            </w:r>
            <w:r>
              <w:tab/>
              <w:t>Konklusjoner om beste tilgjengelige teknikker (BAT-konklusjoner) for felles systemer for håndtering og rensing av avgasser i kjemisk sektor(</w:t>
            </w:r>
            <w:bookmarkStart w:id="78" w:name="NOTE_79"/>
            <w:r>
              <w:rPr>
                <w:rStyle w:val="FootnoteReference"/>
                <w:sz w:val="18"/>
              </w:rPr>
              <w:footnoteReference w:id="80"/>
            </w:r>
            <w:bookmarkEnd w:id="78"/>
            <w:r>
              <w:t>) for utslipp til luft fra nye anlegg (eller for eksisterende anlegg innen fire år etter offentliggjøring av BAT-konklusjonene) dersom relevante vilkår får anvendelse.</w:t>
            </w:r>
          </w:p>
          <w:p w14:paraId="6816F607" w14:textId="77777777" w:rsidR="006561BA" w:rsidRDefault="005B4ED6">
            <w:pPr>
              <w:pStyle w:val="AnnexNumberedText"/>
              <w:ind w:left="293" w:hanging="293"/>
            </w:pPr>
            <w:r>
              <w:t>c)</w:t>
            </w:r>
            <w:r>
              <w:tab/>
              <w:t xml:space="preserve">Referansedokumentet om beste tilgjengelige teknikker (BREF) for produksjon av </w:t>
            </w:r>
            <w:proofErr w:type="spellStart"/>
            <w:r>
              <w:t>polymerer</w:t>
            </w:r>
            <w:proofErr w:type="spellEnd"/>
            <w:r>
              <w:t>(</w:t>
            </w:r>
            <w:bookmarkStart w:id="79" w:name="NOTE_80"/>
            <w:r>
              <w:rPr>
                <w:rStyle w:val="FootnoteReference"/>
                <w:sz w:val="18"/>
              </w:rPr>
              <w:footnoteReference w:id="81"/>
            </w:r>
            <w:bookmarkEnd w:id="79"/>
            <w:r>
              <w:t>) for produksjonsprosesser på vilkår som ikke er omfattet av ovennevnte BAT-konklusjoner.</w:t>
            </w:r>
          </w:p>
          <w:p w14:paraId="53E9486D" w14:textId="77777777" w:rsidR="006561BA" w:rsidRDefault="005B4ED6">
            <w:pPr>
              <w:pStyle w:val="AnnexNumberedText"/>
              <w:ind w:left="293" w:hanging="293"/>
            </w:pPr>
            <w:r>
              <w:t>d)</w:t>
            </w:r>
            <w:r>
              <w:tab/>
              <w:t>Referansedokumentet om beste tilgjengelige teknikker (BREF) for uorganiske kjemikalier i storskalaproduksjon – faste stoffer og andre(</w:t>
            </w:r>
            <w:bookmarkStart w:id="80" w:name="NOTE_81"/>
            <w:r>
              <w:rPr>
                <w:rStyle w:val="FootnoteReference"/>
                <w:sz w:val="18"/>
              </w:rPr>
              <w:footnoteReference w:id="82"/>
            </w:r>
            <w:bookmarkEnd w:id="80"/>
            <w:r>
              <w:t>).</w:t>
            </w:r>
          </w:p>
          <w:p w14:paraId="378C6E4A" w14:textId="77777777" w:rsidR="006561BA" w:rsidRDefault="005B4ED6">
            <w:pPr>
              <w:pStyle w:val="AnnexNumberedText"/>
              <w:spacing w:after="0"/>
              <w:ind w:left="293" w:hanging="293"/>
            </w:pPr>
            <w:r>
              <w:t>e)</w:t>
            </w:r>
            <w:r>
              <w:tab/>
              <w:t>Referansedokumentet om beste tilgjengelige teknikker (BREF) for uorganiske kjemikalier i storskalaproduksjon – ammoniakk, syre og gjødsel(</w:t>
            </w:r>
            <w:bookmarkStart w:id="81" w:name="NOTE_82"/>
            <w:r>
              <w:rPr>
                <w:rStyle w:val="FootnoteReference"/>
                <w:sz w:val="18"/>
              </w:rPr>
              <w:footnoteReference w:id="83"/>
            </w:r>
            <w:bookmarkEnd w:id="81"/>
            <w:r>
              <w:t>).</w:t>
            </w:r>
          </w:p>
        </w:tc>
      </w:tr>
      <w:tr w:rsidR="006561BA" w14:paraId="707B815D" w14:textId="77777777">
        <w:tc>
          <w:tcPr>
            <w:tcW w:w="2592" w:type="dxa"/>
            <w:tcMar>
              <w:top w:w="200" w:type="dxa"/>
              <w:left w:w="0" w:type="dxa"/>
              <w:bottom w:w="200" w:type="dxa"/>
            </w:tcMar>
          </w:tcPr>
          <w:p w14:paraId="5E070C76" w14:textId="77777777" w:rsidR="006561BA" w:rsidRDefault="006561BA">
            <w:pPr>
              <w:pStyle w:val="AnnexTableCellLeft"/>
              <w:pageBreakBefore/>
            </w:pPr>
          </w:p>
        </w:tc>
        <w:tc>
          <w:tcPr>
            <w:tcW w:w="6636" w:type="dxa"/>
            <w:tcMar>
              <w:top w:w="200" w:type="dxa"/>
              <w:bottom w:w="200" w:type="dxa"/>
              <w:right w:w="0" w:type="dxa"/>
            </w:tcMar>
          </w:tcPr>
          <w:p w14:paraId="4F75FEA1" w14:textId="77777777" w:rsidR="006561BA" w:rsidRDefault="005B4ED6">
            <w:pPr>
              <w:pStyle w:val="AnnexNumberedText"/>
              <w:ind w:left="293" w:hanging="293"/>
            </w:pPr>
            <w:r>
              <w:t>f)</w:t>
            </w:r>
            <w:r>
              <w:tab/>
              <w:t>Referansedokumentet om beste tilgjengelige teknikker (BREF) for produksjon av organiske finkjemikalier(</w:t>
            </w:r>
            <w:bookmarkStart w:id="82" w:name="NOTE_83"/>
            <w:r>
              <w:rPr>
                <w:rStyle w:val="FootnoteReference"/>
                <w:sz w:val="18"/>
              </w:rPr>
              <w:footnoteReference w:id="84"/>
            </w:r>
            <w:bookmarkEnd w:id="82"/>
            <w:r>
              <w:t>).</w:t>
            </w:r>
          </w:p>
          <w:p w14:paraId="7CB658AD" w14:textId="77777777" w:rsidR="006561BA" w:rsidRDefault="005B4ED6">
            <w:pPr>
              <w:pStyle w:val="AnnexNumberedText"/>
              <w:ind w:left="293" w:hanging="293"/>
            </w:pPr>
            <w:r>
              <w:t>g)</w:t>
            </w:r>
            <w:r>
              <w:tab/>
              <w:t>Referansedokumentet om beste tilgjengelige teknikker (BREF) for produksjon av uorganiske spesialkjemikalier (SIC)(</w:t>
            </w:r>
            <w:bookmarkStart w:id="83" w:name="NOTE_84"/>
            <w:r>
              <w:rPr>
                <w:rStyle w:val="FootnoteReference"/>
                <w:sz w:val="18"/>
              </w:rPr>
              <w:footnoteReference w:id="85"/>
            </w:r>
            <w:bookmarkEnd w:id="83"/>
            <w:r>
              <w:t>).</w:t>
            </w:r>
          </w:p>
          <w:p w14:paraId="7A74DE27" w14:textId="77777777" w:rsidR="006561BA" w:rsidRDefault="005B4ED6">
            <w:pPr>
              <w:pStyle w:val="AnnexTableCellLeft"/>
            </w:pPr>
            <w:r>
              <w:t>Det forekommer ingen signifikante tverrgående miljøvirkninger.</w:t>
            </w:r>
          </w:p>
        </w:tc>
      </w:tr>
      <w:tr w:rsidR="006561BA" w14:paraId="11D3BD55" w14:textId="77777777">
        <w:tc>
          <w:tcPr>
            <w:tcW w:w="2592" w:type="dxa"/>
            <w:tcMar>
              <w:top w:w="200" w:type="dxa"/>
              <w:left w:w="0" w:type="dxa"/>
              <w:bottom w:w="200" w:type="dxa"/>
            </w:tcMar>
          </w:tcPr>
          <w:p w14:paraId="4D1ECF16" w14:textId="77777777" w:rsidR="006561BA" w:rsidRDefault="005B4ED6">
            <w:pPr>
              <w:pStyle w:val="AnnexNumberedText"/>
              <w:spacing w:after="0"/>
              <w:ind w:left="293" w:hanging="293"/>
            </w:pPr>
            <w:r>
              <w:t>6)</w:t>
            </w:r>
            <w:r>
              <w:tab/>
              <w:t>Beskyttelse og restaurering av biologisk mangfold og økosystemer</w:t>
            </w:r>
          </w:p>
        </w:tc>
        <w:tc>
          <w:tcPr>
            <w:tcW w:w="6636" w:type="dxa"/>
            <w:tcMar>
              <w:top w:w="200" w:type="dxa"/>
              <w:bottom w:w="200" w:type="dxa"/>
              <w:right w:w="0" w:type="dxa"/>
            </w:tcMar>
          </w:tcPr>
          <w:p w14:paraId="31FB5409" w14:textId="77777777" w:rsidR="006561BA" w:rsidRDefault="005B4ED6">
            <w:pPr>
              <w:pStyle w:val="AnnexTableCellLeft"/>
            </w:pPr>
            <w:r>
              <w:t>Aktiviteten oppfyller kriteriene fastsatt i tillegg D til dette vedlegget.</w:t>
            </w:r>
          </w:p>
        </w:tc>
      </w:tr>
    </w:tbl>
    <w:p w14:paraId="0313141D" w14:textId="77777777" w:rsidR="006561BA" w:rsidRDefault="005B4ED6">
      <w:pPr>
        <w:pStyle w:val="AnnexNumberedText"/>
        <w:spacing w:before="500" w:after="600"/>
        <w:ind w:left="414" w:hanging="414"/>
      </w:pPr>
      <w:r>
        <w:t>1.2.</w:t>
      </w:r>
      <w:r>
        <w:rPr>
          <w:b/>
        </w:rPr>
        <w:tab/>
        <w:t>Produksjon av elektrisk og elektroniske utstyr</w:t>
      </w:r>
    </w:p>
    <w:p w14:paraId="0DF752C9" w14:textId="77777777" w:rsidR="006561BA" w:rsidRDefault="005B4ED6">
      <w:pPr>
        <w:pStyle w:val="AnnexGrSeq3"/>
        <w:jc w:val="both"/>
      </w:pPr>
      <w:r>
        <w:rPr>
          <w:i/>
        </w:rPr>
        <w:t>Beskrivelse av aktiviteten</w:t>
      </w:r>
    </w:p>
    <w:p w14:paraId="642FAFFA" w14:textId="77777777" w:rsidR="006561BA" w:rsidRDefault="005B4ED6">
      <w:pPr>
        <w:pStyle w:val="AnnexNormal"/>
      </w:pPr>
      <w:r>
        <w:t>Produksjon av elektrisk og elektronisk utstyr til industriell, profesjonell og privat bruk.</w:t>
      </w:r>
    </w:p>
    <w:p w14:paraId="147EFB31" w14:textId="77777777" w:rsidR="006561BA" w:rsidRDefault="005B4ED6">
      <w:pPr>
        <w:pStyle w:val="AnnexNormal"/>
      </w:pPr>
      <w:r>
        <w:t>Denne aktiviteten omfatter produksjon av oppladbare og ikke-oppladbare bærbare batterier(</w:t>
      </w:r>
      <w:bookmarkStart w:id="84" w:name="NOTE_85"/>
      <w:r>
        <w:rPr>
          <w:rStyle w:val="FootnoteReference"/>
          <w:sz w:val="18"/>
        </w:rPr>
        <w:footnoteReference w:id="86"/>
      </w:r>
      <w:bookmarkEnd w:id="84"/>
      <w:r>
        <w:t>). Aktiviteten omfatter ikke produksjon av andre batterikategorier.</w:t>
      </w:r>
    </w:p>
    <w:p w14:paraId="66773375" w14:textId="3BE867E0" w:rsidR="006561BA" w:rsidRDefault="005B4ED6">
      <w:pPr>
        <w:pStyle w:val="AnnexNormal"/>
      </w:pPr>
      <w:r>
        <w:t>De økonomiske aktivitetene i denne kategorien kan knyttes til flere NACE-koder, særlig C26 og C27</w:t>
      </w:r>
      <w:r w:rsidR="009B6158">
        <w:t>,</w:t>
      </w:r>
      <w:r>
        <w:t xml:space="preserve"> i samsvar med standarden for næringsgruppering fastsatt ved forordning (EF) nr. 1893/2006.</w:t>
      </w:r>
    </w:p>
    <w:p w14:paraId="05FDF33D" w14:textId="77777777" w:rsidR="006561BA" w:rsidRDefault="005B4ED6">
      <w:pPr>
        <w:pStyle w:val="AnnexGrSeq3"/>
        <w:spacing w:before="500"/>
        <w:jc w:val="both"/>
      </w:pPr>
      <w:r>
        <w:rPr>
          <w:i/>
        </w:rPr>
        <w:t>Tekniske screeningkriterier</w:t>
      </w:r>
    </w:p>
    <w:tbl>
      <w:tblPr>
        <w:tblStyle w:val="EFTATable"/>
        <w:tblW w:w="9240" w:type="dxa"/>
        <w:tblLayout w:type="fixed"/>
        <w:tblLook w:val="04A0" w:firstRow="1" w:lastRow="0" w:firstColumn="1" w:lastColumn="0" w:noHBand="0" w:noVBand="1"/>
      </w:tblPr>
      <w:tblGrid>
        <w:gridCol w:w="1860"/>
        <w:gridCol w:w="3690"/>
        <w:gridCol w:w="3690"/>
      </w:tblGrid>
      <w:tr w:rsidR="006561BA" w14:paraId="2C6D5489" w14:textId="77777777">
        <w:trPr>
          <w:trHeight w:val="240"/>
        </w:trPr>
        <w:tc>
          <w:tcPr>
            <w:tcW w:w="9240" w:type="dxa"/>
            <w:gridSpan w:val="3"/>
            <w:tcMar>
              <w:top w:w="200" w:type="dxa"/>
              <w:left w:w="0" w:type="dxa"/>
              <w:bottom w:w="200" w:type="dxa"/>
              <w:right w:w="0" w:type="dxa"/>
            </w:tcMar>
          </w:tcPr>
          <w:p w14:paraId="7A691591" w14:textId="77777777" w:rsidR="006561BA" w:rsidRDefault="005B4ED6">
            <w:pPr>
              <w:pStyle w:val="AnnexTableCellLeft"/>
            </w:pPr>
            <w:r>
              <w:t>Vesentlig bidrag til omstilling til en sirkulær økonomi</w:t>
            </w:r>
          </w:p>
        </w:tc>
      </w:tr>
      <w:tr w:rsidR="006561BA" w14:paraId="317C7AD8" w14:textId="77777777">
        <w:trPr>
          <w:trHeight w:val="360"/>
        </w:trPr>
        <w:tc>
          <w:tcPr>
            <w:tcW w:w="9240" w:type="dxa"/>
            <w:gridSpan w:val="3"/>
            <w:tcMar>
              <w:top w:w="200" w:type="dxa"/>
              <w:left w:w="0" w:type="dxa"/>
              <w:bottom w:w="200" w:type="dxa"/>
              <w:right w:w="0" w:type="dxa"/>
            </w:tcMar>
          </w:tcPr>
          <w:p w14:paraId="7950E528" w14:textId="58EB8589" w:rsidR="006561BA" w:rsidRDefault="005B4ED6">
            <w:pPr>
              <w:pStyle w:val="AnnexNumberedText"/>
              <w:tabs>
                <w:tab w:val="left" w:pos="288"/>
              </w:tabs>
              <w:spacing w:after="200"/>
              <w:ind w:left="0" w:firstLine="0"/>
            </w:pPr>
            <w:r>
              <w:t>1.</w:t>
            </w:r>
            <w:r>
              <w:tab/>
              <w:t>Dersom den økonomiske aktiviteten innebærer produksjon av elektrisk og elektronisk utstyr som oppfyller alle kriteriene for EU-miljømerket</w:t>
            </w:r>
            <w:r w:rsidR="003564DC">
              <w:t>,</w:t>
            </w:r>
            <w:r>
              <w:t xml:space="preserve"> som gjelder for den bestemte produktkategorien i samsvar med europaparlaments- og rådsforordning (EF) nr. 66/2010(</w:t>
            </w:r>
            <w:bookmarkStart w:id="85" w:name="NOTE_86"/>
            <w:r>
              <w:rPr>
                <w:rStyle w:val="FootnoteReference"/>
                <w:sz w:val="18"/>
              </w:rPr>
              <w:footnoteReference w:id="87"/>
            </w:r>
            <w:bookmarkEnd w:id="85"/>
            <w:r>
              <w:t>), skal aktivitetsutøveren legge fram bevis på at alle kravene som er oppført, oppfylles</w:t>
            </w:r>
            <w:r w:rsidR="00A43516">
              <w:t>,</w:t>
            </w:r>
            <w:r>
              <w:t xml:space="preserve"> i samsvar med verifiseringskriteriene fastsatt i kriteriene for EU-miljømerket.</w:t>
            </w:r>
          </w:p>
          <w:p w14:paraId="2F74241F" w14:textId="77777777" w:rsidR="006561BA" w:rsidRDefault="005B4ED6">
            <w:pPr>
              <w:pStyle w:val="AnnexNumberedText"/>
              <w:tabs>
                <w:tab w:val="left" w:pos="288"/>
              </w:tabs>
              <w:spacing w:after="200"/>
              <w:ind w:left="0" w:firstLine="0"/>
            </w:pPr>
            <w:r>
              <w:t>2.</w:t>
            </w:r>
            <w:r>
              <w:tab/>
              <w:t>Dersom det ikke finnes noen produktspesifikke kriterier for EU-miljømerket, eller dersom aktivitetsutøveren ikke har anvendt dem, oppfyller den økonomiske aktiviteten som produserer elektrisk og elektronisk utstyr, alle følgende kriterier som gjelder for et relevant produkt:</w:t>
            </w:r>
          </w:p>
          <w:p w14:paraId="159A8504" w14:textId="77777777" w:rsidR="006561BA" w:rsidRDefault="005B4ED6">
            <w:pPr>
              <w:pStyle w:val="AnnexNumberedText"/>
              <w:tabs>
                <w:tab w:val="left" w:pos="384"/>
              </w:tabs>
              <w:spacing w:after="200"/>
              <w:ind w:left="0" w:firstLine="0"/>
            </w:pPr>
            <w:r>
              <w:t>2.1.</w:t>
            </w:r>
            <w:r>
              <w:tab/>
              <w:t>Utforming med tanke på lang levetid</w:t>
            </w:r>
          </w:p>
          <w:p w14:paraId="63EDB66E" w14:textId="2C43CC04" w:rsidR="006561BA" w:rsidRDefault="005B4ED6">
            <w:pPr>
              <w:pStyle w:val="AnnexNumberedText"/>
              <w:tabs>
                <w:tab w:val="left" w:pos="540"/>
              </w:tabs>
              <w:spacing w:after="0"/>
              <w:ind w:left="0" w:firstLine="0"/>
            </w:pPr>
            <w:r>
              <w:t>2.1.1.</w:t>
            </w:r>
            <w:r>
              <w:tab/>
              <w:t>Dersom produktet inneholder programvare som krever oppdateringer, gjøres alle versjoner av programvarekomponenter, programvarestøtte og programvare/fastvare, herunder oppdateringer, tilgjengelig</w:t>
            </w:r>
            <w:r w:rsidR="00D41CB9">
              <w:t>e</w:t>
            </w:r>
            <w:r>
              <w:t xml:space="preserve"> for brukere i løpet av et produkts levetid som definert i direktiv 2009/125/EF og gjennomføringsrettsakter vedtatt i henhold til det nevnte direktivet. Dersom tilgjengeligheten av programvareoppdateringer ikke er regulert, er tilgjengeligheten minst åtte år. Produktets funksjonalitet og levetid reduseres ikke gjennom programvareoppdateringer eller mangel på programvareoppdateringer.</w:t>
            </w:r>
          </w:p>
        </w:tc>
      </w:tr>
      <w:tr w:rsidR="006561BA" w14:paraId="1F4165A3" w14:textId="77777777">
        <w:trPr>
          <w:trHeight w:val="360"/>
        </w:trPr>
        <w:tc>
          <w:tcPr>
            <w:tcW w:w="9240" w:type="dxa"/>
            <w:gridSpan w:val="3"/>
            <w:tcMar>
              <w:top w:w="200" w:type="dxa"/>
              <w:left w:w="0" w:type="dxa"/>
              <w:bottom w:w="200" w:type="dxa"/>
              <w:right w:w="0" w:type="dxa"/>
            </w:tcMar>
          </w:tcPr>
          <w:p w14:paraId="0F8184FE" w14:textId="77777777" w:rsidR="006561BA" w:rsidRDefault="005B4ED6">
            <w:pPr>
              <w:pStyle w:val="AnnexNumberedText"/>
              <w:pageBreakBefore/>
              <w:tabs>
                <w:tab w:val="left" w:pos="540"/>
              </w:tabs>
              <w:ind w:left="0" w:firstLine="0"/>
            </w:pPr>
            <w:r>
              <w:lastRenderedPageBreak/>
              <w:t>2.1.2.</w:t>
            </w:r>
            <w:r>
              <w:tab/>
              <w:t>For produkter som inneholder bærbare batterier, sikres det at disse batteriene lett kan fjernes og byttes ut av sluttbrukeren når som helst i løpet av produktets levetid, uten at det kreves bruk av spesialverktøyer (med mindre verktøyene leveres gratis med produktet), proprietære verktøyer, termisk energi eller løsemidler til demontering, unntatt når batteriene er utformet på en slik måte at de bare kan fjernes og byttes av uavhengige fagfolk i følgende tilfeller:</w:t>
            </w:r>
          </w:p>
          <w:p w14:paraId="76D7B38D" w14:textId="218334F0" w:rsidR="006561BA" w:rsidRDefault="005B4ED6">
            <w:pPr>
              <w:pStyle w:val="AnnexNumberedText"/>
              <w:pageBreakBefore/>
              <w:ind w:left="293" w:hanging="293"/>
            </w:pPr>
            <w:r>
              <w:t>a)</w:t>
            </w:r>
            <w:r>
              <w:tab/>
              <w:t xml:space="preserve">Apparater som er spesielt utformet for primært å fungere i et miljø som regelmessig utsettes for vannsprøyt, vannstrømmer eller nedsenkning i vann, og som er beregnet på å kunne vaskes eller skylles, og </w:t>
            </w:r>
            <w:r w:rsidR="00063005">
              <w:t>der</w:t>
            </w:r>
            <w:r>
              <w:t xml:space="preserve"> det er nødvendig for å </w:t>
            </w:r>
            <w:r w:rsidR="00D22D7A">
              <w:t>garantere</w:t>
            </w:r>
            <w:r>
              <w:t xml:space="preserve"> brukerens og apparatets sikkerhet.</w:t>
            </w:r>
          </w:p>
          <w:p w14:paraId="4C1019AA" w14:textId="77777777" w:rsidR="006561BA" w:rsidRDefault="005B4ED6">
            <w:pPr>
              <w:pStyle w:val="AnnexNumberedText"/>
              <w:pageBreakBefore/>
              <w:ind w:left="293" w:hanging="293"/>
            </w:pPr>
            <w:r>
              <w:t>b)</w:t>
            </w:r>
            <w:r>
              <w:tab/>
              <w:t>Profesjonelt medisinsk bildebehandlings- og strålebehandlingsutstyr, som definert i artikkel 2 nr. 1 i europaparlaments- og rådsforordning (EU) 2017/745(</w:t>
            </w:r>
            <w:bookmarkStart w:id="86" w:name="NOTE_87"/>
            <w:r>
              <w:rPr>
                <w:rStyle w:val="FootnoteReference"/>
                <w:sz w:val="18"/>
              </w:rPr>
              <w:footnoteReference w:id="88"/>
            </w:r>
            <w:bookmarkEnd w:id="86"/>
            <w:r>
              <w:t xml:space="preserve">), og medisinsk utstyr til in </w:t>
            </w:r>
            <w:proofErr w:type="spellStart"/>
            <w:r>
              <w:t>vitro</w:t>
            </w:r>
            <w:proofErr w:type="spellEnd"/>
            <w:r>
              <w:t>-diagnostikk, som definert i artikkel 2 nr. 2 i europaparlaments- og rådsforordning (EU) 2017/746(</w:t>
            </w:r>
            <w:bookmarkStart w:id="87" w:name="NOTE_88"/>
            <w:r>
              <w:rPr>
                <w:rStyle w:val="FootnoteReference"/>
                <w:sz w:val="18"/>
              </w:rPr>
              <w:footnoteReference w:id="89"/>
            </w:r>
            <w:bookmarkEnd w:id="87"/>
            <w:r>
              <w:t>).</w:t>
            </w:r>
          </w:p>
          <w:p w14:paraId="20B568E6" w14:textId="77777777" w:rsidR="006561BA" w:rsidRDefault="005B4ED6">
            <w:pPr>
              <w:pStyle w:val="AnnexNumberedText"/>
              <w:pageBreakBefore/>
              <w:ind w:left="293" w:hanging="293"/>
            </w:pPr>
            <w:r>
              <w:t>c)</w:t>
            </w:r>
            <w:r>
              <w:tab/>
              <w:t>Dersom kontinuerlig strømforsyning er nødvendig, og det kreves en permanent forbindelse mellom produktet og det respektive bærbare batteriet for å ivareta brukerens og apparatets sikkerhet, eller, for produkter hvis hovedoppgave er å samle inn og levere data, av hensyn til dataintegriteten.</w:t>
            </w:r>
          </w:p>
          <w:p w14:paraId="6A8606BC" w14:textId="77777777" w:rsidR="006561BA" w:rsidRDefault="005B4ED6">
            <w:pPr>
              <w:pStyle w:val="AnnexNumberedText"/>
              <w:pageBreakBefore/>
              <w:tabs>
                <w:tab w:val="left" w:pos="540"/>
              </w:tabs>
              <w:ind w:left="0" w:firstLine="0"/>
            </w:pPr>
            <w:r>
              <w:t>2.1.3.</w:t>
            </w:r>
            <w:r>
              <w:tab/>
              <w:t xml:space="preserve">Programvaren brukes ikke for å påvirke produktets </w:t>
            </w:r>
            <w:proofErr w:type="spellStart"/>
            <w:r>
              <w:t>sirkularitet</w:t>
            </w:r>
            <w:proofErr w:type="spellEnd"/>
            <w:r>
              <w:t xml:space="preserve"> negativt, herunder bytting av et bærbart batteri, og korrekt batteribytte forringer ikke produktets funksjon.</w:t>
            </w:r>
          </w:p>
          <w:p w14:paraId="32BD4991" w14:textId="77777777" w:rsidR="006561BA" w:rsidRDefault="005B4ED6">
            <w:pPr>
              <w:pStyle w:val="AnnexNumberedText"/>
              <w:pageBreakBefore/>
              <w:tabs>
                <w:tab w:val="left" w:pos="384"/>
              </w:tabs>
              <w:ind w:left="0" w:firstLine="0"/>
            </w:pPr>
            <w:r>
              <w:t>2.2.</w:t>
            </w:r>
            <w:r>
              <w:tab/>
              <w:t>Utforming med tanke på reparasjon og garanti</w:t>
            </w:r>
          </w:p>
          <w:p w14:paraId="22BC0F67" w14:textId="77777777" w:rsidR="006561BA" w:rsidRDefault="005B4ED6">
            <w:pPr>
              <w:pStyle w:val="AnnexNumberedText"/>
              <w:pageBreakBefore/>
              <w:tabs>
                <w:tab w:val="left" w:pos="540"/>
              </w:tabs>
              <w:ind w:left="0" w:firstLine="0"/>
            </w:pPr>
            <w:r>
              <w:t>2.2.1</w:t>
            </w:r>
            <w:r>
              <w:tab/>
              <w:t>Dersom et produktspesifikt reparasjonsvurderingssystem er etablert i samsvar med unionsretten, skal aktivitetsutøveren sikre at produktene ligger i den høyeste utnyttede reparasjonsklassen(</w:t>
            </w:r>
            <w:bookmarkStart w:id="88" w:name="NOTE_89"/>
            <w:r>
              <w:rPr>
                <w:rStyle w:val="FootnoteReference"/>
                <w:sz w:val="18"/>
              </w:rPr>
              <w:footnoteReference w:id="90"/>
            </w:r>
            <w:bookmarkEnd w:id="88"/>
            <w:r>
              <w:t>).</w:t>
            </w:r>
          </w:p>
          <w:p w14:paraId="23A7A016" w14:textId="77777777" w:rsidR="006561BA" w:rsidRDefault="005B4ED6">
            <w:pPr>
              <w:pStyle w:val="AnnexNumberedText"/>
              <w:pageBreakBefore/>
              <w:tabs>
                <w:tab w:val="left" w:pos="540"/>
              </w:tabs>
              <w:ind w:left="0" w:firstLine="0"/>
            </w:pPr>
            <w:r>
              <w:t>2.2.2.</w:t>
            </w:r>
            <w:r>
              <w:tab/>
              <w:t>Aktivitetsutøveren gir profesjonelle reparatører(</w:t>
            </w:r>
            <w:bookmarkStart w:id="89" w:name="NOTE_90"/>
            <w:r>
              <w:rPr>
                <w:rStyle w:val="FootnoteReference"/>
                <w:sz w:val="18"/>
              </w:rPr>
              <w:footnoteReference w:id="91"/>
            </w:r>
            <w:bookmarkEnd w:id="89"/>
            <w:r>
              <w:t>) tilgang til opplysninger i hele produktets levetid. Opplysningene skal, når det er relevant, inneholde følgende elementer:</w:t>
            </w:r>
          </w:p>
          <w:p w14:paraId="70B53246" w14:textId="77777777" w:rsidR="006561BA" w:rsidRDefault="005B4ED6">
            <w:pPr>
              <w:pStyle w:val="AnnexNumberedText"/>
              <w:pageBreakBefore/>
              <w:ind w:left="293" w:hanging="293"/>
            </w:pPr>
            <w:r>
              <w:t>a)</w:t>
            </w:r>
            <w:r>
              <w:tab/>
              <w:t>En entydig identifisering av apparatet.</w:t>
            </w:r>
          </w:p>
          <w:p w14:paraId="72568FCD" w14:textId="77777777" w:rsidR="006561BA" w:rsidRDefault="005B4ED6">
            <w:pPr>
              <w:pStyle w:val="AnnexNumberedText"/>
              <w:pageBreakBefore/>
              <w:ind w:left="293" w:hanging="293"/>
            </w:pPr>
            <w:r>
              <w:t>b)</w:t>
            </w:r>
            <w:r>
              <w:tab/>
              <w:t xml:space="preserve">Et demonteringsskjema eller en tegning i </w:t>
            </w:r>
            <w:proofErr w:type="spellStart"/>
            <w:r>
              <w:t>uttrekksperspektiv</w:t>
            </w:r>
            <w:proofErr w:type="spellEnd"/>
            <w:r>
              <w:t>.</w:t>
            </w:r>
          </w:p>
          <w:p w14:paraId="7DD7ACB8" w14:textId="77777777" w:rsidR="006561BA" w:rsidRDefault="005B4ED6">
            <w:pPr>
              <w:pStyle w:val="AnnexNumberedText"/>
              <w:pageBreakBefore/>
              <w:ind w:left="293" w:hanging="293"/>
            </w:pPr>
            <w:r>
              <w:t>c)</w:t>
            </w:r>
            <w:r>
              <w:tab/>
              <w:t>En liste over nødvendig reparasjons- og prøvingsutstyr.</w:t>
            </w:r>
          </w:p>
          <w:p w14:paraId="560A1BC8" w14:textId="77777777" w:rsidR="006561BA" w:rsidRDefault="005B4ED6">
            <w:pPr>
              <w:pStyle w:val="AnnexNumberedText"/>
              <w:pageBreakBefore/>
              <w:ind w:left="293" w:hanging="293"/>
            </w:pPr>
            <w:r>
              <w:t>d)</w:t>
            </w:r>
            <w:r>
              <w:tab/>
              <w:t>Tekniske opplysninger om komponenter og diagnostiseringsopplysninger, som for eksempel laveste og høyeste teoretiske verdier for målinger.</w:t>
            </w:r>
          </w:p>
          <w:p w14:paraId="5CD8BB1F" w14:textId="77777777" w:rsidR="006561BA" w:rsidRDefault="005B4ED6">
            <w:pPr>
              <w:pStyle w:val="AnnexNumberedText"/>
              <w:pageBreakBefore/>
              <w:ind w:left="293" w:hanging="293"/>
            </w:pPr>
            <w:r>
              <w:t>e)</w:t>
            </w:r>
            <w:r>
              <w:tab/>
              <w:t xml:space="preserve">Kablings- og </w:t>
            </w:r>
            <w:proofErr w:type="spellStart"/>
            <w:r>
              <w:t>koplingsskjemaer</w:t>
            </w:r>
            <w:proofErr w:type="spellEnd"/>
            <w:r>
              <w:t>.</w:t>
            </w:r>
          </w:p>
          <w:p w14:paraId="018F6A95" w14:textId="77777777" w:rsidR="006561BA" w:rsidRDefault="005B4ED6">
            <w:pPr>
              <w:pStyle w:val="AnnexNumberedText"/>
              <w:pageBreakBefore/>
              <w:ind w:left="293" w:hanging="293"/>
            </w:pPr>
            <w:r>
              <w:t>f)</w:t>
            </w:r>
            <w:r>
              <w:tab/>
              <w:t>Diagnostiske feilkoder, herunder produsentspesifikke koder.</w:t>
            </w:r>
          </w:p>
          <w:p w14:paraId="75F89331" w14:textId="77777777" w:rsidR="006561BA" w:rsidRDefault="005B4ED6">
            <w:pPr>
              <w:pStyle w:val="AnnexNumberedText"/>
              <w:pageBreakBefore/>
              <w:ind w:left="293" w:hanging="293"/>
            </w:pPr>
            <w:r>
              <w:t>g)</w:t>
            </w:r>
            <w:r>
              <w:tab/>
              <w:t>Dataregister over rapporterte feilhendelser som er lagret på produktet.</w:t>
            </w:r>
          </w:p>
          <w:p w14:paraId="5C33C06D" w14:textId="77777777" w:rsidR="006561BA" w:rsidRDefault="005B4ED6">
            <w:pPr>
              <w:pStyle w:val="AnnexNumberedText"/>
              <w:pageBreakBefore/>
              <w:ind w:left="293" w:hanging="293"/>
            </w:pPr>
            <w:r>
              <w:t>h)</w:t>
            </w:r>
            <w:r>
              <w:tab/>
              <w:t>Teknisk håndbok med instrukser for reparasjon av produktet, herunder enkle diagram over elektroniske kretskort, som omfatter merking av de enkelte trinnene.</w:t>
            </w:r>
          </w:p>
          <w:p w14:paraId="486A041E" w14:textId="77777777" w:rsidR="006561BA" w:rsidRPr="00980A19" w:rsidRDefault="005B4ED6">
            <w:pPr>
              <w:pStyle w:val="AnnexNumberedText"/>
              <w:pageBreakBefore/>
              <w:ind w:left="293" w:hanging="293"/>
              <w:rPr>
                <w:lang w:val="nn-NO"/>
              </w:rPr>
            </w:pPr>
            <w:r w:rsidRPr="00980A19">
              <w:rPr>
                <w:lang w:val="nn-NO"/>
              </w:rPr>
              <w:t>i)</w:t>
            </w:r>
            <w:r w:rsidRPr="00980A19">
              <w:rPr>
                <w:lang w:val="nn-NO"/>
              </w:rPr>
              <w:tab/>
              <w:t>Instrukser for programvare og fastvare, herunder tilbakestillingsprogramvare.</w:t>
            </w:r>
          </w:p>
          <w:p w14:paraId="262CC9AB" w14:textId="77777777" w:rsidR="006561BA" w:rsidRDefault="005B4ED6">
            <w:pPr>
              <w:pStyle w:val="AnnexNumberedText"/>
              <w:pageBreakBefore/>
              <w:spacing w:after="0"/>
              <w:ind w:left="293" w:hanging="293"/>
            </w:pPr>
            <w:r>
              <w:t>j)</w:t>
            </w:r>
            <w:r>
              <w:tab/>
              <w:t>Opplysninger om hvordan det oppnås tilgang til dataregister over rapporterte feilhendelser som eventuelt er lagret på enheten, med unntak av identitetsopplysninger, som for eksempel opplysninger om brukeratferd og geografisk plassering.</w:t>
            </w:r>
          </w:p>
        </w:tc>
      </w:tr>
      <w:tr w:rsidR="006561BA" w14:paraId="0AF50876" w14:textId="77777777">
        <w:trPr>
          <w:trHeight w:val="360"/>
        </w:trPr>
        <w:tc>
          <w:tcPr>
            <w:tcW w:w="9240" w:type="dxa"/>
            <w:gridSpan w:val="3"/>
            <w:tcMar>
              <w:top w:w="200" w:type="dxa"/>
              <w:left w:w="0" w:type="dxa"/>
              <w:bottom w:w="200" w:type="dxa"/>
              <w:right w:w="0" w:type="dxa"/>
            </w:tcMar>
          </w:tcPr>
          <w:p w14:paraId="2AE4E0C1" w14:textId="77777777" w:rsidR="006561BA" w:rsidRDefault="005B4ED6">
            <w:pPr>
              <w:pStyle w:val="AnnexNumberedText"/>
              <w:pageBreakBefore/>
              <w:tabs>
                <w:tab w:val="left" w:pos="540"/>
              </w:tabs>
              <w:spacing w:after="160"/>
              <w:ind w:left="0" w:firstLine="0"/>
            </w:pPr>
            <w:r>
              <w:lastRenderedPageBreak/>
              <w:t>2.2.3.</w:t>
            </w:r>
            <w:r>
              <w:tab/>
              <w:t>Viktige reservedeler(</w:t>
            </w:r>
            <w:bookmarkStart w:id="90" w:name="NOTE_91"/>
            <w:r>
              <w:rPr>
                <w:rStyle w:val="FootnoteReference"/>
                <w:sz w:val="18"/>
              </w:rPr>
              <w:footnoteReference w:id="92"/>
            </w:r>
            <w:bookmarkEnd w:id="90"/>
            <w:r>
              <w:t>), enten nye eller brukte, som for eksempel motorer, batterier, kretskort og enhver del eller komponent som er nødvendig for at produktet skal fungere godt, er tilgjengelige for profesjonelle reparatører og sluttbrukere, etter at den siste enheten av modellen er bragt i omsetning, i ytterligere ett år sammenlignet med kravene til tilgangen til reservedeler i henhold til direktiv 2009/125/EF og gjennomføringsrettsakter vedtatt i henhold til det nevnte direktivet. Dersom tilgangen til reservedeler for de relevante produktene ikke er regulert, er viktige reservedeler tilgjengelige i minst åtte år etter at den siste enheten av modellen er bragt i omsetning.</w:t>
            </w:r>
          </w:p>
          <w:p w14:paraId="298F0AFB" w14:textId="14FA23ED" w:rsidR="006561BA" w:rsidRDefault="005B4ED6">
            <w:pPr>
              <w:pStyle w:val="AnnexNumberedText"/>
              <w:pageBreakBefore/>
              <w:tabs>
                <w:tab w:val="left" w:pos="540"/>
              </w:tabs>
              <w:spacing w:after="160"/>
              <w:ind w:left="0" w:firstLine="0"/>
            </w:pPr>
            <w:r>
              <w:t>2.2.4.</w:t>
            </w:r>
            <w:r>
              <w:tab/>
              <w:t xml:space="preserve">Dersom det ikke </w:t>
            </w:r>
            <w:r w:rsidR="006B144B">
              <w:t>finnes</w:t>
            </w:r>
            <w:r>
              <w:t xml:space="preserve"> noen vesentlig helse- og sikkerhetsrisiko forbundet med reparasjonen av produktet, gir aktivitetsutøveren tydelige instrukser om demontering og reparasjon, herunder gjennom papirkopi, digital kopi eller video, og gjør dem offentlig tilgjengelige i produktets levetid, slik at produktene kan demonteres uten å ødelegges når viktige komponenter eller deler skal skiftes ut i forbindelse med oppgradering eller reparasjon. Dersom det er alvorlige sikkerhetsproblemer knyttet til reparasjonen av produktet, sikrer aktivitetsutøveren at det er tilgang til uavhengige sertifiserte profesjonelle reparatører. På aktivitetsutøverens nettsted angis det hvordan profesjonelle reparatører kan registrere seg for å få tilgang til relevante opplysninger eller dele opplysningene på et offentlig tilgjengelig nettsted med </w:t>
            </w:r>
            <w:r w:rsidR="00C30390">
              <w:t>fri</w:t>
            </w:r>
            <w:r>
              <w:t xml:space="preserve"> tilgang.</w:t>
            </w:r>
          </w:p>
          <w:p w14:paraId="6FA501DE" w14:textId="693101E5" w:rsidR="006561BA" w:rsidRDefault="005B4ED6">
            <w:pPr>
              <w:pStyle w:val="AnnexNumberedText"/>
              <w:pageBreakBefore/>
              <w:tabs>
                <w:tab w:val="left" w:pos="540"/>
              </w:tabs>
              <w:spacing w:after="160"/>
              <w:ind w:left="0" w:firstLine="0"/>
            </w:pPr>
            <w:r>
              <w:t>2.2.5.</w:t>
            </w:r>
            <w:r>
              <w:tab/>
              <w:t xml:space="preserve">For elektrisk og elektronisk utstyr som er utformet med henblikk på forbrukere, gir aktivitetsutøveren kommersiell garanti i minst 3 år og i </w:t>
            </w:r>
            <w:r w:rsidR="00935C9C">
              <w:t xml:space="preserve">henhold til </w:t>
            </w:r>
            <w:r>
              <w:t>kravene i artikkel 17 i europaparlaments- og rådsdirektiv (EU) 2019/771(</w:t>
            </w:r>
            <w:bookmarkStart w:id="91" w:name="NOTE_92"/>
            <w:r>
              <w:rPr>
                <w:rStyle w:val="FootnoteReference"/>
                <w:sz w:val="18"/>
              </w:rPr>
              <w:footnoteReference w:id="93"/>
            </w:r>
            <w:bookmarkEnd w:id="91"/>
            <w:r>
              <w:t>) uten ekstra omkostninger.</w:t>
            </w:r>
          </w:p>
          <w:p w14:paraId="284594D1" w14:textId="77777777" w:rsidR="006561BA" w:rsidRDefault="005B4ED6">
            <w:pPr>
              <w:pStyle w:val="AnnexNumberedText"/>
              <w:tabs>
                <w:tab w:val="left" w:pos="384"/>
              </w:tabs>
              <w:spacing w:after="160"/>
              <w:ind w:left="0" w:firstLine="0"/>
            </w:pPr>
            <w:r>
              <w:t>2.3.</w:t>
            </w:r>
            <w:r>
              <w:tab/>
              <w:t xml:space="preserve">Utforming med tanke på ombruk og </w:t>
            </w:r>
            <w:proofErr w:type="spellStart"/>
            <w:r>
              <w:t>refabrikasjon</w:t>
            </w:r>
            <w:proofErr w:type="spellEnd"/>
          </w:p>
          <w:p w14:paraId="106AD073" w14:textId="77777777" w:rsidR="006561BA" w:rsidRDefault="005B4ED6">
            <w:pPr>
              <w:pStyle w:val="AnnexNumberedText"/>
              <w:pageBreakBefore/>
              <w:tabs>
                <w:tab w:val="left" w:pos="540"/>
              </w:tabs>
              <w:spacing w:after="160"/>
              <w:ind w:left="0" w:firstLine="0"/>
            </w:pPr>
            <w:r>
              <w:t>2.3.1.</w:t>
            </w:r>
            <w:r>
              <w:tab/>
              <w:t>Dersom produktene kan lagre data og disse dataene er kryptert, kreves det en programvarefunksjon som tilbakestiller enheten til sine fabrikkinnstillinger og automatisk sletter krypteringsnøkkelen.</w:t>
            </w:r>
          </w:p>
          <w:p w14:paraId="6CCB79EE" w14:textId="77777777" w:rsidR="006561BA" w:rsidRDefault="005B4ED6">
            <w:pPr>
              <w:pStyle w:val="AnnexNumberedText"/>
              <w:pageBreakBefore/>
              <w:tabs>
                <w:tab w:val="left" w:pos="540"/>
              </w:tabs>
              <w:spacing w:after="160"/>
              <w:ind w:left="0" w:firstLine="0"/>
            </w:pPr>
            <w:r>
              <w:t>2.3.2.</w:t>
            </w:r>
            <w:r>
              <w:tab/>
              <w:t>Dersom produktene kan overføre lagrede data, kan disse lagrede dataene lett og fullt ut overføres til et annet produkt, noe som sikrer datavern og fortrolig behandling av dataene.</w:t>
            </w:r>
          </w:p>
          <w:p w14:paraId="55119B77" w14:textId="77777777" w:rsidR="006561BA" w:rsidRDefault="005B4ED6">
            <w:pPr>
              <w:pStyle w:val="AnnexNumberedText"/>
              <w:tabs>
                <w:tab w:val="left" w:pos="384"/>
              </w:tabs>
              <w:spacing w:after="160"/>
              <w:ind w:left="0" w:firstLine="0"/>
            </w:pPr>
            <w:r>
              <w:t>2.4.</w:t>
            </w:r>
            <w:r>
              <w:tab/>
              <w:t>Utforming med tanke på demontering</w:t>
            </w:r>
          </w:p>
          <w:p w14:paraId="1F8615C0" w14:textId="5192AA51" w:rsidR="006561BA" w:rsidRDefault="005B4ED6">
            <w:pPr>
              <w:pStyle w:val="AnnexNumberedText"/>
              <w:pageBreakBefore/>
              <w:tabs>
                <w:tab w:val="left" w:pos="540"/>
              </w:tabs>
              <w:spacing w:after="160"/>
              <w:ind w:left="0" w:firstLine="0"/>
            </w:pPr>
            <w:r>
              <w:t>2.4.1.</w:t>
            </w:r>
            <w:r>
              <w:tab/>
              <w:t xml:space="preserve">Opplysninger om </w:t>
            </w:r>
            <w:r w:rsidR="001B474D">
              <w:t>håndtering</w:t>
            </w:r>
            <w:r>
              <w:t xml:space="preserve"> av </w:t>
            </w:r>
            <w:r w:rsidR="006F5F15">
              <w:t>uttjente</w:t>
            </w:r>
            <w:r w:rsidR="0086450C">
              <w:t xml:space="preserve"> </w:t>
            </w:r>
            <w:r>
              <w:t>produkter er offentlig tilgjengelige i produktets levetid, herunder alle opplysninger som kreves i henhold til direktiv 2012/19/EU. For hver ny produkttype som for første gang bringes i omsetning i Unionen, deler aktivitetsutøveren vederlagsfritt relevante opplysninger med sentre som foretar forberedelser med henblikk på ombruk</w:t>
            </w:r>
            <w:r w:rsidR="0070387E">
              <w:t>,</w:t>
            </w:r>
            <w:r>
              <w:t xml:space="preserve"> samt behandlings- og materialgjenvinningsanlegg</w:t>
            </w:r>
            <w:r w:rsidR="0070387E">
              <w:t>,</w:t>
            </w:r>
            <w:r>
              <w:t xml:space="preserve"> gjennom plattformen «Information for </w:t>
            </w:r>
            <w:proofErr w:type="spellStart"/>
            <w:r>
              <w:t>Recyclers</w:t>
            </w:r>
            <w:proofErr w:type="spellEnd"/>
            <w:r>
              <w:t>»(</w:t>
            </w:r>
            <w:bookmarkStart w:id="92" w:name="NOTE_93"/>
            <w:r>
              <w:rPr>
                <w:rStyle w:val="FootnoteReference"/>
                <w:sz w:val="18"/>
              </w:rPr>
              <w:footnoteReference w:id="94"/>
            </w:r>
            <w:bookmarkEnd w:id="92"/>
            <w:r>
              <w:t>) eller gjennom en annen relevant kanal i samsvar med artikkel 15 nr. 1 i direktiv 2012/19/EU. Opplysningene om demontering viser rekkefølgen for de forskjellige trinnene ved demonteringen og hvilke verktøyer eller teknikker som kreves for å få tilgang til den aktuelle komponenten.</w:t>
            </w:r>
          </w:p>
          <w:p w14:paraId="75FD2157" w14:textId="5F7345BB" w:rsidR="006561BA" w:rsidRDefault="005B4ED6">
            <w:pPr>
              <w:pStyle w:val="AnnexNumberedText"/>
              <w:pageBreakBefore/>
              <w:tabs>
                <w:tab w:val="left" w:pos="540"/>
              </w:tabs>
              <w:spacing w:after="0"/>
              <w:ind w:left="0" w:firstLine="0"/>
            </w:pPr>
            <w:r>
              <w:t>2.4.2.</w:t>
            </w:r>
            <w:r>
              <w:tab/>
              <w:t xml:space="preserve">For elektrisk og elektronisk utstyr som inneholder kretskort, harddisker, elektriske motorer, permanentmagneter, batterier, fluorescerende pulver eller andre komponenter som i henhold til Unionens regelverk har et høyt potensial for gjenvinning av kritiske </w:t>
            </w:r>
            <w:r w:rsidR="00E53BD6">
              <w:t>råvarer</w:t>
            </w:r>
            <w:r>
              <w:t xml:space="preserve">, </w:t>
            </w:r>
            <w:r w:rsidR="00826988">
              <w:t>skal</w:t>
            </w:r>
            <w:r>
              <w:t xml:space="preserve"> de opplysningene om </w:t>
            </w:r>
            <w:r w:rsidR="00B91B08">
              <w:t>håndtering</w:t>
            </w:r>
            <w:r>
              <w:t xml:space="preserve"> av </w:t>
            </w:r>
            <w:r w:rsidR="00B91B08">
              <w:t>uttjente produkter</w:t>
            </w:r>
            <w:r>
              <w:t xml:space="preserve"> som er omhandlet i nr. 2.4.1, </w:t>
            </w:r>
            <w:r w:rsidR="00826988">
              <w:t xml:space="preserve">inneholde </w:t>
            </w:r>
            <w:r>
              <w:t xml:space="preserve">en angivelse av de kritiske </w:t>
            </w:r>
            <w:r w:rsidR="00E53BD6">
              <w:t>råvarene</w:t>
            </w:r>
            <w:r>
              <w:t>(</w:t>
            </w:r>
            <w:bookmarkStart w:id="93" w:name="NOTE_94"/>
            <w:r>
              <w:rPr>
                <w:rStyle w:val="FootnoteReference"/>
                <w:sz w:val="18"/>
              </w:rPr>
              <w:footnoteReference w:id="95"/>
            </w:r>
            <w:bookmarkEnd w:id="93"/>
            <w:r>
              <w:t>) som vanligvis finnes i komponentene, opplysninger om plasseringen av disse komponentene og om de trinnene som er nødvendige for å fjerne dem separat.</w:t>
            </w:r>
          </w:p>
        </w:tc>
      </w:tr>
      <w:tr w:rsidR="006561BA" w14:paraId="3AFF1213" w14:textId="77777777">
        <w:trPr>
          <w:trHeight w:val="360"/>
        </w:trPr>
        <w:tc>
          <w:tcPr>
            <w:tcW w:w="9240" w:type="dxa"/>
            <w:gridSpan w:val="3"/>
            <w:tcMar>
              <w:top w:w="200" w:type="dxa"/>
              <w:left w:w="0" w:type="dxa"/>
              <w:bottom w:w="200" w:type="dxa"/>
              <w:right w:w="0" w:type="dxa"/>
            </w:tcMar>
          </w:tcPr>
          <w:p w14:paraId="75524219" w14:textId="5AA0170E" w:rsidR="006561BA" w:rsidRDefault="005B4ED6">
            <w:pPr>
              <w:pStyle w:val="AnnexNumberedText"/>
              <w:pageBreakBefore/>
              <w:tabs>
                <w:tab w:val="left" w:pos="540"/>
              </w:tabs>
              <w:ind w:left="0" w:firstLine="0"/>
            </w:pPr>
            <w:r>
              <w:lastRenderedPageBreak/>
              <w:t>2.4.3.</w:t>
            </w:r>
            <w:r>
              <w:tab/>
              <w:t xml:space="preserve">Aktiviteten gir sporingsinformasjon om stoffer som er identifisert som stoffer som gir grunn til svært alvorlig bekymring, og </w:t>
            </w:r>
            <w:r w:rsidR="00DF7DBC">
              <w:t>om</w:t>
            </w:r>
            <w:r>
              <w:t xml:space="preserve"> stoffer som oppfyller kriteriene for stoffer som gir grunn til svært alvorlig bekymring, ved å overholde minst én av de to rammene for offentliggjøring som er oppført nedenfor:</w:t>
            </w:r>
          </w:p>
          <w:p w14:paraId="6FBEB1DD" w14:textId="04B166F5" w:rsidR="006561BA" w:rsidRDefault="005B4ED6">
            <w:pPr>
              <w:pStyle w:val="AnnexNumberedText"/>
              <w:ind w:left="293" w:hanging="293"/>
            </w:pPr>
            <w:r>
              <w:t>a)</w:t>
            </w:r>
            <w:r>
              <w:tab/>
              <w:t>Produktinformasjon om stoffer er offentlig tilgjengelig, i SCIP-databasen(</w:t>
            </w:r>
            <w:bookmarkStart w:id="94" w:name="NOTE_95"/>
            <w:r>
              <w:rPr>
                <w:rStyle w:val="FootnoteReference"/>
                <w:sz w:val="18"/>
              </w:rPr>
              <w:footnoteReference w:id="96"/>
            </w:r>
            <w:bookmarkEnd w:id="94"/>
            <w:r>
              <w:t>) for produkter som inneholder &gt; 0,1 vektprosent (w/w) av et identifisert stoff som gir svært alvorlig bekymring, eller i et spesifikt offentlig verktøy som stilles til rådighet av selskapet</w:t>
            </w:r>
            <w:r w:rsidR="000148E5">
              <w:t>.</w:t>
            </w:r>
          </w:p>
          <w:p w14:paraId="01BA6400" w14:textId="77777777" w:rsidR="006561BA" w:rsidRDefault="005B4ED6">
            <w:pPr>
              <w:pStyle w:val="AnnexNumberedText"/>
              <w:ind w:left="293" w:hanging="293"/>
            </w:pPr>
            <w:r>
              <w:t>b)</w:t>
            </w:r>
            <w:r>
              <w:tab/>
              <w:t>Produktinformasjon om stoffer er offentlig tilgjengelig i henhold til IEC62474(</w:t>
            </w:r>
            <w:bookmarkStart w:id="95" w:name="NOTE_96"/>
            <w:r>
              <w:rPr>
                <w:rStyle w:val="FootnoteReference"/>
                <w:sz w:val="18"/>
              </w:rPr>
              <w:footnoteReference w:id="97"/>
            </w:r>
            <w:bookmarkEnd w:id="95"/>
            <w:r>
              <w:t>) (for elektrisk og elektronisk utstyr) og det framtidige IEC82474-1(</w:t>
            </w:r>
            <w:bookmarkStart w:id="96" w:name="NOTE_97"/>
            <w:r>
              <w:rPr>
                <w:rStyle w:val="FootnoteReference"/>
                <w:sz w:val="18"/>
              </w:rPr>
              <w:footnoteReference w:id="98"/>
            </w:r>
            <w:bookmarkEnd w:id="96"/>
            <w:r>
              <w:t>) (prosjekt med dobbelt logo).</w:t>
            </w:r>
          </w:p>
          <w:p w14:paraId="669AF916" w14:textId="77777777" w:rsidR="006561BA" w:rsidRDefault="005B4ED6">
            <w:pPr>
              <w:pStyle w:val="AnnexNumberedText"/>
              <w:tabs>
                <w:tab w:val="left" w:pos="384"/>
              </w:tabs>
              <w:ind w:left="0" w:firstLine="0"/>
            </w:pPr>
            <w:r>
              <w:t>2.5.</w:t>
            </w:r>
            <w:r>
              <w:tab/>
              <w:t>Utforming med tanke på gjenvinnbarhet</w:t>
            </w:r>
          </w:p>
          <w:p w14:paraId="6252BDD3" w14:textId="77777777" w:rsidR="006561BA" w:rsidRDefault="005B4ED6">
            <w:pPr>
              <w:pStyle w:val="AnnexTableCellLeft"/>
              <w:spacing w:after="120"/>
            </w:pPr>
            <w:r>
              <w:t>Den økonomiske aktiviteten innebærer framstilling av produkter med dokumentert bedre gjenvinnbarhet. Vurdering av gjenvinnbarhet bygger på EN 45555:2019(</w:t>
            </w:r>
            <w:bookmarkStart w:id="97" w:name="NOTE_98"/>
            <w:r>
              <w:rPr>
                <w:rStyle w:val="FootnoteReference"/>
                <w:sz w:val="18"/>
              </w:rPr>
              <w:footnoteReference w:id="99"/>
            </w:r>
            <w:bookmarkEnd w:id="97"/>
            <w:r>
              <w:t>) eller på enhver produktspesifikk EN-standard som bygger på EN 45555:2019. Den økonomiske aktiviteten oppfyller følgende krav:</w:t>
            </w:r>
          </w:p>
          <w:p w14:paraId="1B4929A9" w14:textId="77777777" w:rsidR="006561BA" w:rsidRDefault="005B4ED6">
            <w:pPr>
              <w:pStyle w:val="AnnexNumberedText"/>
              <w:ind w:left="293" w:hanging="293"/>
            </w:pPr>
            <w:r>
              <w:t>a)</w:t>
            </w:r>
            <w:r>
              <w:tab/>
              <w:t>Det anvendes én enkelt polymer eller polymerblandinger som kan gjenvinnes.</w:t>
            </w:r>
          </w:p>
          <w:p w14:paraId="60D00259" w14:textId="77777777" w:rsidR="006561BA" w:rsidRDefault="005B4ED6">
            <w:pPr>
              <w:pStyle w:val="AnnexNumberedText"/>
              <w:ind w:left="293" w:hanging="293"/>
            </w:pPr>
            <w:r>
              <w:t>b)</w:t>
            </w:r>
            <w:r>
              <w:tab/>
              <w:t>Plastkabinetter inneholder ikke innstøpt eller pålimt metall.</w:t>
            </w:r>
          </w:p>
          <w:p w14:paraId="26F6F4E3" w14:textId="77777777" w:rsidR="006561BA" w:rsidRDefault="005B4ED6">
            <w:pPr>
              <w:pStyle w:val="AnnexNumberedText"/>
              <w:ind w:left="293" w:hanging="293"/>
            </w:pPr>
            <w:r>
              <w:t>c)</w:t>
            </w:r>
            <w:r>
              <w:tab/>
              <w:t>Materialer som ikke kan gjenvinnes sammen, er lett tilgjengelige og kan separeres.</w:t>
            </w:r>
          </w:p>
          <w:p w14:paraId="6B1D7929" w14:textId="77777777" w:rsidR="006561BA" w:rsidRDefault="005B4ED6">
            <w:pPr>
              <w:pStyle w:val="AnnexNumberedText"/>
              <w:ind w:left="293" w:hanging="293"/>
            </w:pPr>
            <w:r>
              <w:t>d)</w:t>
            </w:r>
            <w:r>
              <w:tab/>
              <w:t>Forbedring av gjenvinnbarheten skader ikke holdbarheten til selve systemet.</w:t>
            </w:r>
          </w:p>
          <w:p w14:paraId="64BE0BC9" w14:textId="77777777" w:rsidR="006561BA" w:rsidRDefault="005B4ED6">
            <w:pPr>
              <w:pStyle w:val="AnnexNumberedText"/>
              <w:ind w:left="293" w:hanging="293"/>
            </w:pPr>
            <w:r>
              <w:t>e)</w:t>
            </w:r>
            <w:r>
              <w:tab/>
              <w:t>Deler av produktet som inneholder stoffer, stoffblandinger og komponenter som skal fjernes under rensingen, er enkle å identifisere, for eksempel gjennom sorteringsmerking fra produsenten, og er synlige på produktet.</w:t>
            </w:r>
          </w:p>
          <w:p w14:paraId="69D6FB74" w14:textId="656D7F29" w:rsidR="006561BA" w:rsidRDefault="005B4ED6">
            <w:pPr>
              <w:pStyle w:val="AnnexNumberedText"/>
              <w:ind w:left="293" w:hanging="293"/>
            </w:pPr>
            <w:r>
              <w:t>f)</w:t>
            </w:r>
            <w:r>
              <w:tab/>
              <w:t xml:space="preserve">Kretskort, harddisker, elektriske motorer, permanentmagneter, batterier, fluorescerende pulver eller andre komponenter som i </w:t>
            </w:r>
            <w:r w:rsidR="00951A1F">
              <w:t xml:space="preserve">henhold til </w:t>
            </w:r>
            <w:r>
              <w:t xml:space="preserve">Unionens regelverk </w:t>
            </w:r>
            <w:r w:rsidR="008A5096">
              <w:t>har</w:t>
            </w:r>
            <w:r>
              <w:t xml:space="preserve"> høyt potensial for gjenvinning av kritiske </w:t>
            </w:r>
            <w:r w:rsidR="00BE1452">
              <w:t>råvarer</w:t>
            </w:r>
            <w:r>
              <w:t>, er lette å få tilgang til og fjerne fra produktet.</w:t>
            </w:r>
          </w:p>
          <w:p w14:paraId="77797E62" w14:textId="271EFC14" w:rsidR="006561BA" w:rsidRDefault="005B4ED6">
            <w:pPr>
              <w:pStyle w:val="AnnexNumberedText"/>
              <w:ind w:left="293" w:hanging="293"/>
            </w:pPr>
            <w:r>
              <w:t>g)</w:t>
            </w:r>
            <w:r>
              <w:tab/>
              <w:t xml:space="preserve">Deler som reduserer gjenvinnbarheten i henhold til referansescenarioet for </w:t>
            </w:r>
            <w:r w:rsidR="008C52C8">
              <w:t xml:space="preserve">håndtering av uttjente </w:t>
            </w:r>
            <w:r>
              <w:t xml:space="preserve">produkter, som for eksempel plast ved bruk av visse fyllstoffer eller visse </w:t>
            </w:r>
            <w:proofErr w:type="spellStart"/>
            <w:r>
              <w:t>flammehemmere</w:t>
            </w:r>
            <w:proofErr w:type="spellEnd"/>
            <w:r>
              <w:t>, er lette å få tilgang til og fjerne.</w:t>
            </w:r>
          </w:p>
          <w:p w14:paraId="0AF26F5D" w14:textId="77777777" w:rsidR="006561BA" w:rsidRDefault="005B4ED6">
            <w:pPr>
              <w:pStyle w:val="AnnexNumberedText"/>
              <w:ind w:left="293" w:hanging="293"/>
            </w:pPr>
            <w:r>
              <w:t>h)</w:t>
            </w:r>
            <w:r>
              <w:tab/>
              <w:t>Metodene som brukes ved montering, festing eller forsegling, hindrer ikke en sikker og lett fjerning av de komponentene som er angitt i direktiv 2012/19/EU eller i europaparlaments- og rådsforordning (EU) 2023/1542 om batterier og brukte batterier(</w:t>
            </w:r>
            <w:bookmarkStart w:id="98" w:name="NOTE_99"/>
            <w:r>
              <w:rPr>
                <w:rStyle w:val="FootnoteReference"/>
                <w:sz w:val="18"/>
              </w:rPr>
              <w:footnoteReference w:id="100"/>
            </w:r>
            <w:bookmarkEnd w:id="98"/>
            <w:r>
              <w:t>), dersom de forefinnes.</w:t>
            </w:r>
          </w:p>
          <w:p w14:paraId="11A6FCB5" w14:textId="77777777" w:rsidR="006561BA" w:rsidRDefault="005B4ED6">
            <w:pPr>
              <w:pStyle w:val="AnnexNumberedText"/>
              <w:tabs>
                <w:tab w:val="left" w:pos="384"/>
              </w:tabs>
              <w:ind w:left="0" w:firstLine="0"/>
            </w:pPr>
            <w:r>
              <w:t>2.6.</w:t>
            </w:r>
            <w:r>
              <w:tab/>
              <w:t>Proaktiv erstatning av farlige stoffer</w:t>
            </w:r>
          </w:p>
          <w:p w14:paraId="4E396EE4" w14:textId="585729A1" w:rsidR="006561BA" w:rsidRDefault="005B4ED6">
            <w:pPr>
              <w:pStyle w:val="AnnexNumberedText"/>
              <w:pageBreakBefore/>
              <w:tabs>
                <w:tab w:val="left" w:pos="540"/>
              </w:tabs>
              <w:ind w:left="0" w:firstLine="0"/>
            </w:pPr>
            <w:r>
              <w:t>2.6.1.</w:t>
            </w:r>
            <w:r>
              <w:tab/>
              <w:t xml:space="preserve">Den økonomiske aktiviteten innebærer </w:t>
            </w:r>
            <w:r w:rsidR="007B4C43">
              <w:t>framstilling</w:t>
            </w:r>
            <w:r>
              <w:t xml:space="preserve"> av produkter som påviser proaktiv erstatning av farlige stoffer.</w:t>
            </w:r>
          </w:p>
          <w:p w14:paraId="0C5FF114" w14:textId="77777777" w:rsidR="006561BA" w:rsidRDefault="005B4ED6">
            <w:pPr>
              <w:pStyle w:val="AnnexNumberedText"/>
              <w:pageBreakBefore/>
              <w:tabs>
                <w:tab w:val="left" w:pos="540"/>
              </w:tabs>
              <w:ind w:left="0" w:firstLine="0"/>
            </w:pPr>
            <w:r>
              <w:t>2.6.2.</w:t>
            </w:r>
            <w:r>
              <w:tab/>
              <w:t>Produktet inneholder ikke stoffer som gir grunn til svært alvorlig bekymring, og som er oppført i vedlegg XIV til forordning (EF) nr. 1907/2006.</w:t>
            </w:r>
          </w:p>
          <w:p w14:paraId="57B05458" w14:textId="77777777" w:rsidR="006561BA" w:rsidRDefault="005B4ED6">
            <w:pPr>
              <w:pStyle w:val="AnnexNumberedText"/>
              <w:pageBreakBefore/>
              <w:tabs>
                <w:tab w:val="left" w:pos="540"/>
              </w:tabs>
              <w:ind w:left="0" w:firstLine="0"/>
            </w:pPr>
            <w:r>
              <w:t>2.6.3.</w:t>
            </w:r>
            <w:r>
              <w:tab/>
              <w:t>Unntak fra begrensninger av farlige stoffer er begrenset til følgende tilfeller:</w:t>
            </w:r>
          </w:p>
          <w:p w14:paraId="22A0AA22" w14:textId="77777777" w:rsidR="006561BA" w:rsidRDefault="005B4ED6">
            <w:pPr>
              <w:pStyle w:val="AnnexNumberedText"/>
              <w:ind w:left="293" w:hanging="293"/>
            </w:pPr>
            <w:r>
              <w:t>a)</w:t>
            </w:r>
            <w:r>
              <w:tab/>
              <w:t>Bly i loddematerialer med høy smeltetemperatur som er omfattet av unntaket i post 7 a) i vedlegg III til direktiv 2011/65/EU.</w:t>
            </w:r>
          </w:p>
          <w:p w14:paraId="08AB9EFD" w14:textId="77777777" w:rsidR="006561BA" w:rsidRDefault="005B4ED6">
            <w:pPr>
              <w:pStyle w:val="AnnexNumberedText"/>
              <w:spacing w:after="0"/>
              <w:ind w:left="293" w:hanging="293"/>
            </w:pPr>
            <w:r>
              <w:t>b)</w:t>
            </w:r>
            <w:r>
              <w:tab/>
              <w:t>Elektriske og elektroniske komponenter som inneholder bly i glass eller keramikk, og som er omfattet av unntakene i post 7 c) i vedlegg III til direktiv 2011/65/EU.</w:t>
            </w:r>
          </w:p>
        </w:tc>
      </w:tr>
      <w:tr w:rsidR="006561BA" w14:paraId="51545F2C" w14:textId="77777777">
        <w:trPr>
          <w:trHeight w:val="360"/>
        </w:trPr>
        <w:tc>
          <w:tcPr>
            <w:tcW w:w="9240" w:type="dxa"/>
            <w:gridSpan w:val="3"/>
            <w:tcMar>
              <w:top w:w="160" w:type="dxa"/>
              <w:left w:w="0" w:type="dxa"/>
              <w:bottom w:w="160" w:type="dxa"/>
              <w:right w:w="0" w:type="dxa"/>
            </w:tcMar>
          </w:tcPr>
          <w:p w14:paraId="66652549" w14:textId="77777777" w:rsidR="006561BA" w:rsidRDefault="005B4ED6">
            <w:pPr>
              <w:pStyle w:val="AnnexNumberedText"/>
              <w:pageBreakBefore/>
              <w:tabs>
                <w:tab w:val="left" w:pos="540"/>
              </w:tabs>
              <w:spacing w:after="0"/>
              <w:ind w:left="0" w:firstLine="0"/>
            </w:pPr>
            <w:r>
              <w:lastRenderedPageBreak/>
              <w:t>2.6.4.</w:t>
            </w:r>
            <w:r>
              <w:tab/>
              <w:t>De farlige stoffene som er oppført i tabellen nedenfor, skal verken tilsettes eller dannes i de spesifiserte delenhetene og komponentdelene i konsentrasjoner som tilsvarer eller overstiger den fastsatte konsentrasjonsgrensen.</w:t>
            </w:r>
          </w:p>
        </w:tc>
      </w:tr>
      <w:tr w:rsidR="006561BA" w14:paraId="03CCEB31" w14:textId="77777777">
        <w:trPr>
          <w:trHeight w:val="240"/>
        </w:trPr>
        <w:tc>
          <w:tcPr>
            <w:tcW w:w="1860" w:type="dxa"/>
            <w:tcMar>
              <w:top w:w="160" w:type="dxa"/>
              <w:left w:w="0" w:type="dxa"/>
              <w:bottom w:w="160" w:type="dxa"/>
            </w:tcMar>
          </w:tcPr>
          <w:p w14:paraId="2CD40C47" w14:textId="77777777" w:rsidR="006561BA" w:rsidRDefault="005B4ED6">
            <w:pPr>
              <w:pStyle w:val="AnnexTableCellLeft"/>
            </w:pPr>
            <w:r>
              <w:t>Stoffgruppe</w:t>
            </w:r>
          </w:p>
        </w:tc>
        <w:tc>
          <w:tcPr>
            <w:tcW w:w="3690" w:type="dxa"/>
            <w:tcMar>
              <w:top w:w="160" w:type="dxa"/>
              <w:bottom w:w="160" w:type="dxa"/>
            </w:tcMar>
          </w:tcPr>
          <w:p w14:paraId="5DE7CBD8" w14:textId="77777777" w:rsidR="006561BA" w:rsidRDefault="005B4ED6">
            <w:pPr>
              <w:pStyle w:val="AnnexTableCellLeft"/>
            </w:pPr>
            <w:r>
              <w:t>Begrensningens omfang</w:t>
            </w:r>
          </w:p>
        </w:tc>
        <w:tc>
          <w:tcPr>
            <w:tcW w:w="3690" w:type="dxa"/>
            <w:tcMar>
              <w:top w:w="160" w:type="dxa"/>
              <w:bottom w:w="160" w:type="dxa"/>
              <w:right w:w="0" w:type="dxa"/>
            </w:tcMar>
          </w:tcPr>
          <w:p w14:paraId="20840552" w14:textId="77777777" w:rsidR="006561BA" w:rsidRDefault="005B4ED6">
            <w:pPr>
              <w:pStyle w:val="AnnexTableCellLeft"/>
            </w:pPr>
            <w:r>
              <w:t>Konsentrasjonsgrenser (dersom dette er relevant)</w:t>
            </w:r>
          </w:p>
        </w:tc>
      </w:tr>
      <w:tr w:rsidR="006561BA" w14:paraId="7BDC8BA4" w14:textId="77777777">
        <w:trPr>
          <w:trHeight w:val="360"/>
        </w:trPr>
        <w:tc>
          <w:tcPr>
            <w:tcW w:w="1860" w:type="dxa"/>
            <w:tcMar>
              <w:top w:w="160" w:type="dxa"/>
              <w:left w:w="0" w:type="dxa"/>
              <w:bottom w:w="160" w:type="dxa"/>
            </w:tcMar>
          </w:tcPr>
          <w:p w14:paraId="67676674" w14:textId="77777777" w:rsidR="006561BA" w:rsidRDefault="005B4ED6">
            <w:pPr>
              <w:pStyle w:val="AnnexNumberedText"/>
              <w:tabs>
                <w:tab w:val="right" w:pos="109"/>
              </w:tabs>
              <w:ind w:left="253" w:hanging="253"/>
            </w:pPr>
            <w:r>
              <w:tab/>
              <w:t>i)</w:t>
            </w:r>
            <w:r>
              <w:tab/>
              <w:t>Polymerstabilisatorer, fargestoffer og forurensende stoffer</w:t>
            </w:r>
          </w:p>
        </w:tc>
        <w:tc>
          <w:tcPr>
            <w:tcW w:w="3690" w:type="dxa"/>
            <w:tcMar>
              <w:top w:w="160" w:type="dxa"/>
              <w:bottom w:w="160" w:type="dxa"/>
            </w:tcMar>
          </w:tcPr>
          <w:p w14:paraId="04D25E10" w14:textId="77777777" w:rsidR="006561BA" w:rsidRDefault="005B4ED6">
            <w:pPr>
              <w:pStyle w:val="AnnexTableCellLeft"/>
              <w:spacing w:after="120"/>
            </w:pPr>
            <w:r>
              <w:t>Følgende organiske stabilisatorforbindelser med tinn inngår ikke i eksterne kabler:</w:t>
            </w:r>
          </w:p>
          <w:p w14:paraId="156F5133" w14:textId="77777777" w:rsidR="006561BA" w:rsidRDefault="005B4ED6">
            <w:pPr>
              <w:pStyle w:val="AnnexTableCellLeft"/>
              <w:spacing w:after="120"/>
            </w:pPr>
            <w:proofErr w:type="spellStart"/>
            <w:r>
              <w:t>Dibutyltinnoksid</w:t>
            </w:r>
            <w:proofErr w:type="spellEnd"/>
          </w:p>
          <w:p w14:paraId="6A8ACCA5" w14:textId="77777777" w:rsidR="006561BA" w:rsidRDefault="005B4ED6">
            <w:pPr>
              <w:pStyle w:val="AnnexTableCellLeft"/>
              <w:spacing w:after="120"/>
            </w:pPr>
            <w:proofErr w:type="spellStart"/>
            <w:r>
              <w:t>Dibutyltinndiacetat</w:t>
            </w:r>
            <w:proofErr w:type="spellEnd"/>
          </w:p>
          <w:p w14:paraId="69D9BBD7" w14:textId="77777777" w:rsidR="006561BA" w:rsidRDefault="005B4ED6">
            <w:pPr>
              <w:pStyle w:val="AnnexTableCellLeft"/>
              <w:spacing w:after="120"/>
            </w:pPr>
            <w:proofErr w:type="spellStart"/>
            <w:r>
              <w:t>Dibutyltinndilaurat</w:t>
            </w:r>
            <w:proofErr w:type="spellEnd"/>
          </w:p>
          <w:p w14:paraId="61082881" w14:textId="77777777" w:rsidR="006561BA" w:rsidRDefault="005B4ED6">
            <w:pPr>
              <w:pStyle w:val="AnnexTableCellLeft"/>
              <w:spacing w:after="120"/>
            </w:pPr>
            <w:proofErr w:type="spellStart"/>
            <w:r>
              <w:t>Dibutyltinnmaleat</w:t>
            </w:r>
            <w:proofErr w:type="spellEnd"/>
          </w:p>
          <w:p w14:paraId="1106D14E" w14:textId="77777777" w:rsidR="006561BA" w:rsidRDefault="005B4ED6">
            <w:pPr>
              <w:pStyle w:val="AnnexTableCellLeft"/>
              <w:spacing w:after="120"/>
            </w:pPr>
            <w:proofErr w:type="spellStart"/>
            <w:r>
              <w:t>Dioktyltinnoksid</w:t>
            </w:r>
            <w:proofErr w:type="spellEnd"/>
          </w:p>
          <w:p w14:paraId="4D985B27" w14:textId="77777777" w:rsidR="006561BA" w:rsidRDefault="005B4ED6">
            <w:pPr>
              <w:pStyle w:val="AnnexTableCellLeft"/>
              <w:spacing w:after="120"/>
            </w:pPr>
            <w:proofErr w:type="spellStart"/>
            <w:r>
              <w:t>Dioktyltinndilaurat</w:t>
            </w:r>
            <w:proofErr w:type="spellEnd"/>
          </w:p>
          <w:p w14:paraId="68EDBB63" w14:textId="2EB5712D" w:rsidR="006561BA" w:rsidRDefault="006F59C7">
            <w:pPr>
              <w:pStyle w:val="AnnexTableCellLeft"/>
            </w:pPr>
            <w:r>
              <w:t xml:space="preserve">Det </w:t>
            </w:r>
            <w:r w:rsidR="00131D62">
              <w:t>eksterne kabinettet</w:t>
            </w:r>
            <w:r w:rsidR="005B4ED6">
              <w:t xml:space="preserve"> inneholder ikke følgende fargestoffer: </w:t>
            </w:r>
            <w:proofErr w:type="spellStart"/>
            <w:r w:rsidR="005B4ED6">
              <w:t>Azofargestoffer</w:t>
            </w:r>
            <w:proofErr w:type="spellEnd"/>
            <w:r w:rsidR="005B4ED6">
              <w:t xml:space="preserve"> som kan spaltes til </w:t>
            </w:r>
            <w:proofErr w:type="spellStart"/>
            <w:r w:rsidR="005B4ED6">
              <w:t>kreftframkallende</w:t>
            </w:r>
            <w:proofErr w:type="spellEnd"/>
            <w:r w:rsidR="005B4ED6">
              <w:t xml:space="preserve"> aromatiske aminer oppført i tillegg 8 til forordning (EF) nr. 1907/2006, eller fargestofforbindelser som er oppført på listen IEC 62474 over stoffer som skal oppgis.</w:t>
            </w:r>
          </w:p>
        </w:tc>
        <w:tc>
          <w:tcPr>
            <w:tcW w:w="3690" w:type="dxa"/>
            <w:tcMar>
              <w:top w:w="160" w:type="dxa"/>
              <w:bottom w:w="160" w:type="dxa"/>
              <w:right w:w="0" w:type="dxa"/>
            </w:tcMar>
          </w:tcPr>
          <w:p w14:paraId="033AA51A" w14:textId="77777777" w:rsidR="006561BA" w:rsidRDefault="005B4ED6">
            <w:pPr>
              <w:pStyle w:val="AnnexTableCellLeft"/>
            </w:pPr>
            <w:r>
              <w:t>Ikke relevant</w:t>
            </w:r>
          </w:p>
        </w:tc>
      </w:tr>
      <w:tr w:rsidR="006561BA" w14:paraId="58548115" w14:textId="77777777">
        <w:trPr>
          <w:trHeight w:val="360"/>
        </w:trPr>
        <w:tc>
          <w:tcPr>
            <w:tcW w:w="1860" w:type="dxa"/>
            <w:tcMar>
              <w:top w:w="160" w:type="dxa"/>
              <w:left w:w="0" w:type="dxa"/>
              <w:bottom w:w="160" w:type="dxa"/>
            </w:tcMar>
          </w:tcPr>
          <w:p w14:paraId="56E6116F" w14:textId="77777777" w:rsidR="006561BA" w:rsidRDefault="005B4ED6">
            <w:pPr>
              <w:pStyle w:val="AnnexNumberedText"/>
              <w:tabs>
                <w:tab w:val="right" w:pos="159"/>
              </w:tabs>
              <w:ind w:left="303" w:hanging="303"/>
            </w:pPr>
            <w:r>
              <w:tab/>
              <w:t>ii)</w:t>
            </w:r>
            <w:r>
              <w:tab/>
              <w:t>Polymerstabilisatorer, fargestoffer og forurensende stoffer</w:t>
            </w:r>
          </w:p>
        </w:tc>
        <w:tc>
          <w:tcPr>
            <w:tcW w:w="3690" w:type="dxa"/>
            <w:tcMar>
              <w:top w:w="160" w:type="dxa"/>
              <w:bottom w:w="160" w:type="dxa"/>
            </w:tcMar>
          </w:tcPr>
          <w:p w14:paraId="5337ADA8" w14:textId="77777777" w:rsidR="006561BA" w:rsidRDefault="005B4ED6">
            <w:pPr>
              <w:pStyle w:val="AnnexTableCellLeft"/>
              <w:spacing w:after="120"/>
            </w:pPr>
            <w:r>
              <w:t>Polysykliske aromatiske hydrokarboner (PAH-er) forekommer ikke i konsentrasjoner som er høyere enn eller lik enkeltstående eller samlede konsentrasjonsgrenser i eksterne overflater av plast eller syntetisk gummi.</w:t>
            </w:r>
          </w:p>
          <w:p w14:paraId="1A0DFA2C" w14:textId="77777777" w:rsidR="006561BA" w:rsidRDefault="005B4ED6">
            <w:pPr>
              <w:pStyle w:val="AnnexTableCellLeft"/>
              <w:spacing w:after="120"/>
            </w:pPr>
            <w:r>
              <w:t>Forekomst og konsentrasjon av følgende PAH-er skal kontrolleres:</w:t>
            </w:r>
          </w:p>
          <w:p w14:paraId="2543324B" w14:textId="77777777" w:rsidR="006561BA" w:rsidRDefault="005B4ED6">
            <w:pPr>
              <w:pStyle w:val="AnnexTableCellLeft"/>
              <w:spacing w:after="120"/>
            </w:pPr>
            <w:r>
              <w:t>PAH-er som er underlagt begrensninger i henhold til forordning (EF) nr. 1907/2006:</w:t>
            </w:r>
          </w:p>
          <w:p w14:paraId="1DED2597" w14:textId="77777777" w:rsidR="006561BA" w:rsidRPr="00980A19" w:rsidRDefault="005B4ED6">
            <w:pPr>
              <w:pStyle w:val="AnnexTableCellLeft"/>
              <w:spacing w:after="120"/>
            </w:pPr>
            <w:r w:rsidRPr="00980A19">
              <w:t>Benzo[a]pyren Benzo[e]pyren</w:t>
            </w:r>
          </w:p>
          <w:p w14:paraId="2DC7CA21" w14:textId="77777777" w:rsidR="006561BA" w:rsidRDefault="005B4ED6">
            <w:pPr>
              <w:pStyle w:val="AnnexTableCellLeft"/>
              <w:spacing w:after="120"/>
            </w:pPr>
            <w:r>
              <w:t>Benzo[a]antracen</w:t>
            </w:r>
          </w:p>
          <w:p w14:paraId="64A21746" w14:textId="77777777" w:rsidR="006561BA" w:rsidRDefault="005B4ED6">
            <w:pPr>
              <w:pStyle w:val="AnnexTableCellLeft"/>
              <w:spacing w:after="120"/>
            </w:pPr>
            <w:proofErr w:type="spellStart"/>
            <w:r>
              <w:t>Krysen</w:t>
            </w:r>
            <w:proofErr w:type="spellEnd"/>
          </w:p>
          <w:p w14:paraId="3963B69E" w14:textId="77777777" w:rsidR="006561BA" w:rsidRDefault="005B4ED6">
            <w:pPr>
              <w:pStyle w:val="AnnexTableCellLeft"/>
              <w:spacing w:after="120"/>
            </w:pPr>
            <w:r>
              <w:t>Benzo(b)</w:t>
            </w:r>
            <w:proofErr w:type="spellStart"/>
            <w:r>
              <w:t>fluoranten</w:t>
            </w:r>
            <w:proofErr w:type="spellEnd"/>
          </w:p>
          <w:p w14:paraId="41618B3D" w14:textId="77777777" w:rsidR="006561BA" w:rsidRDefault="005B4ED6">
            <w:pPr>
              <w:pStyle w:val="AnnexTableCellLeft"/>
              <w:spacing w:after="120"/>
            </w:pPr>
            <w:r>
              <w:t>Benzo[j]</w:t>
            </w:r>
            <w:proofErr w:type="spellStart"/>
            <w:r>
              <w:t>fluoranten</w:t>
            </w:r>
            <w:proofErr w:type="spellEnd"/>
          </w:p>
          <w:p w14:paraId="562773B5" w14:textId="77777777" w:rsidR="006561BA" w:rsidRPr="00980A19" w:rsidRDefault="005B4ED6">
            <w:pPr>
              <w:pStyle w:val="AnnexTableCellLeft"/>
              <w:spacing w:after="120"/>
              <w:rPr>
                <w:lang w:val="en-US"/>
              </w:rPr>
            </w:pPr>
            <w:r w:rsidRPr="00980A19">
              <w:rPr>
                <w:lang w:val="en-US"/>
              </w:rPr>
              <w:t>Benzo[k]fluoranten</w:t>
            </w:r>
          </w:p>
          <w:p w14:paraId="428ECAB5" w14:textId="77777777" w:rsidR="006561BA" w:rsidRPr="00980A19" w:rsidRDefault="005B4ED6">
            <w:pPr>
              <w:pStyle w:val="AnnexTableCellLeft"/>
              <w:spacing w:after="120"/>
              <w:rPr>
                <w:lang w:val="en-US"/>
              </w:rPr>
            </w:pPr>
            <w:r w:rsidRPr="00980A19">
              <w:rPr>
                <w:lang w:val="en-US"/>
              </w:rPr>
              <w:t>Dibenzo[a,h]antracen</w:t>
            </w:r>
          </w:p>
          <w:p w14:paraId="7B03676E" w14:textId="77777777" w:rsidR="006561BA" w:rsidRDefault="005B4ED6">
            <w:pPr>
              <w:pStyle w:val="AnnexTableCellLeft"/>
              <w:spacing w:after="120"/>
            </w:pPr>
            <w:r>
              <w:t>Andre PAH-er som er underlagt begrensninger:</w:t>
            </w:r>
          </w:p>
          <w:p w14:paraId="4CA3D375" w14:textId="77777777" w:rsidR="006561BA" w:rsidRDefault="005B4ED6">
            <w:pPr>
              <w:pStyle w:val="AnnexTableCellLeft"/>
              <w:spacing w:after="120"/>
            </w:pPr>
            <w:proofErr w:type="spellStart"/>
            <w:r>
              <w:t>Acenaften</w:t>
            </w:r>
            <w:proofErr w:type="spellEnd"/>
          </w:p>
          <w:p w14:paraId="43F409F1" w14:textId="77777777" w:rsidR="006561BA" w:rsidRDefault="005B4ED6">
            <w:pPr>
              <w:pStyle w:val="AnnexTableCellLeft"/>
              <w:spacing w:after="120"/>
            </w:pPr>
            <w:proofErr w:type="spellStart"/>
            <w:r>
              <w:t>Acenaftylen</w:t>
            </w:r>
            <w:proofErr w:type="spellEnd"/>
          </w:p>
          <w:p w14:paraId="042E459C" w14:textId="77777777" w:rsidR="006561BA" w:rsidRDefault="005B4ED6">
            <w:pPr>
              <w:pStyle w:val="AnnexTableCellLeft"/>
              <w:spacing w:after="120"/>
            </w:pPr>
            <w:r>
              <w:t>Antracen</w:t>
            </w:r>
          </w:p>
          <w:p w14:paraId="7E312A17" w14:textId="77777777" w:rsidR="006561BA" w:rsidRDefault="005B4ED6">
            <w:pPr>
              <w:pStyle w:val="AnnexTableCellLeft"/>
              <w:spacing w:after="120"/>
            </w:pPr>
            <w:r>
              <w:t>Benzo[</w:t>
            </w:r>
            <w:proofErr w:type="spellStart"/>
            <w:r>
              <w:t>ghi</w:t>
            </w:r>
            <w:proofErr w:type="spellEnd"/>
            <w:r>
              <w:t>]</w:t>
            </w:r>
            <w:proofErr w:type="spellStart"/>
            <w:r>
              <w:t>perylen</w:t>
            </w:r>
            <w:proofErr w:type="spellEnd"/>
          </w:p>
          <w:p w14:paraId="3F28ABF1" w14:textId="77777777" w:rsidR="006561BA" w:rsidRDefault="005B4ED6">
            <w:pPr>
              <w:pStyle w:val="AnnexTableCellLeft"/>
              <w:spacing w:after="120"/>
            </w:pPr>
            <w:proofErr w:type="spellStart"/>
            <w:r>
              <w:t>Fluoranten</w:t>
            </w:r>
            <w:proofErr w:type="spellEnd"/>
          </w:p>
          <w:p w14:paraId="1659127F" w14:textId="77777777" w:rsidR="006561BA" w:rsidRDefault="005B4ED6">
            <w:pPr>
              <w:pStyle w:val="AnnexTableCellLeft"/>
            </w:pPr>
            <w:r>
              <w:t>Fluoren</w:t>
            </w:r>
          </w:p>
        </w:tc>
        <w:tc>
          <w:tcPr>
            <w:tcW w:w="3690" w:type="dxa"/>
            <w:tcMar>
              <w:top w:w="160" w:type="dxa"/>
              <w:bottom w:w="160" w:type="dxa"/>
              <w:right w:w="0" w:type="dxa"/>
            </w:tcMar>
          </w:tcPr>
          <w:p w14:paraId="722752B9" w14:textId="77777777" w:rsidR="006561BA" w:rsidRDefault="005B4ED6">
            <w:pPr>
              <w:pStyle w:val="AnnexTableCellLeft"/>
              <w:spacing w:after="120"/>
            </w:pPr>
            <w:r>
              <w:t>De enkelte konsentrasjonsgrensene for PAH-er som er underlagt begrensninger i henhold til forordning (EF) nr. 1907/2006, er 1 mg/kg.</w:t>
            </w:r>
          </w:p>
          <w:p w14:paraId="699D7313" w14:textId="77777777" w:rsidR="006561BA" w:rsidRDefault="005B4ED6">
            <w:pPr>
              <w:pStyle w:val="AnnexTableCellLeft"/>
            </w:pPr>
            <w:r>
              <w:t>Den samlede konsentrasjonsgrensen for de 18 oppførte PAH-ene skal ikke overstige 10 mg/kg.</w:t>
            </w:r>
          </w:p>
        </w:tc>
      </w:tr>
      <w:tr w:rsidR="006561BA" w14:paraId="336FFE75" w14:textId="77777777">
        <w:trPr>
          <w:trHeight w:val="240"/>
        </w:trPr>
        <w:tc>
          <w:tcPr>
            <w:tcW w:w="1860" w:type="dxa"/>
            <w:tcMar>
              <w:top w:w="200" w:type="dxa"/>
              <w:left w:w="0" w:type="dxa"/>
              <w:bottom w:w="200" w:type="dxa"/>
            </w:tcMar>
          </w:tcPr>
          <w:p w14:paraId="3CE8F306" w14:textId="77777777" w:rsidR="006561BA" w:rsidRDefault="006561BA">
            <w:pPr>
              <w:pStyle w:val="AnnexTableCellLeft"/>
              <w:pageBreakBefore/>
            </w:pPr>
          </w:p>
        </w:tc>
        <w:tc>
          <w:tcPr>
            <w:tcW w:w="3690" w:type="dxa"/>
            <w:tcMar>
              <w:top w:w="200" w:type="dxa"/>
              <w:bottom w:w="200" w:type="dxa"/>
            </w:tcMar>
          </w:tcPr>
          <w:p w14:paraId="4FBFF256" w14:textId="77777777" w:rsidR="006561BA" w:rsidRDefault="005B4ED6">
            <w:pPr>
              <w:pStyle w:val="AnnexTableCellLeft"/>
              <w:spacing w:after="120"/>
            </w:pPr>
            <w:proofErr w:type="spellStart"/>
            <w:r>
              <w:t>Indeno</w:t>
            </w:r>
            <w:proofErr w:type="spellEnd"/>
            <w:r>
              <w:t>[1,2,3-cd]pyren</w:t>
            </w:r>
          </w:p>
          <w:p w14:paraId="11C0C02F" w14:textId="77777777" w:rsidR="006561BA" w:rsidRDefault="005B4ED6">
            <w:pPr>
              <w:pStyle w:val="AnnexTableCellLeft"/>
              <w:spacing w:after="120"/>
            </w:pPr>
            <w:r>
              <w:t>Naftalen</w:t>
            </w:r>
          </w:p>
          <w:p w14:paraId="2A9996FA" w14:textId="77777777" w:rsidR="006561BA" w:rsidRDefault="005B4ED6">
            <w:pPr>
              <w:pStyle w:val="AnnexTableCellLeft"/>
              <w:spacing w:after="120"/>
            </w:pPr>
            <w:r>
              <w:t>Fenantren</w:t>
            </w:r>
          </w:p>
          <w:p w14:paraId="6141CEBC" w14:textId="77777777" w:rsidR="006561BA" w:rsidRDefault="005B4ED6">
            <w:pPr>
              <w:pStyle w:val="AnnexTableCellLeft"/>
            </w:pPr>
            <w:r>
              <w:t>Pyren</w:t>
            </w:r>
          </w:p>
        </w:tc>
        <w:tc>
          <w:tcPr>
            <w:tcW w:w="3690" w:type="dxa"/>
            <w:tcMar>
              <w:top w:w="200" w:type="dxa"/>
              <w:bottom w:w="200" w:type="dxa"/>
              <w:right w:w="0" w:type="dxa"/>
            </w:tcMar>
          </w:tcPr>
          <w:p w14:paraId="34A4DAF0" w14:textId="77777777" w:rsidR="006561BA" w:rsidRDefault="006561BA">
            <w:pPr>
              <w:pStyle w:val="AnnexTableCellLeft"/>
            </w:pPr>
          </w:p>
        </w:tc>
      </w:tr>
      <w:tr w:rsidR="006561BA" w14:paraId="53ABF531" w14:textId="77777777">
        <w:trPr>
          <w:trHeight w:val="360"/>
        </w:trPr>
        <w:tc>
          <w:tcPr>
            <w:tcW w:w="1860" w:type="dxa"/>
            <w:tcMar>
              <w:top w:w="200" w:type="dxa"/>
              <w:left w:w="0" w:type="dxa"/>
              <w:bottom w:w="200" w:type="dxa"/>
            </w:tcMar>
          </w:tcPr>
          <w:p w14:paraId="6A819D1A" w14:textId="77777777" w:rsidR="006561BA" w:rsidRDefault="005B4ED6">
            <w:pPr>
              <w:pStyle w:val="AnnexNumberedText"/>
              <w:tabs>
                <w:tab w:val="right" w:pos="209"/>
              </w:tabs>
              <w:ind w:left="353" w:hanging="353"/>
            </w:pPr>
            <w:r>
              <w:tab/>
              <w:t>iii)</w:t>
            </w:r>
            <w:r>
              <w:tab/>
              <w:t>Biocidprodukter</w:t>
            </w:r>
          </w:p>
        </w:tc>
        <w:tc>
          <w:tcPr>
            <w:tcW w:w="3690" w:type="dxa"/>
            <w:tcMar>
              <w:top w:w="200" w:type="dxa"/>
              <w:bottom w:w="200" w:type="dxa"/>
            </w:tcMar>
          </w:tcPr>
          <w:p w14:paraId="0974DD0B" w14:textId="77777777" w:rsidR="006561BA" w:rsidRDefault="005B4ED6">
            <w:pPr>
              <w:pStyle w:val="AnnexTableCellLeft"/>
              <w:spacing w:after="120"/>
            </w:pPr>
            <w:r>
              <w:t>Biocidprodukter som har en antibakteriell virkning</w:t>
            </w:r>
          </w:p>
          <w:p w14:paraId="6350A65E" w14:textId="77777777" w:rsidR="006561BA" w:rsidRDefault="005B4ED6">
            <w:pPr>
              <w:pStyle w:val="AnnexTableCellLeft"/>
            </w:pPr>
            <w:r>
              <w:t>Unntak for materialer som selges på sykehus, og for bruk i helsevesenet</w:t>
            </w:r>
          </w:p>
        </w:tc>
        <w:tc>
          <w:tcPr>
            <w:tcW w:w="3690" w:type="dxa"/>
            <w:tcMar>
              <w:top w:w="200" w:type="dxa"/>
              <w:bottom w:w="200" w:type="dxa"/>
              <w:right w:w="0" w:type="dxa"/>
            </w:tcMar>
          </w:tcPr>
          <w:p w14:paraId="280B46E8" w14:textId="77777777" w:rsidR="006561BA" w:rsidRDefault="005B4ED6">
            <w:pPr>
              <w:pStyle w:val="AnnexTableCellLeft"/>
            </w:pPr>
            <w:r>
              <w:t>Ikke relevant</w:t>
            </w:r>
          </w:p>
        </w:tc>
      </w:tr>
      <w:tr w:rsidR="006561BA" w14:paraId="37C93E18" w14:textId="77777777">
        <w:trPr>
          <w:trHeight w:val="360"/>
        </w:trPr>
        <w:tc>
          <w:tcPr>
            <w:tcW w:w="1860" w:type="dxa"/>
            <w:tcMar>
              <w:top w:w="200" w:type="dxa"/>
              <w:left w:w="0" w:type="dxa"/>
              <w:bottom w:w="200" w:type="dxa"/>
            </w:tcMar>
          </w:tcPr>
          <w:p w14:paraId="06EA3A83" w14:textId="77777777" w:rsidR="006561BA" w:rsidRDefault="005B4ED6">
            <w:pPr>
              <w:pStyle w:val="AnnexNumberedText"/>
              <w:tabs>
                <w:tab w:val="right" w:pos="149"/>
              </w:tabs>
              <w:ind w:left="293" w:hanging="293"/>
            </w:pPr>
            <w:r>
              <w:tab/>
              <w:t>v)</w:t>
            </w:r>
            <w:r>
              <w:tab/>
              <w:t>Midler til lutring av glass</w:t>
            </w:r>
          </w:p>
        </w:tc>
        <w:tc>
          <w:tcPr>
            <w:tcW w:w="3690" w:type="dxa"/>
            <w:tcMar>
              <w:top w:w="200" w:type="dxa"/>
              <w:bottom w:w="200" w:type="dxa"/>
            </w:tcMar>
          </w:tcPr>
          <w:p w14:paraId="62D361AB" w14:textId="77777777" w:rsidR="006561BA" w:rsidRDefault="005B4ED6">
            <w:pPr>
              <w:pStyle w:val="AnnexTableCellLeft"/>
            </w:pPr>
            <w:r>
              <w:t>Arsen og arsenforbindelser skal ikke brukes i produksjonen av glass til LCD-skjermer og dekkglass til skjermer.</w:t>
            </w:r>
          </w:p>
        </w:tc>
        <w:tc>
          <w:tcPr>
            <w:tcW w:w="3690" w:type="dxa"/>
            <w:tcMar>
              <w:top w:w="200" w:type="dxa"/>
              <w:bottom w:w="200" w:type="dxa"/>
              <w:right w:w="0" w:type="dxa"/>
            </w:tcMar>
          </w:tcPr>
          <w:p w14:paraId="6256D228" w14:textId="77777777" w:rsidR="006561BA" w:rsidRDefault="005B4ED6">
            <w:pPr>
              <w:pStyle w:val="AnnexTableCellLeft"/>
            </w:pPr>
            <w:r>
              <w:t>0,0050 vektprosent (w/w)</w:t>
            </w:r>
          </w:p>
        </w:tc>
      </w:tr>
      <w:tr w:rsidR="006561BA" w14:paraId="572D5557" w14:textId="77777777">
        <w:trPr>
          <w:trHeight w:val="360"/>
        </w:trPr>
        <w:tc>
          <w:tcPr>
            <w:tcW w:w="1860" w:type="dxa"/>
            <w:tcMar>
              <w:top w:w="200" w:type="dxa"/>
              <w:left w:w="0" w:type="dxa"/>
              <w:bottom w:w="200" w:type="dxa"/>
            </w:tcMar>
          </w:tcPr>
          <w:p w14:paraId="3E5FF855" w14:textId="77777777" w:rsidR="006561BA" w:rsidRDefault="005B4ED6">
            <w:pPr>
              <w:pStyle w:val="AnnexNumberedText"/>
              <w:tabs>
                <w:tab w:val="right" w:pos="199"/>
              </w:tabs>
              <w:ind w:left="343" w:hanging="343"/>
            </w:pPr>
            <w:r>
              <w:tab/>
              <w:t>vi)</w:t>
            </w:r>
            <w:r>
              <w:tab/>
              <w:t>Klorbasert plast</w:t>
            </w:r>
          </w:p>
        </w:tc>
        <w:tc>
          <w:tcPr>
            <w:tcW w:w="3690" w:type="dxa"/>
            <w:tcMar>
              <w:top w:w="200" w:type="dxa"/>
              <w:bottom w:w="200" w:type="dxa"/>
            </w:tcMar>
          </w:tcPr>
          <w:p w14:paraId="02C6B803" w14:textId="77777777" w:rsidR="006561BA" w:rsidRDefault="005B4ED6">
            <w:pPr>
              <w:pStyle w:val="AnnexTableCellLeft"/>
              <w:spacing w:after="120"/>
            </w:pPr>
            <w:r>
              <w:t xml:space="preserve">Plastdeler &gt; 25 g skal ikke inneholde klorerte </w:t>
            </w:r>
            <w:proofErr w:type="spellStart"/>
            <w:r>
              <w:t>polymerer</w:t>
            </w:r>
            <w:proofErr w:type="spellEnd"/>
            <w:r>
              <w:t>.</w:t>
            </w:r>
          </w:p>
          <w:p w14:paraId="1C8E0A7B" w14:textId="77777777" w:rsidR="006561BA" w:rsidRDefault="005B4ED6">
            <w:pPr>
              <w:pStyle w:val="AnnexTableCellLeft"/>
            </w:pPr>
            <w:r>
              <w:t>Merk: For dette spesifikke delkravet betraktes ikke plastdekket på kabler som en «plastdel».</w:t>
            </w:r>
          </w:p>
        </w:tc>
        <w:tc>
          <w:tcPr>
            <w:tcW w:w="3690" w:type="dxa"/>
            <w:tcMar>
              <w:top w:w="200" w:type="dxa"/>
              <w:bottom w:w="200" w:type="dxa"/>
              <w:right w:w="0" w:type="dxa"/>
            </w:tcMar>
          </w:tcPr>
          <w:p w14:paraId="1034DDCA" w14:textId="77777777" w:rsidR="006561BA" w:rsidRDefault="005B4ED6">
            <w:pPr>
              <w:pStyle w:val="AnnexTableCellLeft"/>
            </w:pPr>
            <w:r>
              <w:t>Ikke relevant</w:t>
            </w:r>
          </w:p>
        </w:tc>
      </w:tr>
      <w:tr w:rsidR="006561BA" w14:paraId="36EE311C" w14:textId="77777777">
        <w:trPr>
          <w:trHeight w:val="360"/>
        </w:trPr>
        <w:tc>
          <w:tcPr>
            <w:tcW w:w="9240" w:type="dxa"/>
            <w:gridSpan w:val="3"/>
            <w:tcMar>
              <w:top w:w="200" w:type="dxa"/>
              <w:left w:w="0" w:type="dxa"/>
              <w:bottom w:w="200" w:type="dxa"/>
              <w:right w:w="0" w:type="dxa"/>
            </w:tcMar>
          </w:tcPr>
          <w:p w14:paraId="012FC4F9" w14:textId="77777777" w:rsidR="006561BA" w:rsidRDefault="005B4ED6">
            <w:pPr>
              <w:pStyle w:val="AnnexNumberedText"/>
              <w:tabs>
                <w:tab w:val="left" w:pos="540"/>
              </w:tabs>
              <w:spacing w:after="160"/>
              <w:ind w:left="0" w:firstLine="0"/>
            </w:pPr>
            <w:r>
              <w:t>2.6.5.</w:t>
            </w:r>
            <w:r>
              <w:tab/>
              <w:t>Produktene inneholder ikke halogen utover de grensene som kan påvises i samsvar med målingen spesifisert i eksisterende standarder for alle komponentene: kabler (EN IEC 60754-3), plastdeler (EN50642), elektroniske komponenter (EN IEC 61249-2-21 eller JS709C), forbruksvarer (EN IEC 61249-2-21 og IPC J-STD-004B).</w:t>
            </w:r>
          </w:p>
          <w:p w14:paraId="20A43A2F" w14:textId="77777777" w:rsidR="006561BA" w:rsidRDefault="005B4ED6">
            <w:pPr>
              <w:pStyle w:val="AnnexNumberedText"/>
              <w:tabs>
                <w:tab w:val="left" w:pos="540"/>
              </w:tabs>
              <w:spacing w:after="160"/>
              <w:ind w:left="0" w:firstLine="0"/>
            </w:pPr>
            <w:r>
              <w:t>2.6.6.</w:t>
            </w:r>
            <w:r>
              <w:tab/>
              <w:t>Produktene inneholder ikke fluorgass.</w:t>
            </w:r>
          </w:p>
          <w:p w14:paraId="5758D99E" w14:textId="77777777" w:rsidR="006561BA" w:rsidRDefault="005B4ED6">
            <w:pPr>
              <w:pStyle w:val="AnnexNumberedText"/>
              <w:tabs>
                <w:tab w:val="left" w:pos="540"/>
              </w:tabs>
              <w:spacing w:after="160"/>
              <w:ind w:left="0" w:firstLine="0"/>
            </w:pPr>
            <w:r>
              <w:t>2.6.7.</w:t>
            </w:r>
            <w:r>
              <w:tab/>
              <w:t xml:space="preserve">Bruk av </w:t>
            </w:r>
            <w:proofErr w:type="spellStart"/>
            <w:r>
              <w:t>tetrabromobisfenol</w:t>
            </w:r>
            <w:proofErr w:type="spellEnd"/>
            <w:r>
              <w:t xml:space="preserve"> A (TBBPA) er bare tillatt som en reaktiv komponent for kretskort.</w:t>
            </w:r>
          </w:p>
          <w:p w14:paraId="06A15EC0" w14:textId="77777777" w:rsidR="006561BA" w:rsidRDefault="005B4ED6">
            <w:pPr>
              <w:pStyle w:val="AnnexNumberedText"/>
              <w:tabs>
                <w:tab w:val="left" w:pos="384"/>
              </w:tabs>
              <w:spacing w:after="160"/>
              <w:ind w:left="0" w:firstLine="0"/>
            </w:pPr>
            <w:r>
              <w:t>2.7.</w:t>
            </w:r>
            <w:r>
              <w:tab/>
              <w:t>Opplysninger til kunder:</w:t>
            </w:r>
          </w:p>
          <w:p w14:paraId="77BCAD89" w14:textId="3D80591B" w:rsidR="006561BA" w:rsidRDefault="005B4ED6">
            <w:pPr>
              <w:pStyle w:val="AnnexNumberedText"/>
              <w:tabs>
                <w:tab w:val="left" w:pos="540"/>
              </w:tabs>
              <w:spacing w:after="160"/>
              <w:ind w:left="0" w:firstLine="0"/>
            </w:pPr>
            <w:r>
              <w:t>2.7.1.</w:t>
            </w:r>
            <w:r>
              <w:tab/>
              <w:t xml:space="preserve">Aktivitetsutøveren gir kundene opplysninger om alternativ bruk av produktet med henblikk på </w:t>
            </w:r>
            <w:r w:rsidR="00E4696E">
              <w:t xml:space="preserve">miljømessige </w:t>
            </w:r>
            <w:r>
              <w:t>fordeler, særlig forlengelse av levetiden til de produktene som er knyttet til produktets ulike tilstander.</w:t>
            </w:r>
          </w:p>
          <w:p w14:paraId="1C5A4D0B" w14:textId="77777777" w:rsidR="006561BA" w:rsidRDefault="005B4ED6">
            <w:pPr>
              <w:pStyle w:val="AnnexNumberedText"/>
              <w:tabs>
                <w:tab w:val="left" w:pos="540"/>
              </w:tabs>
              <w:spacing w:after="160"/>
              <w:ind w:left="0" w:firstLine="0"/>
            </w:pPr>
            <w:r>
              <w:t>2.7.2.</w:t>
            </w:r>
            <w:r>
              <w:tab/>
              <w:t>Aktivitetsutøveren gir kundene opplysninger om gjenkjøps-, gjensalgs- og returalternativer for produktet, opplysninger om separat innsamling av og innsamlingssteder for avfall fra elektrisk og elektronisk utstyr (WEEE), samt opplysninger om ombruksalternativer. For bærbare batterier gis det opplysninger om separat innsamling av og innsamlingssteder for brukte batterier.</w:t>
            </w:r>
          </w:p>
          <w:p w14:paraId="4F4A649B" w14:textId="77777777" w:rsidR="006561BA" w:rsidRDefault="005B4ED6">
            <w:pPr>
              <w:pStyle w:val="AnnexNumberedText"/>
              <w:tabs>
                <w:tab w:val="left" w:pos="540"/>
              </w:tabs>
              <w:spacing w:after="160"/>
              <w:ind w:left="0" w:firstLine="0"/>
            </w:pPr>
            <w:r>
              <w:t>2.7.3.</w:t>
            </w:r>
            <w:r>
              <w:tab/>
              <w:t>For elektrisk og elektronisk utstyr skal aktivitetsutøveren merke produktet på riktig måte med symbolet som angir separat innsamling av avfall fra elektrisk og elektronisk utstyr som angitt i vedlegg IX til direktiv 2012/19/EU. Aktivitetsutøveren gir forbrukeren relevante opplysninger om kostnadene ved innsamling, behandling og sluttbehandling av produktet på en miljømessig forsvarlig måte som fastsatt i artikkel 14 nr. 1 i det nevnte direktivet.</w:t>
            </w:r>
          </w:p>
          <w:p w14:paraId="74025E54" w14:textId="77777777" w:rsidR="006561BA" w:rsidRDefault="005B4ED6">
            <w:pPr>
              <w:pStyle w:val="AnnexNumberedText"/>
              <w:tabs>
                <w:tab w:val="left" w:pos="384"/>
              </w:tabs>
              <w:spacing w:after="160"/>
              <w:ind w:left="0" w:firstLine="0"/>
            </w:pPr>
            <w:r>
              <w:t>2.8.</w:t>
            </w:r>
            <w:r>
              <w:tab/>
              <w:t xml:space="preserve"> Produsentansvar:</w:t>
            </w:r>
          </w:p>
          <w:p w14:paraId="19E9BC6C" w14:textId="77777777" w:rsidR="006561BA" w:rsidRDefault="005B4ED6">
            <w:pPr>
              <w:pStyle w:val="AnnexNumberedText"/>
              <w:tabs>
                <w:tab w:val="left" w:pos="540"/>
              </w:tabs>
              <w:spacing w:after="0"/>
              <w:ind w:left="0" w:firstLine="0"/>
            </w:pPr>
            <w:r>
              <w:t>2.8.1.</w:t>
            </w:r>
            <w:r>
              <w:tab/>
              <w:t>Når aktivitetsutøveren bringer elektrisk og elektronisk utstyr i omsetning i medlemsstatene, etablerer denne en individuell ordning for utvidet produsentansvar eller deltar i ordninger for kollektivt utvidet produsentansvar i alle medlemsstatene der produktet bringes i omsetning, i samsvar med direktiv 2012/19/EU. De økonomiske bidragene til de kollektive ordningene er basert på økomodulering og dekker kostnadene ved separat innsamling og behandling av avfall fra elektrisk og elektronisk utstyr (WEEE).</w:t>
            </w:r>
          </w:p>
        </w:tc>
      </w:tr>
      <w:tr w:rsidR="006561BA" w14:paraId="7FEAD445" w14:textId="77777777">
        <w:trPr>
          <w:trHeight w:val="360"/>
        </w:trPr>
        <w:tc>
          <w:tcPr>
            <w:tcW w:w="9240" w:type="dxa"/>
            <w:gridSpan w:val="3"/>
            <w:tcMar>
              <w:top w:w="200" w:type="dxa"/>
              <w:left w:w="0" w:type="dxa"/>
              <w:bottom w:w="200" w:type="dxa"/>
              <w:right w:w="0" w:type="dxa"/>
            </w:tcMar>
          </w:tcPr>
          <w:p w14:paraId="6ADEC9A6" w14:textId="17E3F7C4" w:rsidR="006561BA" w:rsidRDefault="005B4ED6">
            <w:pPr>
              <w:pStyle w:val="AnnexNumberedText"/>
              <w:pageBreakBefore/>
              <w:tabs>
                <w:tab w:val="left" w:pos="540"/>
              </w:tabs>
              <w:spacing w:after="0"/>
              <w:ind w:left="0" w:firstLine="0"/>
            </w:pPr>
            <w:r>
              <w:lastRenderedPageBreak/>
              <w:t>2.8.2.</w:t>
            </w:r>
            <w:r>
              <w:tab/>
              <w:t xml:space="preserve">For bærbare batterier skal produsenten innføre retur- og innsamlingssystemer for </w:t>
            </w:r>
            <w:r w:rsidR="0070387E">
              <w:t>uttjent</w:t>
            </w:r>
            <w:r>
              <w:t>e bærbare batterier, som omfatter innsamlingssteder, i alle de medlemsstatene der produktet bringes i omsetning.</w:t>
            </w:r>
          </w:p>
        </w:tc>
      </w:tr>
      <w:tr w:rsidR="006561BA" w14:paraId="63717709" w14:textId="77777777">
        <w:trPr>
          <w:trHeight w:val="240"/>
        </w:trPr>
        <w:tc>
          <w:tcPr>
            <w:tcW w:w="9240" w:type="dxa"/>
            <w:gridSpan w:val="3"/>
            <w:tcMar>
              <w:top w:w="200" w:type="dxa"/>
              <w:left w:w="0" w:type="dxa"/>
              <w:bottom w:w="200" w:type="dxa"/>
              <w:right w:w="0" w:type="dxa"/>
            </w:tcMar>
          </w:tcPr>
          <w:p w14:paraId="6EDE5BB7" w14:textId="77777777" w:rsidR="006561BA" w:rsidRDefault="005B4ED6">
            <w:pPr>
              <w:pStyle w:val="AnnexTableCellLeft"/>
            </w:pPr>
            <w:r>
              <w:t>Prinsippet om ikke å gjøre betydelig skade («DNSH»)</w:t>
            </w:r>
          </w:p>
        </w:tc>
      </w:tr>
      <w:tr w:rsidR="006561BA" w14:paraId="1675D8E6" w14:textId="77777777">
        <w:trPr>
          <w:trHeight w:val="360"/>
        </w:trPr>
        <w:tc>
          <w:tcPr>
            <w:tcW w:w="1860" w:type="dxa"/>
            <w:tcMar>
              <w:top w:w="200" w:type="dxa"/>
              <w:left w:w="0" w:type="dxa"/>
              <w:bottom w:w="200" w:type="dxa"/>
            </w:tcMar>
          </w:tcPr>
          <w:p w14:paraId="12F08258" w14:textId="77777777" w:rsidR="006561BA" w:rsidRDefault="005B4ED6">
            <w:pPr>
              <w:pStyle w:val="AnnexNumberedText"/>
              <w:ind w:left="293" w:hanging="293"/>
            </w:pPr>
            <w:r>
              <w:t>1)</w:t>
            </w:r>
            <w:r>
              <w:tab/>
              <w:t>Begrensning av klimaendringer</w:t>
            </w:r>
          </w:p>
        </w:tc>
        <w:tc>
          <w:tcPr>
            <w:tcW w:w="7380" w:type="dxa"/>
            <w:gridSpan w:val="2"/>
            <w:tcMar>
              <w:top w:w="200" w:type="dxa"/>
              <w:bottom w:w="200" w:type="dxa"/>
              <w:right w:w="0" w:type="dxa"/>
            </w:tcMar>
          </w:tcPr>
          <w:p w14:paraId="2FC516ED" w14:textId="77777777" w:rsidR="006561BA" w:rsidRDefault="005B4ED6">
            <w:pPr>
              <w:pStyle w:val="AnnexTableCellLeft"/>
              <w:spacing w:after="120"/>
            </w:pPr>
            <w:r>
              <w:t>Dersom det framstilte produktet inneholder kjølemidler, er det i samsvar med GWP-prestasjonen (globalt oppvarmingspotensial, GWP) fastsatt i europaparlaments- og rådsforordning (EU) nr. 517/2014(</w:t>
            </w:r>
            <w:bookmarkStart w:id="99" w:name="NOTE_100"/>
            <w:r>
              <w:rPr>
                <w:rStyle w:val="FootnoteReference"/>
                <w:sz w:val="18"/>
              </w:rPr>
              <w:footnoteReference w:id="101"/>
            </w:r>
            <w:bookmarkEnd w:id="99"/>
            <w:r>
              <w:t>). Aktiviteten innebærer ikke framstilling av produkter som inneholder svovelheksafluorid (SF6).</w:t>
            </w:r>
          </w:p>
          <w:p w14:paraId="370D5B57" w14:textId="77777777" w:rsidR="006561BA" w:rsidRDefault="005B4ED6">
            <w:pPr>
              <w:pStyle w:val="AnnexTableCellLeft"/>
            </w:pPr>
            <w:r>
              <w:t>Når det er relevant, skal ikke det framstilte produktet plasseres lavere enn den tredje best utnyttede energieffektivitetsklassen(</w:t>
            </w:r>
            <w:bookmarkStart w:id="100" w:name="NOTE_101"/>
            <w:r>
              <w:rPr>
                <w:rStyle w:val="FootnoteReference"/>
                <w:sz w:val="18"/>
              </w:rPr>
              <w:footnoteReference w:id="102"/>
            </w:r>
            <w:bookmarkEnd w:id="100"/>
            <w:r>
              <w:t>) i samsvar med europaparlaments- og rådsforordning (EU) 2017/1369(</w:t>
            </w:r>
            <w:bookmarkStart w:id="101" w:name="NOTE_102"/>
            <w:r>
              <w:rPr>
                <w:rStyle w:val="FootnoteReference"/>
                <w:sz w:val="18"/>
              </w:rPr>
              <w:footnoteReference w:id="103"/>
            </w:r>
            <w:bookmarkEnd w:id="101"/>
            <w:r>
              <w:t>) og delegerte rettsakter vedtatt i henhold til den nevnte forordningen.</w:t>
            </w:r>
          </w:p>
        </w:tc>
      </w:tr>
      <w:tr w:rsidR="006561BA" w14:paraId="333332AF" w14:textId="77777777">
        <w:trPr>
          <w:trHeight w:val="360"/>
        </w:trPr>
        <w:tc>
          <w:tcPr>
            <w:tcW w:w="1860" w:type="dxa"/>
            <w:tcMar>
              <w:top w:w="200" w:type="dxa"/>
              <w:left w:w="0" w:type="dxa"/>
              <w:bottom w:w="200" w:type="dxa"/>
            </w:tcMar>
          </w:tcPr>
          <w:p w14:paraId="420E9D30" w14:textId="77777777" w:rsidR="006561BA" w:rsidRDefault="005B4ED6">
            <w:pPr>
              <w:pStyle w:val="AnnexNumberedText"/>
              <w:ind w:left="293" w:hanging="293"/>
            </w:pPr>
            <w:r>
              <w:t>2)</w:t>
            </w:r>
            <w:r>
              <w:tab/>
              <w:t>Tilpasning til klimaendringer</w:t>
            </w:r>
          </w:p>
        </w:tc>
        <w:tc>
          <w:tcPr>
            <w:tcW w:w="7380" w:type="dxa"/>
            <w:gridSpan w:val="2"/>
            <w:tcMar>
              <w:top w:w="200" w:type="dxa"/>
              <w:bottom w:w="200" w:type="dxa"/>
              <w:right w:w="0" w:type="dxa"/>
            </w:tcMar>
          </w:tcPr>
          <w:p w14:paraId="45B105AA" w14:textId="77777777" w:rsidR="006561BA" w:rsidRDefault="005B4ED6">
            <w:pPr>
              <w:pStyle w:val="AnnexTableCellLeft"/>
            </w:pPr>
            <w:r>
              <w:t>Aktiviteten oppfyller kriteriene fastsatt i tillegg A til dette vedlegget.</w:t>
            </w:r>
          </w:p>
        </w:tc>
      </w:tr>
      <w:tr w:rsidR="006561BA" w14:paraId="0CEA60B6" w14:textId="77777777">
        <w:trPr>
          <w:trHeight w:val="360"/>
        </w:trPr>
        <w:tc>
          <w:tcPr>
            <w:tcW w:w="1860" w:type="dxa"/>
            <w:tcMar>
              <w:top w:w="200" w:type="dxa"/>
              <w:left w:w="0" w:type="dxa"/>
              <w:bottom w:w="200" w:type="dxa"/>
            </w:tcMar>
          </w:tcPr>
          <w:p w14:paraId="4E2C3AF1" w14:textId="77777777" w:rsidR="006561BA" w:rsidRDefault="005B4ED6">
            <w:pPr>
              <w:pStyle w:val="AnnexNumberedText"/>
              <w:ind w:left="293" w:hanging="293"/>
            </w:pPr>
            <w:r>
              <w:t>3)</w:t>
            </w:r>
            <w:r>
              <w:tab/>
              <w:t>Bærekraftig bruk og beskyttelse av vann- og havressurser</w:t>
            </w:r>
          </w:p>
        </w:tc>
        <w:tc>
          <w:tcPr>
            <w:tcW w:w="7380" w:type="dxa"/>
            <w:gridSpan w:val="2"/>
            <w:tcMar>
              <w:top w:w="200" w:type="dxa"/>
              <w:bottom w:w="200" w:type="dxa"/>
              <w:right w:w="0" w:type="dxa"/>
            </w:tcMar>
          </w:tcPr>
          <w:p w14:paraId="11DE0173" w14:textId="77777777" w:rsidR="006561BA" w:rsidRDefault="005B4ED6">
            <w:pPr>
              <w:pStyle w:val="AnnexTableCellLeft"/>
            </w:pPr>
            <w:r>
              <w:t>Aktiviteten oppfyller kriteriene fastsatt i tillegg B til dette vedlegget.</w:t>
            </w:r>
          </w:p>
        </w:tc>
      </w:tr>
      <w:tr w:rsidR="006561BA" w14:paraId="42706280" w14:textId="77777777">
        <w:trPr>
          <w:trHeight w:val="360"/>
        </w:trPr>
        <w:tc>
          <w:tcPr>
            <w:tcW w:w="1860" w:type="dxa"/>
            <w:tcMar>
              <w:top w:w="200" w:type="dxa"/>
              <w:left w:w="0" w:type="dxa"/>
              <w:bottom w:w="200" w:type="dxa"/>
            </w:tcMar>
          </w:tcPr>
          <w:p w14:paraId="168CE7FB" w14:textId="77777777" w:rsidR="006561BA" w:rsidRDefault="005B4ED6">
            <w:pPr>
              <w:pStyle w:val="AnnexNumberedText"/>
              <w:ind w:left="293" w:hanging="293"/>
            </w:pPr>
            <w:r>
              <w:t>5)</w:t>
            </w:r>
            <w:r>
              <w:tab/>
              <w:t>Forebygging og begrensning av forurensning</w:t>
            </w:r>
          </w:p>
        </w:tc>
        <w:tc>
          <w:tcPr>
            <w:tcW w:w="7380" w:type="dxa"/>
            <w:gridSpan w:val="2"/>
            <w:tcMar>
              <w:top w:w="200" w:type="dxa"/>
              <w:bottom w:w="200" w:type="dxa"/>
              <w:right w:w="0" w:type="dxa"/>
            </w:tcMar>
          </w:tcPr>
          <w:p w14:paraId="36AC5510" w14:textId="77777777" w:rsidR="006561BA" w:rsidRDefault="005B4ED6">
            <w:pPr>
              <w:pStyle w:val="AnnexTableCellLeft"/>
              <w:spacing w:after="120"/>
            </w:pPr>
            <w:r>
              <w:t>Aktiviteten oppfyller kriteriene fastsatt i tillegg C til dette vedlegget.</w:t>
            </w:r>
          </w:p>
          <w:p w14:paraId="0C48083A" w14:textId="77777777" w:rsidR="006561BA" w:rsidRDefault="005B4ED6">
            <w:pPr>
              <w:pStyle w:val="AnnexTableCellLeft"/>
            </w:pPr>
            <w:r>
              <w:t>Med henblikk på produksjon av bærbare batterier overholder batteriene de gjeldende bærekraftreglene for å bringe batterier i omsetning i Unionen, herunder begrensninger for bruk av farlige stoffer i batterier, herunder forordning (EF) nr. 1907/2006 og europaparlaments- og rådsdirektiv 2006/66/EF(</w:t>
            </w:r>
            <w:bookmarkStart w:id="102" w:name="NOTE_103"/>
            <w:r>
              <w:rPr>
                <w:rStyle w:val="FootnoteReference"/>
                <w:sz w:val="18"/>
              </w:rPr>
              <w:footnoteReference w:id="104"/>
            </w:r>
            <w:bookmarkEnd w:id="102"/>
            <w:r>
              <w:t>).</w:t>
            </w:r>
          </w:p>
        </w:tc>
      </w:tr>
      <w:tr w:rsidR="006561BA" w14:paraId="4BE7E5E5" w14:textId="77777777">
        <w:trPr>
          <w:trHeight w:val="360"/>
        </w:trPr>
        <w:tc>
          <w:tcPr>
            <w:tcW w:w="1860" w:type="dxa"/>
            <w:tcMar>
              <w:top w:w="200" w:type="dxa"/>
              <w:left w:w="0" w:type="dxa"/>
              <w:bottom w:w="200" w:type="dxa"/>
            </w:tcMar>
          </w:tcPr>
          <w:p w14:paraId="6C7FA2A3" w14:textId="77777777" w:rsidR="006561BA" w:rsidRDefault="005B4ED6">
            <w:pPr>
              <w:pStyle w:val="AnnexNumberedText"/>
              <w:ind w:left="293" w:hanging="293"/>
            </w:pPr>
            <w:r>
              <w:t>6)</w:t>
            </w:r>
            <w:r>
              <w:tab/>
              <w:t>Beskyttelse og restaurering av biologisk mangfold og økosystemer</w:t>
            </w:r>
          </w:p>
        </w:tc>
        <w:tc>
          <w:tcPr>
            <w:tcW w:w="7380" w:type="dxa"/>
            <w:gridSpan w:val="2"/>
            <w:tcMar>
              <w:top w:w="200" w:type="dxa"/>
              <w:bottom w:w="200" w:type="dxa"/>
              <w:right w:w="0" w:type="dxa"/>
            </w:tcMar>
          </w:tcPr>
          <w:p w14:paraId="778F34C2" w14:textId="77777777" w:rsidR="006561BA" w:rsidRDefault="005B4ED6">
            <w:pPr>
              <w:pStyle w:val="AnnexTableCellLeft"/>
            </w:pPr>
            <w:r>
              <w:t>Aktiviteten oppfyller kriteriene fastsatt i tillegg D til dette vedlegget.</w:t>
            </w:r>
          </w:p>
        </w:tc>
      </w:tr>
    </w:tbl>
    <w:p w14:paraId="1A6B5FEE" w14:textId="77777777" w:rsidR="006561BA" w:rsidRDefault="005B4ED6">
      <w:pPr>
        <w:shd w:val="clear" w:color="auto" w:fill="auto"/>
        <w:spacing w:line="0" w:lineRule="auto"/>
        <w:jc w:val="left"/>
        <w:rPr>
          <w:color w:val="auto"/>
          <w14:ligatures w14:val="standard"/>
        </w:rPr>
      </w:pPr>
      <w:r>
        <w:br w:type="page"/>
      </w:r>
    </w:p>
    <w:p w14:paraId="244BE9DB" w14:textId="143F1072" w:rsidR="006561BA" w:rsidRDefault="005B4ED6">
      <w:pPr>
        <w:pStyle w:val="AnnexNumberedText"/>
        <w:ind w:left="414" w:hanging="414"/>
      </w:pPr>
      <w:r>
        <w:lastRenderedPageBreak/>
        <w:t>2.</w:t>
      </w:r>
      <w:r>
        <w:rPr>
          <w:b/>
          <w:i/>
        </w:rPr>
        <w:tab/>
        <w:t xml:space="preserve">Vannforsyning, </w:t>
      </w:r>
      <w:r w:rsidR="004B4D3F" w:rsidRPr="004B4D3F">
        <w:rPr>
          <w:b/>
          <w:i/>
        </w:rPr>
        <w:t>rensing av avløpsvann</w:t>
      </w:r>
      <w:r>
        <w:rPr>
          <w:b/>
          <w:i/>
        </w:rPr>
        <w:t>, avfallshåndtering og oppryddingsaktiviteter</w:t>
      </w:r>
    </w:p>
    <w:p w14:paraId="0F573979" w14:textId="77777777" w:rsidR="006561BA" w:rsidRDefault="005B4ED6">
      <w:pPr>
        <w:pStyle w:val="AnnexNumberedText"/>
        <w:spacing w:after="500"/>
        <w:ind w:left="414" w:hanging="414"/>
      </w:pPr>
      <w:r>
        <w:t>2.1.</w:t>
      </w:r>
      <w:r>
        <w:rPr>
          <w:b/>
        </w:rPr>
        <w:tab/>
        <w:t>Gjenvinning av fosfor fra spillvann</w:t>
      </w:r>
    </w:p>
    <w:p w14:paraId="2044924D" w14:textId="77777777" w:rsidR="006561BA" w:rsidRDefault="005B4ED6">
      <w:pPr>
        <w:pStyle w:val="AnnexGrSeq3"/>
        <w:jc w:val="both"/>
      </w:pPr>
      <w:r>
        <w:rPr>
          <w:i/>
        </w:rPr>
        <w:t>Beskrivelse av aktiviteten</w:t>
      </w:r>
    </w:p>
    <w:p w14:paraId="01AD686C" w14:textId="57D9C87F" w:rsidR="006561BA" w:rsidRDefault="005B4ED6">
      <w:pPr>
        <w:pStyle w:val="AnnexNormal"/>
      </w:pPr>
      <w:r>
        <w:t>Bygging, oppgradering, drift og fornyelse av anlegg for gjenvinning av fosfor fra renseanlegg for avløpsvann fra byområder (vannfase og slam) og fra materialer (det vil si aske) etter termisk oksid</w:t>
      </w:r>
      <w:r w:rsidR="00831BBF">
        <w:t>asjon</w:t>
      </w:r>
      <w:r>
        <w:t xml:space="preserve"> (det vil si forbrenning) av slam fra renseanlegg.</w:t>
      </w:r>
    </w:p>
    <w:p w14:paraId="748B9F8B" w14:textId="77777777" w:rsidR="006561BA" w:rsidRDefault="005B4ED6">
      <w:pPr>
        <w:pStyle w:val="AnnexNormal"/>
      </w:pPr>
      <w:r>
        <w:t>Den økonomiske aktiviteten omfatter bare de anleggene og prosessene som gjør det mulig å gjenvinne fosfor, ikke de foregående trinnene, som for eksempel anlegg for behandling av avløpsvann eller forbrenningsanlegg.</w:t>
      </w:r>
    </w:p>
    <w:p w14:paraId="2B748D10" w14:textId="5DE5C44E" w:rsidR="006561BA" w:rsidRDefault="005B4ED6">
      <w:pPr>
        <w:pStyle w:val="AnnexNormal"/>
        <w:spacing w:after="400"/>
      </w:pPr>
      <w:r>
        <w:t>De økonomiske aktivitetene i denne kategorien kan knyttes til flere NACE-koder, særlig E37.00, E38.32 og F42.99</w:t>
      </w:r>
      <w:r w:rsidR="009B6158">
        <w:t>,</w:t>
      </w:r>
      <w:r>
        <w:t xml:space="preserve"> i samsvar med standarden for næringsgruppering fastsatt ved forordning (EF) nr. 1893/2006.</w:t>
      </w:r>
    </w:p>
    <w:p w14:paraId="31546911" w14:textId="77777777" w:rsidR="006561BA" w:rsidRDefault="005B4ED6">
      <w:pPr>
        <w:pStyle w:val="AnnexGrSeq3"/>
        <w:jc w:val="both"/>
      </w:pPr>
      <w:r>
        <w:rPr>
          <w:i/>
        </w:rPr>
        <w:t>Tekniske screeningkriterier</w:t>
      </w:r>
    </w:p>
    <w:tbl>
      <w:tblPr>
        <w:tblStyle w:val="EFTATable"/>
        <w:tblW w:w="9228" w:type="dxa"/>
        <w:tblInd w:w="12" w:type="dxa"/>
        <w:tblLayout w:type="fixed"/>
        <w:tblLook w:val="04A0" w:firstRow="1" w:lastRow="0" w:firstColumn="1" w:lastColumn="0" w:noHBand="0" w:noVBand="1"/>
      </w:tblPr>
      <w:tblGrid>
        <w:gridCol w:w="2568"/>
        <w:gridCol w:w="6660"/>
      </w:tblGrid>
      <w:tr w:rsidR="006561BA" w14:paraId="1C9D89BD" w14:textId="77777777">
        <w:tc>
          <w:tcPr>
            <w:tcW w:w="9228" w:type="dxa"/>
            <w:gridSpan w:val="2"/>
            <w:tcMar>
              <w:top w:w="200" w:type="dxa"/>
              <w:left w:w="0" w:type="dxa"/>
              <w:bottom w:w="200" w:type="dxa"/>
              <w:right w:w="0" w:type="dxa"/>
            </w:tcMar>
          </w:tcPr>
          <w:p w14:paraId="0E4F8B3E" w14:textId="77777777" w:rsidR="006561BA" w:rsidRDefault="005B4ED6">
            <w:pPr>
              <w:pStyle w:val="AnnexTableCellLeft"/>
            </w:pPr>
            <w:r>
              <w:t>Vesentlig bidrag til omstilling til en sirkulær økonomi</w:t>
            </w:r>
          </w:p>
        </w:tc>
      </w:tr>
      <w:tr w:rsidR="006561BA" w14:paraId="6101606D" w14:textId="77777777">
        <w:tc>
          <w:tcPr>
            <w:tcW w:w="9228" w:type="dxa"/>
            <w:gridSpan w:val="2"/>
            <w:tcMar>
              <w:top w:w="200" w:type="dxa"/>
              <w:left w:w="0" w:type="dxa"/>
              <w:bottom w:w="200" w:type="dxa"/>
              <w:right w:w="0" w:type="dxa"/>
            </w:tcMar>
          </w:tcPr>
          <w:p w14:paraId="62B9E4AF" w14:textId="77777777" w:rsidR="006561BA" w:rsidRDefault="005B4ED6">
            <w:pPr>
              <w:pStyle w:val="AnnexNumberedText"/>
              <w:ind w:left="279" w:hanging="279"/>
            </w:pPr>
            <w:r>
              <w:t>1.</w:t>
            </w:r>
            <w:r>
              <w:tab/>
              <w:t xml:space="preserve">For den prosessen som er integrert i renseanlegget, og som vanligvis omfatter fosforholdige salter som </w:t>
            </w:r>
            <w:proofErr w:type="spellStart"/>
            <w:r>
              <w:t>struvitt</w:t>
            </w:r>
            <w:proofErr w:type="spellEnd"/>
            <w:r>
              <w:t xml:space="preserve"> (magnesiumammoniumfosfat) (NH</w:t>
            </w:r>
            <w:r>
              <w:rPr>
                <w:vertAlign w:val="subscript"/>
              </w:rPr>
              <w:t>4</w:t>
            </w:r>
            <w:r>
              <w:t>MgPO</w:t>
            </w:r>
            <w:r>
              <w:rPr>
                <w:vertAlign w:val="subscript"/>
              </w:rPr>
              <w:t>4</w:t>
            </w:r>
            <w:r>
              <w:t>•6H</w:t>
            </w:r>
            <w:r>
              <w:rPr>
                <w:vertAlign w:val="subscript"/>
              </w:rPr>
              <w:t>2</w:t>
            </w:r>
            <w:r>
              <w:t xml:space="preserve">O), gjenvinnes minst 15 % av den tilførte fosforbelastningen i gjenvinningsprosessen. Bare det oppsamlede materialet, som for eksempel </w:t>
            </w:r>
            <w:proofErr w:type="spellStart"/>
            <w:r>
              <w:t>struvitt</w:t>
            </w:r>
            <w:proofErr w:type="spellEnd"/>
            <w:r>
              <w:t>, medregnes ved beregningen av denne terskelverdien.</w:t>
            </w:r>
          </w:p>
          <w:p w14:paraId="1087034A" w14:textId="77777777" w:rsidR="006561BA" w:rsidRDefault="005B4ED6">
            <w:pPr>
              <w:pStyle w:val="AnnexNumberedText"/>
              <w:ind w:left="279" w:hanging="279"/>
            </w:pPr>
            <w:r>
              <w:t>2.</w:t>
            </w:r>
            <w:r>
              <w:tab/>
              <w:t>For gjenvinning i senere ledd etter termisk oksidasjon av avløpsslam med kjemisk fosforgjenvinning eller etter termisk oksidasjon av avløpsslam med termisk kjemisk fosforgjenvinning, gjenvinner prosessen minst 80 % av den tilførte fosforbelastningen fra det respektive innsatsmaterialet, som for eksempel aske av avløpsvann.</w:t>
            </w:r>
          </w:p>
          <w:p w14:paraId="2695EF13" w14:textId="77777777" w:rsidR="006561BA" w:rsidRDefault="005B4ED6">
            <w:pPr>
              <w:pStyle w:val="AnnexNumberedText"/>
              <w:spacing w:after="0"/>
              <w:ind w:left="279" w:hanging="279"/>
            </w:pPr>
            <w:r>
              <w:t>3.</w:t>
            </w:r>
            <w:r>
              <w:tab/>
              <w:t>Den fosforen som utvinnes av systemet, brukes enten som komponentmateriale i en gjødselvare i samsvar med europaparlaments- og rådsforordning (EU) 2019/1009(</w:t>
            </w:r>
            <w:bookmarkStart w:id="103" w:name="NOTE_104"/>
            <w:r>
              <w:rPr>
                <w:rStyle w:val="FootnoteReference"/>
                <w:sz w:val="18"/>
              </w:rPr>
              <w:footnoteReference w:id="105"/>
            </w:r>
            <w:bookmarkEnd w:id="103"/>
            <w:r>
              <w:t>) eller nasjonal gjødsellovgivning, dersom den er strengere, eller på et annet bruksområde der gjenvunnet fosfor oppfyller bestemte funksjoner i samsvar med de respektive forordningene.</w:t>
            </w:r>
          </w:p>
        </w:tc>
      </w:tr>
      <w:tr w:rsidR="006561BA" w14:paraId="198BD782" w14:textId="77777777">
        <w:tc>
          <w:tcPr>
            <w:tcW w:w="9228" w:type="dxa"/>
            <w:gridSpan w:val="2"/>
            <w:tcMar>
              <w:top w:w="200" w:type="dxa"/>
              <w:left w:w="0" w:type="dxa"/>
              <w:bottom w:w="200" w:type="dxa"/>
              <w:right w:w="0" w:type="dxa"/>
            </w:tcMar>
          </w:tcPr>
          <w:p w14:paraId="0CDD1C1A" w14:textId="77777777" w:rsidR="006561BA" w:rsidRDefault="005B4ED6">
            <w:pPr>
              <w:pStyle w:val="AnnexTableCellLeft"/>
            </w:pPr>
            <w:r>
              <w:t>Prinsippet om ikke å gjøre betydelig skade («DNSH»)</w:t>
            </w:r>
          </w:p>
        </w:tc>
      </w:tr>
      <w:tr w:rsidR="006561BA" w14:paraId="18322680" w14:textId="77777777">
        <w:tc>
          <w:tcPr>
            <w:tcW w:w="2568" w:type="dxa"/>
            <w:tcMar>
              <w:top w:w="200" w:type="dxa"/>
              <w:left w:w="0" w:type="dxa"/>
              <w:bottom w:w="200" w:type="dxa"/>
            </w:tcMar>
          </w:tcPr>
          <w:p w14:paraId="24D74356" w14:textId="77777777" w:rsidR="006561BA" w:rsidRDefault="005B4ED6">
            <w:pPr>
              <w:pStyle w:val="AnnexNumberedText"/>
              <w:spacing w:after="0"/>
              <w:ind w:left="293" w:hanging="293"/>
            </w:pPr>
            <w:r>
              <w:t>1)</w:t>
            </w:r>
            <w:r>
              <w:tab/>
              <w:t>Begrensning av klimaendringer</w:t>
            </w:r>
          </w:p>
        </w:tc>
        <w:tc>
          <w:tcPr>
            <w:tcW w:w="6660" w:type="dxa"/>
            <w:tcMar>
              <w:top w:w="200" w:type="dxa"/>
              <w:bottom w:w="200" w:type="dxa"/>
              <w:right w:w="0" w:type="dxa"/>
            </w:tcMar>
          </w:tcPr>
          <w:p w14:paraId="713EFB0D" w14:textId="77777777" w:rsidR="006561BA" w:rsidRDefault="005B4ED6">
            <w:pPr>
              <w:pStyle w:val="AnnexTableCellLeft"/>
            </w:pPr>
            <w:r>
              <w:t>Ikke relevant</w:t>
            </w:r>
          </w:p>
        </w:tc>
      </w:tr>
      <w:tr w:rsidR="006561BA" w14:paraId="552F2999" w14:textId="77777777">
        <w:tc>
          <w:tcPr>
            <w:tcW w:w="2568" w:type="dxa"/>
            <w:tcMar>
              <w:top w:w="200" w:type="dxa"/>
              <w:left w:w="0" w:type="dxa"/>
              <w:bottom w:w="200" w:type="dxa"/>
            </w:tcMar>
          </w:tcPr>
          <w:p w14:paraId="56FBAAE1" w14:textId="77777777" w:rsidR="006561BA" w:rsidRDefault="005B4ED6">
            <w:pPr>
              <w:pStyle w:val="AnnexNumberedText"/>
              <w:spacing w:after="0"/>
              <w:ind w:left="293" w:hanging="293"/>
            </w:pPr>
            <w:r>
              <w:t>2)</w:t>
            </w:r>
            <w:r>
              <w:tab/>
              <w:t>Tilpasning til klimaendringer</w:t>
            </w:r>
          </w:p>
        </w:tc>
        <w:tc>
          <w:tcPr>
            <w:tcW w:w="6660" w:type="dxa"/>
            <w:tcMar>
              <w:top w:w="200" w:type="dxa"/>
              <w:bottom w:w="200" w:type="dxa"/>
              <w:right w:w="0" w:type="dxa"/>
            </w:tcMar>
          </w:tcPr>
          <w:p w14:paraId="0FD7644A" w14:textId="77777777" w:rsidR="006561BA" w:rsidRDefault="005B4ED6">
            <w:pPr>
              <w:pStyle w:val="AnnexTableCellLeft"/>
            </w:pPr>
            <w:r>
              <w:t>Aktiviteten oppfyller kriteriene fastsatt i tillegg A til dette vedlegget.</w:t>
            </w:r>
          </w:p>
        </w:tc>
      </w:tr>
      <w:tr w:rsidR="006561BA" w14:paraId="145BB1D1" w14:textId="77777777">
        <w:tc>
          <w:tcPr>
            <w:tcW w:w="2568" w:type="dxa"/>
            <w:tcMar>
              <w:top w:w="200" w:type="dxa"/>
              <w:left w:w="0" w:type="dxa"/>
              <w:bottom w:w="200" w:type="dxa"/>
            </w:tcMar>
          </w:tcPr>
          <w:p w14:paraId="0D5BADB3" w14:textId="77777777" w:rsidR="006561BA" w:rsidRDefault="005B4ED6">
            <w:pPr>
              <w:pStyle w:val="AnnexNumberedText"/>
              <w:spacing w:after="0"/>
              <w:ind w:left="293" w:hanging="293"/>
            </w:pPr>
            <w:r>
              <w:t>3)</w:t>
            </w:r>
            <w:r>
              <w:tab/>
              <w:t>Bærekraftig bruk og beskyttelse av vann- og havressurser</w:t>
            </w:r>
          </w:p>
        </w:tc>
        <w:tc>
          <w:tcPr>
            <w:tcW w:w="6660" w:type="dxa"/>
            <w:tcMar>
              <w:top w:w="200" w:type="dxa"/>
              <w:bottom w:w="200" w:type="dxa"/>
              <w:right w:w="0" w:type="dxa"/>
            </w:tcMar>
          </w:tcPr>
          <w:p w14:paraId="11235AB6" w14:textId="77777777" w:rsidR="006561BA" w:rsidRDefault="005B4ED6">
            <w:pPr>
              <w:pStyle w:val="AnnexTableCellLeft"/>
            </w:pPr>
            <w:r>
              <w:t>Aktiviteten oppfyller kriteriene fastsatt i tillegg B til dette vedlegget.</w:t>
            </w:r>
          </w:p>
        </w:tc>
      </w:tr>
      <w:tr w:rsidR="006561BA" w14:paraId="7A0C5665" w14:textId="77777777">
        <w:tc>
          <w:tcPr>
            <w:tcW w:w="2568" w:type="dxa"/>
            <w:tcMar>
              <w:top w:w="200" w:type="dxa"/>
              <w:left w:w="0" w:type="dxa"/>
              <w:bottom w:w="200" w:type="dxa"/>
            </w:tcMar>
          </w:tcPr>
          <w:p w14:paraId="1CC14D29" w14:textId="77777777" w:rsidR="006561BA" w:rsidRDefault="005B4ED6">
            <w:pPr>
              <w:pStyle w:val="AnnexNumberedText"/>
              <w:spacing w:after="0"/>
              <w:ind w:left="293" w:hanging="293"/>
            </w:pPr>
            <w:r>
              <w:t>5)</w:t>
            </w:r>
            <w:r>
              <w:tab/>
              <w:t>Forebygging og begrensning av forurensning</w:t>
            </w:r>
          </w:p>
        </w:tc>
        <w:tc>
          <w:tcPr>
            <w:tcW w:w="6660" w:type="dxa"/>
            <w:tcMar>
              <w:top w:w="200" w:type="dxa"/>
              <w:bottom w:w="200" w:type="dxa"/>
              <w:right w:w="0" w:type="dxa"/>
            </w:tcMar>
          </w:tcPr>
          <w:p w14:paraId="3EB9D425" w14:textId="77777777" w:rsidR="006561BA" w:rsidRDefault="005B4ED6">
            <w:pPr>
              <w:pStyle w:val="AnnexTableCellLeft"/>
            </w:pPr>
            <w:r>
              <w:t xml:space="preserve">Viktige </w:t>
            </w:r>
            <w:proofErr w:type="spellStart"/>
            <w:r>
              <w:t>prestasjonsparametrer</w:t>
            </w:r>
            <w:proofErr w:type="spellEnd"/>
            <w:r>
              <w:t xml:space="preserve">, herunder en materialbalanse for </w:t>
            </w:r>
            <w:proofErr w:type="spellStart"/>
            <w:r>
              <w:t>fosforpentoksid</w:t>
            </w:r>
            <w:proofErr w:type="spellEnd"/>
            <w:r>
              <w:t xml:space="preserve"> (P</w:t>
            </w:r>
            <w:r>
              <w:rPr>
                <w:vertAlign w:val="subscript"/>
              </w:rPr>
              <w:t>2</w:t>
            </w:r>
            <w:r>
              <w:t>O</w:t>
            </w:r>
            <w:r>
              <w:rPr>
                <w:vertAlign w:val="subscript"/>
              </w:rPr>
              <w:t>5</w:t>
            </w:r>
            <w:r>
              <w:t xml:space="preserve">) og viktige </w:t>
            </w:r>
            <w:proofErr w:type="spellStart"/>
            <w:r>
              <w:t>miljøparametrer</w:t>
            </w:r>
            <w:proofErr w:type="spellEnd"/>
            <w:r>
              <w:t xml:space="preserve"> med hensyn til de utslippene og avfallsstrømmene som genereres, overvåkes.</w:t>
            </w:r>
          </w:p>
        </w:tc>
      </w:tr>
      <w:tr w:rsidR="006561BA" w14:paraId="51EA56A6" w14:textId="77777777">
        <w:tc>
          <w:tcPr>
            <w:tcW w:w="2568" w:type="dxa"/>
            <w:tcMar>
              <w:top w:w="200" w:type="dxa"/>
              <w:left w:w="0" w:type="dxa"/>
              <w:bottom w:w="200" w:type="dxa"/>
            </w:tcMar>
          </w:tcPr>
          <w:p w14:paraId="465B616B" w14:textId="77777777" w:rsidR="006561BA" w:rsidRDefault="005B4ED6">
            <w:pPr>
              <w:pStyle w:val="AnnexNumberedText"/>
              <w:pageBreakBefore/>
              <w:spacing w:after="0"/>
              <w:ind w:left="293" w:hanging="293"/>
            </w:pPr>
            <w:r>
              <w:lastRenderedPageBreak/>
              <w:t>6)</w:t>
            </w:r>
            <w:r>
              <w:tab/>
              <w:t>Beskyttelse og restaurering av biologisk mangfold og økosystemer</w:t>
            </w:r>
          </w:p>
        </w:tc>
        <w:tc>
          <w:tcPr>
            <w:tcW w:w="6660" w:type="dxa"/>
            <w:tcMar>
              <w:top w:w="200" w:type="dxa"/>
              <w:bottom w:w="200" w:type="dxa"/>
              <w:right w:w="0" w:type="dxa"/>
            </w:tcMar>
          </w:tcPr>
          <w:p w14:paraId="3AB5221C" w14:textId="77777777" w:rsidR="006561BA" w:rsidRDefault="005B4ED6">
            <w:pPr>
              <w:pStyle w:val="AnnexTableCellLeft"/>
            </w:pPr>
            <w:r>
              <w:t>Aktiviteten oppfyller kriteriene fastsatt i tillegg D til dette vedlegget.</w:t>
            </w:r>
          </w:p>
        </w:tc>
      </w:tr>
    </w:tbl>
    <w:p w14:paraId="260B0D47" w14:textId="77777777" w:rsidR="006561BA" w:rsidRDefault="005B4ED6">
      <w:pPr>
        <w:pStyle w:val="AnnexNumberedText"/>
        <w:spacing w:before="600" w:after="600"/>
        <w:ind w:left="414" w:hanging="414"/>
      </w:pPr>
      <w:r>
        <w:t>2.2.</w:t>
      </w:r>
      <w:r>
        <w:rPr>
          <w:b/>
        </w:rPr>
        <w:tab/>
        <w:t>Produksjon av alternative vannressurser til andre formål enn drikkevann</w:t>
      </w:r>
    </w:p>
    <w:p w14:paraId="110910A6" w14:textId="77777777" w:rsidR="006561BA" w:rsidRDefault="005B4ED6">
      <w:pPr>
        <w:pStyle w:val="AnnexGrSeq3"/>
        <w:jc w:val="both"/>
      </w:pPr>
      <w:r>
        <w:rPr>
          <w:i/>
        </w:rPr>
        <w:t>Beskrivelse av aktiviteten</w:t>
      </w:r>
    </w:p>
    <w:p w14:paraId="23D05818" w14:textId="77777777" w:rsidR="006561BA" w:rsidRDefault="005B4ED6">
      <w:pPr>
        <w:pStyle w:val="AnnexNormal"/>
      </w:pPr>
      <w:r>
        <w:t>Bygging, utvidelse, drift og fornyelse av anlegg for produksjon av gjenvunnet vann(</w:t>
      </w:r>
      <w:bookmarkStart w:id="104" w:name="NOTE_105"/>
      <w:r>
        <w:rPr>
          <w:rStyle w:val="FootnoteReference"/>
          <w:sz w:val="18"/>
        </w:rPr>
        <w:footnoteReference w:id="106"/>
      </w:r>
      <w:bookmarkEnd w:id="104"/>
      <w:r>
        <w:t>), anlegg for oppsamling av regn- og overvann samt anlegg for oppsamling og behandling av gråvann(</w:t>
      </w:r>
      <w:bookmarkStart w:id="105" w:name="NOTE_106"/>
      <w:r>
        <w:rPr>
          <w:rStyle w:val="FootnoteReference"/>
          <w:sz w:val="18"/>
        </w:rPr>
        <w:footnoteReference w:id="107"/>
      </w:r>
      <w:bookmarkEnd w:id="105"/>
      <w:r>
        <w:t>).</w:t>
      </w:r>
    </w:p>
    <w:p w14:paraId="0AD05582" w14:textId="77777777" w:rsidR="006561BA" w:rsidRDefault="005B4ED6">
      <w:pPr>
        <w:pStyle w:val="AnnexNormal"/>
      </w:pPr>
      <w:r>
        <w:t>Disse alternative vannressursene brukes til å erstatte vann fra uttak eller fra forsyningssystemene til drikkevann og kan brukes til grunnvannsdannelse, kunstig vanning, industriell ombruk, rekreasjon og annen kommunal anvendelse.</w:t>
      </w:r>
    </w:p>
    <w:p w14:paraId="756D05F5" w14:textId="220F085D" w:rsidR="006561BA" w:rsidRDefault="005B4ED6">
      <w:pPr>
        <w:pStyle w:val="AnnexNormal"/>
      </w:pPr>
      <w:r>
        <w:t xml:space="preserve">Den økonomiske aktiviteten omfatter bare de anleggene og prosessene som gjør det mulig å </w:t>
      </w:r>
      <w:proofErr w:type="spellStart"/>
      <w:r>
        <w:t>ombruke</w:t>
      </w:r>
      <w:proofErr w:type="spellEnd"/>
      <w:r>
        <w:t xml:space="preserve"> vannet, som for eksempel anlegg for </w:t>
      </w:r>
      <w:r w:rsidR="00111C90" w:rsidRPr="00111C90">
        <w:t xml:space="preserve">gjenoppfylling av grunnvannsmagasiner </w:t>
      </w:r>
      <w:r>
        <w:t>eller oppbevaring av overflatevann, og omfatter ikke de foregående trinnene, som for eksempel primære og sekundære trinn i renseanlegget eller de påfølgende trinnene, som er nødvendige for endelig ombruk av disse alternative vannressursene, som for eksempel vanningssystemer.</w:t>
      </w:r>
    </w:p>
    <w:p w14:paraId="728A8EDF" w14:textId="77777777" w:rsidR="006561BA" w:rsidRDefault="005B4ED6">
      <w:pPr>
        <w:pStyle w:val="AnnexNormal"/>
      </w:pPr>
      <w:r>
        <w:t>Den økonomiske aktiviteten omfatter ikke avsalting (se avsnitt 5.13 i vedlegg II til delegert forordning (EU) 2021/2139).</w:t>
      </w:r>
    </w:p>
    <w:p w14:paraId="4897FF6A" w14:textId="77777777" w:rsidR="006561BA" w:rsidRDefault="005B4ED6">
      <w:pPr>
        <w:pStyle w:val="AnnexNormal"/>
      </w:pPr>
      <w:r>
        <w:t>Denne økonomiske aktiviteten omfatter ikke vannforsyning til konsum (se avsnitt 2.1 i vedlegg I).</w:t>
      </w:r>
    </w:p>
    <w:p w14:paraId="0A2E6FD6" w14:textId="08F172DD" w:rsidR="006561BA" w:rsidRDefault="005B4ED6">
      <w:pPr>
        <w:pStyle w:val="AnnexNormal"/>
        <w:spacing w:after="600"/>
      </w:pPr>
      <w:r>
        <w:t>De økonomiske aktivitetene i denne kategorien kan knyttes til flere NACE-koder, særlig E37.00 og F42.9</w:t>
      </w:r>
      <w:r w:rsidR="00605B05">
        <w:t>,</w:t>
      </w:r>
      <w:r>
        <w:t xml:space="preserve"> i samsvar med standarden for næringsgruppering fastsatt ved forordning (EF) nr. 1893/2006.</w:t>
      </w:r>
    </w:p>
    <w:p w14:paraId="32850E8E" w14:textId="77777777" w:rsidR="006561BA" w:rsidRDefault="005B4ED6">
      <w:pPr>
        <w:pStyle w:val="AnnexGrSeq3"/>
        <w:spacing w:after="300"/>
        <w:jc w:val="both"/>
      </w:pPr>
      <w:r>
        <w:rPr>
          <w:i/>
        </w:rPr>
        <w:t>Tekniske screeningkriterier</w:t>
      </w:r>
    </w:p>
    <w:tbl>
      <w:tblPr>
        <w:tblStyle w:val="EFTATable"/>
        <w:tblW w:w="9228" w:type="dxa"/>
        <w:tblInd w:w="12" w:type="dxa"/>
        <w:tblLayout w:type="fixed"/>
        <w:tblLook w:val="04A0" w:firstRow="1" w:lastRow="0" w:firstColumn="1" w:lastColumn="0" w:noHBand="0" w:noVBand="1"/>
      </w:tblPr>
      <w:tblGrid>
        <w:gridCol w:w="2544"/>
        <w:gridCol w:w="6684"/>
      </w:tblGrid>
      <w:tr w:rsidR="006561BA" w14:paraId="5B828CF2" w14:textId="77777777">
        <w:trPr>
          <w:trHeight w:val="240"/>
        </w:trPr>
        <w:tc>
          <w:tcPr>
            <w:tcW w:w="9228" w:type="dxa"/>
            <w:gridSpan w:val="2"/>
            <w:tcMar>
              <w:top w:w="200" w:type="dxa"/>
              <w:left w:w="0" w:type="dxa"/>
              <w:bottom w:w="200" w:type="dxa"/>
              <w:right w:w="0" w:type="dxa"/>
            </w:tcMar>
          </w:tcPr>
          <w:p w14:paraId="358C1EB3" w14:textId="77777777" w:rsidR="006561BA" w:rsidRDefault="005B4ED6">
            <w:pPr>
              <w:pStyle w:val="AnnexTableCellLeft"/>
            </w:pPr>
            <w:r>
              <w:t>Vesentlig bidrag til omstilling til en sirkulær økonomi</w:t>
            </w:r>
          </w:p>
        </w:tc>
      </w:tr>
      <w:tr w:rsidR="006561BA" w14:paraId="6E2311DD" w14:textId="77777777">
        <w:trPr>
          <w:trHeight w:val="360"/>
        </w:trPr>
        <w:tc>
          <w:tcPr>
            <w:tcW w:w="9228" w:type="dxa"/>
            <w:gridSpan w:val="2"/>
            <w:tcMar>
              <w:top w:w="200" w:type="dxa"/>
              <w:left w:w="0" w:type="dxa"/>
              <w:bottom w:w="200" w:type="dxa"/>
              <w:right w:w="0" w:type="dxa"/>
            </w:tcMar>
          </w:tcPr>
          <w:p w14:paraId="3A660A8A" w14:textId="77777777" w:rsidR="006561BA" w:rsidRDefault="005B4ED6">
            <w:pPr>
              <w:pStyle w:val="AnnexNumberedText"/>
              <w:ind w:left="279" w:hanging="279"/>
            </w:pPr>
            <w:r>
              <w:t>1.</w:t>
            </w:r>
            <w:r>
              <w:tab/>
              <w:t>Ved produksjon av gjenvunnet vann oppfyller aktiviteten følgende kriterier:</w:t>
            </w:r>
          </w:p>
          <w:p w14:paraId="77AF15D0" w14:textId="77777777" w:rsidR="006561BA" w:rsidRDefault="005B4ED6">
            <w:pPr>
              <w:pStyle w:val="AnnexNumberedText"/>
              <w:ind w:left="293" w:hanging="293"/>
            </w:pPr>
            <w:r>
              <w:t>a)</w:t>
            </w:r>
            <w:r>
              <w:tab/>
              <w:t>Vannet som er gjenvunnet, er egnet for ombruk. Med henblikk på bruk i landbruket oppfyller gjenvunnet vann EU-kravene, for eksempel de som er fastsatt i europaparlaments- og rådsforordning (EU) 2020/741(</w:t>
            </w:r>
            <w:bookmarkStart w:id="106" w:name="NOTE_107"/>
            <w:r>
              <w:rPr>
                <w:rStyle w:val="FootnoteReference"/>
                <w:sz w:val="18"/>
              </w:rPr>
              <w:footnoteReference w:id="108"/>
            </w:r>
            <w:bookmarkEnd w:id="106"/>
            <w:r>
              <w:t>) og nasjonal lovgivning. For annen anvendelse enn vanning i landbruket er den endelige kvaliteten på gjenvunnet vann egnet for formålet og i samsvar med eksisterende nasjonal lovgivning og standarder.</w:t>
            </w:r>
          </w:p>
          <w:p w14:paraId="12E4C9EC" w14:textId="77777777" w:rsidR="006561BA" w:rsidRDefault="005B4ED6">
            <w:pPr>
              <w:pStyle w:val="AnnexNumberedText"/>
              <w:spacing w:after="0"/>
              <w:ind w:left="293" w:hanging="293"/>
            </w:pPr>
            <w:r>
              <w:t>b)</w:t>
            </w:r>
            <w:r>
              <w:tab/>
              <w:t>Prosjektet for ombruk av vann er blitt godkjent av den vedkommende myndigheten innenfor rammen av en integrert vannforvaltning, og i samråd med myndighetene for vannforvaltning er det først og fremst tatt hensyn til en levedyktig forvaltning av vannetterspørselen og effektiviseringstiltak. Dette kan dokumenteres ved at det inngår i en vannforvaltningsplan eller en plan for håndtering av tørke. Med henblikk på ombruk i landbruket tas det fullt hensyn til vurderingene av miljørisikoen, herunder de som gjelder vannforekomsters kvantitative tilstand, i de risikohåndteringsplanene som kreves i henhold til forordning (EU) 2020/741.</w:t>
            </w:r>
          </w:p>
        </w:tc>
      </w:tr>
      <w:tr w:rsidR="006561BA" w14:paraId="5416C0D6" w14:textId="77777777">
        <w:trPr>
          <w:trHeight w:val="360"/>
        </w:trPr>
        <w:tc>
          <w:tcPr>
            <w:tcW w:w="9228" w:type="dxa"/>
            <w:gridSpan w:val="2"/>
            <w:tcMar>
              <w:top w:w="200" w:type="dxa"/>
              <w:left w:w="0" w:type="dxa"/>
              <w:bottom w:w="200" w:type="dxa"/>
              <w:right w:w="0" w:type="dxa"/>
            </w:tcMar>
          </w:tcPr>
          <w:p w14:paraId="52712ECA" w14:textId="77777777" w:rsidR="006561BA" w:rsidRDefault="005B4ED6">
            <w:pPr>
              <w:pStyle w:val="AnnexNumberedText"/>
              <w:pageBreakBefore/>
              <w:ind w:left="279" w:hanging="279"/>
            </w:pPr>
            <w:r>
              <w:lastRenderedPageBreak/>
              <w:t>2.</w:t>
            </w:r>
            <w:r>
              <w:tab/>
              <w:t>For anlegg for oppsamling av regn- og overvann oppfyller aktiviteten følgende kriterier:</w:t>
            </w:r>
          </w:p>
          <w:p w14:paraId="5B1CDD9D" w14:textId="77777777" w:rsidR="006561BA" w:rsidRDefault="005B4ED6">
            <w:pPr>
              <w:pStyle w:val="AnnexNumberedText"/>
              <w:ind w:left="293" w:hanging="293"/>
            </w:pPr>
            <w:r>
              <w:t>a)</w:t>
            </w:r>
            <w:r>
              <w:tab/>
              <w:t>Ressursen (regn- eller overvann) er atskilt ved kilden og omfatter ikke avløpsvann.</w:t>
            </w:r>
          </w:p>
          <w:p w14:paraId="7D6EAEE4" w14:textId="77777777" w:rsidR="006561BA" w:rsidRDefault="005B4ED6">
            <w:pPr>
              <w:pStyle w:val="AnnexNumberedText"/>
              <w:ind w:left="293" w:hanging="293"/>
            </w:pPr>
            <w:r>
              <w:t>b)</w:t>
            </w:r>
            <w:r>
              <w:tab/>
              <w:t>Vannet er egnet for bruk etter korrekt behandling, avhengig av forurensningsnivået og påfølgende bruk.</w:t>
            </w:r>
          </w:p>
          <w:p w14:paraId="1A385F62" w14:textId="77777777" w:rsidR="006561BA" w:rsidRDefault="005B4ED6">
            <w:pPr>
              <w:pStyle w:val="AnnexNumberedText"/>
              <w:ind w:left="293" w:hanging="293"/>
            </w:pPr>
            <w:r>
              <w:t>c)</w:t>
            </w:r>
            <w:r>
              <w:tab/>
              <w:t>Anlegget inngår i et instrument for byplanlegging eller innvilgelse av tillatelse, som for eksempel en kommuneplan eller en disposisjonsplan.</w:t>
            </w:r>
          </w:p>
          <w:p w14:paraId="7FB0047F" w14:textId="77777777" w:rsidR="006561BA" w:rsidRDefault="005B4ED6">
            <w:pPr>
              <w:pStyle w:val="AnnexNumberedText"/>
              <w:ind w:left="279" w:hanging="279"/>
            </w:pPr>
            <w:r>
              <w:t>3.</w:t>
            </w:r>
            <w:r>
              <w:tab/>
              <w:t>For anlegg for oppsamling og behandling av gråvann oppfyller aktiviteten følgende kriterier:</w:t>
            </w:r>
          </w:p>
          <w:p w14:paraId="1EA96A6F" w14:textId="77777777" w:rsidR="006561BA" w:rsidRDefault="005B4ED6">
            <w:pPr>
              <w:pStyle w:val="AnnexNumberedText"/>
              <w:ind w:left="293" w:hanging="293"/>
            </w:pPr>
            <w:r>
              <w:t>a)</w:t>
            </w:r>
            <w:r>
              <w:tab/>
              <w:t>Ressursen (gråvann) er atskilt ved kilden.</w:t>
            </w:r>
          </w:p>
          <w:p w14:paraId="6464E62F" w14:textId="77777777" w:rsidR="006561BA" w:rsidRDefault="005B4ED6">
            <w:pPr>
              <w:pStyle w:val="AnnexNumberedText"/>
              <w:ind w:left="293" w:hanging="293"/>
            </w:pPr>
            <w:r>
              <w:t>b)</w:t>
            </w:r>
            <w:r>
              <w:tab/>
              <w:t>Vannet er egnet for ombruk etter korrekt behandling, avhengig av forurensningsnivået og påfølgende bruk.</w:t>
            </w:r>
          </w:p>
          <w:p w14:paraId="0DDF8C51" w14:textId="77777777" w:rsidR="006561BA" w:rsidRDefault="005B4ED6">
            <w:pPr>
              <w:pStyle w:val="AnnexNumberedText"/>
              <w:spacing w:after="400"/>
              <w:ind w:left="293" w:hanging="293"/>
            </w:pPr>
            <w:r>
              <w:t>c)</w:t>
            </w:r>
            <w:r>
              <w:tab/>
              <w:t>Yteevnen er attestert ved en bygningssertifisering eller er tilgjengelig i de tekniske konstruksjonsdokumentene.</w:t>
            </w:r>
          </w:p>
        </w:tc>
      </w:tr>
      <w:tr w:rsidR="006561BA" w14:paraId="3A3D7EE9" w14:textId="77777777">
        <w:trPr>
          <w:trHeight w:val="240"/>
        </w:trPr>
        <w:tc>
          <w:tcPr>
            <w:tcW w:w="9228" w:type="dxa"/>
            <w:gridSpan w:val="2"/>
            <w:tcMar>
              <w:top w:w="200" w:type="dxa"/>
              <w:left w:w="0" w:type="dxa"/>
              <w:bottom w:w="200" w:type="dxa"/>
              <w:right w:w="0" w:type="dxa"/>
            </w:tcMar>
          </w:tcPr>
          <w:p w14:paraId="07F0C18A" w14:textId="77777777" w:rsidR="006561BA" w:rsidRDefault="005B4ED6">
            <w:pPr>
              <w:pStyle w:val="AnnexTableCellLeft"/>
            </w:pPr>
            <w:r>
              <w:t>Prinsippet om ikke å gjøre betydelig skade («DNSH»)</w:t>
            </w:r>
          </w:p>
        </w:tc>
      </w:tr>
      <w:tr w:rsidR="006561BA" w14:paraId="3C0FD575" w14:textId="77777777">
        <w:trPr>
          <w:trHeight w:val="360"/>
        </w:trPr>
        <w:tc>
          <w:tcPr>
            <w:tcW w:w="2544" w:type="dxa"/>
            <w:tcMar>
              <w:top w:w="200" w:type="dxa"/>
              <w:left w:w="0" w:type="dxa"/>
              <w:bottom w:w="200" w:type="dxa"/>
            </w:tcMar>
          </w:tcPr>
          <w:p w14:paraId="643A77D3" w14:textId="77777777" w:rsidR="006561BA" w:rsidRDefault="005B4ED6">
            <w:pPr>
              <w:pStyle w:val="AnnexNumberedText"/>
              <w:spacing w:after="0"/>
              <w:ind w:left="293" w:hanging="293"/>
            </w:pPr>
            <w:r>
              <w:t>1)</w:t>
            </w:r>
            <w:r>
              <w:tab/>
              <w:t>Begrensning av klimaendringer</w:t>
            </w:r>
          </w:p>
        </w:tc>
        <w:tc>
          <w:tcPr>
            <w:tcW w:w="6684" w:type="dxa"/>
            <w:tcMar>
              <w:top w:w="200" w:type="dxa"/>
              <w:bottom w:w="200" w:type="dxa"/>
              <w:right w:w="0" w:type="dxa"/>
            </w:tcMar>
          </w:tcPr>
          <w:p w14:paraId="3213C8EC" w14:textId="77777777" w:rsidR="006561BA" w:rsidRDefault="005B4ED6">
            <w:pPr>
              <w:pStyle w:val="AnnexTableCellLeft"/>
            </w:pPr>
            <w:r>
              <w:t>Med henblikk på produksjon av gjenvunnet vann er det foretatt en vurdering av de direkte klimagassutslippene fra ombruksbehandlingen(</w:t>
            </w:r>
            <w:bookmarkStart w:id="107" w:name="NOTE_108"/>
            <w:r>
              <w:rPr>
                <w:rStyle w:val="FootnoteReference"/>
                <w:sz w:val="18"/>
              </w:rPr>
              <w:footnoteReference w:id="109"/>
            </w:r>
            <w:bookmarkEnd w:id="107"/>
            <w:r>
              <w:t>). Resultatene gis ut til investorer og kunder på anmodning.</w:t>
            </w:r>
          </w:p>
        </w:tc>
      </w:tr>
      <w:tr w:rsidR="006561BA" w14:paraId="56122619" w14:textId="77777777">
        <w:trPr>
          <w:trHeight w:val="360"/>
        </w:trPr>
        <w:tc>
          <w:tcPr>
            <w:tcW w:w="2544" w:type="dxa"/>
            <w:tcMar>
              <w:top w:w="200" w:type="dxa"/>
              <w:left w:w="0" w:type="dxa"/>
              <w:bottom w:w="200" w:type="dxa"/>
            </w:tcMar>
          </w:tcPr>
          <w:p w14:paraId="467CCD88" w14:textId="77777777" w:rsidR="006561BA" w:rsidRDefault="005B4ED6">
            <w:pPr>
              <w:pStyle w:val="AnnexNumberedText"/>
              <w:spacing w:after="0"/>
              <w:ind w:left="293" w:hanging="293"/>
            </w:pPr>
            <w:r>
              <w:t>2)</w:t>
            </w:r>
            <w:r>
              <w:tab/>
              <w:t>Tilpasning til klimaendringer</w:t>
            </w:r>
          </w:p>
        </w:tc>
        <w:tc>
          <w:tcPr>
            <w:tcW w:w="6684" w:type="dxa"/>
            <w:tcMar>
              <w:top w:w="200" w:type="dxa"/>
              <w:bottom w:w="200" w:type="dxa"/>
              <w:right w:w="0" w:type="dxa"/>
            </w:tcMar>
          </w:tcPr>
          <w:p w14:paraId="3CE5C70E" w14:textId="77777777" w:rsidR="006561BA" w:rsidRDefault="005B4ED6">
            <w:pPr>
              <w:pStyle w:val="AnnexTableCellLeft"/>
            </w:pPr>
            <w:r>
              <w:t>Aktiviteten oppfyller kriteriene fastsatt i tillegg A til dette vedlegget.</w:t>
            </w:r>
          </w:p>
        </w:tc>
      </w:tr>
      <w:tr w:rsidR="006561BA" w14:paraId="5274F8C0" w14:textId="77777777">
        <w:trPr>
          <w:trHeight w:val="360"/>
        </w:trPr>
        <w:tc>
          <w:tcPr>
            <w:tcW w:w="2544" w:type="dxa"/>
            <w:tcMar>
              <w:top w:w="200" w:type="dxa"/>
              <w:left w:w="0" w:type="dxa"/>
              <w:bottom w:w="200" w:type="dxa"/>
            </w:tcMar>
          </w:tcPr>
          <w:p w14:paraId="114C67E6" w14:textId="77777777" w:rsidR="006561BA" w:rsidRDefault="005B4ED6">
            <w:pPr>
              <w:pStyle w:val="AnnexNumberedText"/>
              <w:spacing w:after="0"/>
              <w:ind w:left="293" w:hanging="293"/>
            </w:pPr>
            <w:r>
              <w:t>3)</w:t>
            </w:r>
            <w:r>
              <w:tab/>
              <w:t>Bærekraftig bruk og beskyttelse av vann- og havressurser</w:t>
            </w:r>
          </w:p>
        </w:tc>
        <w:tc>
          <w:tcPr>
            <w:tcW w:w="6684" w:type="dxa"/>
            <w:tcMar>
              <w:top w:w="200" w:type="dxa"/>
              <w:bottom w:w="200" w:type="dxa"/>
              <w:right w:w="0" w:type="dxa"/>
            </w:tcMar>
          </w:tcPr>
          <w:p w14:paraId="3B3A9BBA" w14:textId="77777777" w:rsidR="006561BA" w:rsidRDefault="005B4ED6">
            <w:pPr>
              <w:pStyle w:val="AnnexTableCellLeft"/>
            </w:pPr>
            <w:r>
              <w:t>Aktiviteten oppfyller kriteriene fastsatt i tillegg B til dette vedlegget.</w:t>
            </w:r>
          </w:p>
        </w:tc>
      </w:tr>
      <w:tr w:rsidR="006561BA" w14:paraId="0A45F347" w14:textId="77777777">
        <w:trPr>
          <w:trHeight w:val="360"/>
        </w:trPr>
        <w:tc>
          <w:tcPr>
            <w:tcW w:w="2544" w:type="dxa"/>
            <w:tcMar>
              <w:top w:w="200" w:type="dxa"/>
              <w:left w:w="0" w:type="dxa"/>
              <w:bottom w:w="200" w:type="dxa"/>
            </w:tcMar>
          </w:tcPr>
          <w:p w14:paraId="6C77B0D8" w14:textId="77777777" w:rsidR="006561BA" w:rsidRDefault="005B4ED6">
            <w:pPr>
              <w:pStyle w:val="AnnexNumberedText"/>
              <w:spacing w:after="0"/>
              <w:ind w:left="293" w:hanging="293"/>
            </w:pPr>
            <w:r>
              <w:t>5)</w:t>
            </w:r>
            <w:r>
              <w:tab/>
              <w:t>Forebygging og begrensning av forurensning</w:t>
            </w:r>
          </w:p>
        </w:tc>
        <w:tc>
          <w:tcPr>
            <w:tcW w:w="6684" w:type="dxa"/>
            <w:tcMar>
              <w:top w:w="200" w:type="dxa"/>
              <w:bottom w:w="200" w:type="dxa"/>
              <w:right w:w="0" w:type="dxa"/>
            </w:tcMar>
          </w:tcPr>
          <w:p w14:paraId="46C8392B" w14:textId="2D06A25A" w:rsidR="006561BA" w:rsidRDefault="005B4ED6">
            <w:pPr>
              <w:pStyle w:val="AnnexTableCellLeft"/>
            </w:pPr>
            <w:r>
              <w:t xml:space="preserve">For de bruksområdene som er foreskrevet i EU-forordning (EU) 2020/741, er aktiviteten i samsvar med den nevnte forordningen eller med gjeldende nasjonal lovgivning, dersom den er strengere. </w:t>
            </w:r>
            <w:r w:rsidR="00695700" w:rsidRPr="00695700">
              <w:t xml:space="preserve">Gjenoppfylling av grunnvannsmagasiner </w:t>
            </w:r>
            <w:r>
              <w:t>og infiltrering av avrenningsvann er i samsvar med direktiv 2006/118/EF eller med gjeldende nasjonal lovgivning dersom den det er strengere.</w:t>
            </w:r>
          </w:p>
        </w:tc>
      </w:tr>
      <w:tr w:rsidR="006561BA" w14:paraId="5EB24A37" w14:textId="77777777">
        <w:trPr>
          <w:trHeight w:val="360"/>
        </w:trPr>
        <w:tc>
          <w:tcPr>
            <w:tcW w:w="2544" w:type="dxa"/>
            <w:tcMar>
              <w:top w:w="200" w:type="dxa"/>
              <w:left w:w="0" w:type="dxa"/>
              <w:bottom w:w="200" w:type="dxa"/>
            </w:tcMar>
          </w:tcPr>
          <w:p w14:paraId="3892974D" w14:textId="77777777" w:rsidR="006561BA" w:rsidRDefault="005B4ED6">
            <w:pPr>
              <w:pStyle w:val="AnnexNumberedText"/>
              <w:spacing w:after="0"/>
              <w:ind w:left="293" w:hanging="293"/>
            </w:pPr>
            <w:r>
              <w:t>6)</w:t>
            </w:r>
            <w:r>
              <w:tab/>
              <w:t>Beskyttelse og restaurering av biologisk mangfold og økosystemer</w:t>
            </w:r>
          </w:p>
        </w:tc>
        <w:tc>
          <w:tcPr>
            <w:tcW w:w="6684" w:type="dxa"/>
            <w:tcMar>
              <w:top w:w="200" w:type="dxa"/>
              <w:bottom w:w="200" w:type="dxa"/>
              <w:right w:w="0" w:type="dxa"/>
            </w:tcMar>
          </w:tcPr>
          <w:p w14:paraId="6AC33AC3" w14:textId="77777777" w:rsidR="006561BA" w:rsidRDefault="005B4ED6">
            <w:pPr>
              <w:pStyle w:val="AnnexTableCellLeft"/>
            </w:pPr>
            <w:r>
              <w:t>Aktiviteten oppfyller kriteriene fastsatt i tillegg D til dette vedlegget.</w:t>
            </w:r>
          </w:p>
        </w:tc>
      </w:tr>
    </w:tbl>
    <w:p w14:paraId="78D61816" w14:textId="77777777" w:rsidR="006561BA" w:rsidRDefault="005B4ED6">
      <w:pPr>
        <w:shd w:val="clear" w:color="auto" w:fill="auto"/>
        <w:spacing w:line="0" w:lineRule="auto"/>
        <w:jc w:val="left"/>
        <w:rPr>
          <w:color w:val="auto"/>
          <w14:ligatures w14:val="standard"/>
        </w:rPr>
      </w:pPr>
      <w:r>
        <w:br w:type="page"/>
      </w:r>
    </w:p>
    <w:p w14:paraId="48670AB7" w14:textId="77777777" w:rsidR="006561BA" w:rsidRDefault="005B4ED6">
      <w:pPr>
        <w:pStyle w:val="AnnexNumberedText"/>
        <w:spacing w:after="600"/>
        <w:ind w:left="414" w:hanging="414"/>
      </w:pPr>
      <w:r>
        <w:lastRenderedPageBreak/>
        <w:t>2.3.</w:t>
      </w:r>
      <w:r>
        <w:rPr>
          <w:b/>
        </w:rPr>
        <w:tab/>
        <w:t>Innsamling og transport av ikke-farlig og farlig avfall</w:t>
      </w:r>
    </w:p>
    <w:p w14:paraId="3412D8BC" w14:textId="77777777" w:rsidR="006561BA" w:rsidRDefault="005B4ED6">
      <w:pPr>
        <w:pStyle w:val="AnnexGrSeq3"/>
        <w:jc w:val="both"/>
      </w:pPr>
      <w:r>
        <w:rPr>
          <w:i/>
        </w:rPr>
        <w:t>Beskrivelse av aktiviteten</w:t>
      </w:r>
    </w:p>
    <w:p w14:paraId="52117E5C" w14:textId="77777777" w:rsidR="006561BA" w:rsidRDefault="005B4ED6">
      <w:pPr>
        <w:pStyle w:val="AnnexNormal"/>
      </w:pPr>
      <w:r>
        <w:t>Separat innsamling og transport av ikke-farlig og farlig(</w:t>
      </w:r>
      <w:bookmarkStart w:id="108" w:name="NOTE_109"/>
      <w:r>
        <w:rPr>
          <w:rStyle w:val="FootnoteReference"/>
          <w:sz w:val="18"/>
        </w:rPr>
        <w:footnoteReference w:id="110"/>
      </w:r>
      <w:bookmarkEnd w:id="108"/>
      <w:r>
        <w:t>) avfall med sikte på forberedelse til ombruk(</w:t>
      </w:r>
      <w:bookmarkStart w:id="109" w:name="NOTE_110"/>
      <w:r>
        <w:rPr>
          <w:rStyle w:val="FootnoteReference"/>
          <w:sz w:val="18"/>
        </w:rPr>
        <w:footnoteReference w:id="111"/>
      </w:r>
      <w:bookmarkEnd w:id="109"/>
      <w:r>
        <w:t>) eller materialgjenvinning(</w:t>
      </w:r>
      <w:bookmarkStart w:id="110" w:name="NOTE_111"/>
      <w:r>
        <w:rPr>
          <w:rStyle w:val="FootnoteReference"/>
          <w:sz w:val="18"/>
        </w:rPr>
        <w:footnoteReference w:id="112"/>
      </w:r>
      <w:bookmarkEnd w:id="110"/>
      <w:r>
        <w:t>), herunder bygging, drift og oppgradering av anlegg for innsamling og transport av slikt avfall, som for eksempel kommunale gjenvinningsstasjoner og stasjoner for overføring av avfall, som et middel for å utnytting av materialer.</w:t>
      </w:r>
    </w:p>
    <w:p w14:paraId="04297601" w14:textId="31D04BB9" w:rsidR="006561BA" w:rsidRDefault="005B4ED6">
      <w:pPr>
        <w:pStyle w:val="AnnexNormal"/>
        <w:spacing w:after="800"/>
      </w:pPr>
      <w:r>
        <w:t>De økonomiske aktivitetene i denne kategorien kan knyttes til flere NACE-koder, særlig E38.11, E38.12 og F42.9</w:t>
      </w:r>
      <w:r w:rsidR="00605B05">
        <w:t>,</w:t>
      </w:r>
      <w:r>
        <w:t xml:space="preserve"> i samsvar med standarden for næringsgruppering fastsatt ved forordning (EF) nr. 1893/2006.</w:t>
      </w:r>
    </w:p>
    <w:p w14:paraId="45A0AB07" w14:textId="77777777" w:rsidR="006561BA" w:rsidRDefault="005B4ED6">
      <w:pPr>
        <w:pStyle w:val="AnnexGrSeq3"/>
        <w:jc w:val="both"/>
      </w:pPr>
      <w:r>
        <w:rPr>
          <w:i/>
        </w:rPr>
        <w:t>Tekniske screeningkriterier</w:t>
      </w:r>
    </w:p>
    <w:tbl>
      <w:tblPr>
        <w:tblStyle w:val="EFTATable"/>
        <w:tblW w:w="9228" w:type="dxa"/>
        <w:tblInd w:w="12" w:type="dxa"/>
        <w:tblLayout w:type="fixed"/>
        <w:tblLook w:val="04A0" w:firstRow="1" w:lastRow="0" w:firstColumn="1" w:lastColumn="0" w:noHBand="0" w:noVBand="1"/>
      </w:tblPr>
      <w:tblGrid>
        <w:gridCol w:w="2532"/>
        <w:gridCol w:w="6696"/>
      </w:tblGrid>
      <w:tr w:rsidR="006561BA" w14:paraId="5C1EE461" w14:textId="77777777">
        <w:trPr>
          <w:trHeight w:val="240"/>
        </w:trPr>
        <w:tc>
          <w:tcPr>
            <w:tcW w:w="9228" w:type="dxa"/>
            <w:gridSpan w:val="2"/>
            <w:tcMar>
              <w:top w:w="200" w:type="dxa"/>
              <w:left w:w="0" w:type="dxa"/>
              <w:bottom w:w="200" w:type="dxa"/>
              <w:right w:w="0" w:type="dxa"/>
            </w:tcMar>
          </w:tcPr>
          <w:p w14:paraId="3FCDFAE4" w14:textId="77777777" w:rsidR="006561BA" w:rsidRDefault="005B4ED6">
            <w:pPr>
              <w:pStyle w:val="AnnexTableCellLeft"/>
            </w:pPr>
            <w:r>
              <w:t>Vesentlig bidrag til omstilling til en sirkulær økonomi</w:t>
            </w:r>
          </w:p>
        </w:tc>
      </w:tr>
      <w:tr w:rsidR="006561BA" w14:paraId="236B530C" w14:textId="77777777">
        <w:trPr>
          <w:trHeight w:val="360"/>
        </w:trPr>
        <w:tc>
          <w:tcPr>
            <w:tcW w:w="9228" w:type="dxa"/>
            <w:gridSpan w:val="2"/>
            <w:tcMar>
              <w:top w:w="200" w:type="dxa"/>
              <w:left w:w="0" w:type="dxa"/>
              <w:bottom w:w="200" w:type="dxa"/>
              <w:right w:w="0" w:type="dxa"/>
            </w:tcMar>
          </w:tcPr>
          <w:p w14:paraId="282C3821" w14:textId="77777777" w:rsidR="006561BA" w:rsidRDefault="005B4ED6">
            <w:pPr>
              <w:pStyle w:val="AnnexNumberedText"/>
              <w:tabs>
                <w:tab w:val="left" w:pos="264"/>
              </w:tabs>
              <w:spacing w:after="200"/>
              <w:ind w:left="0" w:firstLine="0"/>
            </w:pPr>
            <w:r>
              <w:t>1.</w:t>
            </w:r>
            <w:r>
              <w:tab/>
              <w:t>Alt separat innsamlet og transportert avfall som er sortert ved kilden, er beregnet på forberedelse til ombruk eller materialgjenvinning.</w:t>
            </w:r>
          </w:p>
          <w:p w14:paraId="43720A21" w14:textId="77777777" w:rsidR="006561BA" w:rsidRDefault="005B4ED6">
            <w:pPr>
              <w:pStyle w:val="AnnexNumberedText"/>
              <w:tabs>
                <w:tab w:val="left" w:pos="264"/>
              </w:tabs>
              <w:spacing w:after="200"/>
              <w:ind w:left="0" w:firstLine="0"/>
            </w:pPr>
            <w:r>
              <w:t>2.</w:t>
            </w:r>
            <w:r>
              <w:tab/>
              <w:t>Kildesortert avfall som består av i) papir og papp, ii) tekstiler(</w:t>
            </w:r>
            <w:bookmarkStart w:id="111" w:name="NOTE_112"/>
            <w:r>
              <w:rPr>
                <w:rStyle w:val="FootnoteReference"/>
                <w:sz w:val="18"/>
              </w:rPr>
              <w:footnoteReference w:id="113"/>
            </w:r>
            <w:bookmarkEnd w:id="111"/>
            <w:r>
              <w:t>), iii) bioavfall, iv) tre, v) glass, vi) avfall fra elektrisk og elektronisk utstyr (WEEE) eller vii) alle typer farlig avfall, samles inn separat (det vil si i enkeltfraksjoner) og blandes ikke med andre avfallsstrømmer.</w:t>
            </w:r>
          </w:p>
          <w:p w14:paraId="08FB5A0D" w14:textId="77777777" w:rsidR="006561BA" w:rsidRDefault="005B4ED6">
            <w:pPr>
              <w:pStyle w:val="AnnexTableCellLeft"/>
              <w:spacing w:after="200"/>
            </w:pPr>
            <w:r>
              <w:t>Når det gjelder annet kildesortert ikke-farlig avfall enn fraksjonene nevnt ovenfor, skjer innsamling i blandede fraksjoner bare dersom det oppfyller et av vilkårene fastsatt i artikkel 10 nr. 3 bokstav a), b) eller c) i europaparlaments- og rådsdirektiv 2008/98/EF(</w:t>
            </w:r>
            <w:bookmarkStart w:id="112" w:name="NOTE_113"/>
            <w:r>
              <w:rPr>
                <w:rStyle w:val="FootnoteReference"/>
                <w:sz w:val="18"/>
              </w:rPr>
              <w:footnoteReference w:id="114"/>
            </w:r>
            <w:bookmarkEnd w:id="112"/>
            <w:r>
              <w:t>).</w:t>
            </w:r>
          </w:p>
          <w:p w14:paraId="2DBA51D5" w14:textId="77777777" w:rsidR="006561BA" w:rsidRDefault="005B4ED6">
            <w:pPr>
              <w:pStyle w:val="AnnexTableCellLeft"/>
              <w:spacing w:after="200"/>
            </w:pPr>
            <w:r>
              <w:t>Ulike typer farlig avfall kan samles i en kasse for farlig avfall, et skap eller en lignende løsning under forutsetning av at hver avfallstype er forsvarlig pakket for å holde avfallet atskilt i boksen eller skapet, og at farlig avfall sorteres i avfallstyper etter innsamling fra husholdninger.</w:t>
            </w:r>
          </w:p>
          <w:p w14:paraId="5FE21931" w14:textId="77777777" w:rsidR="006561BA" w:rsidRDefault="005B4ED6">
            <w:pPr>
              <w:pStyle w:val="AnnexNumberedText"/>
              <w:tabs>
                <w:tab w:val="left" w:pos="264"/>
              </w:tabs>
              <w:spacing w:after="200"/>
              <w:ind w:left="0" w:firstLine="0"/>
            </w:pPr>
            <w:r>
              <w:t>3.</w:t>
            </w:r>
            <w:r>
              <w:tab/>
              <w:t>For kommunale avfallsstrømmer oppfyller aktiviteten et av følgende kriterier:</w:t>
            </w:r>
          </w:p>
          <w:p w14:paraId="7FED4B35" w14:textId="77777777" w:rsidR="006561BA" w:rsidRDefault="005B4ED6">
            <w:pPr>
              <w:pStyle w:val="AnnexNumberedText"/>
              <w:spacing w:after="200"/>
              <w:ind w:left="293" w:hanging="293"/>
            </w:pPr>
            <w:r>
              <w:t>a)</w:t>
            </w:r>
            <w:r>
              <w:tab/>
              <w:t>Aktiviteten innebærer innsamling av kommunalt fast avfall hovedsakelig via innsamlingsordninger med avhenting ved husstanden eller på overvåkede innsamlingssteder for å sikre et høyt nivå av separat innsamling og lav forurensningsgrad.</w:t>
            </w:r>
          </w:p>
          <w:p w14:paraId="4D6B2B5C" w14:textId="77777777" w:rsidR="006561BA" w:rsidRDefault="005B4ED6">
            <w:pPr>
              <w:pStyle w:val="AnnexNumberedText"/>
              <w:spacing w:after="0"/>
              <w:ind w:left="293" w:hanging="293"/>
            </w:pPr>
            <w:r>
              <w:t>b)</w:t>
            </w:r>
            <w:r>
              <w:tab/>
              <w:t>Aktiviteten innebærer separat innsamling av avfall innenfor offentlig organiserte avfallshåndteringssystemer der avfallsprodusentene betaler på grunnlag av en ordning med differensierte avfallsgebyrer («</w:t>
            </w:r>
            <w:proofErr w:type="spellStart"/>
            <w:r>
              <w:t>pay</w:t>
            </w:r>
            <w:proofErr w:type="spellEnd"/>
            <w:r>
              <w:t>-as-</w:t>
            </w:r>
            <w:proofErr w:type="spellStart"/>
            <w:r>
              <w:t>you</w:t>
            </w:r>
            <w:proofErr w:type="spellEnd"/>
            <w:r>
              <w:t>-</w:t>
            </w:r>
            <w:proofErr w:type="spellStart"/>
            <w:r>
              <w:t>throw</w:t>
            </w:r>
            <w:proofErr w:type="spellEnd"/>
            <w:r>
              <w:t>»), i det minste for restavfallsstrømmen, eller der det finnes andre typer økonomiske virkemidler som stimulerer til kildesortering(</w:t>
            </w:r>
            <w:bookmarkStart w:id="113" w:name="NOTE_114"/>
            <w:r>
              <w:rPr>
                <w:rStyle w:val="FootnoteReference"/>
                <w:sz w:val="18"/>
              </w:rPr>
              <w:footnoteReference w:id="115"/>
            </w:r>
            <w:bookmarkEnd w:id="113"/>
            <w:r>
              <w:t>).</w:t>
            </w:r>
          </w:p>
        </w:tc>
      </w:tr>
      <w:tr w:rsidR="006561BA" w14:paraId="4A1CF342" w14:textId="77777777">
        <w:trPr>
          <w:trHeight w:val="360"/>
        </w:trPr>
        <w:tc>
          <w:tcPr>
            <w:tcW w:w="9228" w:type="dxa"/>
            <w:gridSpan w:val="2"/>
            <w:tcMar>
              <w:top w:w="200" w:type="dxa"/>
              <w:left w:w="0" w:type="dxa"/>
              <w:bottom w:w="200" w:type="dxa"/>
              <w:right w:w="0" w:type="dxa"/>
            </w:tcMar>
          </w:tcPr>
          <w:p w14:paraId="675DB90A" w14:textId="77777777" w:rsidR="006561BA" w:rsidRDefault="005B4ED6">
            <w:pPr>
              <w:pStyle w:val="AnnexNumberedText"/>
              <w:pageBreakBefore/>
            </w:pPr>
            <w:r>
              <w:lastRenderedPageBreak/>
              <w:t>c)</w:t>
            </w:r>
            <w:r>
              <w:tab/>
              <w:t>Aktiviteten innebærer separat innsamling av avfall utenfor offentlig organiserte avfallshåndteringssystemer som anvender pant- og refusjonssystemer eller andre typer økonomiske virkemidler som direkte stimulerer til kildesortering.</w:t>
            </w:r>
          </w:p>
          <w:p w14:paraId="1190B1FE" w14:textId="77777777" w:rsidR="006561BA" w:rsidRDefault="005B4ED6">
            <w:pPr>
              <w:pStyle w:val="AnnexNumberedText"/>
              <w:tabs>
                <w:tab w:val="left" w:pos="264"/>
              </w:tabs>
              <w:ind w:left="0" w:firstLine="0"/>
            </w:pPr>
            <w:r>
              <w:t>4.</w:t>
            </w:r>
            <w:r>
              <w:tab/>
              <w:t xml:space="preserve">Aktiviteten overvåker og vurderer kontinuerlig mengden og kvaliteten på innsamlet avfall basert på forhåndsdefinerte nøkkelindikatorer («Key </w:t>
            </w:r>
            <w:proofErr w:type="spellStart"/>
            <w:r>
              <w:t>Performance</w:t>
            </w:r>
            <w:proofErr w:type="spellEnd"/>
            <w:r>
              <w:t xml:space="preserve"> </w:t>
            </w:r>
            <w:proofErr w:type="spellStart"/>
            <w:r>
              <w:t>Indicators</w:t>
            </w:r>
            <w:proofErr w:type="spellEnd"/>
            <w:r>
              <w:t>», KPI-er) for å oppfylle alle følgende kriterier:</w:t>
            </w:r>
          </w:p>
          <w:p w14:paraId="77090C53" w14:textId="77777777" w:rsidR="006561BA" w:rsidRDefault="005B4ED6">
            <w:pPr>
              <w:pStyle w:val="AnnexNumberedText"/>
              <w:ind w:left="293" w:hanging="293"/>
            </w:pPr>
            <w:r>
              <w:t>a)</w:t>
            </w:r>
            <w:r>
              <w:tab/>
              <w:t>Oppfyllelse av rapporteringsforpliktelser overfor relevante berørte parter, som for eksempel offentlige myndigheter, ordninger for utvidet produsentansvar (EPR).</w:t>
            </w:r>
          </w:p>
          <w:p w14:paraId="312ACF0E" w14:textId="77777777" w:rsidR="006561BA" w:rsidRDefault="005B4ED6">
            <w:pPr>
              <w:pStyle w:val="AnnexNumberedText"/>
              <w:ind w:left="293" w:hanging="293"/>
            </w:pPr>
            <w:r>
              <w:t>b)</w:t>
            </w:r>
            <w:r>
              <w:tab/>
              <w:t>Regelmessig formidling av relevante opplysninger til avfallsprodusenter og allmennheten generelt, i samarbeid med relevante berørte parter, som for eksempel offentlige myndigheter, EPR-ordninger.</w:t>
            </w:r>
          </w:p>
          <w:p w14:paraId="52560C26" w14:textId="77777777" w:rsidR="006561BA" w:rsidRDefault="005B4ED6">
            <w:pPr>
              <w:pStyle w:val="AnnexNumberedText"/>
              <w:spacing w:after="0"/>
              <w:ind w:left="293" w:hanging="293"/>
            </w:pPr>
            <w:r>
              <w:t>c)</w:t>
            </w:r>
            <w:r>
              <w:tab/>
              <w:t>Identifisering av behov for og innføring av korrigerende tiltak dersom KPI-ene avviker fra gjeldende mål eller referanseverdier, i samarbeid med relevante berørte parter, som for eksempel offentlige myndigheter, EPR-ordninger, verdikjedepartnere.</w:t>
            </w:r>
          </w:p>
        </w:tc>
      </w:tr>
      <w:tr w:rsidR="006561BA" w14:paraId="2F485B7B" w14:textId="77777777">
        <w:trPr>
          <w:trHeight w:val="240"/>
        </w:trPr>
        <w:tc>
          <w:tcPr>
            <w:tcW w:w="9228" w:type="dxa"/>
            <w:gridSpan w:val="2"/>
            <w:tcMar>
              <w:top w:w="200" w:type="dxa"/>
              <w:left w:w="0" w:type="dxa"/>
              <w:bottom w:w="200" w:type="dxa"/>
              <w:right w:w="0" w:type="dxa"/>
            </w:tcMar>
          </w:tcPr>
          <w:p w14:paraId="53AD0291" w14:textId="77777777" w:rsidR="006561BA" w:rsidRDefault="005B4ED6">
            <w:pPr>
              <w:pStyle w:val="AnnexTableCellLeft"/>
            </w:pPr>
            <w:r>
              <w:t>Prinsippet om ikke å gjøre betydelig skade («DNSH»)</w:t>
            </w:r>
          </w:p>
        </w:tc>
      </w:tr>
      <w:tr w:rsidR="006561BA" w14:paraId="614C1741" w14:textId="77777777">
        <w:trPr>
          <w:trHeight w:val="360"/>
        </w:trPr>
        <w:tc>
          <w:tcPr>
            <w:tcW w:w="2532" w:type="dxa"/>
            <w:tcMar>
              <w:top w:w="200" w:type="dxa"/>
              <w:left w:w="0" w:type="dxa"/>
              <w:bottom w:w="200" w:type="dxa"/>
            </w:tcMar>
          </w:tcPr>
          <w:p w14:paraId="05EA3941" w14:textId="77777777" w:rsidR="006561BA" w:rsidRDefault="005B4ED6">
            <w:pPr>
              <w:pStyle w:val="AnnexNumberedText"/>
              <w:spacing w:after="0"/>
              <w:ind w:left="293" w:hanging="293"/>
            </w:pPr>
            <w:r>
              <w:t>1)</w:t>
            </w:r>
            <w:r>
              <w:tab/>
              <w:t>Begrensning av klimaendringer</w:t>
            </w:r>
          </w:p>
        </w:tc>
        <w:tc>
          <w:tcPr>
            <w:tcW w:w="6696" w:type="dxa"/>
            <w:tcMar>
              <w:top w:w="200" w:type="dxa"/>
              <w:bottom w:w="200" w:type="dxa"/>
              <w:right w:w="0" w:type="dxa"/>
            </w:tcMar>
          </w:tcPr>
          <w:p w14:paraId="05A3359A" w14:textId="77777777" w:rsidR="006561BA" w:rsidRDefault="005B4ED6">
            <w:pPr>
              <w:pStyle w:val="AnnexTableCellLeft"/>
            </w:pPr>
            <w:r>
              <w:t>Ikke relevant</w:t>
            </w:r>
          </w:p>
        </w:tc>
      </w:tr>
      <w:tr w:rsidR="006561BA" w14:paraId="3147CDDC" w14:textId="77777777">
        <w:trPr>
          <w:trHeight w:val="360"/>
        </w:trPr>
        <w:tc>
          <w:tcPr>
            <w:tcW w:w="2532" w:type="dxa"/>
            <w:tcMar>
              <w:top w:w="200" w:type="dxa"/>
              <w:left w:w="0" w:type="dxa"/>
              <w:bottom w:w="200" w:type="dxa"/>
            </w:tcMar>
          </w:tcPr>
          <w:p w14:paraId="3F250F4D" w14:textId="77777777" w:rsidR="006561BA" w:rsidRDefault="005B4ED6">
            <w:pPr>
              <w:pStyle w:val="AnnexNumberedText"/>
              <w:spacing w:after="0"/>
              <w:ind w:left="293" w:hanging="293"/>
            </w:pPr>
            <w:r>
              <w:t>2)</w:t>
            </w:r>
            <w:r>
              <w:tab/>
              <w:t>Tilpasning til klimaendringer</w:t>
            </w:r>
          </w:p>
        </w:tc>
        <w:tc>
          <w:tcPr>
            <w:tcW w:w="6696" w:type="dxa"/>
            <w:tcMar>
              <w:top w:w="200" w:type="dxa"/>
              <w:bottom w:w="200" w:type="dxa"/>
              <w:right w:w="0" w:type="dxa"/>
            </w:tcMar>
          </w:tcPr>
          <w:p w14:paraId="0BC8CC07" w14:textId="77777777" w:rsidR="006561BA" w:rsidRDefault="005B4ED6">
            <w:pPr>
              <w:pStyle w:val="AnnexTableCellLeft"/>
            </w:pPr>
            <w:r>
              <w:t>Aktiviteten oppfyller kriteriene fastsatt i tillegg A til dette vedlegget.</w:t>
            </w:r>
          </w:p>
        </w:tc>
      </w:tr>
      <w:tr w:rsidR="006561BA" w14:paraId="15403961" w14:textId="77777777">
        <w:trPr>
          <w:trHeight w:val="360"/>
        </w:trPr>
        <w:tc>
          <w:tcPr>
            <w:tcW w:w="2532" w:type="dxa"/>
            <w:tcMar>
              <w:top w:w="200" w:type="dxa"/>
              <w:left w:w="0" w:type="dxa"/>
              <w:bottom w:w="200" w:type="dxa"/>
            </w:tcMar>
          </w:tcPr>
          <w:p w14:paraId="2AB135EF" w14:textId="77777777" w:rsidR="006561BA" w:rsidRDefault="005B4ED6">
            <w:pPr>
              <w:pStyle w:val="AnnexNumberedText"/>
              <w:spacing w:after="0"/>
              <w:ind w:left="293" w:hanging="293"/>
            </w:pPr>
            <w:r>
              <w:t>3)</w:t>
            </w:r>
            <w:r>
              <w:tab/>
              <w:t>Bærekraftig bruk og beskyttelse av vann- og havressurser</w:t>
            </w:r>
          </w:p>
        </w:tc>
        <w:tc>
          <w:tcPr>
            <w:tcW w:w="6696" w:type="dxa"/>
            <w:tcMar>
              <w:top w:w="200" w:type="dxa"/>
              <w:bottom w:w="200" w:type="dxa"/>
              <w:right w:w="0" w:type="dxa"/>
            </w:tcMar>
          </w:tcPr>
          <w:p w14:paraId="6B6ED076" w14:textId="77777777" w:rsidR="006561BA" w:rsidRDefault="005B4ED6">
            <w:pPr>
              <w:pStyle w:val="AnnexTableCellLeft"/>
            </w:pPr>
            <w:r>
              <w:t>Aktiviteten oppfyller kriteriene fastsatt i tillegg B til dette vedlegget.</w:t>
            </w:r>
          </w:p>
        </w:tc>
      </w:tr>
      <w:tr w:rsidR="006561BA" w14:paraId="2F9E5256" w14:textId="77777777">
        <w:trPr>
          <w:trHeight w:val="360"/>
        </w:trPr>
        <w:tc>
          <w:tcPr>
            <w:tcW w:w="2532" w:type="dxa"/>
            <w:tcMar>
              <w:top w:w="200" w:type="dxa"/>
              <w:left w:w="0" w:type="dxa"/>
              <w:bottom w:w="200" w:type="dxa"/>
            </w:tcMar>
          </w:tcPr>
          <w:p w14:paraId="5BE5F11D" w14:textId="77777777" w:rsidR="006561BA" w:rsidRDefault="005B4ED6">
            <w:pPr>
              <w:pStyle w:val="AnnexNumberedText"/>
              <w:spacing w:after="0"/>
              <w:ind w:left="293" w:hanging="293"/>
            </w:pPr>
            <w:r>
              <w:t>5)</w:t>
            </w:r>
            <w:r>
              <w:tab/>
              <w:t>Forebygging og begrensning av forurensning</w:t>
            </w:r>
          </w:p>
        </w:tc>
        <w:tc>
          <w:tcPr>
            <w:tcW w:w="6696" w:type="dxa"/>
            <w:tcMar>
              <w:top w:w="200" w:type="dxa"/>
              <w:bottom w:w="200" w:type="dxa"/>
              <w:right w:w="0" w:type="dxa"/>
            </w:tcMar>
          </w:tcPr>
          <w:p w14:paraId="1F5FCC30" w14:textId="77777777" w:rsidR="006561BA" w:rsidRDefault="005B4ED6">
            <w:pPr>
              <w:pStyle w:val="AnnexNumberedText"/>
              <w:tabs>
                <w:tab w:val="left" w:pos="272"/>
              </w:tabs>
              <w:ind w:left="0" w:firstLine="0"/>
            </w:pPr>
            <w:r>
              <w:t>1.</w:t>
            </w:r>
            <w:r>
              <w:tab/>
              <w:t>I aktiviteten benyttes søppelbiler som oppfyller minst Euro V-standarder(</w:t>
            </w:r>
            <w:bookmarkStart w:id="114" w:name="NOTE_115"/>
            <w:r>
              <w:rPr>
                <w:rStyle w:val="FootnoteReference"/>
                <w:sz w:val="18"/>
              </w:rPr>
              <w:footnoteReference w:id="116"/>
            </w:r>
            <w:bookmarkEnd w:id="114"/>
            <w:r>
              <w:t>).</w:t>
            </w:r>
          </w:p>
          <w:p w14:paraId="3929216F" w14:textId="77777777" w:rsidR="006561BA" w:rsidRDefault="005B4ED6">
            <w:pPr>
              <w:pStyle w:val="AnnexNumberedText"/>
              <w:tabs>
                <w:tab w:val="left" w:pos="272"/>
              </w:tabs>
              <w:ind w:left="0" w:firstLine="0"/>
            </w:pPr>
            <w:r>
              <w:t>2.</w:t>
            </w:r>
            <w:r>
              <w:tab/>
              <w:t>Farlig avfall samles inn separat fra ikke-farlig avfall for å forhindre krysskontaminering. Det skal treffes hensiktsmessige tiltak for å sikre at farlig avfall i forbindelse med separat innsamling og transport ikke blir blandet med andre kategorier av farlig avfall, eller med annet avfall, andre stoffer eller andre materialer. Blanding omfatter fortynning av farlige stoffer.</w:t>
            </w:r>
          </w:p>
          <w:p w14:paraId="79F46A8D" w14:textId="77777777" w:rsidR="006561BA" w:rsidRDefault="005B4ED6">
            <w:pPr>
              <w:pStyle w:val="AnnexNumberedText"/>
              <w:tabs>
                <w:tab w:val="left" w:pos="272"/>
              </w:tabs>
              <w:ind w:left="0" w:firstLine="0"/>
            </w:pPr>
            <w:r>
              <w:t>3.</w:t>
            </w:r>
            <w:r>
              <w:tab/>
              <w:t>Korrekt innsamling og håndtering forhindrer lekkasje av farlig avfall under innsamling, transport, lagring og levering til behandlingsanlegget som har tillatelse til å behandle farlig avfall.</w:t>
            </w:r>
          </w:p>
          <w:p w14:paraId="30A88B26" w14:textId="77777777" w:rsidR="006561BA" w:rsidRDefault="005B4ED6">
            <w:pPr>
              <w:pStyle w:val="AnnexNumberedText"/>
              <w:tabs>
                <w:tab w:val="left" w:pos="272"/>
              </w:tabs>
              <w:ind w:left="0" w:firstLine="0"/>
            </w:pPr>
            <w:r>
              <w:t>4.</w:t>
            </w:r>
            <w:r>
              <w:tab/>
              <w:t>Farlig avfall emballeres og merkes i samsvar med internasjonale standarder og EU-standarder i forbindelse med innsamling, transport og midlertidig lagring.</w:t>
            </w:r>
          </w:p>
          <w:p w14:paraId="4CEF083F" w14:textId="77777777" w:rsidR="006561BA" w:rsidRDefault="005B4ED6">
            <w:pPr>
              <w:pStyle w:val="AnnexNumberedText"/>
              <w:tabs>
                <w:tab w:val="left" w:pos="272"/>
              </w:tabs>
              <w:ind w:left="0" w:firstLine="0"/>
            </w:pPr>
            <w:r>
              <w:t>5.</w:t>
            </w:r>
            <w:r>
              <w:tab/>
              <w:t>Den aktivitetsutøveren som samler inn farlig avfall, oppfyller dokumentasjonskravene, herunder med hensyn til mengde, art, opprinnelse, destinasjon, innsamlingshyppighet, transportmåte og behandlingsmetode, som fastsatt i gjeldende EU-lovgivning og nasjonal lovgivning</w:t>
            </w:r>
          </w:p>
          <w:p w14:paraId="091C31C1" w14:textId="77777777" w:rsidR="006561BA" w:rsidRDefault="005B4ED6">
            <w:pPr>
              <w:pStyle w:val="AnnexNumberedText"/>
              <w:tabs>
                <w:tab w:val="left" w:pos="272"/>
              </w:tabs>
              <w:ind w:left="0" w:firstLine="0"/>
            </w:pPr>
            <w:r>
              <w:t>6.</w:t>
            </w:r>
            <w:r>
              <w:tab/>
              <w:t>For avfall fra elektrisk og elektronisk utstyr (WEEE):</w:t>
            </w:r>
          </w:p>
          <w:p w14:paraId="19AD7CED" w14:textId="77777777" w:rsidR="006561BA" w:rsidRDefault="005B4ED6">
            <w:pPr>
              <w:pStyle w:val="AnnexNumberedText"/>
              <w:spacing w:after="0"/>
              <w:ind w:left="283" w:hanging="283"/>
            </w:pPr>
            <w:r>
              <w:t>a)</w:t>
            </w:r>
            <w:r>
              <w:tab/>
              <w:t>De viktigste kategoriene av kasserte elektrisk og elektronisk utstyr som er angitt i vedlegg III til direktiv 2012/19/EU, samles inn separat.</w:t>
            </w:r>
          </w:p>
        </w:tc>
      </w:tr>
      <w:tr w:rsidR="006561BA" w14:paraId="4B5F5A67" w14:textId="77777777">
        <w:trPr>
          <w:trHeight w:val="240"/>
        </w:trPr>
        <w:tc>
          <w:tcPr>
            <w:tcW w:w="2532" w:type="dxa"/>
            <w:tcMar>
              <w:top w:w="200" w:type="dxa"/>
              <w:left w:w="0" w:type="dxa"/>
              <w:bottom w:w="200" w:type="dxa"/>
            </w:tcMar>
          </w:tcPr>
          <w:p w14:paraId="67C97698" w14:textId="77777777" w:rsidR="006561BA" w:rsidRDefault="006561BA">
            <w:pPr>
              <w:pStyle w:val="AnnexTableCellLeft"/>
              <w:pageBreakBefore/>
            </w:pPr>
          </w:p>
        </w:tc>
        <w:tc>
          <w:tcPr>
            <w:tcW w:w="6696" w:type="dxa"/>
            <w:tcMar>
              <w:top w:w="200" w:type="dxa"/>
              <w:bottom w:w="200" w:type="dxa"/>
              <w:right w:w="0" w:type="dxa"/>
            </w:tcMar>
          </w:tcPr>
          <w:p w14:paraId="36D79EC1" w14:textId="77777777" w:rsidR="006561BA" w:rsidRDefault="005B4ED6">
            <w:pPr>
              <w:pStyle w:val="AnnexNumberedText"/>
            </w:pPr>
            <w:r>
              <w:t>b)</w:t>
            </w:r>
            <w:r>
              <w:tab/>
              <w:t>Innsamling og transport sikrer at integriteten hos avfall fra elektrisk og elektronisk utstyr (WEEE) bevares, og forhindrer lekkasje av farlige stoffer, som for eksempel stoffer som bryter ned ozonlaget, fluorholdige klimagasser eller kvikksølv i lysstoffrør.</w:t>
            </w:r>
          </w:p>
          <w:p w14:paraId="08F21D6B" w14:textId="77777777" w:rsidR="006561BA" w:rsidRDefault="005B4ED6">
            <w:pPr>
              <w:pStyle w:val="AnnexNumberedText"/>
              <w:tabs>
                <w:tab w:val="left" w:pos="272"/>
              </w:tabs>
              <w:spacing w:after="0"/>
              <w:ind w:left="0" w:firstLine="0"/>
            </w:pPr>
            <w:r>
              <w:t>7.</w:t>
            </w:r>
            <w:r>
              <w:tab/>
              <w:t>Innsamlings- og logistikkoperatøren oppretter et ledelsessystem for å håndtere miljø-, helse- og sikkerhetsrisikoer.</w:t>
            </w:r>
          </w:p>
        </w:tc>
      </w:tr>
      <w:tr w:rsidR="006561BA" w14:paraId="30562751" w14:textId="77777777">
        <w:trPr>
          <w:trHeight w:val="360"/>
        </w:trPr>
        <w:tc>
          <w:tcPr>
            <w:tcW w:w="2532" w:type="dxa"/>
            <w:tcMar>
              <w:top w:w="200" w:type="dxa"/>
              <w:left w:w="0" w:type="dxa"/>
              <w:bottom w:w="200" w:type="dxa"/>
            </w:tcMar>
          </w:tcPr>
          <w:p w14:paraId="241BF4AA" w14:textId="77777777" w:rsidR="006561BA" w:rsidRDefault="005B4ED6">
            <w:pPr>
              <w:pStyle w:val="AnnexNumberedText"/>
              <w:spacing w:after="0"/>
              <w:ind w:left="293" w:hanging="293"/>
            </w:pPr>
            <w:r>
              <w:t>6)</w:t>
            </w:r>
            <w:r>
              <w:tab/>
              <w:t>Beskyttelse og restaurering av biologisk mangfold og økosystemer</w:t>
            </w:r>
          </w:p>
        </w:tc>
        <w:tc>
          <w:tcPr>
            <w:tcW w:w="6696" w:type="dxa"/>
            <w:tcMar>
              <w:top w:w="200" w:type="dxa"/>
              <w:bottom w:w="200" w:type="dxa"/>
              <w:right w:w="0" w:type="dxa"/>
            </w:tcMar>
          </w:tcPr>
          <w:p w14:paraId="5F85F007" w14:textId="77777777" w:rsidR="006561BA" w:rsidRDefault="005B4ED6">
            <w:pPr>
              <w:pStyle w:val="AnnexTableCellLeft"/>
            </w:pPr>
            <w:r>
              <w:t>Ikke relevant</w:t>
            </w:r>
          </w:p>
        </w:tc>
      </w:tr>
    </w:tbl>
    <w:p w14:paraId="742F220B" w14:textId="77777777" w:rsidR="006561BA" w:rsidRDefault="005B4ED6">
      <w:pPr>
        <w:pStyle w:val="AnnexNumberedText"/>
        <w:spacing w:before="600" w:after="600"/>
        <w:ind w:left="414" w:hanging="414"/>
      </w:pPr>
      <w:r>
        <w:t>2.4.</w:t>
      </w:r>
      <w:r>
        <w:rPr>
          <w:b/>
        </w:rPr>
        <w:tab/>
        <w:t>Behandling av farlig avfall</w:t>
      </w:r>
    </w:p>
    <w:p w14:paraId="4F39F51C" w14:textId="77777777" w:rsidR="006561BA" w:rsidRDefault="005B4ED6">
      <w:pPr>
        <w:pStyle w:val="AnnexGrSeq3"/>
        <w:spacing w:after="300"/>
        <w:jc w:val="both"/>
      </w:pPr>
      <w:r>
        <w:rPr>
          <w:i/>
        </w:rPr>
        <w:t>Beskrivelse av aktiviteten</w:t>
      </w:r>
    </w:p>
    <w:p w14:paraId="7D7D0969" w14:textId="77777777" w:rsidR="006561BA" w:rsidRDefault="005B4ED6">
      <w:pPr>
        <w:pStyle w:val="AnnexNormal"/>
        <w:spacing w:after="300"/>
      </w:pPr>
      <w:r>
        <w:t>Bygging, oppgradering og drift av særlige anlegg for behandling av farlig avfall som et middel for å utføre materialutnytting.</w:t>
      </w:r>
    </w:p>
    <w:p w14:paraId="40DF03F8" w14:textId="77777777" w:rsidR="006561BA" w:rsidRDefault="005B4ED6">
      <w:pPr>
        <w:pStyle w:val="AnnexNormal"/>
        <w:spacing w:after="300"/>
      </w:pPr>
      <w:r>
        <w:t xml:space="preserve">Denne økonomiske aktiviteten omfatter både materialutnytting </w:t>
      </w:r>
      <w:r>
        <w:rPr>
          <w:i/>
        </w:rPr>
        <w:t xml:space="preserve">in </w:t>
      </w:r>
      <w:proofErr w:type="spellStart"/>
      <w:r>
        <w:rPr>
          <w:i/>
        </w:rPr>
        <w:t>situ</w:t>
      </w:r>
      <w:proofErr w:type="spellEnd"/>
      <w:r>
        <w:t xml:space="preserve"> og </w:t>
      </w:r>
      <w:r>
        <w:rPr>
          <w:i/>
        </w:rPr>
        <w:t xml:space="preserve">ex </w:t>
      </w:r>
      <w:proofErr w:type="spellStart"/>
      <w:r>
        <w:rPr>
          <w:i/>
        </w:rPr>
        <w:t>situ</w:t>
      </w:r>
      <w:proofErr w:type="spellEnd"/>
      <w:r>
        <w:t xml:space="preserve"> av avfall som er klassifisert som farlig avfall i henhold til den europeiske listen over avfall, som opprettet ved kommisjonsvedtak 2000/532/EF(</w:t>
      </w:r>
      <w:bookmarkStart w:id="115" w:name="NOTE_116"/>
      <w:r>
        <w:rPr>
          <w:rStyle w:val="FootnoteReference"/>
          <w:sz w:val="18"/>
        </w:rPr>
        <w:footnoteReference w:id="117"/>
      </w:r>
      <w:bookmarkEnd w:id="115"/>
      <w:r>
        <w:t>) og i samsvar med vedlegg III til direktiv 2008/98/EF. Dette omfatter følgende strømmer:</w:t>
      </w:r>
    </w:p>
    <w:p w14:paraId="46A820A1" w14:textId="77777777" w:rsidR="006561BA" w:rsidRDefault="005B4ED6">
      <w:pPr>
        <w:pStyle w:val="AnnexNumberedText"/>
        <w:spacing w:after="300"/>
        <w:ind w:left="293" w:hanging="293"/>
      </w:pPr>
      <w:r>
        <w:t>a)</w:t>
      </w:r>
      <w:r>
        <w:tab/>
        <w:t>Regenerering av løsemidler.</w:t>
      </w:r>
    </w:p>
    <w:p w14:paraId="3AF88AAB" w14:textId="77777777" w:rsidR="006561BA" w:rsidRDefault="005B4ED6">
      <w:pPr>
        <w:pStyle w:val="AnnexNumberedText"/>
        <w:spacing w:after="300"/>
        <w:ind w:left="293" w:hanging="293"/>
      </w:pPr>
      <w:r>
        <w:t>b)</w:t>
      </w:r>
      <w:r>
        <w:tab/>
        <w:t>Regenerering av syrer eller baser.</w:t>
      </w:r>
    </w:p>
    <w:p w14:paraId="6BEC9537" w14:textId="77777777" w:rsidR="006561BA" w:rsidRDefault="005B4ED6">
      <w:pPr>
        <w:pStyle w:val="AnnexNumberedText"/>
        <w:spacing w:after="300"/>
        <w:ind w:left="293" w:hanging="293"/>
      </w:pPr>
      <w:r>
        <w:t>c)</w:t>
      </w:r>
      <w:r>
        <w:tab/>
        <w:t>Gjenvinning eller regenerering av andre uorganiske materialer enn metaller eller metallforbindelser.</w:t>
      </w:r>
    </w:p>
    <w:p w14:paraId="6E2549AD" w14:textId="77777777" w:rsidR="006561BA" w:rsidRDefault="005B4ED6">
      <w:pPr>
        <w:pStyle w:val="AnnexNumberedText"/>
        <w:spacing w:after="300"/>
        <w:ind w:left="293" w:hanging="293"/>
      </w:pPr>
      <w:r>
        <w:t>d)</w:t>
      </w:r>
      <w:r>
        <w:tab/>
        <w:t>Gjenvinning av bestanddeler som brukes til å fange opp forurensende stoffer.</w:t>
      </w:r>
    </w:p>
    <w:p w14:paraId="278864DD" w14:textId="77777777" w:rsidR="006561BA" w:rsidRDefault="005B4ED6">
      <w:pPr>
        <w:pStyle w:val="AnnexNumberedText"/>
        <w:spacing w:after="300"/>
        <w:ind w:left="293" w:hanging="293"/>
      </w:pPr>
      <w:r>
        <w:t>e)</w:t>
      </w:r>
      <w:r>
        <w:tab/>
        <w:t>Gjenvinning av komponenter fra katalysatorer.</w:t>
      </w:r>
    </w:p>
    <w:p w14:paraId="3692453B" w14:textId="77777777" w:rsidR="006561BA" w:rsidRDefault="005B4ED6">
      <w:pPr>
        <w:pStyle w:val="AnnexNumberedText"/>
        <w:spacing w:after="300"/>
        <w:ind w:left="293" w:hanging="293"/>
      </w:pPr>
      <w:r>
        <w:t>f)</w:t>
      </w:r>
      <w:r>
        <w:tab/>
      </w:r>
      <w:proofErr w:type="spellStart"/>
      <w:r>
        <w:t>Omraffinering</w:t>
      </w:r>
      <w:proofErr w:type="spellEnd"/>
      <w:r>
        <w:t xml:space="preserve"> av oljesmøremidler og andre spilloljer til industrielt bruk (unntatt bruk som brensel eller forbrenning).</w:t>
      </w:r>
    </w:p>
    <w:p w14:paraId="2476C532" w14:textId="77777777" w:rsidR="006561BA" w:rsidRDefault="005B4ED6">
      <w:pPr>
        <w:pStyle w:val="AnnexNormal"/>
        <w:spacing w:after="300"/>
      </w:pPr>
      <w:r>
        <w:t>Den økonomiske aktiviteten omfatter ikke ombruk av stoffer som ikke kan kvalifiseres som avfall, som for eksempel biprodukter eller restprodukter fra produksjonsaktiviteter, i samsvar med artikkel 5 i direktiv 2008/98/EF.</w:t>
      </w:r>
    </w:p>
    <w:p w14:paraId="7B77E40E" w14:textId="77777777" w:rsidR="006561BA" w:rsidRDefault="005B4ED6">
      <w:pPr>
        <w:pStyle w:val="AnnexNormal"/>
        <w:spacing w:after="300"/>
      </w:pPr>
      <w:r>
        <w:t>Den økonomiske aktiviteten omfatter ikke gjenvinning av materialer fra batterier, avfall fra elektrisk og elektronisk utstyr (WEEE), kasserte kjøretøyer, uorganiske materialer fra forbrenningsprosesser, som for eksempel aske, slagg eller støv. Den økonomiske aktiviteten omfatter ikke behandling og gjenvinning av atomavfall.</w:t>
      </w:r>
    </w:p>
    <w:p w14:paraId="4174E592" w14:textId="1EF5BDF8" w:rsidR="006561BA" w:rsidRDefault="005B4ED6">
      <w:pPr>
        <w:pStyle w:val="AnnexNormal"/>
      </w:pPr>
      <w:r>
        <w:t>De økonomiske aktivitetene i denne kategorien kan knyttes til flere NACE-koder, særlig E38.22, E28.32 og F42.9</w:t>
      </w:r>
      <w:r w:rsidR="00605B05">
        <w:t>,</w:t>
      </w:r>
      <w:r>
        <w:t xml:space="preserve"> </w:t>
      </w:r>
      <w:r w:rsidR="00263202">
        <w:t xml:space="preserve">i </w:t>
      </w:r>
      <w:r>
        <w:t>samsvar med standarden for næringsgruppering fastsatt ved forordning (EF) nr. 1893/2006.</w:t>
      </w:r>
      <w:r>
        <w:br w:type="page"/>
      </w:r>
    </w:p>
    <w:p w14:paraId="3C97EEE0" w14:textId="77777777" w:rsidR="006561BA" w:rsidRDefault="005B4ED6">
      <w:pPr>
        <w:pStyle w:val="AnnexGrSeq3"/>
        <w:spacing w:after="300"/>
        <w:jc w:val="both"/>
      </w:pPr>
      <w:r>
        <w:rPr>
          <w:i/>
        </w:rPr>
        <w:lastRenderedPageBreak/>
        <w:t>Tekniske screeningkriterier</w:t>
      </w:r>
    </w:p>
    <w:tbl>
      <w:tblPr>
        <w:tblStyle w:val="EFTATable"/>
        <w:tblW w:w="9228" w:type="dxa"/>
        <w:tblInd w:w="12" w:type="dxa"/>
        <w:tblLayout w:type="fixed"/>
        <w:tblLook w:val="04A0" w:firstRow="1" w:lastRow="0" w:firstColumn="1" w:lastColumn="0" w:noHBand="0" w:noVBand="1"/>
      </w:tblPr>
      <w:tblGrid>
        <w:gridCol w:w="2544"/>
        <w:gridCol w:w="6684"/>
      </w:tblGrid>
      <w:tr w:rsidR="006561BA" w14:paraId="2F216929" w14:textId="77777777">
        <w:trPr>
          <w:trHeight w:val="240"/>
        </w:trPr>
        <w:tc>
          <w:tcPr>
            <w:tcW w:w="9228" w:type="dxa"/>
            <w:gridSpan w:val="2"/>
            <w:tcMar>
              <w:top w:w="200" w:type="dxa"/>
              <w:left w:w="0" w:type="dxa"/>
              <w:bottom w:w="200" w:type="dxa"/>
              <w:right w:w="0" w:type="dxa"/>
            </w:tcMar>
          </w:tcPr>
          <w:p w14:paraId="2BB3E33D" w14:textId="77777777" w:rsidR="006561BA" w:rsidRDefault="005B4ED6">
            <w:pPr>
              <w:pStyle w:val="AnnexTableCellLeft"/>
            </w:pPr>
            <w:r>
              <w:t>Vesentlig bidrag til omstilling til en sirkulær økonomi</w:t>
            </w:r>
          </w:p>
        </w:tc>
      </w:tr>
      <w:tr w:rsidR="006561BA" w14:paraId="1972E766" w14:textId="77777777">
        <w:trPr>
          <w:trHeight w:val="360"/>
        </w:trPr>
        <w:tc>
          <w:tcPr>
            <w:tcW w:w="9228" w:type="dxa"/>
            <w:gridSpan w:val="2"/>
            <w:tcMar>
              <w:top w:w="200" w:type="dxa"/>
              <w:left w:w="0" w:type="dxa"/>
              <w:bottom w:w="200" w:type="dxa"/>
              <w:right w:w="0" w:type="dxa"/>
            </w:tcMar>
          </w:tcPr>
          <w:p w14:paraId="2FCC271B" w14:textId="3DFDB8D1" w:rsidR="006561BA" w:rsidRDefault="005B4ED6">
            <w:pPr>
              <w:pStyle w:val="AnnexNumberedText"/>
              <w:tabs>
                <w:tab w:val="left" w:pos="276"/>
              </w:tabs>
              <w:ind w:left="0" w:firstLine="0"/>
            </w:pPr>
            <w:r>
              <w:t>1.</w:t>
            </w:r>
            <w:r>
              <w:tab/>
              <w:t xml:space="preserve">Aktivitetene består av materialutnytting av </w:t>
            </w:r>
            <w:r w:rsidR="007E6614" w:rsidRPr="007E6614">
              <w:t xml:space="preserve">sekundære råvarer </w:t>
            </w:r>
            <w:r>
              <w:t>(herunder kjemiske stoffer og kritiske rå</w:t>
            </w:r>
            <w:r w:rsidR="007E6614">
              <w:t>varer</w:t>
            </w:r>
            <w:r>
              <w:t>) fra kildesortert farlig avfall.</w:t>
            </w:r>
          </w:p>
          <w:p w14:paraId="46050F26" w14:textId="2C5BC1B8" w:rsidR="006561BA" w:rsidRDefault="005B4ED6">
            <w:pPr>
              <w:pStyle w:val="AnnexNumberedText"/>
              <w:tabs>
                <w:tab w:val="left" w:pos="276"/>
              </w:tabs>
              <w:ind w:left="0" w:firstLine="0"/>
            </w:pPr>
            <w:r>
              <w:t>2.</w:t>
            </w:r>
            <w:r>
              <w:tab/>
              <w:t>De materialene som er nyttiggjort, erstatter primær</w:t>
            </w:r>
            <w:r w:rsidR="00BC24FD">
              <w:t xml:space="preserve">e </w:t>
            </w:r>
            <w:r>
              <w:t>rå</w:t>
            </w:r>
            <w:r w:rsidR="00BC24FD">
              <w:t>varer</w:t>
            </w:r>
            <w:r>
              <w:t xml:space="preserve">, herunder kritiske </w:t>
            </w:r>
            <w:r w:rsidR="008048D3">
              <w:t>råvarer</w:t>
            </w:r>
            <w:r>
              <w:t>, eller kjemikalier i produksjonsprosesser(</w:t>
            </w:r>
            <w:bookmarkStart w:id="116" w:name="NOTE_117"/>
            <w:r>
              <w:rPr>
                <w:rStyle w:val="FootnoteReference"/>
                <w:sz w:val="18"/>
              </w:rPr>
              <w:footnoteReference w:id="118"/>
            </w:r>
            <w:bookmarkEnd w:id="116"/>
            <w:r>
              <w:t>).</w:t>
            </w:r>
          </w:p>
          <w:p w14:paraId="4B230490" w14:textId="77777777" w:rsidR="006561BA" w:rsidRDefault="005B4ED6">
            <w:pPr>
              <w:pStyle w:val="AnnexNumberedText"/>
              <w:tabs>
                <w:tab w:val="left" w:pos="276"/>
              </w:tabs>
              <w:spacing w:after="0"/>
              <w:ind w:left="0" w:firstLine="0"/>
            </w:pPr>
            <w:r>
              <w:t>3.</w:t>
            </w:r>
            <w:r>
              <w:tab/>
              <w:t>De materialene som er nyttiggjort, er i samsvar med gjeldende industrispesifikasjoner, harmoniserte standarder eller kriterier for når avfallet opphører å være avfall, samt relevant gjeldende EU-lovgivning og nasjonal lovgivning.</w:t>
            </w:r>
          </w:p>
        </w:tc>
      </w:tr>
      <w:tr w:rsidR="006561BA" w14:paraId="4758DCD7" w14:textId="77777777">
        <w:trPr>
          <w:trHeight w:val="240"/>
        </w:trPr>
        <w:tc>
          <w:tcPr>
            <w:tcW w:w="9228" w:type="dxa"/>
            <w:gridSpan w:val="2"/>
            <w:tcMar>
              <w:top w:w="200" w:type="dxa"/>
              <w:left w:w="0" w:type="dxa"/>
              <w:bottom w:w="200" w:type="dxa"/>
              <w:right w:w="0" w:type="dxa"/>
            </w:tcMar>
          </w:tcPr>
          <w:p w14:paraId="6823FAC9" w14:textId="77777777" w:rsidR="006561BA" w:rsidRDefault="005B4ED6">
            <w:pPr>
              <w:pStyle w:val="AnnexTableCellLeft"/>
            </w:pPr>
            <w:r>
              <w:t>Prinsippet om ikke å gjøre betydelig skade («DNSH»)</w:t>
            </w:r>
          </w:p>
        </w:tc>
      </w:tr>
      <w:tr w:rsidR="006561BA" w14:paraId="39BA58DE" w14:textId="77777777">
        <w:tc>
          <w:tcPr>
            <w:tcW w:w="2544" w:type="dxa"/>
            <w:tcMar>
              <w:top w:w="200" w:type="dxa"/>
              <w:left w:w="0" w:type="dxa"/>
              <w:bottom w:w="200" w:type="dxa"/>
            </w:tcMar>
          </w:tcPr>
          <w:p w14:paraId="371D0C8E" w14:textId="77777777" w:rsidR="006561BA" w:rsidRDefault="005B4ED6">
            <w:pPr>
              <w:pStyle w:val="AnnexNumberedText"/>
              <w:spacing w:after="0"/>
              <w:ind w:left="293" w:hanging="293"/>
            </w:pPr>
            <w:r>
              <w:t>1)</w:t>
            </w:r>
            <w:r>
              <w:tab/>
              <w:t>Begrensning av klimaendringer</w:t>
            </w:r>
          </w:p>
        </w:tc>
        <w:tc>
          <w:tcPr>
            <w:tcW w:w="6684" w:type="dxa"/>
            <w:tcMar>
              <w:top w:w="200" w:type="dxa"/>
              <w:bottom w:w="200" w:type="dxa"/>
              <w:right w:w="0" w:type="dxa"/>
            </w:tcMar>
          </w:tcPr>
          <w:p w14:paraId="7077855D" w14:textId="43DBE645" w:rsidR="006561BA" w:rsidRDefault="005B4ED6">
            <w:pPr>
              <w:pStyle w:val="AnnexTableCellLeft"/>
              <w:spacing w:after="120"/>
            </w:pPr>
            <w:r>
              <w:t xml:space="preserve">Aktiviteten, på livsløpsbasis, øker ikke klimagassutslippene sammenlignet med den produksjonen som er basert på </w:t>
            </w:r>
            <w:r w:rsidR="00C6603E">
              <w:t>de</w:t>
            </w:r>
            <w:r w:rsidR="00814D4E">
              <w:t>n</w:t>
            </w:r>
            <w:r w:rsidR="00C6603E">
              <w:t xml:space="preserve"> eller de </w:t>
            </w:r>
            <w:r>
              <w:t>tilsvarende primær</w:t>
            </w:r>
            <w:r w:rsidR="00C6603E">
              <w:t>e råvarene.</w:t>
            </w:r>
          </w:p>
          <w:p w14:paraId="34444290" w14:textId="77777777" w:rsidR="006561BA" w:rsidRDefault="005B4ED6">
            <w:pPr>
              <w:pStyle w:val="AnnexTableCellLeft"/>
            </w:pPr>
            <w:r>
              <w:t>Livsløpsutslipp av klimagasser beregnes ved hjelp av rekommandasjon 2013/179/EU eller alternativt ISO 14067:2018(</w:t>
            </w:r>
            <w:bookmarkStart w:id="117" w:name="NOTE_118"/>
            <w:r>
              <w:rPr>
                <w:rStyle w:val="FootnoteReference"/>
                <w:sz w:val="18"/>
              </w:rPr>
              <w:footnoteReference w:id="119"/>
            </w:r>
            <w:bookmarkEnd w:id="117"/>
            <w:r>
              <w:t>) eller ISO 14064-1:2018(</w:t>
            </w:r>
            <w:bookmarkStart w:id="118" w:name="NOTE_119"/>
            <w:r>
              <w:rPr>
                <w:rStyle w:val="FootnoteReference"/>
                <w:sz w:val="18"/>
              </w:rPr>
              <w:footnoteReference w:id="120"/>
            </w:r>
            <w:bookmarkEnd w:id="118"/>
            <w:r>
              <w:t>). Kvantifiserte livsløpsutslipp av klimagasser verifiseres av en uavhengig tredjepart.</w:t>
            </w:r>
          </w:p>
        </w:tc>
      </w:tr>
      <w:tr w:rsidR="006561BA" w14:paraId="2384D300" w14:textId="77777777">
        <w:tc>
          <w:tcPr>
            <w:tcW w:w="2544" w:type="dxa"/>
            <w:tcMar>
              <w:top w:w="200" w:type="dxa"/>
              <w:left w:w="0" w:type="dxa"/>
              <w:bottom w:w="200" w:type="dxa"/>
            </w:tcMar>
          </w:tcPr>
          <w:p w14:paraId="3CF00C39" w14:textId="77777777" w:rsidR="006561BA" w:rsidRDefault="005B4ED6">
            <w:pPr>
              <w:pStyle w:val="AnnexNumberedText"/>
              <w:spacing w:after="0"/>
              <w:ind w:left="293" w:hanging="293"/>
            </w:pPr>
            <w:r>
              <w:t>2)</w:t>
            </w:r>
            <w:r>
              <w:tab/>
              <w:t>Tilpasning til klimaendringer</w:t>
            </w:r>
          </w:p>
        </w:tc>
        <w:tc>
          <w:tcPr>
            <w:tcW w:w="6684" w:type="dxa"/>
            <w:tcMar>
              <w:top w:w="200" w:type="dxa"/>
              <w:bottom w:w="200" w:type="dxa"/>
              <w:right w:w="0" w:type="dxa"/>
            </w:tcMar>
          </w:tcPr>
          <w:p w14:paraId="6011BCCC" w14:textId="77777777" w:rsidR="006561BA" w:rsidRDefault="005B4ED6">
            <w:pPr>
              <w:pStyle w:val="AnnexTableCellLeft"/>
            </w:pPr>
            <w:r>
              <w:t>Aktiviteten oppfyller kriteriene fastsatt i tillegg A til dette vedlegget.</w:t>
            </w:r>
          </w:p>
        </w:tc>
      </w:tr>
      <w:tr w:rsidR="006561BA" w14:paraId="1E60F54B" w14:textId="77777777">
        <w:tc>
          <w:tcPr>
            <w:tcW w:w="2544" w:type="dxa"/>
            <w:tcMar>
              <w:top w:w="200" w:type="dxa"/>
              <w:left w:w="0" w:type="dxa"/>
              <w:bottom w:w="200" w:type="dxa"/>
            </w:tcMar>
          </w:tcPr>
          <w:p w14:paraId="399F6843" w14:textId="77777777" w:rsidR="006561BA" w:rsidRDefault="005B4ED6">
            <w:pPr>
              <w:pStyle w:val="AnnexNumberedText"/>
              <w:spacing w:after="0"/>
              <w:ind w:left="293" w:hanging="293"/>
            </w:pPr>
            <w:r>
              <w:t>3)</w:t>
            </w:r>
            <w:r>
              <w:tab/>
              <w:t>Bærekraftig bruk og beskyttelse av vann- og havressurser</w:t>
            </w:r>
          </w:p>
        </w:tc>
        <w:tc>
          <w:tcPr>
            <w:tcW w:w="6684" w:type="dxa"/>
            <w:tcMar>
              <w:top w:w="200" w:type="dxa"/>
              <w:bottom w:w="200" w:type="dxa"/>
              <w:right w:w="0" w:type="dxa"/>
            </w:tcMar>
          </w:tcPr>
          <w:p w14:paraId="336FB433" w14:textId="77777777" w:rsidR="006561BA" w:rsidRDefault="005B4ED6">
            <w:pPr>
              <w:pStyle w:val="AnnexTableCellLeft"/>
              <w:spacing w:after="120"/>
            </w:pPr>
            <w:r>
              <w:t>Aktiviteten oppfyller kriteriene fastsatt i tillegg B til dette vedlegget.</w:t>
            </w:r>
          </w:p>
          <w:p w14:paraId="5F60C48B" w14:textId="77777777" w:rsidR="006561BA" w:rsidRDefault="005B4ED6">
            <w:pPr>
              <w:pStyle w:val="AnnexTableCellLeft"/>
            </w:pPr>
            <w:r>
              <w:t>Relevante teknikker brukes for å beskytte vann- og havressurser, som fastsatt i konklusjonene om beste tilgjengelige teknikker (BAT-konklusjoner) for avfallsbehandling(</w:t>
            </w:r>
            <w:bookmarkStart w:id="119" w:name="NOTE_120"/>
            <w:r>
              <w:rPr>
                <w:rStyle w:val="FootnoteReference"/>
                <w:sz w:val="18"/>
              </w:rPr>
              <w:footnoteReference w:id="121"/>
            </w:r>
            <w:bookmarkEnd w:id="119"/>
            <w:r>
              <w:t>).</w:t>
            </w:r>
          </w:p>
        </w:tc>
      </w:tr>
      <w:tr w:rsidR="006561BA" w14:paraId="7B328943" w14:textId="77777777">
        <w:tc>
          <w:tcPr>
            <w:tcW w:w="2544" w:type="dxa"/>
            <w:tcMar>
              <w:top w:w="200" w:type="dxa"/>
              <w:left w:w="0" w:type="dxa"/>
              <w:bottom w:w="200" w:type="dxa"/>
            </w:tcMar>
          </w:tcPr>
          <w:p w14:paraId="08AF0E33" w14:textId="77777777" w:rsidR="006561BA" w:rsidRDefault="005B4ED6">
            <w:pPr>
              <w:pStyle w:val="AnnexNumberedText"/>
              <w:spacing w:after="0"/>
              <w:ind w:left="293" w:hanging="293"/>
            </w:pPr>
            <w:r>
              <w:t>5)</w:t>
            </w:r>
            <w:r>
              <w:tab/>
              <w:t>Forebygging og begrensning av forurensning</w:t>
            </w:r>
          </w:p>
        </w:tc>
        <w:tc>
          <w:tcPr>
            <w:tcW w:w="6684" w:type="dxa"/>
            <w:tcMar>
              <w:top w:w="200" w:type="dxa"/>
              <w:bottom w:w="200" w:type="dxa"/>
              <w:right w:w="0" w:type="dxa"/>
            </w:tcMar>
          </w:tcPr>
          <w:p w14:paraId="3EC066BC" w14:textId="77777777" w:rsidR="006561BA" w:rsidRDefault="005B4ED6">
            <w:pPr>
              <w:pStyle w:val="AnnexTableCellLeft"/>
              <w:spacing w:after="120"/>
            </w:pPr>
            <w:r>
              <w:t>Alle stoffer og stoffblandinger som gjenvinnes, overholder gjeldende relevant lovgivning, som forordning (EF) nr. 1907/2006, forordning (EU) 2019/1021, forordning (EF) nr. 1272/2008 og direktiv 2008/98/EF.</w:t>
            </w:r>
          </w:p>
          <w:p w14:paraId="76321A94" w14:textId="77777777" w:rsidR="006561BA" w:rsidRDefault="005B4ED6">
            <w:pPr>
              <w:pStyle w:val="AnnexTableCellLeft"/>
            </w:pPr>
            <w:r>
              <w:t>Aktiviteten benytter relevante teknikker for forebygging og begrensning av forurensning, som fastsatt i konklusjonene om beste tilgjengelige teknikker (BAT-konklusjoner) for avfallsbehandling(</w:t>
            </w:r>
            <w:bookmarkStart w:id="120" w:name="NOTE_121"/>
            <w:r>
              <w:rPr>
                <w:rStyle w:val="FootnoteReference"/>
                <w:sz w:val="18"/>
              </w:rPr>
              <w:footnoteReference w:id="122"/>
            </w:r>
            <w:bookmarkEnd w:id="120"/>
            <w:r>
              <w:t>). Aktiviteten oppfyller de relevante tilknyttede utslippsgrensene (BAT-AEL).</w:t>
            </w:r>
          </w:p>
        </w:tc>
      </w:tr>
      <w:tr w:rsidR="006561BA" w14:paraId="5D3C0DE0" w14:textId="77777777">
        <w:tc>
          <w:tcPr>
            <w:tcW w:w="2544" w:type="dxa"/>
            <w:tcMar>
              <w:top w:w="200" w:type="dxa"/>
              <w:left w:w="0" w:type="dxa"/>
              <w:bottom w:w="200" w:type="dxa"/>
            </w:tcMar>
          </w:tcPr>
          <w:p w14:paraId="5CC8C5F3" w14:textId="77777777" w:rsidR="006561BA" w:rsidRDefault="005B4ED6">
            <w:pPr>
              <w:pStyle w:val="AnnexNumberedText"/>
              <w:spacing w:after="0"/>
              <w:ind w:left="293" w:hanging="293"/>
            </w:pPr>
            <w:r>
              <w:t>6)</w:t>
            </w:r>
            <w:r>
              <w:tab/>
              <w:t>Beskyttelse og restaurering av biologisk mangfold og økosystemer</w:t>
            </w:r>
          </w:p>
        </w:tc>
        <w:tc>
          <w:tcPr>
            <w:tcW w:w="6684" w:type="dxa"/>
            <w:tcMar>
              <w:top w:w="200" w:type="dxa"/>
              <w:bottom w:w="200" w:type="dxa"/>
              <w:right w:w="0" w:type="dxa"/>
            </w:tcMar>
          </w:tcPr>
          <w:p w14:paraId="1D5EE9CD" w14:textId="77777777" w:rsidR="006561BA" w:rsidRDefault="005B4ED6">
            <w:pPr>
              <w:pStyle w:val="AnnexTableCellLeft"/>
            </w:pPr>
            <w:r>
              <w:t>Aktiviteten oppfyller kriteriene fastsatt i tillegg D til dette vedlegget.</w:t>
            </w:r>
          </w:p>
        </w:tc>
      </w:tr>
    </w:tbl>
    <w:p w14:paraId="63ED3140" w14:textId="77777777" w:rsidR="006561BA" w:rsidRDefault="005B4ED6">
      <w:pPr>
        <w:shd w:val="clear" w:color="auto" w:fill="auto"/>
        <w:spacing w:line="0" w:lineRule="auto"/>
        <w:jc w:val="left"/>
        <w:rPr>
          <w:color w:val="auto"/>
          <w14:ligatures w14:val="standard"/>
        </w:rPr>
      </w:pPr>
      <w:r>
        <w:br w:type="page"/>
      </w:r>
    </w:p>
    <w:p w14:paraId="1D874D27" w14:textId="77777777" w:rsidR="006561BA" w:rsidRDefault="005B4ED6">
      <w:pPr>
        <w:pStyle w:val="AnnexNumberedText"/>
        <w:spacing w:after="600"/>
        <w:ind w:left="414" w:hanging="414"/>
      </w:pPr>
      <w:r>
        <w:lastRenderedPageBreak/>
        <w:t>2.5.</w:t>
      </w:r>
      <w:r>
        <w:rPr>
          <w:b/>
        </w:rPr>
        <w:tab/>
        <w:t>Gjenvinning av bioavfall via anaerob nedbryting eller kompostering</w:t>
      </w:r>
    </w:p>
    <w:p w14:paraId="6AA79008" w14:textId="77777777" w:rsidR="006561BA" w:rsidRDefault="005B4ED6">
      <w:pPr>
        <w:pStyle w:val="AnnexGrSeq3"/>
        <w:jc w:val="both"/>
      </w:pPr>
      <w:r>
        <w:rPr>
          <w:i/>
        </w:rPr>
        <w:t>Beskrivelse av aktiviteten</w:t>
      </w:r>
    </w:p>
    <w:p w14:paraId="394D6BF5" w14:textId="77777777" w:rsidR="006561BA" w:rsidRDefault="005B4ED6">
      <w:pPr>
        <w:pStyle w:val="AnnexNormal"/>
      </w:pPr>
      <w:r>
        <w:t>Bygging og drift av anlegg for behandling av separat innsamlet bioavfall gjennom anaerob nedbryting eller kompostering, med etterfølgende produksjon og bruk av biogass, biometan, biorester, kompost eller kjemikalier.</w:t>
      </w:r>
    </w:p>
    <w:p w14:paraId="6A3362CE" w14:textId="54858AB1" w:rsidR="006561BA" w:rsidRDefault="005B4ED6">
      <w:pPr>
        <w:pStyle w:val="AnnexNormal"/>
        <w:spacing w:after="600"/>
      </w:pPr>
      <w:r>
        <w:t>De økonomiske aktivitetene i denne kategorien kan knyttes til flere NACE-koder, særlig E38.21 og F42.9</w:t>
      </w:r>
      <w:r w:rsidR="00605B05">
        <w:t>,</w:t>
      </w:r>
      <w:r>
        <w:t xml:space="preserve"> i samsvar med standarden for næringsgruppering fastsatt ved forordning (EF) nr. 1893/2006.</w:t>
      </w:r>
    </w:p>
    <w:p w14:paraId="506259A5" w14:textId="77777777" w:rsidR="006561BA" w:rsidRDefault="005B4ED6">
      <w:pPr>
        <w:pStyle w:val="AnnexGrSeq3"/>
        <w:jc w:val="both"/>
      </w:pPr>
      <w:r>
        <w:rPr>
          <w:i/>
        </w:rPr>
        <w:t>Tekniske screeningkriterier</w:t>
      </w:r>
    </w:p>
    <w:tbl>
      <w:tblPr>
        <w:tblStyle w:val="EFTATable"/>
        <w:tblW w:w="9228" w:type="dxa"/>
        <w:tblInd w:w="12" w:type="dxa"/>
        <w:tblLayout w:type="fixed"/>
        <w:tblLook w:val="04A0" w:firstRow="1" w:lastRow="0" w:firstColumn="1" w:lastColumn="0" w:noHBand="0" w:noVBand="1"/>
      </w:tblPr>
      <w:tblGrid>
        <w:gridCol w:w="2556"/>
        <w:gridCol w:w="6672"/>
      </w:tblGrid>
      <w:tr w:rsidR="006561BA" w14:paraId="29B8A78A" w14:textId="77777777">
        <w:trPr>
          <w:trHeight w:val="240"/>
        </w:trPr>
        <w:tc>
          <w:tcPr>
            <w:tcW w:w="9228" w:type="dxa"/>
            <w:gridSpan w:val="2"/>
            <w:tcMar>
              <w:top w:w="200" w:type="dxa"/>
              <w:left w:w="0" w:type="dxa"/>
              <w:bottom w:w="200" w:type="dxa"/>
              <w:right w:w="0" w:type="dxa"/>
            </w:tcMar>
          </w:tcPr>
          <w:p w14:paraId="6815DC7D" w14:textId="77777777" w:rsidR="006561BA" w:rsidRDefault="005B4ED6">
            <w:pPr>
              <w:pStyle w:val="AnnexTableCellLeft"/>
            </w:pPr>
            <w:r>
              <w:t>Vesentlig bidrag til omstilling til en sirkulær økonomi</w:t>
            </w:r>
          </w:p>
        </w:tc>
      </w:tr>
      <w:tr w:rsidR="006561BA" w14:paraId="601F8F98" w14:textId="77777777">
        <w:trPr>
          <w:trHeight w:val="360"/>
        </w:trPr>
        <w:tc>
          <w:tcPr>
            <w:tcW w:w="9228" w:type="dxa"/>
            <w:gridSpan w:val="2"/>
            <w:tcMar>
              <w:top w:w="200" w:type="dxa"/>
              <w:left w:w="0" w:type="dxa"/>
              <w:bottom w:w="200" w:type="dxa"/>
              <w:right w:w="0" w:type="dxa"/>
            </w:tcMar>
          </w:tcPr>
          <w:p w14:paraId="2C0023D6" w14:textId="77777777" w:rsidR="006561BA" w:rsidRDefault="005B4ED6">
            <w:pPr>
              <w:pStyle w:val="AnnexNumberedText"/>
              <w:tabs>
                <w:tab w:val="left" w:pos="276"/>
              </w:tabs>
              <w:ind w:left="0" w:firstLine="0"/>
            </w:pPr>
            <w:r>
              <w:t>1.</w:t>
            </w:r>
            <w:r>
              <w:tab/>
              <w:t>Bioavfallet som brukes til anaerob nedbryting eller kompostering, er kildesortert og innsamlet separat. Dersom bioavfall samles i biologisk nedbrytbare poser, skal posene ha den relevante komposterbare sertifiseringsstandarden EN 13432:2000(</w:t>
            </w:r>
            <w:bookmarkStart w:id="121" w:name="NOTE_122"/>
            <w:r>
              <w:rPr>
                <w:rStyle w:val="FootnoteReference"/>
                <w:sz w:val="18"/>
              </w:rPr>
              <w:footnoteReference w:id="123"/>
            </w:r>
            <w:bookmarkEnd w:id="121"/>
            <w:r>
              <w:t>).</w:t>
            </w:r>
          </w:p>
          <w:p w14:paraId="1C6BA641" w14:textId="7984CD01" w:rsidR="006561BA" w:rsidRDefault="005B4ED6">
            <w:pPr>
              <w:pStyle w:val="AnnexNumberedText"/>
              <w:tabs>
                <w:tab w:val="left" w:pos="276"/>
              </w:tabs>
              <w:ind w:left="0" w:firstLine="0"/>
            </w:pPr>
            <w:r>
              <w:t>2.</w:t>
            </w:r>
            <w:r>
              <w:tab/>
              <w:t xml:space="preserve">I disse anleggene for anaerob nedbryting utgjør kildesortert bioavfall fra separat innsamling minst 70 % av innsatsmaterialet, målt i vekt, som et årlig gjennomsnitt. </w:t>
            </w:r>
            <w:proofErr w:type="spellStart"/>
            <w:r w:rsidR="00502733">
              <w:t>Sam</w:t>
            </w:r>
            <w:r w:rsidR="00075BA4">
              <w:t>utråtning</w:t>
            </w:r>
            <w:proofErr w:type="spellEnd"/>
            <w:r>
              <w:t xml:space="preserve"> kan dekke opptil 30 % av innsatsmaterialene fra avanserte bioenergiråstoffer som oppført i vedlegg IX til direktiv (EU) 2018/2001, som ikke skal omfatte forurensede råvarer som stammer fra biomassefraksjon av blandet kommunalt og industrielt avfall. Innsatsmaterialene omfatter ikke råvarer som er utelukket i henhold til del II i vedlegg II til forordning (EU) 2019/1009, for komponentmaterial</w:t>
            </w:r>
            <w:r w:rsidR="00077091">
              <w:t>e</w:t>
            </w:r>
            <w:r>
              <w:t>kategori (CMC) 3 (kompost) i samsvar med bokstav c) i denne kategorien og for komponentmaterial</w:t>
            </w:r>
            <w:r w:rsidR="00077091">
              <w:t>e</w:t>
            </w:r>
            <w:r>
              <w:t>kategori (CMC) 5 (andre biorester enn biorester fra ferske avlinger) i samsvar med bokstav c) i denne kategorien.</w:t>
            </w:r>
          </w:p>
          <w:p w14:paraId="68D5D976" w14:textId="77777777" w:rsidR="006561BA" w:rsidRDefault="005B4ED6">
            <w:pPr>
              <w:pStyle w:val="AnnexNumberedText"/>
              <w:tabs>
                <w:tab w:val="left" w:pos="276"/>
              </w:tabs>
              <w:ind w:left="0" w:firstLine="0"/>
            </w:pPr>
            <w:r>
              <w:t>3.</w:t>
            </w:r>
            <w:r>
              <w:tab/>
              <w:t xml:space="preserve"> I aktiviteten produseres en av følgende:</w:t>
            </w:r>
          </w:p>
          <w:p w14:paraId="6F047981" w14:textId="1B7C2D1C" w:rsidR="006561BA" w:rsidRDefault="005B4ED6">
            <w:pPr>
              <w:pStyle w:val="AnnexNumberedText"/>
              <w:ind w:left="293" w:hanging="293"/>
            </w:pPr>
            <w:r>
              <w:t>a)</w:t>
            </w:r>
            <w:r>
              <w:tab/>
              <w:t xml:space="preserve">Kompost eller biorester i samsvar med forordning (EU) 2019/1009, særlig </w:t>
            </w:r>
            <w:r w:rsidR="00FE28E5">
              <w:t xml:space="preserve">i samsvar </w:t>
            </w:r>
            <w:r>
              <w:t>med kravene i vedlegg II om komponentmaterialekategorier (CMC), med henvisning særlig til CMC 3 (kompost) og CMC 5 (andre biorester enn biorester fra ferske avlinger) eller med nasjonale regler for gjødsel eller jordforbedringsmidler, med like eller strengere krav sammenlignet med kravene i forordning 2019/1009.</w:t>
            </w:r>
          </w:p>
          <w:p w14:paraId="19B62A73" w14:textId="77777777" w:rsidR="006561BA" w:rsidRDefault="005B4ED6">
            <w:pPr>
              <w:pStyle w:val="AnnexNumberedText"/>
              <w:ind w:left="293" w:hanging="293"/>
            </w:pPr>
            <w:r>
              <w:t>b)</w:t>
            </w:r>
            <w:r>
              <w:tab/>
              <w:t xml:space="preserve">Kjemikalier gjennom omdanning av organisk avfall til </w:t>
            </w:r>
            <w:proofErr w:type="spellStart"/>
            <w:r>
              <w:t>karboksylater</w:t>
            </w:r>
            <w:proofErr w:type="spellEnd"/>
            <w:r>
              <w:t xml:space="preserve">, karboksylsyrer eller </w:t>
            </w:r>
            <w:proofErr w:type="spellStart"/>
            <w:r>
              <w:t>polymerer</w:t>
            </w:r>
            <w:proofErr w:type="spellEnd"/>
            <w:r>
              <w:t xml:space="preserve"> ved gjæring med blandede kulturer.</w:t>
            </w:r>
          </w:p>
          <w:p w14:paraId="7C87367F" w14:textId="77777777" w:rsidR="006561BA" w:rsidRDefault="005B4ED6">
            <w:pPr>
              <w:pStyle w:val="AnnexNumberedText"/>
              <w:tabs>
                <w:tab w:val="left" w:pos="276"/>
              </w:tabs>
              <w:ind w:left="0" w:firstLine="0"/>
            </w:pPr>
            <w:r>
              <w:t>4.</w:t>
            </w:r>
            <w:r>
              <w:tab/>
              <w:t>Kvalitetssikring av produksjonsprosessen utføres ved hjelp av modul D1 som fastsatt i forordning (EU) 2019/1009.</w:t>
            </w:r>
          </w:p>
          <w:p w14:paraId="6A42933B" w14:textId="77777777" w:rsidR="006561BA" w:rsidRDefault="005B4ED6">
            <w:pPr>
              <w:pStyle w:val="AnnexNumberedText"/>
              <w:tabs>
                <w:tab w:val="left" w:pos="276"/>
              </w:tabs>
              <w:ind w:left="0" w:firstLine="0"/>
            </w:pPr>
            <w:r>
              <w:t>5.</w:t>
            </w:r>
            <w:r>
              <w:tab/>
              <w:t>Kompost og biorester som er i samsvar med forordning (EU) 2019/1009 eller tilsvarende nasjonale regler, deponeres ikke.</w:t>
            </w:r>
          </w:p>
          <w:p w14:paraId="17172A42" w14:textId="77777777" w:rsidR="006561BA" w:rsidRDefault="005B4ED6">
            <w:pPr>
              <w:pStyle w:val="AnnexTableCellLeft"/>
              <w:spacing w:after="120"/>
            </w:pPr>
            <w:r>
              <w:t>Biorester komposteres fortrinnsvis etter anaerob nedbryting for å maksimere fordelene for den jorden som de etterpå tilføres i, og minimerer visse potensielle landbruksmessige miljøproblemer som utslipp av ammoniakk og nitrater.</w:t>
            </w:r>
          </w:p>
          <w:p w14:paraId="6EBCE810" w14:textId="07FC6FB3" w:rsidR="006561BA" w:rsidRDefault="005B4ED6">
            <w:pPr>
              <w:pStyle w:val="AnnexNumberedText"/>
              <w:tabs>
                <w:tab w:val="left" w:pos="276"/>
              </w:tabs>
              <w:spacing w:after="0"/>
              <w:ind w:left="0" w:firstLine="0"/>
            </w:pPr>
            <w:r>
              <w:t>6.</w:t>
            </w:r>
            <w:r>
              <w:tab/>
              <w:t>Dersom anaerob nedbryting blir installert, brukes den produserte biogassen direkte til produksjon av elektrisk kraft eller varme, oppgraderes den til biometan og brukes som brensel, ledes den direkte inn i gassnettet og brukes den videre til energiformål ved å erstatte naturgass, brukes den som industriråstoff for å produsere andre kjemikalier eller omdannes den til hydrogen og brukes som drivstoff.</w:t>
            </w:r>
          </w:p>
        </w:tc>
      </w:tr>
      <w:tr w:rsidR="006561BA" w14:paraId="37801247" w14:textId="77777777">
        <w:trPr>
          <w:trHeight w:val="240"/>
        </w:trPr>
        <w:tc>
          <w:tcPr>
            <w:tcW w:w="9228" w:type="dxa"/>
            <w:gridSpan w:val="2"/>
            <w:tcMar>
              <w:top w:w="200" w:type="dxa"/>
              <w:left w:w="0" w:type="dxa"/>
              <w:bottom w:w="200" w:type="dxa"/>
              <w:right w:w="0" w:type="dxa"/>
            </w:tcMar>
          </w:tcPr>
          <w:p w14:paraId="35D495B5" w14:textId="77777777" w:rsidR="006561BA" w:rsidRDefault="005B4ED6">
            <w:pPr>
              <w:pStyle w:val="AnnexTableCellLeft"/>
            </w:pPr>
            <w:r>
              <w:t>Prinsippet om ikke å gjøre betydelig skade («DNSH»)</w:t>
            </w:r>
          </w:p>
        </w:tc>
      </w:tr>
      <w:tr w:rsidR="006561BA" w14:paraId="1DA5BA10" w14:textId="77777777">
        <w:tc>
          <w:tcPr>
            <w:tcW w:w="2556" w:type="dxa"/>
            <w:tcMar>
              <w:top w:w="200" w:type="dxa"/>
              <w:left w:w="0" w:type="dxa"/>
              <w:bottom w:w="200" w:type="dxa"/>
            </w:tcMar>
          </w:tcPr>
          <w:p w14:paraId="4749F93F" w14:textId="77777777" w:rsidR="006561BA" w:rsidRDefault="005B4ED6">
            <w:pPr>
              <w:pStyle w:val="AnnexNumberedText"/>
              <w:spacing w:after="0"/>
              <w:ind w:left="293" w:hanging="293"/>
            </w:pPr>
            <w:r>
              <w:t>1)</w:t>
            </w:r>
            <w:r>
              <w:tab/>
              <w:t>Begrensning av klimaendringer</w:t>
            </w:r>
          </w:p>
        </w:tc>
        <w:tc>
          <w:tcPr>
            <w:tcW w:w="6672" w:type="dxa"/>
            <w:tcMar>
              <w:top w:w="200" w:type="dxa"/>
              <w:bottom w:w="200" w:type="dxa"/>
              <w:right w:w="0" w:type="dxa"/>
            </w:tcMar>
          </w:tcPr>
          <w:p w14:paraId="7BEBBC5A" w14:textId="77777777" w:rsidR="006561BA" w:rsidRDefault="005B4ED6">
            <w:pPr>
              <w:pStyle w:val="AnnexTableCellLeft"/>
            </w:pPr>
            <w:r>
              <w:t>En overvåkings- og beredskapsplan er på plass for å minimere metanlekkasje på anlegget.</w:t>
            </w:r>
          </w:p>
        </w:tc>
      </w:tr>
      <w:tr w:rsidR="006561BA" w14:paraId="2E3039D6" w14:textId="77777777">
        <w:tc>
          <w:tcPr>
            <w:tcW w:w="2556" w:type="dxa"/>
            <w:tcMar>
              <w:top w:w="200" w:type="dxa"/>
              <w:left w:w="0" w:type="dxa"/>
              <w:bottom w:w="200" w:type="dxa"/>
            </w:tcMar>
          </w:tcPr>
          <w:p w14:paraId="79DFCAE8" w14:textId="77777777" w:rsidR="006561BA" w:rsidRDefault="005B4ED6">
            <w:pPr>
              <w:pStyle w:val="AnnexNumberedText"/>
              <w:pageBreakBefore/>
              <w:spacing w:after="0"/>
              <w:ind w:left="293" w:hanging="293"/>
            </w:pPr>
            <w:r>
              <w:lastRenderedPageBreak/>
              <w:t>2)</w:t>
            </w:r>
            <w:r>
              <w:tab/>
              <w:t>Tilpasning til klimaendringer</w:t>
            </w:r>
          </w:p>
        </w:tc>
        <w:tc>
          <w:tcPr>
            <w:tcW w:w="6672" w:type="dxa"/>
            <w:tcMar>
              <w:top w:w="200" w:type="dxa"/>
              <w:bottom w:w="200" w:type="dxa"/>
              <w:right w:w="0" w:type="dxa"/>
            </w:tcMar>
          </w:tcPr>
          <w:p w14:paraId="197810FB" w14:textId="77777777" w:rsidR="006561BA" w:rsidRDefault="005B4ED6">
            <w:pPr>
              <w:pStyle w:val="AnnexTableCellLeft"/>
            </w:pPr>
            <w:r>
              <w:t>Aktiviteten oppfyller kriteriene fastsatt i tillegg A til dette vedlegget.</w:t>
            </w:r>
          </w:p>
        </w:tc>
      </w:tr>
      <w:tr w:rsidR="006561BA" w14:paraId="02162B09" w14:textId="77777777">
        <w:tc>
          <w:tcPr>
            <w:tcW w:w="2556" w:type="dxa"/>
            <w:tcMar>
              <w:top w:w="200" w:type="dxa"/>
              <w:left w:w="0" w:type="dxa"/>
              <w:bottom w:w="200" w:type="dxa"/>
            </w:tcMar>
          </w:tcPr>
          <w:p w14:paraId="0B27999E" w14:textId="77777777" w:rsidR="006561BA" w:rsidRDefault="005B4ED6">
            <w:pPr>
              <w:pStyle w:val="AnnexNumberedText"/>
              <w:spacing w:after="0"/>
              <w:ind w:left="293" w:hanging="293"/>
            </w:pPr>
            <w:r>
              <w:t>3)</w:t>
            </w:r>
            <w:r>
              <w:tab/>
              <w:t>Bærekraftig bruk og beskyttelse av vann- og havressurser</w:t>
            </w:r>
          </w:p>
        </w:tc>
        <w:tc>
          <w:tcPr>
            <w:tcW w:w="6672" w:type="dxa"/>
            <w:tcMar>
              <w:top w:w="200" w:type="dxa"/>
              <w:bottom w:w="200" w:type="dxa"/>
              <w:right w:w="0" w:type="dxa"/>
            </w:tcMar>
          </w:tcPr>
          <w:p w14:paraId="093CF1D5" w14:textId="77777777" w:rsidR="006561BA" w:rsidRDefault="005B4ED6">
            <w:pPr>
              <w:pStyle w:val="AnnexTableCellLeft"/>
            </w:pPr>
            <w:r>
              <w:t>Aktiviteten oppfyller kriteriene fastsatt i tillegg B til dette vedlegget.</w:t>
            </w:r>
          </w:p>
        </w:tc>
      </w:tr>
      <w:tr w:rsidR="006561BA" w14:paraId="1FFD7F4A" w14:textId="77777777">
        <w:tc>
          <w:tcPr>
            <w:tcW w:w="2556" w:type="dxa"/>
            <w:tcMar>
              <w:top w:w="200" w:type="dxa"/>
              <w:left w:w="0" w:type="dxa"/>
              <w:bottom w:w="200" w:type="dxa"/>
            </w:tcMar>
          </w:tcPr>
          <w:p w14:paraId="277DA3A8" w14:textId="77777777" w:rsidR="006561BA" w:rsidRDefault="005B4ED6">
            <w:pPr>
              <w:pStyle w:val="AnnexNumberedText"/>
              <w:spacing w:after="0"/>
              <w:ind w:left="293" w:hanging="293"/>
            </w:pPr>
            <w:r>
              <w:t>5)</w:t>
            </w:r>
            <w:r>
              <w:tab/>
              <w:t>Forebygging og begrensning av forurensning</w:t>
            </w:r>
          </w:p>
        </w:tc>
        <w:tc>
          <w:tcPr>
            <w:tcW w:w="6672" w:type="dxa"/>
            <w:tcMar>
              <w:top w:w="200" w:type="dxa"/>
              <w:bottom w:w="200" w:type="dxa"/>
              <w:right w:w="0" w:type="dxa"/>
            </w:tcMar>
          </w:tcPr>
          <w:p w14:paraId="19FC1E08" w14:textId="77777777" w:rsidR="006561BA" w:rsidRDefault="005B4ED6">
            <w:pPr>
              <w:pStyle w:val="AnnexTableCellLeft"/>
              <w:spacing w:after="120"/>
            </w:pPr>
            <w:r>
              <w:t>For anlegg for anaerob nedbryting som behandler over 100 tonn per dag, og for komposteringsanlegg som behandler over 75 tonn per dag, er aktiviteten i samsvar med konklusjonene om beste tilgjengelige teknikker (BAT-konklusjoner) for avfallsbehandling(</w:t>
            </w:r>
            <w:bookmarkStart w:id="122" w:name="NOTE_123"/>
            <w:r>
              <w:rPr>
                <w:rStyle w:val="FootnoteReference"/>
                <w:sz w:val="18"/>
              </w:rPr>
              <w:footnoteReference w:id="124"/>
            </w:r>
            <w:bookmarkEnd w:id="122"/>
            <w:r>
              <w:t xml:space="preserve">) eller tilsvarende eller strengere nasjonal lovgivning med henblikk på å redusere utslipp til luft og forbedre den generelle miljøprestasjonen, samt for å velge det avfallet som tilføres, og for å overvåke eller kontrollere de viktigste avfalls- og </w:t>
            </w:r>
            <w:proofErr w:type="spellStart"/>
            <w:r>
              <w:t>prosessparametrene</w:t>
            </w:r>
            <w:proofErr w:type="spellEnd"/>
            <w:r>
              <w:t>.</w:t>
            </w:r>
          </w:p>
          <w:p w14:paraId="7818D3A6" w14:textId="153E9B0A" w:rsidR="006561BA" w:rsidRDefault="005B4ED6">
            <w:pPr>
              <w:pStyle w:val="AnnexTableCellLeft"/>
              <w:spacing w:after="120"/>
            </w:pPr>
            <w:r>
              <w:t>Utslipp til luft og vann ligger innenfor eller under de utslippsnivåene som er forbundet med de beste tilgjengelige teknikke</w:t>
            </w:r>
            <w:r w:rsidR="00576730">
              <w:t>ne</w:t>
            </w:r>
            <w:r>
              <w:t xml:space="preserve"> (BAT-AEL), og som er angitt for henholdsvis anaerob og aerob behandling av avfall i de siste relevante konklusjonene om beste tilgjengelige teknikker (BAT-konklusjoner), herunder konklusjonene om beste tilgjengelige teknikker (BAT-konklusjoner) for avfallsbehandling(</w:t>
            </w:r>
            <w:bookmarkStart w:id="123" w:name="NOTE_124"/>
            <w:r>
              <w:rPr>
                <w:rStyle w:val="FootnoteReference"/>
                <w:sz w:val="18"/>
              </w:rPr>
              <w:footnoteReference w:id="125"/>
            </w:r>
            <w:bookmarkEnd w:id="123"/>
            <w:r>
              <w:t>).</w:t>
            </w:r>
          </w:p>
          <w:p w14:paraId="6B7C70BA" w14:textId="77777777" w:rsidR="006561BA" w:rsidRDefault="005B4ED6">
            <w:pPr>
              <w:pStyle w:val="AnnexTableCellLeft"/>
            </w:pPr>
            <w:r>
              <w:t>For anaerob nedbryting skal nitrogeninnholdet i biorestene som brukes som gjødsel eller jordforbedringsmiddel, meddeles kjøperen eller enheten som er ansvarlig for å ta ut biorestene, enten i samsvar med forordning (EU) 2019/1009 eller med en toleransegrense på ± 25 %.</w:t>
            </w:r>
          </w:p>
        </w:tc>
      </w:tr>
      <w:tr w:rsidR="006561BA" w14:paraId="6F5737BF" w14:textId="77777777">
        <w:tc>
          <w:tcPr>
            <w:tcW w:w="2556" w:type="dxa"/>
            <w:tcMar>
              <w:top w:w="200" w:type="dxa"/>
              <w:left w:w="0" w:type="dxa"/>
              <w:bottom w:w="200" w:type="dxa"/>
            </w:tcMar>
          </w:tcPr>
          <w:p w14:paraId="5B090D20" w14:textId="77777777" w:rsidR="006561BA" w:rsidRDefault="005B4ED6">
            <w:pPr>
              <w:pStyle w:val="AnnexNumberedText"/>
              <w:spacing w:after="0"/>
              <w:ind w:left="293" w:hanging="293"/>
            </w:pPr>
            <w:r>
              <w:t>6)</w:t>
            </w:r>
            <w:r>
              <w:tab/>
              <w:t>Beskyttelse og restaurering av biologisk mangfold og økosystemer</w:t>
            </w:r>
          </w:p>
        </w:tc>
        <w:tc>
          <w:tcPr>
            <w:tcW w:w="6672" w:type="dxa"/>
            <w:tcMar>
              <w:top w:w="200" w:type="dxa"/>
              <w:bottom w:w="200" w:type="dxa"/>
              <w:right w:w="0" w:type="dxa"/>
            </w:tcMar>
          </w:tcPr>
          <w:p w14:paraId="05497D43" w14:textId="77777777" w:rsidR="006561BA" w:rsidRDefault="005B4ED6">
            <w:pPr>
              <w:pStyle w:val="AnnexTableCellLeft"/>
            </w:pPr>
            <w:r>
              <w:t>Aktiviteten oppfyller kriteriene fastsatt i tillegg D til dette vedlegget.</w:t>
            </w:r>
          </w:p>
        </w:tc>
      </w:tr>
    </w:tbl>
    <w:p w14:paraId="00029460" w14:textId="77777777" w:rsidR="006561BA" w:rsidRDefault="005B4ED6">
      <w:pPr>
        <w:pStyle w:val="AnnexNumberedText"/>
        <w:spacing w:before="400" w:after="300"/>
        <w:ind w:left="414" w:hanging="414"/>
      </w:pPr>
      <w:r>
        <w:t>2.6.</w:t>
      </w:r>
      <w:r>
        <w:rPr>
          <w:b/>
        </w:rPr>
        <w:tab/>
        <w:t>Rensing og demontering av kasserte produkter</w:t>
      </w:r>
    </w:p>
    <w:p w14:paraId="7E02CF42" w14:textId="77777777" w:rsidR="006561BA" w:rsidRDefault="005B4ED6">
      <w:pPr>
        <w:pStyle w:val="AnnexGrSeq3"/>
        <w:jc w:val="both"/>
      </w:pPr>
      <w:r>
        <w:rPr>
          <w:i/>
        </w:rPr>
        <w:t>Beskrivelse av aktiviteten</w:t>
      </w:r>
    </w:p>
    <w:p w14:paraId="4CD61382" w14:textId="77777777" w:rsidR="006561BA" w:rsidRDefault="005B4ED6">
      <w:pPr>
        <w:pStyle w:val="AnnexNormal"/>
      </w:pPr>
      <w:r>
        <w:t>Bygging, drift og oppgradering av anlegg som demonterer og renser komplekse kasserte produkter, materielle eiendeler og deres komponenter for materialutnytting eller forberedelse til ombruk av komponenter.</w:t>
      </w:r>
    </w:p>
    <w:p w14:paraId="4BB745A8" w14:textId="77777777" w:rsidR="006561BA" w:rsidRDefault="005B4ED6">
      <w:pPr>
        <w:pStyle w:val="AnnexNormal"/>
      </w:pPr>
      <w:r>
        <w:t>Den økonomiske aktiviteten omfatter demontering av kasserte produkter og materielle eiendeler og deres komponenter av alle slag, som for eksempel biler, skip og elektrisk og elektronisk utstyr med henblikk på materialutnytting.</w:t>
      </w:r>
    </w:p>
    <w:p w14:paraId="50F8194B" w14:textId="77777777" w:rsidR="006561BA" w:rsidRDefault="005B4ED6">
      <w:pPr>
        <w:pStyle w:val="AnnexNormal"/>
      </w:pPr>
      <w:r>
        <w:t xml:space="preserve">Den økonomiske aktiviteten omfatter ikke behandling av batterier som stammer fra separat innsamling, eller som fjernes under demontering og rensing, eller </w:t>
      </w:r>
      <w:proofErr w:type="spellStart"/>
      <w:r>
        <w:t>riving</w:t>
      </w:r>
      <w:proofErr w:type="spellEnd"/>
      <w:r>
        <w:t xml:space="preserve"> av bygninger og andre anlegg (se avsnitt 3.3 i dette vedlegget).</w:t>
      </w:r>
    </w:p>
    <w:p w14:paraId="58EF353A" w14:textId="2226799A" w:rsidR="006561BA" w:rsidRDefault="005B4ED6">
      <w:pPr>
        <w:pStyle w:val="AnnexNormal"/>
      </w:pPr>
      <w:r>
        <w:t>De økonomiske aktivitetene i denne kategorien kan knyttes til flere NACE-koder, særlig E38.31, E38.32 og E42.99</w:t>
      </w:r>
      <w:r w:rsidR="00605B05">
        <w:t>,</w:t>
      </w:r>
      <w:r>
        <w:t xml:space="preserve"> i samsvar med standarden for næringsgruppering fastsatt ved forordning (EF) nr. 1893/2006.</w:t>
      </w:r>
      <w:r>
        <w:br w:type="page"/>
      </w:r>
    </w:p>
    <w:p w14:paraId="6BD9C9E2" w14:textId="77777777" w:rsidR="006561BA" w:rsidRDefault="005B4ED6">
      <w:pPr>
        <w:pStyle w:val="AnnexGrSeq3"/>
        <w:spacing w:after="400"/>
        <w:jc w:val="both"/>
      </w:pPr>
      <w:r>
        <w:rPr>
          <w:i/>
        </w:rPr>
        <w:lastRenderedPageBreak/>
        <w:t>Tekniske screeningkriterier</w:t>
      </w:r>
    </w:p>
    <w:tbl>
      <w:tblPr>
        <w:tblStyle w:val="EFTATable"/>
        <w:tblW w:w="9228" w:type="dxa"/>
        <w:tblInd w:w="12" w:type="dxa"/>
        <w:tblLayout w:type="fixed"/>
        <w:tblLook w:val="04A0" w:firstRow="1" w:lastRow="0" w:firstColumn="1" w:lastColumn="0" w:noHBand="0" w:noVBand="1"/>
      </w:tblPr>
      <w:tblGrid>
        <w:gridCol w:w="2580"/>
        <w:gridCol w:w="6648"/>
      </w:tblGrid>
      <w:tr w:rsidR="006561BA" w14:paraId="5DCA80D7" w14:textId="77777777">
        <w:trPr>
          <w:trHeight w:val="240"/>
        </w:trPr>
        <w:tc>
          <w:tcPr>
            <w:tcW w:w="9228" w:type="dxa"/>
            <w:gridSpan w:val="2"/>
            <w:tcMar>
              <w:top w:w="260" w:type="dxa"/>
              <w:left w:w="0" w:type="dxa"/>
              <w:bottom w:w="260" w:type="dxa"/>
              <w:right w:w="0" w:type="dxa"/>
            </w:tcMar>
          </w:tcPr>
          <w:p w14:paraId="1D22DED0" w14:textId="77777777" w:rsidR="006561BA" w:rsidRDefault="005B4ED6">
            <w:pPr>
              <w:pStyle w:val="AnnexTableCellLeft"/>
            </w:pPr>
            <w:r>
              <w:t>Vesentlig bidrag til omstilling til en sirkulær økonomi</w:t>
            </w:r>
          </w:p>
        </w:tc>
      </w:tr>
      <w:tr w:rsidR="006561BA" w14:paraId="19D87FF0" w14:textId="77777777">
        <w:trPr>
          <w:trHeight w:val="360"/>
        </w:trPr>
        <w:tc>
          <w:tcPr>
            <w:tcW w:w="9228" w:type="dxa"/>
            <w:gridSpan w:val="2"/>
            <w:tcMar>
              <w:top w:w="260" w:type="dxa"/>
              <w:left w:w="0" w:type="dxa"/>
              <w:bottom w:w="260" w:type="dxa"/>
              <w:right w:w="0" w:type="dxa"/>
            </w:tcMar>
          </w:tcPr>
          <w:p w14:paraId="3CBDA98C" w14:textId="77777777" w:rsidR="006561BA" w:rsidRDefault="005B4ED6">
            <w:pPr>
              <w:pStyle w:val="AnnexNumberedText"/>
              <w:tabs>
                <w:tab w:val="left" w:pos="276"/>
              </w:tabs>
              <w:ind w:left="0" w:firstLine="0"/>
            </w:pPr>
            <w:r>
              <w:t>1.</w:t>
            </w:r>
            <w:r>
              <w:tab/>
              <w:t>Den økonomiske aktiviteten innebærer demontering og rensing av separat innsamlet avfall i avanserte anlegg fra komplekse kasserte produkter, som for eksempel biler, elektrisk og elektronisk utstyr eller skip, med henblikk på å</w:t>
            </w:r>
          </w:p>
          <w:p w14:paraId="531E39D9" w14:textId="77777777" w:rsidR="006561BA" w:rsidRDefault="005B4ED6">
            <w:pPr>
              <w:pStyle w:val="AnnexNumberedText"/>
              <w:ind w:left="293" w:hanging="293"/>
            </w:pPr>
            <w:r>
              <w:t>a)</w:t>
            </w:r>
            <w:r>
              <w:tab/>
              <w:t>samle inn deler og komponenter som egner seg til ombruk,</w:t>
            </w:r>
          </w:p>
          <w:p w14:paraId="499E1971" w14:textId="1697F595" w:rsidR="006561BA" w:rsidRDefault="005B4ED6">
            <w:pPr>
              <w:pStyle w:val="AnnexNumberedText"/>
              <w:ind w:left="293" w:hanging="293"/>
            </w:pPr>
            <w:r>
              <w:t>b)</w:t>
            </w:r>
            <w:r>
              <w:tab/>
              <w:t xml:space="preserve">atskille fraksjoner av ikke-farlig og farlig avfall som egner seg til materialutnytting, herunder utnytting av kritiske </w:t>
            </w:r>
            <w:r w:rsidR="008048D3">
              <w:t>råvarer</w:t>
            </w:r>
            <w:r>
              <w:t>,</w:t>
            </w:r>
          </w:p>
          <w:p w14:paraId="5142D533" w14:textId="77777777" w:rsidR="006561BA" w:rsidRDefault="005B4ED6">
            <w:pPr>
              <w:pStyle w:val="AnnexNumberedText"/>
              <w:ind w:left="293" w:hanging="293"/>
            </w:pPr>
            <w:r>
              <w:t>c)</w:t>
            </w:r>
            <w:r>
              <w:tab/>
              <w:t>fjerne farlige stoffer, stoffblandinger og komponenter, slik at disse inngår i en identifiserbar(</w:t>
            </w:r>
            <w:bookmarkStart w:id="124" w:name="NOTE_125"/>
            <w:r>
              <w:rPr>
                <w:rStyle w:val="FootnoteReference"/>
                <w:sz w:val="18"/>
              </w:rPr>
              <w:footnoteReference w:id="126"/>
            </w:r>
            <w:bookmarkEnd w:id="124"/>
            <w:r>
              <w:t>) strøm, eller er en identifiserbar del av en strøm i behandlingsprosessen, og sende dem til anlegg som er godkjent for korrekt behandling, herunder sluttbehandling av farlig avfall,</w:t>
            </w:r>
          </w:p>
          <w:p w14:paraId="0BF9D481" w14:textId="77777777" w:rsidR="006561BA" w:rsidRDefault="005B4ED6">
            <w:pPr>
              <w:pStyle w:val="AnnexNumberedText"/>
              <w:ind w:left="293" w:hanging="293"/>
            </w:pPr>
            <w:r>
              <w:t>d)</w:t>
            </w:r>
            <w:r>
              <w:tab/>
              <w:t>vedlegge dokumentasjon på de materialene som sendes til videre behandling eller ombruk.</w:t>
            </w:r>
          </w:p>
          <w:p w14:paraId="0A5A1D93" w14:textId="77777777" w:rsidR="006561BA" w:rsidRDefault="005B4ED6">
            <w:pPr>
              <w:pStyle w:val="AnnexNumberedText"/>
              <w:tabs>
                <w:tab w:val="left" w:pos="276"/>
              </w:tabs>
              <w:ind w:left="0" w:firstLine="0"/>
            </w:pPr>
            <w:r>
              <w:t>2.</w:t>
            </w:r>
            <w:r>
              <w:tab/>
              <w:t>Den økonomiske aktiviteten i forbindelse med demontering og rensing av avfall fra elektrisk og elektronisk utstyr (WEEE) oppfyller kravene i artikkel 8 i direktiv 2012/19/EU og i vedlegg VII og VIII til det nevnte direktivet. Den økonomiske aktiviteten i forbindelse med demontering og rensing av kasserte kjøretøyer oppfyller kravene fastsatt i artikkel 6 og 7 i direktiv 2000/53/EF og i vedlegg I til det nevnte direktivet.</w:t>
            </w:r>
          </w:p>
          <w:p w14:paraId="3E2D5988" w14:textId="400B9160" w:rsidR="006561BA" w:rsidRDefault="005B4ED6">
            <w:pPr>
              <w:pStyle w:val="AnnexNumberedText"/>
              <w:tabs>
                <w:tab w:val="left" w:pos="276"/>
              </w:tabs>
              <w:ind w:left="0" w:firstLine="0"/>
            </w:pPr>
            <w:r>
              <w:t>3.</w:t>
            </w:r>
            <w:r>
              <w:tab/>
              <w:t xml:space="preserve">Med henblikk på demontering og </w:t>
            </w:r>
            <w:r w:rsidR="00032476">
              <w:t>sanering</w:t>
            </w:r>
            <w:r>
              <w:t xml:space="preserve"> av skip som skal hugges opp, er anlegget oppført på den europeiske listen over skipsgjenvinningsanlegg som fastsatt i kommisjonsbeslutning (EU) 2016/2323(</w:t>
            </w:r>
            <w:bookmarkStart w:id="125" w:name="NOTE_126"/>
            <w:r>
              <w:rPr>
                <w:rStyle w:val="FootnoteReference"/>
                <w:sz w:val="18"/>
              </w:rPr>
              <w:footnoteReference w:id="127"/>
            </w:r>
            <w:bookmarkEnd w:id="125"/>
            <w:r>
              <w:t>). Med henblikk på bygging av et nytt anlegg eller oppgradering av et eksisterende anlegg som ennå ikke er oppført på den europeiske listen over skipsgjenvinningsanlegg, oppfyller anlegget alle kravene i artikkel 13 i europaparlaments- og rådsforordning (EU) nr. 1257/2013(</w:t>
            </w:r>
            <w:bookmarkStart w:id="126" w:name="NOTE_127"/>
            <w:r>
              <w:rPr>
                <w:rStyle w:val="FootnoteReference"/>
                <w:sz w:val="18"/>
              </w:rPr>
              <w:footnoteReference w:id="128"/>
            </w:r>
            <w:bookmarkEnd w:id="126"/>
            <w:r>
              <w:t>) og har søkt om å bli oppført på den europeiske listen over skipsgjenvinningsanlegg.</w:t>
            </w:r>
          </w:p>
          <w:p w14:paraId="6CD09B08" w14:textId="77777777" w:rsidR="006561BA" w:rsidRDefault="005B4ED6">
            <w:pPr>
              <w:pStyle w:val="AnnexNumberedText"/>
              <w:tabs>
                <w:tab w:val="left" w:pos="276"/>
              </w:tabs>
              <w:ind w:left="0" w:firstLine="0"/>
            </w:pPr>
            <w:r>
              <w:t>4.</w:t>
            </w:r>
            <w:r>
              <w:tab/>
              <w:t>Med henblikk på demontering og rensing av avfall fra elektrisk og elektronisk utstyr (WEEE) og kasserte kjøretøyer, stammer avfallet fra innsamlingssteder som oppfyller de gjeldende kravene fastsatt i Unionens regelverk(</w:t>
            </w:r>
            <w:bookmarkStart w:id="127" w:name="NOTE_128"/>
            <w:r>
              <w:rPr>
                <w:rStyle w:val="FootnoteReference"/>
                <w:sz w:val="18"/>
              </w:rPr>
              <w:footnoteReference w:id="129"/>
            </w:r>
            <w:bookmarkEnd w:id="127"/>
            <w:r>
              <w:t>) og nasjonalt regelverk.</w:t>
            </w:r>
          </w:p>
        </w:tc>
      </w:tr>
      <w:tr w:rsidR="006561BA" w14:paraId="19D121C6" w14:textId="77777777">
        <w:trPr>
          <w:trHeight w:val="240"/>
        </w:trPr>
        <w:tc>
          <w:tcPr>
            <w:tcW w:w="9228" w:type="dxa"/>
            <w:gridSpan w:val="2"/>
            <w:tcMar>
              <w:top w:w="260" w:type="dxa"/>
              <w:left w:w="0" w:type="dxa"/>
              <w:bottom w:w="260" w:type="dxa"/>
              <w:right w:w="0" w:type="dxa"/>
            </w:tcMar>
          </w:tcPr>
          <w:p w14:paraId="21B0E1BF" w14:textId="77777777" w:rsidR="006561BA" w:rsidRDefault="005B4ED6">
            <w:pPr>
              <w:pStyle w:val="AnnexTableCellLeft"/>
            </w:pPr>
            <w:r>
              <w:t>Prinsippet om ikke å gjøre betydelig skade («DNSH»)</w:t>
            </w:r>
          </w:p>
        </w:tc>
      </w:tr>
      <w:tr w:rsidR="006561BA" w14:paraId="2F0D1361" w14:textId="77777777">
        <w:trPr>
          <w:trHeight w:val="360"/>
        </w:trPr>
        <w:tc>
          <w:tcPr>
            <w:tcW w:w="2580" w:type="dxa"/>
            <w:tcMar>
              <w:top w:w="260" w:type="dxa"/>
              <w:left w:w="0" w:type="dxa"/>
              <w:bottom w:w="260" w:type="dxa"/>
            </w:tcMar>
          </w:tcPr>
          <w:p w14:paraId="0709640D" w14:textId="77777777" w:rsidR="006561BA" w:rsidRDefault="005B4ED6">
            <w:pPr>
              <w:pStyle w:val="AnnexNumberedText"/>
              <w:spacing w:after="0"/>
              <w:ind w:left="293" w:hanging="293"/>
            </w:pPr>
            <w:r>
              <w:t>1)</w:t>
            </w:r>
            <w:r>
              <w:tab/>
              <w:t>Begrensning av klimaendringer</w:t>
            </w:r>
          </w:p>
        </w:tc>
        <w:tc>
          <w:tcPr>
            <w:tcW w:w="6648" w:type="dxa"/>
            <w:tcMar>
              <w:top w:w="260" w:type="dxa"/>
              <w:bottom w:w="260" w:type="dxa"/>
              <w:right w:w="0" w:type="dxa"/>
            </w:tcMar>
          </w:tcPr>
          <w:p w14:paraId="0E500644" w14:textId="77777777" w:rsidR="006561BA" w:rsidRDefault="005B4ED6">
            <w:pPr>
              <w:pStyle w:val="AnnexTableCellLeft"/>
            </w:pPr>
            <w:r>
              <w:t>Ikke relevant</w:t>
            </w:r>
          </w:p>
        </w:tc>
      </w:tr>
      <w:tr w:rsidR="006561BA" w14:paraId="505189BE" w14:textId="77777777">
        <w:trPr>
          <w:trHeight w:val="360"/>
        </w:trPr>
        <w:tc>
          <w:tcPr>
            <w:tcW w:w="2580" w:type="dxa"/>
            <w:tcMar>
              <w:top w:w="260" w:type="dxa"/>
              <w:left w:w="0" w:type="dxa"/>
              <w:bottom w:w="260" w:type="dxa"/>
            </w:tcMar>
          </w:tcPr>
          <w:p w14:paraId="23AD3E51" w14:textId="77777777" w:rsidR="006561BA" w:rsidRDefault="005B4ED6">
            <w:pPr>
              <w:pStyle w:val="AnnexNumberedText"/>
              <w:spacing w:after="0"/>
              <w:ind w:left="293" w:hanging="293"/>
            </w:pPr>
            <w:r>
              <w:t>2)</w:t>
            </w:r>
            <w:r>
              <w:tab/>
              <w:t>Tilpasning til klimaendringer</w:t>
            </w:r>
          </w:p>
        </w:tc>
        <w:tc>
          <w:tcPr>
            <w:tcW w:w="6648" w:type="dxa"/>
            <w:tcMar>
              <w:top w:w="260" w:type="dxa"/>
              <w:bottom w:w="260" w:type="dxa"/>
              <w:right w:w="0" w:type="dxa"/>
            </w:tcMar>
          </w:tcPr>
          <w:p w14:paraId="483C673E" w14:textId="77777777" w:rsidR="006561BA" w:rsidRDefault="005B4ED6">
            <w:pPr>
              <w:pStyle w:val="AnnexTableCellLeft"/>
            </w:pPr>
            <w:r>
              <w:t>Aktiviteten oppfyller kriteriene fastsatt i tillegg A til dette vedlegget.</w:t>
            </w:r>
          </w:p>
        </w:tc>
      </w:tr>
      <w:tr w:rsidR="006561BA" w14:paraId="2E113136" w14:textId="77777777">
        <w:trPr>
          <w:trHeight w:val="360"/>
        </w:trPr>
        <w:tc>
          <w:tcPr>
            <w:tcW w:w="2580" w:type="dxa"/>
            <w:tcMar>
              <w:top w:w="260" w:type="dxa"/>
              <w:left w:w="0" w:type="dxa"/>
              <w:bottom w:w="260" w:type="dxa"/>
            </w:tcMar>
          </w:tcPr>
          <w:p w14:paraId="631E1E28" w14:textId="77777777" w:rsidR="006561BA" w:rsidRDefault="005B4ED6">
            <w:pPr>
              <w:pStyle w:val="AnnexNumberedText"/>
              <w:spacing w:after="0"/>
              <w:ind w:left="293" w:hanging="293"/>
            </w:pPr>
            <w:r>
              <w:t>3)</w:t>
            </w:r>
            <w:r>
              <w:tab/>
              <w:t>Bærekraftig bruk og beskyttelse av vann- og havressurser</w:t>
            </w:r>
          </w:p>
        </w:tc>
        <w:tc>
          <w:tcPr>
            <w:tcW w:w="6648" w:type="dxa"/>
            <w:tcMar>
              <w:top w:w="260" w:type="dxa"/>
              <w:bottom w:w="260" w:type="dxa"/>
              <w:right w:w="0" w:type="dxa"/>
            </w:tcMar>
          </w:tcPr>
          <w:p w14:paraId="1577C019" w14:textId="77777777" w:rsidR="006561BA" w:rsidRDefault="005B4ED6">
            <w:pPr>
              <w:pStyle w:val="AnnexTableCellLeft"/>
            </w:pPr>
            <w:r>
              <w:t>Aktiviteten oppfyller kriteriene fastsatt i tillegg B til dette vedlegget.</w:t>
            </w:r>
          </w:p>
        </w:tc>
      </w:tr>
      <w:tr w:rsidR="006561BA" w14:paraId="5C4611C1" w14:textId="77777777">
        <w:trPr>
          <w:trHeight w:val="360"/>
        </w:trPr>
        <w:tc>
          <w:tcPr>
            <w:tcW w:w="2580" w:type="dxa"/>
            <w:tcMar>
              <w:top w:w="200" w:type="dxa"/>
              <w:left w:w="0" w:type="dxa"/>
              <w:bottom w:w="200" w:type="dxa"/>
            </w:tcMar>
          </w:tcPr>
          <w:p w14:paraId="6499ABF2" w14:textId="77777777" w:rsidR="006561BA" w:rsidRDefault="005B4ED6">
            <w:pPr>
              <w:pStyle w:val="AnnexNumberedText"/>
              <w:pageBreakBefore/>
              <w:spacing w:after="0"/>
              <w:ind w:left="293" w:hanging="293"/>
            </w:pPr>
            <w:r>
              <w:lastRenderedPageBreak/>
              <w:t>5)</w:t>
            </w:r>
            <w:r>
              <w:tab/>
              <w:t>Forebygging og begrensning av forurensning</w:t>
            </w:r>
          </w:p>
        </w:tc>
        <w:tc>
          <w:tcPr>
            <w:tcW w:w="6648" w:type="dxa"/>
            <w:tcMar>
              <w:top w:w="200" w:type="dxa"/>
              <w:bottom w:w="200" w:type="dxa"/>
              <w:right w:w="0" w:type="dxa"/>
            </w:tcMar>
          </w:tcPr>
          <w:p w14:paraId="7666601E" w14:textId="77777777" w:rsidR="006561BA" w:rsidRDefault="005B4ED6">
            <w:pPr>
              <w:pStyle w:val="AnnexNumberedText"/>
              <w:tabs>
                <w:tab w:val="left" w:pos="272"/>
              </w:tabs>
              <w:spacing w:after="200"/>
              <w:ind w:left="0" w:firstLine="0"/>
            </w:pPr>
            <w:r>
              <w:t>1.</w:t>
            </w:r>
            <w:r>
              <w:tab/>
              <w:t>Anlegget er utstyrt for å håndtere og oppbevare farlige stoffer, stoffblandinger og komponenter som er fjernet under renseoperasjonene, på en sikker og miljømessig forsvarlig måte.</w:t>
            </w:r>
          </w:p>
          <w:p w14:paraId="50824CBE" w14:textId="77777777" w:rsidR="006561BA" w:rsidRDefault="005B4ED6">
            <w:pPr>
              <w:pStyle w:val="AnnexNumberedText"/>
              <w:tabs>
                <w:tab w:val="left" w:pos="272"/>
              </w:tabs>
              <w:spacing w:after="200"/>
              <w:ind w:left="0" w:firstLine="0"/>
            </w:pPr>
            <w:r>
              <w:t>2.</w:t>
            </w:r>
            <w:r>
              <w:tab/>
              <w:t>For kasserte kjøretøyer oppfyller anlegget kravene til anlegg for lagring og behandling samt rensings- og behandlingsprosesser som fastsatt i vedlegg I til direktiv 2000/53/EF.</w:t>
            </w:r>
          </w:p>
          <w:p w14:paraId="31C6F9F4" w14:textId="77777777" w:rsidR="006561BA" w:rsidRDefault="005B4ED6">
            <w:pPr>
              <w:pStyle w:val="AnnexNumberedText"/>
              <w:tabs>
                <w:tab w:val="left" w:pos="272"/>
              </w:tabs>
              <w:spacing w:after="200"/>
              <w:ind w:left="0" w:firstLine="0"/>
            </w:pPr>
            <w:r>
              <w:t>3.</w:t>
            </w:r>
            <w:r>
              <w:tab/>
              <w:t>For avfall fra elektrisk og elektronisk utstyr (WEEE) oppfyller anlegget kravene til korrekt behandling som fastsatt i artikkel 8 i direktiv 2012/19/EU, særlig kravene til selektiv behandling av materialer og komponenter i WEEE som fastsatt i vedlegg VII til direktiv 2012/19/EU og for lagrings- og behandlingsprosesser som fastsatt i vedlegg VIII til direktiv 2012/19/EU.</w:t>
            </w:r>
          </w:p>
          <w:p w14:paraId="396FD2D1" w14:textId="77777777" w:rsidR="006561BA" w:rsidRDefault="005B4ED6">
            <w:pPr>
              <w:pStyle w:val="AnnexTableCellLeft"/>
              <w:spacing w:after="200"/>
            </w:pPr>
            <w:r>
              <w:t>Anlegget oppfyller normative krav som er relevante for sine rensingsaktiviteter som fastsatt i standardene EN 50625-1:2014(</w:t>
            </w:r>
            <w:bookmarkStart w:id="128" w:name="NOTE_129"/>
            <w:r>
              <w:rPr>
                <w:rStyle w:val="FootnoteReference"/>
                <w:sz w:val="18"/>
              </w:rPr>
              <w:footnoteReference w:id="130"/>
            </w:r>
            <w:bookmarkEnd w:id="128"/>
            <w:r>
              <w:t>), EN 50625-2-1:2014(</w:t>
            </w:r>
            <w:bookmarkStart w:id="129" w:name="NOTE_130"/>
            <w:r>
              <w:rPr>
                <w:rStyle w:val="FootnoteReference"/>
                <w:sz w:val="18"/>
              </w:rPr>
              <w:footnoteReference w:id="131"/>
            </w:r>
            <w:bookmarkEnd w:id="129"/>
            <w:r>
              <w:t>), EN 50625-2-2:2015(</w:t>
            </w:r>
            <w:bookmarkStart w:id="130" w:name="NOTE_131"/>
            <w:r>
              <w:rPr>
                <w:rStyle w:val="FootnoteReference"/>
                <w:sz w:val="18"/>
              </w:rPr>
              <w:footnoteReference w:id="132"/>
            </w:r>
            <w:bookmarkEnd w:id="130"/>
            <w:r>
              <w:t>), EN 50625-2-3:2017(</w:t>
            </w:r>
            <w:bookmarkStart w:id="131" w:name="NOTE_132"/>
            <w:r>
              <w:rPr>
                <w:rStyle w:val="FootnoteReference"/>
                <w:sz w:val="18"/>
              </w:rPr>
              <w:footnoteReference w:id="133"/>
            </w:r>
            <w:bookmarkEnd w:id="131"/>
            <w:r>
              <w:t>) og EN 50625-2-4:2017(</w:t>
            </w:r>
            <w:bookmarkStart w:id="132" w:name="NOTE_133"/>
            <w:r>
              <w:rPr>
                <w:rStyle w:val="FootnoteReference"/>
                <w:sz w:val="18"/>
              </w:rPr>
              <w:footnoteReference w:id="134"/>
            </w:r>
            <w:bookmarkEnd w:id="132"/>
            <w:r>
              <w:t>).</w:t>
            </w:r>
          </w:p>
          <w:p w14:paraId="11F77937" w14:textId="77777777" w:rsidR="006561BA" w:rsidRDefault="005B4ED6">
            <w:pPr>
              <w:pStyle w:val="AnnexTableCellLeft"/>
              <w:spacing w:after="200"/>
            </w:pPr>
            <w:r>
              <w:t>Gjennomføringen av slike tiltak kan også påvises ved overholdelse av lovgivningsmessige krav som er likeverdige med dem som er fastsatt i ovennevnte EN-standarder.</w:t>
            </w:r>
          </w:p>
          <w:p w14:paraId="5DF1EBED" w14:textId="77777777" w:rsidR="006561BA" w:rsidRDefault="005B4ED6">
            <w:pPr>
              <w:pStyle w:val="AnnexTableCellLeft"/>
              <w:spacing w:after="200"/>
            </w:pPr>
            <w:r>
              <w:t>For behandling av avfall fra elektrisk og elektronisk utstyr (WEE) som inneholder flyktige fluorkarboner (VFC) og flyktige hydrokarboner (VHC), og WEEE som inneholder kvikksølv, ligger utslippene innenfor eller under de utslippsnivåene som er forbundet med beste tilgjengelige teknikker (BAT-AEL), som fastsatt i konklusjonene om beste tilgjengelige teknikker (BAT-konklusjoner) for avfallsbehandling(</w:t>
            </w:r>
            <w:bookmarkStart w:id="133" w:name="NOTE_134"/>
            <w:r>
              <w:rPr>
                <w:rStyle w:val="FootnoteReference"/>
                <w:sz w:val="18"/>
              </w:rPr>
              <w:footnoteReference w:id="135"/>
            </w:r>
            <w:bookmarkEnd w:id="133"/>
            <w:r>
              <w:t>).</w:t>
            </w:r>
          </w:p>
          <w:p w14:paraId="24F4BEBD" w14:textId="77777777" w:rsidR="006561BA" w:rsidRDefault="005B4ED6">
            <w:pPr>
              <w:pStyle w:val="AnnexNumberedText"/>
              <w:tabs>
                <w:tab w:val="left" w:pos="272"/>
              </w:tabs>
              <w:spacing w:after="0"/>
              <w:ind w:left="0" w:firstLine="0"/>
            </w:pPr>
            <w:r>
              <w:t>4.</w:t>
            </w:r>
            <w:r>
              <w:tab/>
              <w:t>Med henblikk på skipsgjenvinning oppfyller anlegget kravene i artikkel 13 i forordning (EU) nr. 1257/2013 og er oppført på den europeiske listen over skipsgjenvinningsanlegg som er opprettet i henhold til den nevnte forordningen. Anlegget oppfyller kravene fastsatt i artikkel 7 i den nevnte forordningen med hensyn til utarbeidelse av en skipsspesifikk gjenvinningsplan før et skip gjenvinnes.</w:t>
            </w:r>
          </w:p>
        </w:tc>
      </w:tr>
      <w:tr w:rsidR="006561BA" w14:paraId="793B4F7D" w14:textId="77777777">
        <w:trPr>
          <w:trHeight w:val="360"/>
        </w:trPr>
        <w:tc>
          <w:tcPr>
            <w:tcW w:w="2580" w:type="dxa"/>
            <w:tcMar>
              <w:top w:w="200" w:type="dxa"/>
              <w:left w:w="0" w:type="dxa"/>
              <w:bottom w:w="200" w:type="dxa"/>
            </w:tcMar>
          </w:tcPr>
          <w:p w14:paraId="072402B1" w14:textId="77777777" w:rsidR="006561BA" w:rsidRDefault="005B4ED6">
            <w:pPr>
              <w:pStyle w:val="AnnexNumberedText"/>
              <w:spacing w:after="0"/>
              <w:ind w:left="293" w:hanging="293"/>
            </w:pPr>
            <w:r>
              <w:t>6)</w:t>
            </w:r>
            <w:r>
              <w:tab/>
              <w:t>Beskyttelse og restaurering av biologisk mangfold og økosystemer</w:t>
            </w:r>
          </w:p>
        </w:tc>
        <w:tc>
          <w:tcPr>
            <w:tcW w:w="6648" w:type="dxa"/>
            <w:tcMar>
              <w:top w:w="200" w:type="dxa"/>
              <w:bottom w:w="200" w:type="dxa"/>
              <w:right w:w="0" w:type="dxa"/>
            </w:tcMar>
          </w:tcPr>
          <w:p w14:paraId="0B87F128" w14:textId="77777777" w:rsidR="006561BA" w:rsidRDefault="005B4ED6">
            <w:pPr>
              <w:pStyle w:val="AnnexTableCellLeft"/>
            </w:pPr>
            <w:r>
              <w:t>Aktiviteten oppfyller kriteriene fastsatt i tillegg D til dette vedlegget.</w:t>
            </w:r>
          </w:p>
        </w:tc>
      </w:tr>
    </w:tbl>
    <w:p w14:paraId="736564F2" w14:textId="77777777" w:rsidR="006561BA" w:rsidRDefault="005B4ED6">
      <w:pPr>
        <w:pStyle w:val="AnnexNumberedText"/>
        <w:spacing w:before="400" w:after="200"/>
        <w:ind w:left="414" w:hanging="414"/>
      </w:pPr>
      <w:r>
        <w:t>2.7.</w:t>
      </w:r>
      <w:r>
        <w:rPr>
          <w:b/>
        </w:rPr>
        <w:tab/>
        <w:t>Sortering og materialutnytting av ikke-farlig avfall</w:t>
      </w:r>
    </w:p>
    <w:p w14:paraId="13DE7F8B" w14:textId="77777777" w:rsidR="006561BA" w:rsidRDefault="005B4ED6">
      <w:pPr>
        <w:pStyle w:val="AnnexGrSeq3"/>
        <w:jc w:val="both"/>
      </w:pPr>
      <w:r>
        <w:rPr>
          <w:i/>
        </w:rPr>
        <w:t>Beskrivelse av aktiviteten</w:t>
      </w:r>
    </w:p>
    <w:p w14:paraId="59CFB310" w14:textId="74E35892" w:rsidR="006561BA" w:rsidRDefault="005B4ED6">
      <w:pPr>
        <w:pStyle w:val="AnnexNormal"/>
      </w:pPr>
      <w:r>
        <w:t xml:space="preserve">Bygging, oppgradering og drift av anlegg for sortering eller gjenvinning av ikke-farlige avfallsstrømmer til </w:t>
      </w:r>
      <w:r w:rsidR="00D77F76" w:rsidRPr="00D77F76">
        <w:t xml:space="preserve">sekundære råvarer </w:t>
      </w:r>
      <w:r>
        <w:t>av høy kvalitet ved hjelp av en mekanisk omdanningsprosess.</w:t>
      </w:r>
      <w:r>
        <w:br w:type="page"/>
      </w:r>
    </w:p>
    <w:p w14:paraId="1015562A" w14:textId="77777777" w:rsidR="006561BA" w:rsidRDefault="005B4ED6">
      <w:pPr>
        <w:pStyle w:val="AnnexNormal"/>
      </w:pPr>
      <w:r>
        <w:lastRenderedPageBreak/>
        <w:t>Den økonomiske aktiviteten omfatter ikke sortering og gjenvinning av brennbare fraksjoner fra blandet restavfall til produksjon av avfallsbasert brensel, som for eksempel i anlegg for mekanisk og biologisk behandling.</w:t>
      </w:r>
    </w:p>
    <w:p w14:paraId="1D974B92" w14:textId="3913BF7E" w:rsidR="006561BA" w:rsidRDefault="005B4ED6">
      <w:pPr>
        <w:pStyle w:val="AnnexNormal"/>
        <w:spacing w:after="800"/>
      </w:pPr>
      <w:r>
        <w:t>De økonomiske aktivitetene i denne kategorien kan knyttes til flere NACE-koder, særlig E38.32 og F42.9</w:t>
      </w:r>
      <w:r w:rsidR="00605B05">
        <w:t>,</w:t>
      </w:r>
      <w:r>
        <w:t xml:space="preserve"> i samsvar med standarden for næringsgruppering fastsatt ved forordning (EF) nr. 1893/2006.</w:t>
      </w:r>
    </w:p>
    <w:p w14:paraId="503AF05D" w14:textId="77777777" w:rsidR="006561BA" w:rsidRDefault="005B4ED6">
      <w:pPr>
        <w:pStyle w:val="AnnexGrSeq3"/>
        <w:spacing w:after="300"/>
        <w:jc w:val="both"/>
      </w:pPr>
      <w:r>
        <w:rPr>
          <w:i/>
        </w:rPr>
        <w:t>Tekniske screeningkriterier</w:t>
      </w:r>
    </w:p>
    <w:tbl>
      <w:tblPr>
        <w:tblStyle w:val="EFTATable"/>
        <w:tblW w:w="9228" w:type="dxa"/>
        <w:tblInd w:w="12" w:type="dxa"/>
        <w:tblLayout w:type="fixed"/>
        <w:tblLook w:val="04A0" w:firstRow="1" w:lastRow="0" w:firstColumn="1" w:lastColumn="0" w:noHBand="0" w:noVBand="1"/>
      </w:tblPr>
      <w:tblGrid>
        <w:gridCol w:w="2556"/>
        <w:gridCol w:w="6672"/>
      </w:tblGrid>
      <w:tr w:rsidR="006561BA" w14:paraId="7D8E536B" w14:textId="77777777">
        <w:trPr>
          <w:trHeight w:val="240"/>
        </w:trPr>
        <w:tc>
          <w:tcPr>
            <w:tcW w:w="9228" w:type="dxa"/>
            <w:gridSpan w:val="2"/>
            <w:tcMar>
              <w:top w:w="200" w:type="dxa"/>
              <w:left w:w="0" w:type="dxa"/>
              <w:bottom w:w="200" w:type="dxa"/>
              <w:right w:w="0" w:type="dxa"/>
            </w:tcMar>
          </w:tcPr>
          <w:p w14:paraId="0023EED7" w14:textId="77777777" w:rsidR="006561BA" w:rsidRDefault="005B4ED6">
            <w:pPr>
              <w:pStyle w:val="AnnexTableCellLeft"/>
            </w:pPr>
            <w:r>
              <w:t>Vesentlig bidrag til omstilling til en sirkulær økonomi</w:t>
            </w:r>
          </w:p>
        </w:tc>
      </w:tr>
      <w:tr w:rsidR="006561BA" w14:paraId="7C0E1692" w14:textId="77777777">
        <w:trPr>
          <w:trHeight w:val="360"/>
        </w:trPr>
        <w:tc>
          <w:tcPr>
            <w:tcW w:w="9228" w:type="dxa"/>
            <w:gridSpan w:val="2"/>
            <w:tcMar>
              <w:top w:w="200" w:type="dxa"/>
              <w:left w:w="0" w:type="dxa"/>
              <w:bottom w:w="200" w:type="dxa"/>
              <w:right w:w="0" w:type="dxa"/>
            </w:tcMar>
          </w:tcPr>
          <w:p w14:paraId="58231B3E" w14:textId="77777777" w:rsidR="006561BA" w:rsidRDefault="005B4ED6">
            <w:pPr>
              <w:pStyle w:val="AnnexNumberedText"/>
              <w:spacing w:after="200"/>
              <w:ind w:left="279" w:hanging="279"/>
            </w:pPr>
            <w:r>
              <w:t>1.</w:t>
            </w:r>
            <w:r>
              <w:tab/>
              <w:t>Råvarens opprinnelse</w:t>
            </w:r>
          </w:p>
          <w:p w14:paraId="55D90CFD" w14:textId="77777777" w:rsidR="006561BA" w:rsidRDefault="005B4ED6">
            <w:pPr>
              <w:pStyle w:val="AnnexTableCellLeft"/>
              <w:spacing w:after="200"/>
            </w:pPr>
            <w:r>
              <w:t>Råvarer fra ikke-farlig avfall stammer fra en eller flere av følgende kilder:</w:t>
            </w:r>
          </w:p>
          <w:p w14:paraId="02D41C3B" w14:textId="77777777" w:rsidR="006561BA" w:rsidRDefault="005B4ED6">
            <w:pPr>
              <w:pStyle w:val="AnnexNumberedText"/>
              <w:spacing w:after="200"/>
              <w:ind w:left="293" w:hanging="293"/>
            </w:pPr>
            <w:r>
              <w:t>a)</w:t>
            </w:r>
            <w:r>
              <w:tab/>
              <w:t>Separat innsamlet og transportert avfall, herunder i blandede fraksjoner(</w:t>
            </w:r>
            <w:bookmarkStart w:id="134" w:name="NOTE_135"/>
            <w:r>
              <w:rPr>
                <w:rStyle w:val="FootnoteReference"/>
                <w:sz w:val="18"/>
              </w:rPr>
              <w:footnoteReference w:id="136"/>
            </w:r>
            <w:bookmarkEnd w:id="134"/>
            <w:r>
              <w:t>).</w:t>
            </w:r>
          </w:p>
          <w:p w14:paraId="1E4BC081" w14:textId="77777777" w:rsidR="006561BA" w:rsidRDefault="005B4ED6">
            <w:pPr>
              <w:pStyle w:val="AnnexNumberedText"/>
              <w:spacing w:after="200"/>
              <w:ind w:left="293" w:hanging="293"/>
            </w:pPr>
            <w:r>
              <w:t>b)</w:t>
            </w:r>
            <w:r>
              <w:tab/>
              <w:t>Ikke-farlige avfallsfraksjoner som stammer fra demontering og rensing av kasserte produkter.</w:t>
            </w:r>
          </w:p>
          <w:p w14:paraId="5B24C9C3" w14:textId="77777777" w:rsidR="006561BA" w:rsidRDefault="005B4ED6">
            <w:pPr>
              <w:pStyle w:val="AnnexNumberedText"/>
              <w:spacing w:after="200"/>
              <w:ind w:left="293" w:hanging="293"/>
            </w:pPr>
            <w:r>
              <w:t>c)</w:t>
            </w:r>
            <w:r>
              <w:tab/>
              <w:t xml:space="preserve">Bygge- og </w:t>
            </w:r>
            <w:proofErr w:type="spellStart"/>
            <w:r>
              <w:t>rivingsavfall</w:t>
            </w:r>
            <w:proofErr w:type="spellEnd"/>
            <w:r>
              <w:t xml:space="preserve"> fra selektiv </w:t>
            </w:r>
            <w:proofErr w:type="spellStart"/>
            <w:r>
              <w:t>riving</w:t>
            </w:r>
            <w:proofErr w:type="spellEnd"/>
            <w:r>
              <w:t xml:space="preserve"> eller som på annen måte er kildesortert.</w:t>
            </w:r>
          </w:p>
          <w:p w14:paraId="2D5D37D3" w14:textId="77777777" w:rsidR="006561BA" w:rsidRDefault="005B4ED6">
            <w:pPr>
              <w:pStyle w:val="AnnexNumberedText"/>
              <w:spacing w:after="200"/>
              <w:ind w:left="293" w:hanging="293"/>
            </w:pPr>
            <w:r>
              <w:t>d)</w:t>
            </w:r>
            <w:r>
              <w:tab/>
              <w:t>Ikke-farlige avfallsfraksjoner som stammer fra sortering av blandet avfall beregnet på gjenvinning dersom anlegget oppfyller et definert kvalitetskriterium med hensyn til yteevne, og avfallet kommer fra områder som oppfyller kravene til separat innsamling fastsatt i direktiv 2008/98/EF.</w:t>
            </w:r>
          </w:p>
          <w:p w14:paraId="6C336866" w14:textId="77777777" w:rsidR="006561BA" w:rsidRDefault="005B4ED6">
            <w:pPr>
              <w:pStyle w:val="AnnexNumberedText"/>
              <w:spacing w:after="200"/>
              <w:ind w:left="279" w:hanging="279"/>
            </w:pPr>
            <w:r>
              <w:t>2.</w:t>
            </w:r>
            <w:r>
              <w:tab/>
              <w:t>Materialutnytting</w:t>
            </w:r>
          </w:p>
          <w:p w14:paraId="0B390D97" w14:textId="77777777" w:rsidR="006561BA" w:rsidRDefault="005B4ED6">
            <w:pPr>
              <w:pStyle w:val="AnnexTableCellLeft"/>
              <w:spacing w:after="200"/>
            </w:pPr>
            <w:r>
              <w:t>Aktiviteten oppnår eller overskrider eksisterende anleggsspesifikke materialutnyttingsgrader som de vedkommende myndighetene har fastsatt i gjeldende avfallshåndteringsplaner, tillatelser eller kontrakter eller gjennom ordninger for utvidet produsentansvar. I anlegget innføres internt definerte nøkkelindikatorer (KPI-er) for å følge opp resultater eller oppnåelse av gjeldende utnyttingsgrader.</w:t>
            </w:r>
          </w:p>
          <w:p w14:paraId="26CB0923" w14:textId="5ACD6E10" w:rsidR="006561BA" w:rsidRDefault="005B4ED6">
            <w:pPr>
              <w:pStyle w:val="AnnexTableCellLeft"/>
              <w:spacing w:after="200"/>
            </w:pPr>
            <w:r>
              <w:t>For materialer for hvilke separat innsamling er obligatorisk, sikrer aktiviteten a</w:t>
            </w:r>
            <w:r w:rsidR="000D48FD">
              <w:t>t</w:t>
            </w:r>
            <w:r>
              <w:t xml:space="preserve"> minst 50 vektprosent av det bearbeidede, separat innsamlede ikke-farlige avfallet omdannes til </w:t>
            </w:r>
            <w:r w:rsidR="008973CB" w:rsidRPr="008973CB">
              <w:t xml:space="preserve">sekundære råvarer </w:t>
            </w:r>
            <w:r>
              <w:t>som er egnede til å erstatte primær</w:t>
            </w:r>
            <w:r w:rsidR="008973CB">
              <w:t xml:space="preserve">e </w:t>
            </w:r>
            <w:r>
              <w:t>rå</w:t>
            </w:r>
            <w:r w:rsidR="008973CB">
              <w:t>varer</w:t>
            </w:r>
            <w:r>
              <w:t xml:space="preserve"> i produksjonsprosesser.</w:t>
            </w:r>
          </w:p>
          <w:p w14:paraId="562A4ECB" w14:textId="77777777" w:rsidR="006561BA" w:rsidRDefault="005B4ED6">
            <w:pPr>
              <w:pStyle w:val="AnnexNumberedText"/>
              <w:spacing w:after="200"/>
              <w:ind w:left="279" w:hanging="279"/>
            </w:pPr>
            <w:r>
              <w:t>3.</w:t>
            </w:r>
            <w:r>
              <w:tab/>
              <w:t>Korrekt håndtering av avfall</w:t>
            </w:r>
          </w:p>
          <w:p w14:paraId="301D9BBC" w14:textId="2D92A65B" w:rsidR="006561BA" w:rsidRDefault="005B4ED6">
            <w:pPr>
              <w:pStyle w:val="AnnexTableCellLeft"/>
              <w:spacing w:after="200"/>
            </w:pPr>
            <w:r>
              <w:t>Det anlegget som utvinner ikke-farlig avfall, har gjennomført de beste tilgjengelige teknikke</w:t>
            </w:r>
            <w:r w:rsidR="001E255E">
              <w:t>ne</w:t>
            </w:r>
            <w:r>
              <w:t xml:space="preserve"> (BAT) basert på BAT 2 om forbedring av anleggets generelle miljøprestasjon i henhold til konklusjonene om beste tilgjengelige teknikker (BAT-konklusjoner) for avfallsbehandling(</w:t>
            </w:r>
            <w:bookmarkStart w:id="135" w:name="NOTE_136"/>
            <w:r>
              <w:rPr>
                <w:rStyle w:val="FootnoteReference"/>
                <w:sz w:val="18"/>
              </w:rPr>
              <w:footnoteReference w:id="137"/>
            </w:r>
            <w:bookmarkEnd w:id="135"/>
            <w:r>
              <w:t>), herunder:</w:t>
            </w:r>
          </w:p>
          <w:p w14:paraId="7AEC5AE7" w14:textId="77777777" w:rsidR="006561BA" w:rsidRDefault="005B4ED6">
            <w:pPr>
              <w:pStyle w:val="AnnexNumberedText"/>
              <w:spacing w:after="200"/>
              <w:ind w:left="293" w:hanging="293"/>
            </w:pPr>
            <w:r>
              <w:t>a)</w:t>
            </w:r>
            <w:r>
              <w:tab/>
              <w:t>En prosedyre for karakterisering av avfall og en streng prosedyre for mottak av avfall når det gjelder kvaliteten på innkommende avfall.</w:t>
            </w:r>
          </w:p>
          <w:p w14:paraId="5868476D" w14:textId="77777777" w:rsidR="006561BA" w:rsidRDefault="005B4ED6">
            <w:pPr>
              <w:pStyle w:val="AnnexNumberedText"/>
              <w:spacing w:after="200"/>
              <w:ind w:left="293" w:hanging="293"/>
            </w:pPr>
            <w:r>
              <w:t>b)</w:t>
            </w:r>
            <w:r>
              <w:tab/>
              <w:t>Et system for sporing av og fortegnelse over avfall for å kunne spore plasseringen av og mengden avfall på anlegget.</w:t>
            </w:r>
          </w:p>
          <w:p w14:paraId="33891603" w14:textId="77777777" w:rsidR="006561BA" w:rsidRDefault="005B4ED6">
            <w:pPr>
              <w:pStyle w:val="AnnexNumberedText"/>
              <w:spacing w:after="200"/>
              <w:ind w:left="293" w:hanging="293"/>
            </w:pPr>
            <w:r>
              <w:t>c)</w:t>
            </w:r>
            <w:r>
              <w:tab/>
              <w:t>Et kvalitetsstyringssystem for det behandlede avfallet for å sikre at resultatet av avfallsbehandlingen er i henhold til gjeldende kvalitetskrav eller standarder, for eksempel ved bruk av eksisterende EN- eller ISO-standarder.</w:t>
            </w:r>
          </w:p>
          <w:p w14:paraId="2D1E3CC5" w14:textId="77777777" w:rsidR="006561BA" w:rsidRDefault="005B4ED6">
            <w:pPr>
              <w:pStyle w:val="AnnexNumberedText"/>
              <w:spacing w:after="0"/>
              <w:ind w:left="293" w:hanging="293"/>
            </w:pPr>
            <w:r>
              <w:t>d)</w:t>
            </w:r>
            <w:r>
              <w:tab/>
              <w:t>De relevante tiltakene eller prosedyrene for avfallssortering for å sikre at avfallet, etter sorteringen, holdes atskilt på grunnlag av sine egenskaper, for å muliggjøre en enklere og mer miljømessig sikker lagring og forbrenning.</w:t>
            </w:r>
          </w:p>
        </w:tc>
      </w:tr>
      <w:tr w:rsidR="006561BA" w14:paraId="67FDDC4B" w14:textId="77777777">
        <w:trPr>
          <w:trHeight w:val="240"/>
        </w:trPr>
        <w:tc>
          <w:tcPr>
            <w:tcW w:w="9228" w:type="dxa"/>
            <w:gridSpan w:val="2"/>
            <w:tcMar>
              <w:left w:w="0" w:type="dxa"/>
              <w:right w:w="0" w:type="dxa"/>
            </w:tcMar>
          </w:tcPr>
          <w:p w14:paraId="4384EA68" w14:textId="77777777" w:rsidR="006561BA" w:rsidRDefault="005B4ED6">
            <w:pPr>
              <w:pStyle w:val="AnnexNumberedText"/>
              <w:pageBreakBefore/>
              <w:spacing w:after="200"/>
              <w:ind w:left="283" w:hanging="283"/>
            </w:pPr>
            <w:r>
              <w:lastRenderedPageBreak/>
              <w:t>e)</w:t>
            </w:r>
            <w:r>
              <w:tab/>
              <w:t>De relevante tiltakene for å sikre at forskjellige typer avfall er kompatible før de blandes.</w:t>
            </w:r>
          </w:p>
          <w:p w14:paraId="5D216BED" w14:textId="77777777" w:rsidR="006561BA" w:rsidRDefault="005B4ED6">
            <w:pPr>
              <w:pStyle w:val="AnnexNumberedText"/>
              <w:spacing w:after="200"/>
              <w:ind w:left="283" w:hanging="283"/>
            </w:pPr>
            <w:r>
              <w:t>f)</w:t>
            </w:r>
            <w:r>
              <w:tab/>
              <w:t>Anlegget har installert teknikker og prosesser for sortering og materialutnytting for å oppfylle relevante tekniske spesifikasjoner, kvalitetsstandarder eller kriterier for når avfall opphører å være avfall. Aktiviteten bruker avanserte teknikker som passer til avfallsfraksjonene som behandles, herunder optisk separasjon, for eksempel ved hjelp av nærinfrarød spektroskopi eller røntgensystemer, separasjon ut fra tetthet, magnetisk separasjon eller separasjon ut fra størrelse.</w:t>
            </w:r>
          </w:p>
          <w:p w14:paraId="66363C43" w14:textId="2B48776B" w:rsidR="006561BA" w:rsidRDefault="005B4ED6">
            <w:pPr>
              <w:pStyle w:val="AnnexNumberedText"/>
              <w:spacing w:after="200"/>
              <w:ind w:left="279" w:hanging="279"/>
            </w:pPr>
            <w:r>
              <w:t>4.</w:t>
            </w:r>
            <w:r>
              <w:tab/>
              <w:t xml:space="preserve">Kvaliteten på </w:t>
            </w:r>
            <w:r w:rsidR="00164B1D" w:rsidRPr="00164B1D">
              <w:t>sekundære råvarer</w:t>
            </w:r>
          </w:p>
          <w:p w14:paraId="49B2B606" w14:textId="642E5064" w:rsidR="006561BA" w:rsidRDefault="005B4ED6">
            <w:pPr>
              <w:pStyle w:val="AnnexTableCellLeft"/>
            </w:pPr>
            <w:r>
              <w:t xml:space="preserve">Aktiviteten omdanner eller tillater omdanning av avfall til </w:t>
            </w:r>
            <w:r w:rsidR="00164B1D" w:rsidRPr="00164B1D">
              <w:t>sekundære råvarer</w:t>
            </w:r>
            <w:r>
              <w:t>, herunder kritiske rå</w:t>
            </w:r>
            <w:r w:rsidR="00164B1D">
              <w:t>varer</w:t>
            </w:r>
            <w:r>
              <w:t>, som er egnet til å erstatte primær</w:t>
            </w:r>
            <w:r w:rsidR="00164B1D">
              <w:t xml:space="preserve">e </w:t>
            </w:r>
            <w:r>
              <w:t>rå</w:t>
            </w:r>
            <w:r w:rsidR="00164B1D">
              <w:t>varer</w:t>
            </w:r>
            <w:r>
              <w:t xml:space="preserve"> i produksjonsprosesser.</w:t>
            </w:r>
          </w:p>
        </w:tc>
      </w:tr>
      <w:tr w:rsidR="006561BA" w14:paraId="3F790C51" w14:textId="77777777">
        <w:trPr>
          <w:trHeight w:val="240"/>
        </w:trPr>
        <w:tc>
          <w:tcPr>
            <w:tcW w:w="9228" w:type="dxa"/>
            <w:gridSpan w:val="2"/>
            <w:tcMar>
              <w:top w:w="200" w:type="dxa"/>
              <w:left w:w="0" w:type="dxa"/>
              <w:bottom w:w="200" w:type="dxa"/>
              <w:right w:w="0" w:type="dxa"/>
            </w:tcMar>
          </w:tcPr>
          <w:p w14:paraId="10F91A77" w14:textId="77777777" w:rsidR="006561BA" w:rsidRDefault="005B4ED6">
            <w:pPr>
              <w:pStyle w:val="AnnexTableCellLeft"/>
            </w:pPr>
            <w:r>
              <w:t>Prinsippet om ikke å gjøre betydelig skade («DNSH»)</w:t>
            </w:r>
          </w:p>
        </w:tc>
      </w:tr>
      <w:tr w:rsidR="006561BA" w14:paraId="3DA428C9" w14:textId="77777777">
        <w:trPr>
          <w:trHeight w:val="240"/>
        </w:trPr>
        <w:tc>
          <w:tcPr>
            <w:tcW w:w="2556" w:type="dxa"/>
            <w:tcMar>
              <w:top w:w="200" w:type="dxa"/>
              <w:left w:w="0" w:type="dxa"/>
              <w:bottom w:w="200" w:type="dxa"/>
            </w:tcMar>
          </w:tcPr>
          <w:p w14:paraId="21DA4509" w14:textId="77777777" w:rsidR="006561BA" w:rsidRDefault="005B4ED6">
            <w:pPr>
              <w:pStyle w:val="AnnexNumberedText"/>
              <w:spacing w:after="0"/>
              <w:ind w:left="293" w:hanging="293"/>
            </w:pPr>
            <w:r>
              <w:t>1)</w:t>
            </w:r>
            <w:r>
              <w:tab/>
              <w:t>Begrensning av klimaendringer</w:t>
            </w:r>
          </w:p>
        </w:tc>
        <w:tc>
          <w:tcPr>
            <w:tcW w:w="6672" w:type="dxa"/>
            <w:tcMar>
              <w:top w:w="200" w:type="dxa"/>
              <w:bottom w:w="200" w:type="dxa"/>
              <w:right w:w="0" w:type="dxa"/>
            </w:tcMar>
          </w:tcPr>
          <w:p w14:paraId="4D973A4B" w14:textId="77777777" w:rsidR="006561BA" w:rsidRDefault="005B4ED6">
            <w:pPr>
              <w:pStyle w:val="AnnexTableCellLeft"/>
            </w:pPr>
            <w:r>
              <w:t>Ikke relevant</w:t>
            </w:r>
          </w:p>
        </w:tc>
      </w:tr>
      <w:tr w:rsidR="006561BA" w14:paraId="226BF839" w14:textId="77777777">
        <w:trPr>
          <w:trHeight w:val="240"/>
        </w:trPr>
        <w:tc>
          <w:tcPr>
            <w:tcW w:w="2556" w:type="dxa"/>
            <w:tcMar>
              <w:top w:w="200" w:type="dxa"/>
              <w:left w:w="0" w:type="dxa"/>
              <w:bottom w:w="200" w:type="dxa"/>
            </w:tcMar>
          </w:tcPr>
          <w:p w14:paraId="5DBD832E" w14:textId="77777777" w:rsidR="006561BA" w:rsidRDefault="005B4ED6">
            <w:pPr>
              <w:pStyle w:val="AnnexNumberedText"/>
              <w:spacing w:after="0"/>
              <w:ind w:left="293" w:hanging="293"/>
            </w:pPr>
            <w:r>
              <w:t>2)</w:t>
            </w:r>
            <w:r>
              <w:tab/>
              <w:t>Tilpasning til klimaendringer</w:t>
            </w:r>
          </w:p>
        </w:tc>
        <w:tc>
          <w:tcPr>
            <w:tcW w:w="6672" w:type="dxa"/>
            <w:tcMar>
              <w:top w:w="200" w:type="dxa"/>
              <w:bottom w:w="200" w:type="dxa"/>
              <w:right w:w="0" w:type="dxa"/>
            </w:tcMar>
          </w:tcPr>
          <w:p w14:paraId="4A5E6596" w14:textId="77777777" w:rsidR="006561BA" w:rsidRDefault="005B4ED6">
            <w:pPr>
              <w:pStyle w:val="AnnexTableCellLeft"/>
            </w:pPr>
            <w:r>
              <w:t>Aktiviteten oppfyller kriteriene fastsatt i tillegg A til dette vedlegget.</w:t>
            </w:r>
          </w:p>
        </w:tc>
      </w:tr>
      <w:tr w:rsidR="006561BA" w14:paraId="0657EAC8" w14:textId="77777777">
        <w:trPr>
          <w:trHeight w:val="240"/>
        </w:trPr>
        <w:tc>
          <w:tcPr>
            <w:tcW w:w="2556" w:type="dxa"/>
            <w:tcMar>
              <w:top w:w="200" w:type="dxa"/>
              <w:left w:w="0" w:type="dxa"/>
              <w:bottom w:w="200" w:type="dxa"/>
            </w:tcMar>
          </w:tcPr>
          <w:p w14:paraId="231E562F" w14:textId="77777777" w:rsidR="006561BA" w:rsidRDefault="005B4ED6">
            <w:pPr>
              <w:pStyle w:val="AnnexNumberedText"/>
              <w:spacing w:after="0"/>
              <w:ind w:left="293" w:hanging="293"/>
            </w:pPr>
            <w:r>
              <w:t>3)</w:t>
            </w:r>
            <w:r>
              <w:tab/>
              <w:t>Bærekraftig bruk og beskyttelse av vann- og havressurser</w:t>
            </w:r>
          </w:p>
        </w:tc>
        <w:tc>
          <w:tcPr>
            <w:tcW w:w="6672" w:type="dxa"/>
            <w:tcMar>
              <w:top w:w="200" w:type="dxa"/>
              <w:bottom w:w="200" w:type="dxa"/>
              <w:right w:w="0" w:type="dxa"/>
            </w:tcMar>
          </w:tcPr>
          <w:p w14:paraId="5DDD1ABF" w14:textId="77777777" w:rsidR="006561BA" w:rsidRDefault="005B4ED6">
            <w:pPr>
              <w:pStyle w:val="AnnexTableCellLeft"/>
            </w:pPr>
            <w:r>
              <w:t>Aktiviteten oppfyller kriteriene fastsatt i tillegg B til dette vedlegget.</w:t>
            </w:r>
          </w:p>
        </w:tc>
      </w:tr>
      <w:tr w:rsidR="006561BA" w14:paraId="7A3D82B4" w14:textId="77777777">
        <w:trPr>
          <w:trHeight w:val="240"/>
        </w:trPr>
        <w:tc>
          <w:tcPr>
            <w:tcW w:w="2556" w:type="dxa"/>
            <w:tcMar>
              <w:top w:w="200" w:type="dxa"/>
              <w:left w:w="0" w:type="dxa"/>
              <w:bottom w:w="200" w:type="dxa"/>
            </w:tcMar>
          </w:tcPr>
          <w:p w14:paraId="75D6A284" w14:textId="77777777" w:rsidR="006561BA" w:rsidRDefault="005B4ED6">
            <w:pPr>
              <w:pStyle w:val="AnnexNumberedText"/>
              <w:spacing w:after="0"/>
              <w:ind w:left="293" w:hanging="293"/>
            </w:pPr>
            <w:r>
              <w:t>5)</w:t>
            </w:r>
            <w:r>
              <w:tab/>
              <w:t>Forebygging og begrensning av forurensning</w:t>
            </w:r>
          </w:p>
        </w:tc>
        <w:tc>
          <w:tcPr>
            <w:tcW w:w="6672" w:type="dxa"/>
            <w:tcMar>
              <w:top w:w="200" w:type="dxa"/>
              <w:bottom w:w="200" w:type="dxa"/>
              <w:right w:w="0" w:type="dxa"/>
            </w:tcMar>
          </w:tcPr>
          <w:p w14:paraId="46259412" w14:textId="77777777" w:rsidR="006561BA" w:rsidRDefault="005B4ED6">
            <w:pPr>
              <w:pStyle w:val="AnnexTableCellLeft"/>
              <w:spacing w:after="120"/>
            </w:pPr>
            <w:r>
              <w:t>For aktiviteter som er omfattet av konklusjonene om beste tilgjengelige teknikker (BAT-konklusjoner) for avfallsbehandling(</w:t>
            </w:r>
            <w:bookmarkStart w:id="136" w:name="NOTE_137"/>
            <w:r>
              <w:rPr>
                <w:rStyle w:val="FootnoteReference"/>
                <w:sz w:val="18"/>
              </w:rPr>
              <w:footnoteReference w:id="138"/>
            </w:r>
            <w:bookmarkEnd w:id="136"/>
            <w:r>
              <w:t>), gjennomfører aktiviteten relevante teknikker for forebygging og begrensning av forurensning og oppfyller de relevante tilknyttede utslippsnivåene (BAT-AEL).</w:t>
            </w:r>
          </w:p>
          <w:p w14:paraId="2AAE4298" w14:textId="77777777" w:rsidR="006561BA" w:rsidRDefault="005B4ED6">
            <w:pPr>
              <w:pStyle w:val="AnnexTableCellLeft"/>
            </w:pPr>
            <w:r>
              <w:t>Gjenvinningsanlegg for plast har installert filtrering før utslipp av vaskevann som er i stand til å fjerne minst 75 % av mikroplast &gt; 5 </w:t>
            </w:r>
            <w:proofErr w:type="spellStart"/>
            <w:r>
              <w:t>μm</w:t>
            </w:r>
            <w:proofErr w:type="spellEnd"/>
            <w:r>
              <w:t>.</w:t>
            </w:r>
          </w:p>
        </w:tc>
      </w:tr>
      <w:tr w:rsidR="006561BA" w14:paraId="2C0308DE" w14:textId="77777777">
        <w:tc>
          <w:tcPr>
            <w:tcW w:w="2556" w:type="dxa"/>
            <w:tcMar>
              <w:top w:w="200" w:type="dxa"/>
              <w:left w:w="0" w:type="dxa"/>
              <w:bottom w:w="200" w:type="dxa"/>
            </w:tcMar>
          </w:tcPr>
          <w:p w14:paraId="24CC2A27" w14:textId="77777777" w:rsidR="006561BA" w:rsidRDefault="005B4ED6">
            <w:pPr>
              <w:pStyle w:val="AnnexNumberedText"/>
              <w:spacing w:after="0"/>
              <w:ind w:left="293" w:hanging="293"/>
            </w:pPr>
            <w:r>
              <w:t>6)</w:t>
            </w:r>
            <w:r>
              <w:tab/>
              <w:t>Beskyttelse og restaurering av biologisk mangfold og økosystemer</w:t>
            </w:r>
          </w:p>
        </w:tc>
        <w:tc>
          <w:tcPr>
            <w:tcW w:w="6672" w:type="dxa"/>
            <w:tcMar>
              <w:top w:w="200" w:type="dxa"/>
              <w:bottom w:w="200" w:type="dxa"/>
              <w:right w:w="0" w:type="dxa"/>
            </w:tcMar>
          </w:tcPr>
          <w:p w14:paraId="4779F043" w14:textId="77777777" w:rsidR="006561BA" w:rsidRDefault="005B4ED6">
            <w:pPr>
              <w:pStyle w:val="AnnexTableCellLeft"/>
            </w:pPr>
            <w:r>
              <w:t>Aktiviteten oppfyller kriteriene fastsatt i tillegg D til dette vedlegget.</w:t>
            </w:r>
          </w:p>
        </w:tc>
      </w:tr>
    </w:tbl>
    <w:p w14:paraId="0B77EDEA" w14:textId="77777777" w:rsidR="006561BA" w:rsidRDefault="005B4ED6">
      <w:pPr>
        <w:pStyle w:val="AnnexNumberedText"/>
        <w:spacing w:before="400"/>
        <w:ind w:left="414" w:hanging="414"/>
      </w:pPr>
      <w:r>
        <w:t>3.</w:t>
      </w:r>
      <w:r>
        <w:rPr>
          <w:b/>
          <w:i/>
        </w:rPr>
        <w:tab/>
        <w:t>Bygge- og anleggsvirksomhet og fast eiendom</w:t>
      </w:r>
    </w:p>
    <w:p w14:paraId="12EEE581" w14:textId="77777777" w:rsidR="006561BA" w:rsidRDefault="005B4ED6">
      <w:pPr>
        <w:pStyle w:val="AnnexNumberedText"/>
        <w:spacing w:after="200"/>
        <w:ind w:left="414" w:hanging="414"/>
      </w:pPr>
      <w:r>
        <w:t>3.1.</w:t>
      </w:r>
      <w:r>
        <w:rPr>
          <w:b/>
        </w:rPr>
        <w:tab/>
        <w:t>Oppføring av nye bygninger</w:t>
      </w:r>
    </w:p>
    <w:p w14:paraId="71E741E1" w14:textId="77777777" w:rsidR="006561BA" w:rsidRDefault="005B4ED6">
      <w:pPr>
        <w:pStyle w:val="AnnexGrSeq3"/>
        <w:jc w:val="both"/>
      </w:pPr>
      <w:r>
        <w:rPr>
          <w:i/>
        </w:rPr>
        <w:t>Beskrivelse av aktiviteten</w:t>
      </w:r>
    </w:p>
    <w:p w14:paraId="4FD74189" w14:textId="261C9F53" w:rsidR="006561BA" w:rsidRDefault="005B4ED6">
      <w:pPr>
        <w:pStyle w:val="AnnexNormal"/>
      </w:pPr>
      <w:r>
        <w:t>Utvikling av byggeprosjekter for boliger og andre bygninger ved å samle økonomiske, tekniske og fysiske midler med henblikk på å selge byggeprosjektene ved levering eller på et senere tidspunkt, samt oppføring av komplette boliger eller andre bygninger for egen regning med henblikk på salg eller på honorar- eller kontraktbasis.</w:t>
      </w:r>
    </w:p>
    <w:p w14:paraId="0FF9F4B9" w14:textId="45A6279B" w:rsidR="006561BA" w:rsidRDefault="005B4ED6">
      <w:pPr>
        <w:pStyle w:val="AnnexNormal"/>
        <w:spacing w:after="0"/>
      </w:pPr>
      <w:r>
        <w:t>De økonomiske aktivitetene i denne kategorien kan knyttes til flere NACE-koder, særlig F41.1, F41.2 og F43</w:t>
      </w:r>
      <w:r w:rsidR="00605B05">
        <w:t>,</w:t>
      </w:r>
      <w:r>
        <w:t xml:space="preserve"> i samsvar med standarden for næringsgruppering fastsatt ved forordning (EF) nr. 1893/2006.</w:t>
      </w:r>
      <w:r>
        <w:br w:type="page"/>
      </w:r>
    </w:p>
    <w:p w14:paraId="032E096B" w14:textId="77777777" w:rsidR="006561BA" w:rsidRDefault="005B4ED6">
      <w:pPr>
        <w:pStyle w:val="AnnexGrSeq3"/>
        <w:spacing w:after="300"/>
        <w:jc w:val="both"/>
      </w:pPr>
      <w:r>
        <w:rPr>
          <w:i/>
        </w:rPr>
        <w:lastRenderedPageBreak/>
        <w:t>Tekniske screeningkriterier</w:t>
      </w:r>
    </w:p>
    <w:tbl>
      <w:tblPr>
        <w:tblStyle w:val="EFTATable"/>
        <w:tblW w:w="9228" w:type="dxa"/>
        <w:tblInd w:w="12" w:type="dxa"/>
        <w:tblLayout w:type="fixed"/>
        <w:tblLook w:val="04A0" w:firstRow="1" w:lastRow="0" w:firstColumn="1" w:lastColumn="0" w:noHBand="0" w:noVBand="1"/>
      </w:tblPr>
      <w:tblGrid>
        <w:gridCol w:w="2568"/>
        <w:gridCol w:w="6660"/>
      </w:tblGrid>
      <w:tr w:rsidR="006561BA" w14:paraId="6C33B9E2" w14:textId="77777777">
        <w:trPr>
          <w:trHeight w:val="240"/>
        </w:trPr>
        <w:tc>
          <w:tcPr>
            <w:tcW w:w="9228" w:type="dxa"/>
            <w:gridSpan w:val="2"/>
            <w:tcMar>
              <w:top w:w="200" w:type="dxa"/>
              <w:left w:w="0" w:type="dxa"/>
              <w:bottom w:w="200" w:type="dxa"/>
              <w:right w:w="0" w:type="dxa"/>
            </w:tcMar>
          </w:tcPr>
          <w:p w14:paraId="182C07CB" w14:textId="77777777" w:rsidR="006561BA" w:rsidRDefault="005B4ED6">
            <w:pPr>
              <w:pStyle w:val="AnnexTableCellLeft"/>
            </w:pPr>
            <w:r>
              <w:t>Vesentlig bidrag til omstilling til en sirkulær økonomi</w:t>
            </w:r>
          </w:p>
        </w:tc>
      </w:tr>
      <w:tr w:rsidR="006561BA" w14:paraId="36000C62" w14:textId="77777777">
        <w:trPr>
          <w:trHeight w:val="360"/>
        </w:trPr>
        <w:tc>
          <w:tcPr>
            <w:tcW w:w="9228" w:type="dxa"/>
            <w:gridSpan w:val="2"/>
            <w:tcMar>
              <w:top w:w="200" w:type="dxa"/>
              <w:left w:w="0" w:type="dxa"/>
              <w:bottom w:w="200" w:type="dxa"/>
              <w:right w:w="0" w:type="dxa"/>
            </w:tcMar>
          </w:tcPr>
          <w:p w14:paraId="176EFA5B" w14:textId="77777777" w:rsidR="006561BA" w:rsidRDefault="005B4ED6">
            <w:pPr>
              <w:pStyle w:val="AnnexNumberedText"/>
              <w:tabs>
                <w:tab w:val="left" w:pos="276"/>
              </w:tabs>
              <w:spacing w:after="200"/>
              <w:ind w:left="0" w:firstLine="0"/>
            </w:pPr>
            <w:r>
              <w:t>1.</w:t>
            </w:r>
            <w:r>
              <w:tab/>
              <w:t xml:space="preserve">Alt bygge- og </w:t>
            </w:r>
            <w:proofErr w:type="spellStart"/>
            <w:r>
              <w:t>rivingsavfall</w:t>
            </w:r>
            <w:proofErr w:type="spellEnd"/>
            <w:r>
              <w:t xml:space="preserve"> som genereres, behandles i samsvar med EUs avfallsregelverk og den fullstendige sjekklisten i EUs protokoll om håndtering av bygge- og </w:t>
            </w:r>
            <w:proofErr w:type="spellStart"/>
            <w:r>
              <w:t>rivingsavfall</w:t>
            </w:r>
            <w:proofErr w:type="spellEnd"/>
            <w:r>
              <w:t xml:space="preserve">, særlig ved å innføre sorteringssystemer og kontroll før </w:t>
            </w:r>
            <w:proofErr w:type="spellStart"/>
            <w:r>
              <w:t>riving</w:t>
            </w:r>
            <w:proofErr w:type="spellEnd"/>
            <w:r>
              <w:t>(</w:t>
            </w:r>
            <w:bookmarkStart w:id="137" w:name="NOTE_138"/>
            <w:r>
              <w:rPr>
                <w:rStyle w:val="FootnoteReference"/>
                <w:sz w:val="18"/>
              </w:rPr>
              <w:footnoteReference w:id="139"/>
            </w:r>
            <w:bookmarkEnd w:id="137"/>
            <w:r>
              <w:t>). Forberedelse til ombruk(</w:t>
            </w:r>
            <w:bookmarkStart w:id="138" w:name="NOTE_139"/>
            <w:r>
              <w:rPr>
                <w:rStyle w:val="FootnoteReference"/>
                <w:sz w:val="18"/>
              </w:rPr>
              <w:footnoteReference w:id="140"/>
            </w:r>
            <w:bookmarkEnd w:id="138"/>
            <w:r>
              <w:t>) eller materialgjenvinning(</w:t>
            </w:r>
            <w:bookmarkStart w:id="139" w:name="NOTE_140"/>
            <w:r>
              <w:rPr>
                <w:rStyle w:val="FootnoteReference"/>
                <w:sz w:val="18"/>
              </w:rPr>
              <w:footnoteReference w:id="141"/>
            </w:r>
            <w:bookmarkEnd w:id="139"/>
            <w:r>
              <w:t xml:space="preserve">) av det ikke-farlige bygge- og </w:t>
            </w:r>
            <w:proofErr w:type="spellStart"/>
            <w:r>
              <w:t>rivingsavfallet</w:t>
            </w:r>
            <w:proofErr w:type="spellEnd"/>
            <w:r>
              <w:t xml:space="preserve"> som genereres på byggeplassen, er minst 90 % (i masse i kilo), unntatt utfylling(</w:t>
            </w:r>
            <w:bookmarkStart w:id="140" w:name="NOTE_141"/>
            <w:r>
              <w:rPr>
                <w:rStyle w:val="FootnoteReference"/>
                <w:sz w:val="18"/>
              </w:rPr>
              <w:footnoteReference w:id="142"/>
            </w:r>
            <w:bookmarkEnd w:id="140"/>
            <w:r>
              <w:t>). Dette utelukker naturlig forekommende materiale som omhandlet i kategori 17 05 04 i den europeiske listen over avfall opprettet ved vedtak 2000/532/EF. Aktivitetsutøveren viser at terskelverdien på 90 % er overholdt ved å rapportere om Level(s)-indikator 2.2(</w:t>
            </w:r>
            <w:bookmarkStart w:id="141" w:name="NOTE_142"/>
            <w:r>
              <w:rPr>
                <w:rStyle w:val="FootnoteReference"/>
                <w:sz w:val="18"/>
              </w:rPr>
              <w:footnoteReference w:id="143"/>
            </w:r>
            <w:bookmarkEnd w:id="141"/>
            <w:r>
              <w:t>) ved hjelp av Level 2-rapporteringsformatet for forskjellige avfallsstrømmer.</w:t>
            </w:r>
          </w:p>
          <w:p w14:paraId="1787343A" w14:textId="77777777" w:rsidR="006561BA" w:rsidRDefault="005B4ED6">
            <w:pPr>
              <w:pStyle w:val="AnnexNumberedText"/>
              <w:tabs>
                <w:tab w:val="left" w:pos="276"/>
              </w:tabs>
              <w:spacing w:after="200"/>
              <w:ind w:left="0" w:firstLine="0"/>
            </w:pPr>
            <w:r>
              <w:t>2.</w:t>
            </w:r>
            <w:r>
              <w:tab/>
              <w:t>Bygningens livsløpspotensial for global oppvarming (GWP) som følge av oppføringen er beregnet for hvert trinn i livsløpet og opplyses om til investorer og kunder på anmodning(</w:t>
            </w:r>
            <w:bookmarkStart w:id="142" w:name="NOTE_143"/>
            <w:r>
              <w:rPr>
                <w:rStyle w:val="FootnoteReference"/>
                <w:sz w:val="18"/>
              </w:rPr>
              <w:footnoteReference w:id="144"/>
            </w:r>
            <w:bookmarkEnd w:id="142"/>
            <w:r>
              <w:t>).</w:t>
            </w:r>
          </w:p>
          <w:p w14:paraId="38EB4D44" w14:textId="77777777" w:rsidR="006561BA" w:rsidRDefault="005B4ED6">
            <w:pPr>
              <w:pStyle w:val="AnnexNumberedText"/>
              <w:tabs>
                <w:tab w:val="left" w:pos="276"/>
              </w:tabs>
              <w:spacing w:after="0"/>
              <w:ind w:left="0" w:firstLine="0"/>
            </w:pPr>
            <w:r>
              <w:t>3.</w:t>
            </w:r>
            <w:r>
              <w:tab/>
              <w:t xml:space="preserve">Byggetegninger og -teknikker støtter </w:t>
            </w:r>
            <w:proofErr w:type="spellStart"/>
            <w:r>
              <w:t>sirkularitet</w:t>
            </w:r>
            <w:proofErr w:type="spellEnd"/>
            <w:r>
              <w:t xml:space="preserve"> ved å integrere utformingskonsepter for tilpasning og nedmontering i henhold til henholdsvis Level(s)-indikator 2.3 og 2.4. Overholdelse av dette kravet vises ved å rapportere om Level(s)-indikator 2.3(</w:t>
            </w:r>
            <w:bookmarkStart w:id="143" w:name="NOTE_144"/>
            <w:r>
              <w:rPr>
                <w:rStyle w:val="FootnoteReference"/>
                <w:sz w:val="18"/>
              </w:rPr>
              <w:footnoteReference w:id="145"/>
            </w:r>
            <w:bookmarkEnd w:id="143"/>
            <w:r>
              <w:t>) og 2.4(</w:t>
            </w:r>
            <w:bookmarkStart w:id="144" w:name="NOTE_145"/>
            <w:r>
              <w:rPr>
                <w:rStyle w:val="FootnoteReference"/>
                <w:sz w:val="18"/>
              </w:rPr>
              <w:footnoteReference w:id="146"/>
            </w:r>
            <w:bookmarkEnd w:id="144"/>
            <w:r>
              <w:t>) i Level 2.</w:t>
            </w:r>
          </w:p>
        </w:tc>
      </w:tr>
      <w:tr w:rsidR="006561BA" w14:paraId="110D2419" w14:textId="77777777">
        <w:trPr>
          <w:trHeight w:val="360"/>
        </w:trPr>
        <w:tc>
          <w:tcPr>
            <w:tcW w:w="9228" w:type="dxa"/>
            <w:gridSpan w:val="2"/>
            <w:tcMar>
              <w:top w:w="200" w:type="dxa"/>
              <w:left w:w="0" w:type="dxa"/>
              <w:bottom w:w="200" w:type="dxa"/>
              <w:right w:w="0" w:type="dxa"/>
            </w:tcMar>
          </w:tcPr>
          <w:p w14:paraId="3AE7EDE8" w14:textId="3285990D" w:rsidR="006561BA" w:rsidRDefault="005B4ED6">
            <w:pPr>
              <w:pStyle w:val="AnnexNumberedText"/>
              <w:pageBreakBefore/>
              <w:tabs>
                <w:tab w:val="left" w:pos="276"/>
              </w:tabs>
              <w:spacing w:after="200"/>
              <w:ind w:left="0" w:firstLine="0"/>
            </w:pPr>
            <w:r>
              <w:lastRenderedPageBreak/>
              <w:t>4.</w:t>
            </w:r>
            <w:r>
              <w:tab/>
              <w:t>Bruken av primær</w:t>
            </w:r>
            <w:r w:rsidR="00E925E2">
              <w:t xml:space="preserve">e </w:t>
            </w:r>
            <w:r>
              <w:t>rå</w:t>
            </w:r>
            <w:r w:rsidR="00E925E2">
              <w:t>varer</w:t>
            </w:r>
            <w:r>
              <w:t xml:space="preserve"> ved oppføring av bygningen minimeres ved bruk av </w:t>
            </w:r>
            <w:r w:rsidR="00E925E2" w:rsidRPr="00E925E2">
              <w:t>sekundære råvarer</w:t>
            </w:r>
            <w:r>
              <w:t>(</w:t>
            </w:r>
            <w:bookmarkStart w:id="145" w:name="NOTE_146"/>
            <w:r>
              <w:rPr>
                <w:rStyle w:val="FootnoteReference"/>
                <w:sz w:val="18"/>
              </w:rPr>
              <w:footnoteReference w:id="147"/>
            </w:r>
            <w:bookmarkEnd w:id="145"/>
            <w:r>
              <w:t>). Aktivitetsutøveren sikrer at de tre tyngste material</w:t>
            </w:r>
            <w:r w:rsidR="005D1CED">
              <w:t>e</w:t>
            </w:r>
            <w:r>
              <w:t>kategoriene som brukes ved oppføring av bygningen, målt i masse i kilo, overholder følgende høyeste samlede mengder av de</w:t>
            </w:r>
            <w:r w:rsidR="00E92F13">
              <w:t>n</w:t>
            </w:r>
            <w:r>
              <w:t xml:space="preserve"> primær</w:t>
            </w:r>
            <w:r w:rsidR="00E92F13">
              <w:t xml:space="preserve">e </w:t>
            </w:r>
            <w:r>
              <w:t>rå</w:t>
            </w:r>
            <w:r w:rsidR="00E92F13">
              <w:t>vare</w:t>
            </w:r>
            <w:r w:rsidR="00B208F8">
              <w:t>n</w:t>
            </w:r>
            <w:r>
              <w:t xml:space="preserve"> som brukes:</w:t>
            </w:r>
          </w:p>
          <w:p w14:paraId="6E9EC31B" w14:textId="0E499CC0" w:rsidR="006561BA" w:rsidRDefault="005B4ED6">
            <w:pPr>
              <w:pStyle w:val="AnnexNumberedText"/>
              <w:pageBreakBefore/>
              <w:ind w:left="293" w:hanging="293"/>
            </w:pPr>
            <w:r>
              <w:t>a)</w:t>
            </w:r>
            <w:r>
              <w:tab/>
              <w:t>For den samlede mengden betong(</w:t>
            </w:r>
            <w:bookmarkStart w:id="146" w:name="NOTE_147"/>
            <w:r>
              <w:rPr>
                <w:rStyle w:val="FootnoteReference"/>
                <w:sz w:val="18"/>
              </w:rPr>
              <w:footnoteReference w:id="148"/>
            </w:r>
            <w:bookmarkEnd w:id="146"/>
            <w:r>
              <w:t xml:space="preserve">), naturstein eller agglomerert stein kommer høyst 70 % av materialet fra </w:t>
            </w:r>
            <w:r w:rsidR="00680383" w:rsidRPr="00680383">
              <w:t>primære råvarer</w:t>
            </w:r>
            <w:r>
              <w:t>.</w:t>
            </w:r>
          </w:p>
          <w:p w14:paraId="5BAFDD3D" w14:textId="2CB8CB25" w:rsidR="006561BA" w:rsidRDefault="005B4ED6">
            <w:pPr>
              <w:pStyle w:val="AnnexNumberedText"/>
              <w:pageBreakBefore/>
              <w:ind w:left="293" w:hanging="293"/>
            </w:pPr>
            <w:r>
              <w:t>b)</w:t>
            </w:r>
            <w:r>
              <w:tab/>
              <w:t xml:space="preserve">For den samlede mengden murstein, takstein eller keramikk kommer høyst 70 % av materialet fra </w:t>
            </w:r>
            <w:r w:rsidR="00680383" w:rsidRPr="00680383">
              <w:t>primære råvarer</w:t>
            </w:r>
            <w:r>
              <w:t>.</w:t>
            </w:r>
          </w:p>
          <w:p w14:paraId="04C765E0" w14:textId="0DB22951" w:rsidR="006561BA" w:rsidRDefault="005B4ED6">
            <w:pPr>
              <w:pStyle w:val="AnnexNumberedText"/>
              <w:pageBreakBefore/>
              <w:ind w:left="293" w:hanging="293"/>
            </w:pPr>
            <w:r>
              <w:t>c)</w:t>
            </w:r>
            <w:r>
              <w:tab/>
              <w:t>For biobaserte materialer(</w:t>
            </w:r>
            <w:bookmarkStart w:id="147" w:name="NOTE_148"/>
            <w:r>
              <w:rPr>
                <w:rStyle w:val="FootnoteReference"/>
                <w:sz w:val="18"/>
              </w:rPr>
              <w:footnoteReference w:id="149"/>
            </w:r>
            <w:bookmarkEnd w:id="147"/>
            <w:r>
              <w:t xml:space="preserve">) kommer høyst 80 % av det samlede materialet fra </w:t>
            </w:r>
            <w:r w:rsidR="003C4AD7" w:rsidRPr="003C4AD7">
              <w:t>primære råvarer</w:t>
            </w:r>
            <w:r>
              <w:t>.</w:t>
            </w:r>
          </w:p>
          <w:p w14:paraId="709BE763" w14:textId="3E5A3F40" w:rsidR="006561BA" w:rsidRDefault="005B4ED6">
            <w:pPr>
              <w:pStyle w:val="AnnexNumberedText"/>
              <w:pageBreakBefore/>
              <w:ind w:left="293" w:hanging="293"/>
            </w:pPr>
            <w:r>
              <w:t>d)</w:t>
            </w:r>
            <w:r>
              <w:tab/>
              <w:t xml:space="preserve">For den samlede mengden glass og mineralsk isolering kommer høyst 70 % av det samlede materialet fra </w:t>
            </w:r>
            <w:r w:rsidR="003C4AD7" w:rsidRPr="003C4AD7">
              <w:t>primære råvarer</w:t>
            </w:r>
            <w:r>
              <w:t>.</w:t>
            </w:r>
          </w:p>
          <w:p w14:paraId="2808B6D4" w14:textId="3EEE8F2A" w:rsidR="006561BA" w:rsidRDefault="005B4ED6">
            <w:pPr>
              <w:pStyle w:val="AnnexNumberedText"/>
              <w:pageBreakBefore/>
              <w:ind w:left="293" w:hanging="293"/>
            </w:pPr>
            <w:r>
              <w:t>e)</w:t>
            </w:r>
            <w:r>
              <w:tab/>
              <w:t xml:space="preserve">For ikke-biobasert plast kommer høyst 50 % av det samlede materialet fra </w:t>
            </w:r>
            <w:r w:rsidR="003C4AD7" w:rsidRPr="003C4AD7">
              <w:t>primære råvarer</w:t>
            </w:r>
            <w:r>
              <w:t>.</w:t>
            </w:r>
          </w:p>
          <w:p w14:paraId="715AB236" w14:textId="6A122D86" w:rsidR="006561BA" w:rsidRDefault="005B4ED6">
            <w:pPr>
              <w:pStyle w:val="AnnexNumberedText"/>
              <w:pageBreakBefore/>
              <w:ind w:left="293" w:hanging="293"/>
            </w:pPr>
            <w:r>
              <w:t>f)</w:t>
            </w:r>
            <w:r>
              <w:tab/>
              <w:t xml:space="preserve">For metaller kommer høyst 30 % av det samlede materialet fra </w:t>
            </w:r>
            <w:r w:rsidR="003C4AD7" w:rsidRPr="003C4AD7">
              <w:t>primære råvarer</w:t>
            </w:r>
            <w:r>
              <w:t>.</w:t>
            </w:r>
          </w:p>
          <w:p w14:paraId="3F73C198" w14:textId="5368F5D8" w:rsidR="006561BA" w:rsidRDefault="005B4ED6">
            <w:pPr>
              <w:pStyle w:val="AnnexNumberedText"/>
              <w:pageBreakBefore/>
              <w:ind w:left="293" w:hanging="293"/>
            </w:pPr>
            <w:r>
              <w:t>g)</w:t>
            </w:r>
            <w:r>
              <w:tab/>
              <w:t xml:space="preserve">For gips kommer høyst 65 % av materialet fra </w:t>
            </w:r>
            <w:r w:rsidR="003C4AD7" w:rsidRPr="003C4AD7">
              <w:t>primære råvarer</w:t>
            </w:r>
            <w:r>
              <w:t>.</w:t>
            </w:r>
          </w:p>
          <w:p w14:paraId="56D6C759" w14:textId="61657BFD" w:rsidR="006561BA" w:rsidRDefault="005B4ED6">
            <w:pPr>
              <w:pStyle w:val="AnnexTableCellLeft"/>
              <w:pageBreakBefore/>
              <w:spacing w:after="120"/>
            </w:pPr>
            <w:r>
              <w:t xml:space="preserve">Terskelverdiene beregnes ved å trekke </w:t>
            </w:r>
            <w:r w:rsidR="00B15EB9">
              <w:t xml:space="preserve">den </w:t>
            </w:r>
            <w:r w:rsidR="00B15EB9" w:rsidRPr="00B15EB9">
              <w:t>sekundære råvare</w:t>
            </w:r>
            <w:r w:rsidR="00B15EB9">
              <w:t>n</w:t>
            </w:r>
            <w:r w:rsidR="00B15EB9" w:rsidRPr="00B15EB9">
              <w:t xml:space="preserve"> </w:t>
            </w:r>
            <w:r>
              <w:t xml:space="preserve">fra den samlede mengden av hver </w:t>
            </w:r>
            <w:r w:rsidR="00A70546">
              <w:t xml:space="preserve">materialekategori </w:t>
            </w:r>
            <w:r>
              <w:t>som brukes i arbeidet, målt i masse i kilo. Dersom det ikke foreligger opplysninger om materialgjenvunnet innhold i en byggevare, skal det medregnes som innhold som består av 100 % primær</w:t>
            </w:r>
            <w:r w:rsidR="00DD27A7">
              <w:t xml:space="preserve">e </w:t>
            </w:r>
            <w:r>
              <w:t>rå</w:t>
            </w:r>
            <w:r w:rsidR="00DD27A7">
              <w:t>vare</w:t>
            </w:r>
            <w:r w:rsidR="004F532F">
              <w:t>r</w:t>
            </w:r>
            <w:r>
              <w:t xml:space="preserve">. For å respektere avfallshierarkiet og dermed favorisere ombruk framfor materialgjenvinning, skal </w:t>
            </w:r>
            <w:proofErr w:type="spellStart"/>
            <w:r>
              <w:t>ombrukte</w:t>
            </w:r>
            <w:proofErr w:type="spellEnd"/>
            <w:r>
              <w:t xml:space="preserve"> byggevarer, herunder de som inneholder materialer som ikke er avfall, og som bearbeides på nytt på stedet, medregnes som byggevarer som består av 0 % primær</w:t>
            </w:r>
            <w:r w:rsidR="007C3003">
              <w:t xml:space="preserve">e </w:t>
            </w:r>
            <w:r>
              <w:t>rå</w:t>
            </w:r>
            <w:r w:rsidR="007C3003">
              <w:t>vare</w:t>
            </w:r>
            <w:r w:rsidR="008E4419">
              <w:t>r</w:t>
            </w:r>
            <w:r>
              <w:t>. Overholdelse av dette kriteriet vises ved å rapportere i henhold til Level(s)-indikator 2.1(</w:t>
            </w:r>
            <w:bookmarkStart w:id="148" w:name="NOTE_149"/>
            <w:r>
              <w:rPr>
                <w:rStyle w:val="FootnoteReference"/>
                <w:sz w:val="18"/>
              </w:rPr>
              <w:footnoteReference w:id="150"/>
            </w:r>
            <w:bookmarkEnd w:id="148"/>
            <w:r>
              <w:t>).</w:t>
            </w:r>
          </w:p>
          <w:p w14:paraId="08AA8717" w14:textId="7C3CBCE2" w:rsidR="006561BA" w:rsidRDefault="005B4ED6">
            <w:pPr>
              <w:pStyle w:val="AnnexNumberedText"/>
              <w:pageBreakBefore/>
              <w:tabs>
                <w:tab w:val="left" w:pos="276"/>
              </w:tabs>
              <w:spacing w:after="0"/>
              <w:ind w:left="0" w:firstLine="0"/>
            </w:pPr>
            <w:r>
              <w:t>5.</w:t>
            </w:r>
            <w:r>
              <w:tab/>
              <w:t>Aktivitetsutøveren bruker elektroniske verktøyer for å beskrive bygningens egenskaper, slik den er oppført, herunder de materialene og komponentene som er brukt, med henblikk på framtidig vedlikehold, gjenvinning og ombruk, for eksempel ved hjelp av EN ISO 22057:2022 for å legge fram miljøvaredeklarasjoner(</w:t>
            </w:r>
            <w:bookmarkStart w:id="149" w:name="NOTE_150"/>
            <w:r>
              <w:rPr>
                <w:rStyle w:val="FootnoteReference"/>
                <w:sz w:val="18"/>
              </w:rPr>
              <w:footnoteReference w:id="151"/>
            </w:r>
            <w:bookmarkEnd w:id="149"/>
            <w:r>
              <w:t>). Opplysningene lagres i et digitalt format og gjøres tilgjengelig</w:t>
            </w:r>
            <w:r w:rsidR="00861454">
              <w:t>e</w:t>
            </w:r>
            <w:r>
              <w:t xml:space="preserve"> for investorer og kunder på anmodning. Dessuten sikrer aktivitetsutøveren langsiktig oppbevaring av disse opplysningene utover bygningens levetid ved hjelp av de systemene for informasjonshåndtering som stilles til rådighet gjennom nasjonale verktøyer, som for eksempel matrikkel eller offentlig register.</w:t>
            </w:r>
          </w:p>
        </w:tc>
      </w:tr>
      <w:tr w:rsidR="006561BA" w14:paraId="5365D3B3" w14:textId="77777777">
        <w:trPr>
          <w:trHeight w:val="240"/>
        </w:trPr>
        <w:tc>
          <w:tcPr>
            <w:tcW w:w="9228" w:type="dxa"/>
            <w:gridSpan w:val="2"/>
            <w:tcMar>
              <w:top w:w="200" w:type="dxa"/>
              <w:left w:w="0" w:type="dxa"/>
              <w:bottom w:w="200" w:type="dxa"/>
              <w:right w:w="0" w:type="dxa"/>
            </w:tcMar>
          </w:tcPr>
          <w:p w14:paraId="402E8309" w14:textId="77777777" w:rsidR="006561BA" w:rsidRDefault="005B4ED6">
            <w:pPr>
              <w:pStyle w:val="AnnexTableCellLeft"/>
              <w:pageBreakBefore/>
            </w:pPr>
            <w:r>
              <w:lastRenderedPageBreak/>
              <w:t>Prinsippet om ikke å gjøre betydelig skade («DNSH»)</w:t>
            </w:r>
          </w:p>
        </w:tc>
      </w:tr>
      <w:tr w:rsidR="006561BA" w14:paraId="6CAB42C9" w14:textId="77777777">
        <w:tc>
          <w:tcPr>
            <w:tcW w:w="2568" w:type="dxa"/>
            <w:tcMar>
              <w:top w:w="200" w:type="dxa"/>
              <w:left w:w="0" w:type="dxa"/>
              <w:bottom w:w="200" w:type="dxa"/>
            </w:tcMar>
          </w:tcPr>
          <w:p w14:paraId="0477554B" w14:textId="77777777" w:rsidR="006561BA" w:rsidRDefault="005B4ED6">
            <w:pPr>
              <w:pStyle w:val="AnnexNumberedText"/>
              <w:spacing w:after="0"/>
              <w:ind w:left="293" w:hanging="293"/>
            </w:pPr>
            <w:r>
              <w:t>1)</w:t>
            </w:r>
            <w:r>
              <w:tab/>
              <w:t>Begrensning av klimaendringer</w:t>
            </w:r>
          </w:p>
        </w:tc>
        <w:tc>
          <w:tcPr>
            <w:tcW w:w="6660" w:type="dxa"/>
            <w:tcMar>
              <w:top w:w="200" w:type="dxa"/>
              <w:bottom w:w="200" w:type="dxa"/>
              <w:right w:w="0" w:type="dxa"/>
            </w:tcMar>
          </w:tcPr>
          <w:p w14:paraId="710FDADC" w14:textId="77777777" w:rsidR="006561BA" w:rsidRDefault="005B4ED6">
            <w:pPr>
              <w:pStyle w:val="AnnexTableCellLeft"/>
              <w:spacing w:after="120"/>
            </w:pPr>
            <w:r>
              <w:t>Bygningen er ikke beregnet på utvinning, lagring, transport eller produksjon av fossilt brensel.</w:t>
            </w:r>
          </w:p>
          <w:p w14:paraId="084C281B" w14:textId="4DD0E44E" w:rsidR="006561BA" w:rsidRDefault="005B4ED6">
            <w:pPr>
              <w:pStyle w:val="AnnexTableCellLeft"/>
            </w:pPr>
            <w:r>
              <w:t>Primærenergibehovet(</w:t>
            </w:r>
            <w:bookmarkStart w:id="150" w:name="NOTE_151"/>
            <w:r>
              <w:rPr>
                <w:rStyle w:val="FootnoteReference"/>
                <w:sz w:val="18"/>
              </w:rPr>
              <w:footnoteReference w:id="152"/>
            </w:r>
            <w:bookmarkEnd w:id="150"/>
            <w:r>
              <w:t>) som angir energiytelsen til den bygningen som oppføres, overstiger ikke terskelverdien fastsatt for kravene til nesten null-energibygninger (</w:t>
            </w:r>
            <w:r w:rsidR="00BA108C">
              <w:t>«</w:t>
            </w:r>
            <w:proofErr w:type="spellStart"/>
            <w:r>
              <w:t>nearly</w:t>
            </w:r>
            <w:proofErr w:type="spellEnd"/>
            <w:r>
              <w:t xml:space="preserve"> zero-</w:t>
            </w:r>
            <w:proofErr w:type="spellStart"/>
            <w:r>
              <w:t>energy</w:t>
            </w:r>
            <w:proofErr w:type="spellEnd"/>
            <w:r>
              <w:t xml:space="preserve"> </w:t>
            </w:r>
            <w:proofErr w:type="spellStart"/>
            <w:r>
              <w:t>building</w:t>
            </w:r>
            <w:proofErr w:type="spellEnd"/>
            <w:r w:rsidR="00B53194">
              <w:t>»</w:t>
            </w:r>
            <w:r>
              <w:t xml:space="preserve"> – NZEB) i nasjonale tiltak som gjennomfører europaparlaments- og rådsdirektiv 2010/31/EU(</w:t>
            </w:r>
            <w:bookmarkStart w:id="151" w:name="NOTE_152"/>
            <w:r>
              <w:rPr>
                <w:rStyle w:val="FootnoteReference"/>
                <w:sz w:val="18"/>
              </w:rPr>
              <w:footnoteReference w:id="153"/>
            </w:r>
            <w:bookmarkEnd w:id="151"/>
            <w:r>
              <w:t>). Energiytelsen sertifiseres ved hjelp av et energisertifikat.</w:t>
            </w:r>
          </w:p>
        </w:tc>
      </w:tr>
      <w:tr w:rsidR="006561BA" w14:paraId="2C849B9B" w14:textId="77777777">
        <w:tc>
          <w:tcPr>
            <w:tcW w:w="2568" w:type="dxa"/>
            <w:tcMar>
              <w:top w:w="200" w:type="dxa"/>
              <w:left w:w="0" w:type="dxa"/>
              <w:bottom w:w="200" w:type="dxa"/>
            </w:tcMar>
          </w:tcPr>
          <w:p w14:paraId="012E14F5" w14:textId="77777777" w:rsidR="006561BA" w:rsidRDefault="005B4ED6">
            <w:pPr>
              <w:pStyle w:val="AnnexNumberedText"/>
              <w:spacing w:after="0"/>
              <w:ind w:left="293" w:hanging="293"/>
            </w:pPr>
            <w:r>
              <w:t>2)</w:t>
            </w:r>
            <w:r>
              <w:tab/>
              <w:t>Tilpasning til klimaendringer</w:t>
            </w:r>
          </w:p>
        </w:tc>
        <w:tc>
          <w:tcPr>
            <w:tcW w:w="6660" w:type="dxa"/>
            <w:tcMar>
              <w:top w:w="200" w:type="dxa"/>
              <w:bottom w:w="200" w:type="dxa"/>
              <w:right w:w="0" w:type="dxa"/>
            </w:tcMar>
          </w:tcPr>
          <w:p w14:paraId="5FE698E6" w14:textId="77777777" w:rsidR="006561BA" w:rsidRDefault="005B4ED6">
            <w:pPr>
              <w:pStyle w:val="AnnexTableCellLeft"/>
            </w:pPr>
            <w:r>
              <w:t>Aktiviteten oppfyller kriteriene fastsatt i tillegg A til dette vedlegget.</w:t>
            </w:r>
          </w:p>
        </w:tc>
      </w:tr>
      <w:tr w:rsidR="006561BA" w14:paraId="056221F6" w14:textId="77777777">
        <w:tc>
          <w:tcPr>
            <w:tcW w:w="2568" w:type="dxa"/>
            <w:tcMar>
              <w:top w:w="200" w:type="dxa"/>
              <w:left w:w="0" w:type="dxa"/>
              <w:bottom w:w="200" w:type="dxa"/>
            </w:tcMar>
          </w:tcPr>
          <w:p w14:paraId="76524566" w14:textId="77777777" w:rsidR="006561BA" w:rsidRDefault="005B4ED6">
            <w:pPr>
              <w:pStyle w:val="AnnexNumberedText"/>
              <w:spacing w:after="0"/>
              <w:ind w:left="293" w:hanging="293"/>
            </w:pPr>
            <w:r>
              <w:t>3)</w:t>
            </w:r>
            <w:r>
              <w:tab/>
              <w:t>Bærekraftig bruk og beskyttelse av vann- og havressurser</w:t>
            </w:r>
          </w:p>
        </w:tc>
        <w:tc>
          <w:tcPr>
            <w:tcW w:w="6660" w:type="dxa"/>
            <w:tcMar>
              <w:top w:w="200" w:type="dxa"/>
              <w:bottom w:w="200" w:type="dxa"/>
              <w:right w:w="0" w:type="dxa"/>
            </w:tcMar>
          </w:tcPr>
          <w:p w14:paraId="4D3D4DD2" w14:textId="1EE7FAAA" w:rsidR="006561BA" w:rsidRDefault="005B4ED6">
            <w:pPr>
              <w:pStyle w:val="AnnexTableCellLeft"/>
              <w:spacing w:after="120"/>
            </w:pPr>
            <w:r>
              <w:t>Når følgende vannapparater er installert, unntatt installasjoner i boliger, attesteres den angitte vannbruken ved hjelp av produktdatablad</w:t>
            </w:r>
            <w:r w:rsidR="00601EE9">
              <w:t>er</w:t>
            </w:r>
            <w:r>
              <w:t>, en bygningssertifisering eller et eksisterende produktmerke i Unionen, i samsvar med de tekniske spesifikasjonene som er fastsatt i tillegg E til vedlegg I til delegert forordning (EU) 2021/2139:</w:t>
            </w:r>
          </w:p>
          <w:p w14:paraId="43DF3D31" w14:textId="77777777" w:rsidR="006561BA" w:rsidRDefault="005B4ED6">
            <w:pPr>
              <w:pStyle w:val="AnnexNumberedText"/>
              <w:ind w:left="293" w:hanging="293"/>
            </w:pPr>
            <w:r>
              <w:t>a)</w:t>
            </w:r>
            <w:r>
              <w:tab/>
              <w:t>Håndvaskkraner og kjøkkenkraner har en høyeste vanngjennomstrømning på 6 liter/min.</w:t>
            </w:r>
          </w:p>
          <w:p w14:paraId="663B5AB6" w14:textId="77777777" w:rsidR="006561BA" w:rsidRDefault="005B4ED6">
            <w:pPr>
              <w:pStyle w:val="AnnexNumberedText"/>
              <w:ind w:left="293" w:hanging="293"/>
            </w:pPr>
            <w:r>
              <w:t>b)</w:t>
            </w:r>
            <w:r>
              <w:tab/>
              <w:t>Dusjer har en høyeste vanngjennomstrømning på 8 liter/min.</w:t>
            </w:r>
          </w:p>
          <w:p w14:paraId="0E13F720" w14:textId="77777777" w:rsidR="006561BA" w:rsidRDefault="005B4ED6">
            <w:pPr>
              <w:pStyle w:val="AnnexNumberedText"/>
              <w:ind w:left="293" w:hanging="293"/>
            </w:pPr>
            <w:r>
              <w:t>c)</w:t>
            </w:r>
            <w:r>
              <w:tab/>
              <w:t>Toaletter, herunder skåler og spylesisterner, har et fullt spylevolum på høyst 6 liter og et høyeste gjennomsnittlig spylevolum på 3,5 liter.</w:t>
            </w:r>
          </w:p>
          <w:p w14:paraId="2EFC3588" w14:textId="77777777" w:rsidR="006561BA" w:rsidRDefault="005B4ED6">
            <w:pPr>
              <w:pStyle w:val="AnnexNumberedText"/>
              <w:ind w:left="293" w:hanging="293"/>
            </w:pPr>
            <w:r>
              <w:t>d)</w:t>
            </w:r>
            <w:r>
              <w:tab/>
              <w:t>Urinaler bruker høyst 2 liter/skål/time. Urinaler med spyling har et høyeste fullt spylevolum på 1 liter.</w:t>
            </w:r>
          </w:p>
          <w:p w14:paraId="1C9E7102" w14:textId="77777777" w:rsidR="006561BA" w:rsidRDefault="005B4ED6">
            <w:pPr>
              <w:pStyle w:val="AnnexTableCellLeft"/>
            </w:pPr>
            <w:r>
              <w:t>For å unngå påvirkning fra byggeplassen oppfyller aktiviteten de kriteriene som er fastsatt i tillegg B til dette vedlegget.</w:t>
            </w:r>
          </w:p>
        </w:tc>
      </w:tr>
      <w:tr w:rsidR="006561BA" w14:paraId="453A0B5D" w14:textId="77777777">
        <w:tc>
          <w:tcPr>
            <w:tcW w:w="2568" w:type="dxa"/>
            <w:tcMar>
              <w:top w:w="200" w:type="dxa"/>
              <w:left w:w="0" w:type="dxa"/>
              <w:bottom w:w="200" w:type="dxa"/>
            </w:tcMar>
          </w:tcPr>
          <w:p w14:paraId="20BD91BE" w14:textId="77777777" w:rsidR="006561BA" w:rsidRDefault="005B4ED6">
            <w:pPr>
              <w:pStyle w:val="AnnexNumberedText"/>
              <w:spacing w:after="0"/>
              <w:ind w:left="293" w:hanging="293"/>
            </w:pPr>
            <w:r>
              <w:t>5)</w:t>
            </w:r>
            <w:r>
              <w:tab/>
              <w:t>Forebygging og begrensning av forurensning</w:t>
            </w:r>
          </w:p>
        </w:tc>
        <w:tc>
          <w:tcPr>
            <w:tcW w:w="6660" w:type="dxa"/>
            <w:tcMar>
              <w:top w:w="200" w:type="dxa"/>
              <w:bottom w:w="200" w:type="dxa"/>
              <w:right w:w="0" w:type="dxa"/>
            </w:tcMar>
          </w:tcPr>
          <w:p w14:paraId="238CE26B" w14:textId="77777777" w:rsidR="006561BA" w:rsidRDefault="005B4ED6">
            <w:pPr>
              <w:pStyle w:val="AnnexTableCellLeft"/>
              <w:spacing w:after="120"/>
            </w:pPr>
            <w:r>
              <w:t>Bygningskomponenter og -materialer som brukes under oppføringen, oppfyller kriteriene fastsatt i tillegg C til dette vedlegget.</w:t>
            </w:r>
          </w:p>
          <w:p w14:paraId="6ED6E5C8" w14:textId="77777777" w:rsidR="006561BA" w:rsidRDefault="005B4ED6">
            <w:pPr>
              <w:pStyle w:val="AnnexTableCellLeft"/>
            </w:pPr>
            <w:r>
              <w:t>Bygningskomponenter og -materialer som brukes under oppføringen, og som kan komme i kontakt med beboere(</w:t>
            </w:r>
            <w:bookmarkStart w:id="152" w:name="NOTE_153"/>
            <w:r>
              <w:rPr>
                <w:rStyle w:val="FootnoteReference"/>
                <w:sz w:val="18"/>
              </w:rPr>
              <w:footnoteReference w:id="154"/>
            </w:r>
            <w:bookmarkEnd w:id="152"/>
            <w:r>
              <w:t>), avgir mindre enn 0,06 mg formaldehyd per m</w:t>
            </w:r>
            <w:r>
              <w:rPr>
                <w:vertAlign w:val="superscript"/>
              </w:rPr>
              <w:t>3</w:t>
            </w:r>
            <w:r>
              <w:t xml:space="preserve"> luft i prøvingskammeret ved prøving i samsvar med vilkårene angitt i vedlegg XVII til forordning (EF) nr. 1907/2006 og mindre enn 0,001 mg av andre </w:t>
            </w:r>
            <w:proofErr w:type="spellStart"/>
            <w:r>
              <w:t>kreftframkallende</w:t>
            </w:r>
            <w:proofErr w:type="spellEnd"/>
            <w:r>
              <w:t xml:space="preserve"> flyktige organiske forbindelser i kategori 1A og 1B per m</w:t>
            </w:r>
            <w:r>
              <w:rPr>
                <w:vertAlign w:val="superscript"/>
              </w:rPr>
              <w:t>3</w:t>
            </w:r>
            <w:r>
              <w:t xml:space="preserve"> luft i prøvingskammeret ved prøving i samsvar med CEN/EN 16516(</w:t>
            </w:r>
            <w:bookmarkStart w:id="153" w:name="NOTE_154"/>
            <w:r>
              <w:rPr>
                <w:rStyle w:val="FootnoteReference"/>
                <w:sz w:val="18"/>
              </w:rPr>
              <w:footnoteReference w:id="155"/>
            </w:r>
            <w:bookmarkEnd w:id="153"/>
            <w:r>
              <w:t>) eller ISO 16000-3:2011(</w:t>
            </w:r>
            <w:bookmarkStart w:id="154" w:name="NOTE_155"/>
            <w:r>
              <w:rPr>
                <w:rStyle w:val="FootnoteReference"/>
                <w:sz w:val="18"/>
              </w:rPr>
              <w:footnoteReference w:id="156"/>
            </w:r>
            <w:bookmarkEnd w:id="154"/>
            <w:r>
              <w:t>) eller andre tilsvarende standardiserte prøvingsforhold og bestemmelsesmetoder(</w:t>
            </w:r>
            <w:bookmarkStart w:id="155" w:name="NOTE_156"/>
            <w:r>
              <w:rPr>
                <w:rStyle w:val="FootnoteReference"/>
                <w:sz w:val="18"/>
              </w:rPr>
              <w:footnoteReference w:id="157"/>
            </w:r>
            <w:bookmarkEnd w:id="155"/>
            <w:r>
              <w:t>).</w:t>
            </w:r>
          </w:p>
        </w:tc>
      </w:tr>
      <w:tr w:rsidR="006561BA" w14:paraId="4B719820" w14:textId="77777777">
        <w:tc>
          <w:tcPr>
            <w:tcW w:w="2568" w:type="dxa"/>
            <w:tcMar>
              <w:top w:w="200" w:type="dxa"/>
              <w:left w:w="0" w:type="dxa"/>
              <w:bottom w:w="200" w:type="dxa"/>
            </w:tcMar>
          </w:tcPr>
          <w:p w14:paraId="5ED2C33A" w14:textId="77777777" w:rsidR="006561BA" w:rsidRDefault="006561BA">
            <w:pPr>
              <w:pStyle w:val="AnnexTableCellLeft"/>
              <w:pageBreakBefore/>
            </w:pPr>
          </w:p>
        </w:tc>
        <w:tc>
          <w:tcPr>
            <w:tcW w:w="6660" w:type="dxa"/>
            <w:tcMar>
              <w:top w:w="200" w:type="dxa"/>
              <w:bottom w:w="200" w:type="dxa"/>
              <w:right w:w="0" w:type="dxa"/>
            </w:tcMar>
          </w:tcPr>
          <w:p w14:paraId="56987D1B" w14:textId="77777777" w:rsidR="006561BA" w:rsidRDefault="005B4ED6">
            <w:pPr>
              <w:pStyle w:val="AnnexTableCellLeft"/>
              <w:spacing w:after="120"/>
            </w:pPr>
            <w:r>
              <w:t>Dersom nybygget befinner seg på et potensielt forurenset område (eksisterende industriareal), har området vært gjenstand for en undersøkelse for potensielle forurensninger, for eksempel ved bruk av standard ISO 18400(</w:t>
            </w:r>
            <w:bookmarkStart w:id="156" w:name="NOTE_157"/>
            <w:r>
              <w:rPr>
                <w:rStyle w:val="FootnoteReference"/>
                <w:sz w:val="18"/>
              </w:rPr>
              <w:footnoteReference w:id="158"/>
            </w:r>
            <w:bookmarkEnd w:id="156"/>
            <w:r>
              <w:t>).</w:t>
            </w:r>
          </w:p>
          <w:p w14:paraId="33046A5F" w14:textId="77777777" w:rsidR="006561BA" w:rsidRDefault="005B4ED6">
            <w:pPr>
              <w:pStyle w:val="AnnexTableCellLeft"/>
            </w:pPr>
            <w:r>
              <w:t>Det treffes tiltak for å redusere utslipp av støy, støv og forurensende stoffer under bygge- eller vedlikeholdsarbeider.</w:t>
            </w:r>
          </w:p>
        </w:tc>
      </w:tr>
      <w:tr w:rsidR="006561BA" w14:paraId="4E167785" w14:textId="77777777">
        <w:tc>
          <w:tcPr>
            <w:tcW w:w="2568" w:type="dxa"/>
            <w:tcMar>
              <w:top w:w="200" w:type="dxa"/>
              <w:left w:w="0" w:type="dxa"/>
              <w:bottom w:w="200" w:type="dxa"/>
            </w:tcMar>
          </w:tcPr>
          <w:p w14:paraId="5FE5E6C1" w14:textId="77777777" w:rsidR="006561BA" w:rsidRDefault="005B4ED6">
            <w:pPr>
              <w:pStyle w:val="AnnexNumberedText"/>
              <w:spacing w:after="0"/>
              <w:ind w:left="293" w:hanging="293"/>
            </w:pPr>
            <w:r>
              <w:t>6)</w:t>
            </w:r>
            <w:r>
              <w:tab/>
              <w:t>Beskyttelse og restaurering av biologisk mangfold og økosystemer</w:t>
            </w:r>
          </w:p>
        </w:tc>
        <w:tc>
          <w:tcPr>
            <w:tcW w:w="6660" w:type="dxa"/>
            <w:tcMar>
              <w:top w:w="200" w:type="dxa"/>
              <w:bottom w:w="200" w:type="dxa"/>
              <w:right w:w="0" w:type="dxa"/>
            </w:tcMar>
          </w:tcPr>
          <w:p w14:paraId="11D25FDE" w14:textId="77777777" w:rsidR="006561BA" w:rsidRDefault="005B4ED6">
            <w:pPr>
              <w:pStyle w:val="AnnexTableCellLeft"/>
              <w:spacing w:after="120"/>
            </w:pPr>
            <w:r>
              <w:t>Aktiviteten oppfyller kriteriene fastsatt i tillegg D til dette vedlegget.</w:t>
            </w:r>
          </w:p>
          <w:p w14:paraId="4EB494C0" w14:textId="4D2D83E8" w:rsidR="006561BA" w:rsidRDefault="005B4ED6">
            <w:pPr>
              <w:pStyle w:val="AnnexTableCellLeft"/>
              <w:spacing w:after="120"/>
            </w:pPr>
            <w:r>
              <w:t xml:space="preserve">Nybygget er ikke </w:t>
            </w:r>
            <w:r w:rsidR="00180C54">
              <w:t>oppført</w:t>
            </w:r>
            <w:r>
              <w:t xml:space="preserve"> på </w:t>
            </w:r>
            <w:r w:rsidR="00180C54">
              <w:t xml:space="preserve">noen </w:t>
            </w:r>
            <w:r>
              <w:t>av følgende</w:t>
            </w:r>
            <w:r w:rsidR="00180C54">
              <w:t xml:space="preserve"> områder</w:t>
            </w:r>
            <w:r>
              <w:t>:</w:t>
            </w:r>
          </w:p>
          <w:p w14:paraId="00BB6012" w14:textId="77777777" w:rsidR="006561BA" w:rsidRDefault="005B4ED6">
            <w:pPr>
              <w:pStyle w:val="AnnexNumberedText"/>
              <w:ind w:left="293" w:hanging="293"/>
            </w:pPr>
            <w:r>
              <w:t>a)</w:t>
            </w:r>
            <w:r>
              <w:tab/>
              <w:t>Dyrket og dyrkbar mark der jorden har et moderat til høyt nivå av fruktbarhet og biologisk mangfold som nevnt i EU-undersøkelsen LUCAS(</w:t>
            </w:r>
            <w:bookmarkStart w:id="157" w:name="NOTE_158"/>
            <w:r>
              <w:rPr>
                <w:rStyle w:val="FootnoteReference"/>
                <w:sz w:val="18"/>
              </w:rPr>
              <w:footnoteReference w:id="159"/>
            </w:r>
            <w:bookmarkEnd w:id="157"/>
            <w:r>
              <w:t>).</w:t>
            </w:r>
          </w:p>
          <w:p w14:paraId="2F614F9B" w14:textId="77777777" w:rsidR="006561BA" w:rsidRDefault="005B4ED6">
            <w:pPr>
              <w:pStyle w:val="AnnexNumberedText"/>
              <w:ind w:left="293" w:hanging="293"/>
            </w:pPr>
            <w:r>
              <w:t>b)</w:t>
            </w:r>
            <w:r>
              <w:tab/>
              <w:t>Ubebygde arealer med anerkjent høy verdi for biologisk mangfold og arealer som fungerer som habitat for utryddelsestruede arter (flora og fauna), som er oppført på den europeiske rødlisten(</w:t>
            </w:r>
            <w:bookmarkStart w:id="158" w:name="NOTE_159"/>
            <w:r>
              <w:rPr>
                <w:rStyle w:val="FootnoteReference"/>
                <w:sz w:val="18"/>
              </w:rPr>
              <w:footnoteReference w:id="160"/>
            </w:r>
            <w:bookmarkEnd w:id="158"/>
            <w:r>
              <w:t xml:space="preserve">) eller </w:t>
            </w:r>
            <w:proofErr w:type="spellStart"/>
            <w:r>
              <w:t>IUCNs</w:t>
            </w:r>
            <w:proofErr w:type="spellEnd"/>
            <w:r>
              <w:t xml:space="preserve"> rødliste(</w:t>
            </w:r>
            <w:bookmarkStart w:id="159" w:name="NOTE_160"/>
            <w:r>
              <w:rPr>
                <w:rStyle w:val="FootnoteReference"/>
                <w:sz w:val="18"/>
              </w:rPr>
              <w:footnoteReference w:id="161"/>
            </w:r>
            <w:bookmarkEnd w:id="159"/>
            <w:r>
              <w:t>).</w:t>
            </w:r>
          </w:p>
          <w:p w14:paraId="4337C893" w14:textId="77777777" w:rsidR="006561BA" w:rsidRDefault="005B4ED6">
            <w:pPr>
              <w:pStyle w:val="AnnexNumberedText"/>
              <w:spacing w:after="0"/>
              <w:ind w:left="293" w:hanging="293"/>
            </w:pPr>
            <w:r>
              <w:t>c)</w:t>
            </w:r>
            <w:r>
              <w:tab/>
              <w:t>Arealer som er i samsvar med definisjonen av skog i nasjonal rett, som brukes i det nasjonale klimagassregnskapet, eller, dersom en slik definisjon ikke finnes, er i samsvar med FAOs definisjon av «skog»</w:t>
            </w:r>
            <w:bookmarkStart w:id="160" w:name="NOTE_161"/>
            <w:r>
              <w:rPr>
                <w:rStyle w:val="FootnoteReference"/>
                <w:sz w:val="18"/>
              </w:rPr>
              <w:footnoteReference w:id="162"/>
            </w:r>
            <w:bookmarkEnd w:id="160"/>
            <w:r>
              <w:t>).</w:t>
            </w:r>
          </w:p>
        </w:tc>
      </w:tr>
    </w:tbl>
    <w:p w14:paraId="4EF40FD1" w14:textId="77777777" w:rsidR="006561BA" w:rsidRDefault="005B4ED6">
      <w:pPr>
        <w:pStyle w:val="AnnexNumberedText"/>
        <w:spacing w:before="400" w:after="300"/>
        <w:ind w:left="414" w:hanging="414"/>
      </w:pPr>
      <w:r>
        <w:t>3.2.</w:t>
      </w:r>
      <w:r>
        <w:rPr>
          <w:b/>
        </w:rPr>
        <w:tab/>
        <w:t>Renovering av eksisterende bygninger</w:t>
      </w:r>
    </w:p>
    <w:p w14:paraId="040FB15A" w14:textId="77777777" w:rsidR="006561BA" w:rsidRDefault="005B4ED6">
      <w:pPr>
        <w:pStyle w:val="AnnexGrSeq3"/>
        <w:jc w:val="both"/>
      </w:pPr>
      <w:r>
        <w:rPr>
          <w:i/>
        </w:rPr>
        <w:t>Beskrivelse av aktiviteten</w:t>
      </w:r>
    </w:p>
    <w:p w14:paraId="691376CD" w14:textId="77777777" w:rsidR="006561BA" w:rsidRDefault="005B4ED6">
      <w:pPr>
        <w:pStyle w:val="AnnexNormal"/>
      </w:pPr>
      <w:r>
        <w:t>Bygge- og anleggsarbeider eller forberedelse av disse.</w:t>
      </w:r>
    </w:p>
    <w:p w14:paraId="2AC17DA7" w14:textId="0C94760A" w:rsidR="006561BA" w:rsidRDefault="005B4ED6">
      <w:pPr>
        <w:pStyle w:val="AnnexNormal"/>
      </w:pPr>
      <w:r>
        <w:t>De økonomiske aktivitetene i denne kategorien kan knyttes til flere NACE-koder, særlig F41 og F43</w:t>
      </w:r>
      <w:r w:rsidR="00DD527F">
        <w:t>,</w:t>
      </w:r>
      <w:r>
        <w:t xml:space="preserve"> i samsvar med standarden for næringsgruppering fastsatt ved forordning (EF) nr. 1893/2006.</w:t>
      </w:r>
      <w:r>
        <w:br w:type="page"/>
      </w:r>
    </w:p>
    <w:p w14:paraId="5BFE27B7" w14:textId="77777777" w:rsidR="006561BA" w:rsidRDefault="005B4ED6">
      <w:pPr>
        <w:pStyle w:val="AnnexGrSeq3"/>
        <w:spacing w:after="300"/>
        <w:jc w:val="both"/>
      </w:pPr>
      <w:r>
        <w:rPr>
          <w:i/>
        </w:rPr>
        <w:lastRenderedPageBreak/>
        <w:t>Tekniske screeningkriterier</w:t>
      </w:r>
    </w:p>
    <w:tbl>
      <w:tblPr>
        <w:tblStyle w:val="EFTATable"/>
        <w:tblW w:w="9228" w:type="dxa"/>
        <w:tblInd w:w="12" w:type="dxa"/>
        <w:tblLayout w:type="fixed"/>
        <w:tblLook w:val="04A0" w:firstRow="1" w:lastRow="0" w:firstColumn="1" w:lastColumn="0" w:noHBand="0" w:noVBand="1"/>
      </w:tblPr>
      <w:tblGrid>
        <w:gridCol w:w="2496"/>
        <w:gridCol w:w="6732"/>
      </w:tblGrid>
      <w:tr w:rsidR="006561BA" w14:paraId="68B2B141" w14:textId="77777777">
        <w:trPr>
          <w:trHeight w:val="240"/>
        </w:trPr>
        <w:tc>
          <w:tcPr>
            <w:tcW w:w="9228" w:type="dxa"/>
            <w:gridSpan w:val="2"/>
            <w:tcMar>
              <w:top w:w="200" w:type="dxa"/>
              <w:left w:w="0" w:type="dxa"/>
              <w:bottom w:w="200" w:type="dxa"/>
              <w:right w:w="0" w:type="dxa"/>
            </w:tcMar>
          </w:tcPr>
          <w:p w14:paraId="40466C3A" w14:textId="77777777" w:rsidR="006561BA" w:rsidRDefault="005B4ED6">
            <w:pPr>
              <w:pStyle w:val="AnnexTableCellLeft"/>
            </w:pPr>
            <w:r>
              <w:t>Vesentlig bidrag til omstilling til en sirkulær økonomi</w:t>
            </w:r>
          </w:p>
        </w:tc>
      </w:tr>
      <w:tr w:rsidR="006561BA" w14:paraId="365D505B" w14:textId="77777777">
        <w:trPr>
          <w:trHeight w:val="360"/>
        </w:trPr>
        <w:tc>
          <w:tcPr>
            <w:tcW w:w="9228" w:type="dxa"/>
            <w:gridSpan w:val="2"/>
            <w:tcMar>
              <w:top w:w="200" w:type="dxa"/>
              <w:left w:w="0" w:type="dxa"/>
              <w:bottom w:w="200" w:type="dxa"/>
              <w:right w:w="0" w:type="dxa"/>
            </w:tcMar>
          </w:tcPr>
          <w:p w14:paraId="2A46EFB1" w14:textId="77777777" w:rsidR="006561BA" w:rsidRDefault="005B4ED6">
            <w:pPr>
              <w:pStyle w:val="AnnexNumberedText"/>
              <w:tabs>
                <w:tab w:val="left" w:pos="276"/>
              </w:tabs>
              <w:ind w:left="0" w:firstLine="0"/>
            </w:pPr>
            <w:r>
              <w:t>1.</w:t>
            </w:r>
            <w:r>
              <w:tab/>
              <w:t xml:space="preserve">Alt bygge- og </w:t>
            </w:r>
            <w:proofErr w:type="spellStart"/>
            <w:r>
              <w:t>rivingsavfall</w:t>
            </w:r>
            <w:proofErr w:type="spellEnd"/>
            <w:r>
              <w:t xml:space="preserve"> som genereres, behandles i samsvar med EUs avfallsregelverk og den fullstendige sjekklisten i EUs protokoll om håndtering av bygge- og </w:t>
            </w:r>
            <w:proofErr w:type="spellStart"/>
            <w:r>
              <w:t>rivingsavfall</w:t>
            </w:r>
            <w:proofErr w:type="spellEnd"/>
            <w:r>
              <w:t xml:space="preserve">, særlig ved å innføre sorteringssystemer og kontroll før </w:t>
            </w:r>
            <w:proofErr w:type="spellStart"/>
            <w:r>
              <w:t>riving</w:t>
            </w:r>
            <w:proofErr w:type="spellEnd"/>
            <w:r>
              <w:t>(</w:t>
            </w:r>
            <w:bookmarkStart w:id="161" w:name="NOTE_162"/>
            <w:r>
              <w:rPr>
                <w:rStyle w:val="FootnoteReference"/>
                <w:sz w:val="18"/>
              </w:rPr>
              <w:footnoteReference w:id="163"/>
            </w:r>
            <w:bookmarkEnd w:id="161"/>
            <w:r>
              <w:t>). Forberedelse til ombruk(</w:t>
            </w:r>
            <w:bookmarkStart w:id="162" w:name="NOTE_163"/>
            <w:r>
              <w:rPr>
                <w:rStyle w:val="FootnoteReference"/>
                <w:sz w:val="18"/>
              </w:rPr>
              <w:footnoteReference w:id="164"/>
            </w:r>
            <w:bookmarkEnd w:id="162"/>
            <w:r>
              <w:t>) eller materialgjenvinning(</w:t>
            </w:r>
            <w:bookmarkStart w:id="163" w:name="NOTE_164"/>
            <w:r>
              <w:rPr>
                <w:rStyle w:val="FootnoteReference"/>
                <w:sz w:val="18"/>
              </w:rPr>
              <w:footnoteReference w:id="165"/>
            </w:r>
            <w:bookmarkEnd w:id="163"/>
            <w:r>
              <w:t xml:space="preserve">) av det ikke-farlige bygge- og </w:t>
            </w:r>
            <w:proofErr w:type="spellStart"/>
            <w:r>
              <w:t>rivingsavfallet</w:t>
            </w:r>
            <w:proofErr w:type="spellEnd"/>
            <w:r>
              <w:t xml:space="preserve"> som genereres på byggeplassen, er minst 70 % (i masse i kilo), unntatt utfylling(</w:t>
            </w:r>
            <w:bookmarkStart w:id="164" w:name="NOTE_165"/>
            <w:r>
              <w:rPr>
                <w:rStyle w:val="FootnoteReference"/>
                <w:sz w:val="18"/>
              </w:rPr>
              <w:footnoteReference w:id="166"/>
            </w:r>
            <w:bookmarkEnd w:id="164"/>
            <w:r>
              <w:t>). Dette utelukker naturlig forekommende materiale som omhandlet i kategori 17 05 04 i den europeiske listen over avfall opprettet ved vedtak 2000/532/EF. Aktivitetsutøveren viser at terskelverdien på 70 % er overholdt ved å rapportere om Level(s)-indikator 2.2(</w:t>
            </w:r>
            <w:bookmarkStart w:id="165" w:name="NOTE_166"/>
            <w:r>
              <w:rPr>
                <w:rStyle w:val="FootnoteReference"/>
                <w:sz w:val="18"/>
              </w:rPr>
              <w:footnoteReference w:id="167"/>
            </w:r>
            <w:bookmarkEnd w:id="165"/>
            <w:r>
              <w:t>) ved hjelp av Level 2-rapporteringsformatet for forskjellige avfallsstrømmer.</w:t>
            </w:r>
          </w:p>
          <w:p w14:paraId="7E663469" w14:textId="24270557" w:rsidR="006561BA" w:rsidRDefault="005B4ED6">
            <w:pPr>
              <w:pStyle w:val="AnnexNumberedText"/>
              <w:tabs>
                <w:tab w:val="left" w:pos="276"/>
              </w:tabs>
              <w:ind w:left="0" w:firstLine="0"/>
            </w:pPr>
            <w:r>
              <w:t>2.</w:t>
            </w:r>
            <w:r>
              <w:tab/>
              <w:t>Bygningens livsløpspotensial for global oppvarming (GWP)</w:t>
            </w:r>
            <w:r w:rsidR="00AD56F0">
              <w:t>(</w:t>
            </w:r>
            <w:r>
              <w:rPr>
                <w:rStyle w:val="FootnoteReference"/>
                <w:sz w:val="18"/>
              </w:rPr>
              <w:footnoteReference w:id="168"/>
            </w:r>
            <w:r>
              <w:t>) som følge av renoveringsarbeidet på bygningen er beregnet for hvert trinn i livsløpet, fra et renoveringsperspektiv, og legges fram for investorer og kunder på anmodning.</w:t>
            </w:r>
          </w:p>
          <w:p w14:paraId="31F59B8D" w14:textId="77777777" w:rsidR="006561BA" w:rsidRDefault="005B4ED6">
            <w:pPr>
              <w:pStyle w:val="AnnexNumberedText"/>
              <w:tabs>
                <w:tab w:val="left" w:pos="276"/>
              </w:tabs>
              <w:spacing w:after="0"/>
              <w:ind w:left="0" w:firstLine="0"/>
            </w:pPr>
            <w:r>
              <w:t>3.</w:t>
            </w:r>
            <w:r>
              <w:tab/>
              <w:t xml:space="preserve">Byggetegninger og -teknikker støtter </w:t>
            </w:r>
            <w:proofErr w:type="spellStart"/>
            <w:r>
              <w:t>sirkularitet</w:t>
            </w:r>
            <w:proofErr w:type="spellEnd"/>
            <w:r>
              <w:t xml:space="preserve"> ved å integrere utformingskonsepter for tilpasning og nedmontering i henhold til henholdsvis Level(s)-indikator 2.3 og 2.4. Aktivitetsutøveren viser at dette kravet er oppfylt ved å rapportere om Level(s)-indikator 2.3(</w:t>
            </w:r>
            <w:bookmarkStart w:id="166" w:name="NOTE_168"/>
            <w:r>
              <w:rPr>
                <w:rStyle w:val="FootnoteReference"/>
                <w:sz w:val="18"/>
              </w:rPr>
              <w:footnoteReference w:id="169"/>
            </w:r>
            <w:bookmarkEnd w:id="166"/>
            <w:r>
              <w:t>) og 2.4(</w:t>
            </w:r>
            <w:bookmarkStart w:id="167" w:name="NOTE_169"/>
            <w:r>
              <w:rPr>
                <w:rStyle w:val="FootnoteReference"/>
                <w:sz w:val="18"/>
              </w:rPr>
              <w:footnoteReference w:id="170"/>
            </w:r>
            <w:bookmarkEnd w:id="167"/>
            <w:r>
              <w:t>) i Level 2.</w:t>
            </w:r>
          </w:p>
        </w:tc>
      </w:tr>
      <w:tr w:rsidR="006561BA" w14:paraId="3D8AAC99" w14:textId="77777777">
        <w:trPr>
          <w:trHeight w:val="240"/>
        </w:trPr>
        <w:tc>
          <w:tcPr>
            <w:tcW w:w="9228" w:type="dxa"/>
            <w:gridSpan w:val="2"/>
            <w:tcMar>
              <w:top w:w="200" w:type="dxa"/>
              <w:left w:w="0" w:type="dxa"/>
              <w:bottom w:w="200" w:type="dxa"/>
              <w:right w:w="0" w:type="dxa"/>
            </w:tcMar>
          </w:tcPr>
          <w:p w14:paraId="34E08E9F" w14:textId="77777777" w:rsidR="006561BA" w:rsidRDefault="005B4ED6">
            <w:pPr>
              <w:pStyle w:val="AnnexNumberedText"/>
              <w:pageBreakBefore/>
              <w:tabs>
                <w:tab w:val="left" w:pos="276"/>
              </w:tabs>
              <w:ind w:left="0" w:firstLine="0"/>
            </w:pPr>
            <w:r>
              <w:lastRenderedPageBreak/>
              <w:t>4.</w:t>
            </w:r>
            <w:r>
              <w:tab/>
              <w:t>Minst 50 % av den opprinnelige bygningen beholdes. Dette skal beregnes på grunnlag av eksternt brutto bruksareal som er beholdt fra den opprinnelige bygningen ved hjelp av gjeldende nasjonale eller regionale målemetoder, alternativt ved hjelp av definisjonen av «IPMS 1» som finnes i de internasjonale standardene for måling av fast eiendom(</w:t>
            </w:r>
            <w:bookmarkStart w:id="168" w:name="NOTE_170"/>
            <w:r>
              <w:rPr>
                <w:rStyle w:val="FootnoteReference"/>
                <w:sz w:val="18"/>
              </w:rPr>
              <w:footnoteReference w:id="171"/>
            </w:r>
            <w:bookmarkEnd w:id="168"/>
            <w:r>
              <w:t>).</w:t>
            </w:r>
          </w:p>
          <w:p w14:paraId="25CC4241" w14:textId="24F70A99" w:rsidR="006561BA" w:rsidRDefault="005B4ED6">
            <w:pPr>
              <w:pStyle w:val="AnnexNumberedText"/>
              <w:pageBreakBefore/>
              <w:tabs>
                <w:tab w:val="left" w:pos="276"/>
              </w:tabs>
              <w:ind w:left="0" w:firstLine="0"/>
            </w:pPr>
            <w:r>
              <w:t>5.</w:t>
            </w:r>
            <w:r>
              <w:tab/>
              <w:t>Bruken av primær</w:t>
            </w:r>
            <w:r w:rsidR="00BE00C3">
              <w:t xml:space="preserve">e </w:t>
            </w:r>
            <w:r>
              <w:t>rå</w:t>
            </w:r>
            <w:r w:rsidR="00BE00C3">
              <w:t>varer</w:t>
            </w:r>
            <w:r>
              <w:t xml:space="preserve"> ved renovering av bygningen minimeres ved bruk av </w:t>
            </w:r>
            <w:r w:rsidR="00534902" w:rsidRPr="00534902">
              <w:t>sekundære råvarer</w:t>
            </w:r>
            <w:r>
              <w:t>(</w:t>
            </w:r>
            <w:bookmarkStart w:id="169" w:name="NOTE_171"/>
            <w:r>
              <w:rPr>
                <w:rStyle w:val="FootnoteReference"/>
                <w:sz w:val="18"/>
              </w:rPr>
              <w:footnoteReference w:id="172"/>
            </w:r>
            <w:bookmarkEnd w:id="169"/>
            <w:r>
              <w:t>). Aktivitetsutøveren sikrer at de tre tyngste material</w:t>
            </w:r>
            <w:r w:rsidR="005D1CED">
              <w:t>e</w:t>
            </w:r>
            <w:r>
              <w:t>kategoriene som nylig er lagt til bygningen i forbindelse med renoveringen av bygningen, målt i masse i kilo, overholder følgende terskelverdier for den høyeste mengden av de</w:t>
            </w:r>
            <w:r w:rsidR="00441A33">
              <w:t>n</w:t>
            </w:r>
            <w:r>
              <w:t xml:space="preserve"> primær</w:t>
            </w:r>
            <w:r w:rsidR="00441A33">
              <w:t xml:space="preserve"> </w:t>
            </w:r>
            <w:r w:rsidR="00CA2D1A">
              <w:t>rå</w:t>
            </w:r>
            <w:r w:rsidR="00441A33">
              <w:t>varen</w:t>
            </w:r>
            <w:r>
              <w:t xml:space="preserve"> som brukes:</w:t>
            </w:r>
          </w:p>
          <w:p w14:paraId="28167EF2" w14:textId="735A6869" w:rsidR="006561BA" w:rsidRDefault="005B4ED6">
            <w:pPr>
              <w:pStyle w:val="AnnexNumberedText"/>
              <w:pageBreakBefore/>
              <w:ind w:left="293" w:hanging="293"/>
            </w:pPr>
            <w:r>
              <w:t>a)</w:t>
            </w:r>
            <w:r>
              <w:tab/>
              <w:t>For den samlede mengden betong(</w:t>
            </w:r>
            <w:bookmarkStart w:id="170" w:name="NOTE_172"/>
            <w:r>
              <w:rPr>
                <w:rStyle w:val="FootnoteReference"/>
                <w:sz w:val="18"/>
              </w:rPr>
              <w:footnoteReference w:id="173"/>
            </w:r>
            <w:bookmarkEnd w:id="170"/>
            <w:r>
              <w:t xml:space="preserve">), naturstein eller agglomerert stein kommer høyst 85 % av materialet fra </w:t>
            </w:r>
            <w:r w:rsidR="006B72A0" w:rsidRPr="006B72A0">
              <w:t>primære råvarer</w:t>
            </w:r>
            <w:r>
              <w:t>.</w:t>
            </w:r>
          </w:p>
          <w:p w14:paraId="0210E0C3" w14:textId="229FC6FB" w:rsidR="006561BA" w:rsidRDefault="005B4ED6">
            <w:pPr>
              <w:pStyle w:val="AnnexNumberedText"/>
              <w:pageBreakBefore/>
              <w:ind w:left="293" w:hanging="293"/>
            </w:pPr>
            <w:r>
              <w:t>b)</w:t>
            </w:r>
            <w:r>
              <w:tab/>
              <w:t xml:space="preserve">For den samlede mengden murstein, takstein eller keramikk kommer høyst 85 % av materialet fra </w:t>
            </w:r>
            <w:r w:rsidR="006B72A0" w:rsidRPr="006B72A0">
              <w:t>primære råvarer</w:t>
            </w:r>
            <w:r>
              <w:t>.</w:t>
            </w:r>
          </w:p>
          <w:p w14:paraId="5C8B39F5" w14:textId="6FD8F4DD" w:rsidR="006561BA" w:rsidRDefault="005B4ED6">
            <w:pPr>
              <w:pStyle w:val="AnnexNumberedText"/>
              <w:pageBreakBefore/>
              <w:ind w:left="293" w:hanging="293"/>
            </w:pPr>
            <w:r>
              <w:t>c)</w:t>
            </w:r>
            <w:r>
              <w:tab/>
              <w:t>For biobaserte materialer(</w:t>
            </w:r>
            <w:bookmarkStart w:id="171" w:name="NOTE_173"/>
            <w:r>
              <w:rPr>
                <w:rStyle w:val="FootnoteReference"/>
                <w:sz w:val="18"/>
              </w:rPr>
              <w:footnoteReference w:id="174"/>
            </w:r>
            <w:bookmarkEnd w:id="171"/>
            <w:r>
              <w:t xml:space="preserve">) kommer høyst 90 % av materialet fra </w:t>
            </w:r>
            <w:r w:rsidR="006B72A0" w:rsidRPr="006B72A0">
              <w:t>primære råvarer</w:t>
            </w:r>
            <w:r>
              <w:t>.</w:t>
            </w:r>
          </w:p>
          <w:p w14:paraId="643B50C8" w14:textId="483030CF" w:rsidR="006561BA" w:rsidRDefault="005B4ED6">
            <w:pPr>
              <w:pStyle w:val="AnnexNumberedText"/>
              <w:pageBreakBefore/>
              <w:ind w:left="293" w:hanging="293"/>
            </w:pPr>
            <w:r>
              <w:t>d)</w:t>
            </w:r>
            <w:r>
              <w:tab/>
              <w:t xml:space="preserve">For den samlede mengden glass og mineralsk isolering kommer høyst 85 % av materialet fra </w:t>
            </w:r>
            <w:r w:rsidR="006B72A0" w:rsidRPr="006B72A0">
              <w:t>primære råvarer</w:t>
            </w:r>
            <w:r>
              <w:t>.</w:t>
            </w:r>
          </w:p>
          <w:p w14:paraId="52970543" w14:textId="48706064" w:rsidR="006561BA" w:rsidRDefault="005B4ED6">
            <w:pPr>
              <w:pStyle w:val="AnnexNumberedText"/>
              <w:pageBreakBefore/>
              <w:ind w:left="293" w:hanging="293"/>
            </w:pPr>
            <w:r>
              <w:t>e)</w:t>
            </w:r>
            <w:r>
              <w:tab/>
              <w:t xml:space="preserve">For ikke-biobasert plast kommer høyst 75 % av materialet fra </w:t>
            </w:r>
            <w:r w:rsidR="006B72A0" w:rsidRPr="006B72A0">
              <w:t>primære råvarer</w:t>
            </w:r>
            <w:r>
              <w:t>.</w:t>
            </w:r>
          </w:p>
          <w:p w14:paraId="06B1B7CE" w14:textId="4083AA21" w:rsidR="006561BA" w:rsidRDefault="005B4ED6">
            <w:pPr>
              <w:pStyle w:val="AnnexNumberedText"/>
              <w:pageBreakBefore/>
              <w:ind w:left="293" w:hanging="293"/>
            </w:pPr>
            <w:r>
              <w:t>f)</w:t>
            </w:r>
            <w:r>
              <w:tab/>
              <w:t xml:space="preserve">For metaller kommer høyst 65 % av materialet fra </w:t>
            </w:r>
            <w:r w:rsidR="006B72A0" w:rsidRPr="006B72A0">
              <w:t>primære råvarer</w:t>
            </w:r>
            <w:r>
              <w:t>.</w:t>
            </w:r>
          </w:p>
          <w:p w14:paraId="6AE512DB" w14:textId="7BB4CEEA" w:rsidR="006561BA" w:rsidRDefault="005B4ED6">
            <w:pPr>
              <w:pStyle w:val="AnnexNumberedText"/>
              <w:pageBreakBefore/>
              <w:ind w:left="293" w:hanging="293"/>
            </w:pPr>
            <w:r>
              <w:t>g)</w:t>
            </w:r>
            <w:r>
              <w:tab/>
              <w:t xml:space="preserve">For gips kommer høyst 83 % av materialet fra </w:t>
            </w:r>
            <w:r w:rsidR="006B72A0" w:rsidRPr="006B72A0">
              <w:t>primære råvarer</w:t>
            </w:r>
            <w:r>
              <w:t>.</w:t>
            </w:r>
          </w:p>
          <w:p w14:paraId="71113E29" w14:textId="50D86254" w:rsidR="006561BA" w:rsidRDefault="005B4ED6">
            <w:pPr>
              <w:pStyle w:val="AnnexTableCellLeft"/>
              <w:pageBreakBefore/>
            </w:pPr>
            <w:r>
              <w:t xml:space="preserve">Terskelverdiene beregnes ved å trekke </w:t>
            </w:r>
            <w:r w:rsidR="00534902">
              <w:t xml:space="preserve">den </w:t>
            </w:r>
            <w:r w:rsidR="00534902" w:rsidRPr="00534902">
              <w:t>sekundære råvare</w:t>
            </w:r>
            <w:r w:rsidR="00534902">
              <w:t>n</w:t>
            </w:r>
            <w:r w:rsidR="00534902" w:rsidRPr="00534902">
              <w:t xml:space="preserve"> </w:t>
            </w:r>
            <w:r>
              <w:t xml:space="preserve">fra den samlede mengden av hver </w:t>
            </w:r>
            <w:r w:rsidR="0041297E">
              <w:t>materiale</w:t>
            </w:r>
            <w:r>
              <w:t>kategori som brukes i arbeidet, målt i masse i kilo. Dersom det ikke foreligger opplysninger om materialgjenvunnet innhold i byggevaren, skal det medregnes som innhold som består av 100 % primær</w:t>
            </w:r>
            <w:r w:rsidR="00530F4B">
              <w:t xml:space="preserve">e </w:t>
            </w:r>
            <w:r>
              <w:t>rå</w:t>
            </w:r>
            <w:r w:rsidR="00530F4B">
              <w:t>vare</w:t>
            </w:r>
            <w:r w:rsidR="0005676D">
              <w:t>r</w:t>
            </w:r>
            <w:r>
              <w:t xml:space="preserve">. For å respektere avfallshierarkiet og dermed favorisere ombruk framfor materialgjenvinning, skal </w:t>
            </w:r>
            <w:proofErr w:type="spellStart"/>
            <w:r>
              <w:t>ombrukte</w:t>
            </w:r>
            <w:proofErr w:type="spellEnd"/>
            <w:r>
              <w:t xml:space="preserve"> byggevarer, herunder de som inneholder materialer som ikke er avfall, og som bearbeides på nytt på stedet, medregnes som byggevarer som består av 0 % primær</w:t>
            </w:r>
            <w:r w:rsidR="009E7258">
              <w:t xml:space="preserve">e </w:t>
            </w:r>
            <w:r>
              <w:t>rå</w:t>
            </w:r>
            <w:r w:rsidR="009E7258">
              <w:t>vare</w:t>
            </w:r>
            <w:r w:rsidR="0005676D">
              <w:t>r</w:t>
            </w:r>
            <w:r>
              <w:t>. Overholdelse av dette kriteriet vises ved å rapportere i henhold til Level(s)-indikator 2.1(</w:t>
            </w:r>
            <w:bookmarkStart w:id="172" w:name="NOTE_174"/>
            <w:r>
              <w:rPr>
                <w:rStyle w:val="FootnoteReference"/>
                <w:sz w:val="18"/>
              </w:rPr>
              <w:footnoteReference w:id="175"/>
            </w:r>
            <w:bookmarkEnd w:id="172"/>
            <w:r>
              <w:t>).</w:t>
            </w:r>
          </w:p>
        </w:tc>
      </w:tr>
      <w:tr w:rsidR="006561BA" w14:paraId="4A307E30" w14:textId="77777777">
        <w:trPr>
          <w:trHeight w:val="360"/>
        </w:trPr>
        <w:tc>
          <w:tcPr>
            <w:tcW w:w="9228" w:type="dxa"/>
            <w:gridSpan w:val="2"/>
            <w:tcMar>
              <w:top w:w="200" w:type="dxa"/>
              <w:left w:w="0" w:type="dxa"/>
              <w:bottom w:w="200" w:type="dxa"/>
              <w:right w:w="0" w:type="dxa"/>
            </w:tcMar>
          </w:tcPr>
          <w:p w14:paraId="0C0C2D3F" w14:textId="79158461" w:rsidR="006561BA" w:rsidRDefault="005B4ED6">
            <w:pPr>
              <w:pStyle w:val="AnnexNumberedText"/>
              <w:pageBreakBefore/>
              <w:tabs>
                <w:tab w:val="left" w:pos="276"/>
              </w:tabs>
              <w:ind w:left="0" w:firstLine="0"/>
            </w:pPr>
            <w:r>
              <w:lastRenderedPageBreak/>
              <w:t>6.</w:t>
            </w:r>
            <w:r>
              <w:tab/>
              <w:t>Aktivitetsutøveren bruker elektroniske verktøyer for å beskrive bygningens egenskaper, slik den er oppført, herunder de materialene og komponentene som er brukt, med henblikk på framtidig vedlikehold, gjenvinning og ombruk, for eksempel ved hjelp av EN ISO 22057:2022 for å legge fram miljøvaredeklarasjoner(</w:t>
            </w:r>
            <w:bookmarkStart w:id="173" w:name="NOTE_175"/>
            <w:r>
              <w:rPr>
                <w:rStyle w:val="FootnoteReference"/>
                <w:sz w:val="18"/>
              </w:rPr>
              <w:footnoteReference w:id="176"/>
            </w:r>
            <w:bookmarkEnd w:id="173"/>
            <w:r>
              <w:t>). Opplysningene lagres i et digitalt format og gjøres tilgjengelig</w:t>
            </w:r>
            <w:r w:rsidR="001379E4">
              <w:t>e</w:t>
            </w:r>
            <w:r>
              <w:t xml:space="preserve"> for investorer og kunder på anmodning. Dessuten sikrer aktivitetsutøveren langsiktig oppbevaring av disse opplysningene utover bygningens levetid ved hjelp av de systemene for informasjonshåndtering som stilles til rådighet gjennom nasjonale verktøyer, som for eksempel matrikkel eller offentlig register.</w:t>
            </w:r>
          </w:p>
        </w:tc>
      </w:tr>
      <w:tr w:rsidR="006561BA" w14:paraId="78DE30B0" w14:textId="77777777">
        <w:tc>
          <w:tcPr>
            <w:tcW w:w="9228" w:type="dxa"/>
            <w:gridSpan w:val="2"/>
            <w:tcMar>
              <w:top w:w="200" w:type="dxa"/>
              <w:left w:w="0" w:type="dxa"/>
              <w:bottom w:w="200" w:type="dxa"/>
              <w:right w:w="0" w:type="dxa"/>
            </w:tcMar>
          </w:tcPr>
          <w:p w14:paraId="4165C909" w14:textId="77777777" w:rsidR="006561BA" w:rsidRDefault="005B4ED6">
            <w:pPr>
              <w:pStyle w:val="AnnexTableCellLeft"/>
            </w:pPr>
            <w:r>
              <w:t>Prinsippet om ikke å gjøre betydelig skade («DNSH»)</w:t>
            </w:r>
          </w:p>
        </w:tc>
      </w:tr>
      <w:tr w:rsidR="006561BA" w14:paraId="16EE1006" w14:textId="77777777">
        <w:tc>
          <w:tcPr>
            <w:tcW w:w="2496" w:type="dxa"/>
            <w:tcMar>
              <w:top w:w="200" w:type="dxa"/>
              <w:left w:w="0" w:type="dxa"/>
              <w:bottom w:w="200" w:type="dxa"/>
            </w:tcMar>
          </w:tcPr>
          <w:p w14:paraId="7EFEC8A5" w14:textId="77777777" w:rsidR="006561BA" w:rsidRDefault="005B4ED6">
            <w:pPr>
              <w:pStyle w:val="AnnexNumberedText"/>
              <w:spacing w:after="0"/>
              <w:ind w:left="293" w:hanging="293"/>
            </w:pPr>
            <w:r>
              <w:t>1)</w:t>
            </w:r>
            <w:r>
              <w:tab/>
              <w:t>Begrensning av klimaendringer</w:t>
            </w:r>
          </w:p>
        </w:tc>
        <w:tc>
          <w:tcPr>
            <w:tcW w:w="6732" w:type="dxa"/>
            <w:tcMar>
              <w:top w:w="200" w:type="dxa"/>
              <w:bottom w:w="200" w:type="dxa"/>
              <w:right w:w="0" w:type="dxa"/>
            </w:tcMar>
          </w:tcPr>
          <w:p w14:paraId="0F6453C3" w14:textId="77777777" w:rsidR="006561BA" w:rsidRDefault="005B4ED6">
            <w:pPr>
              <w:pStyle w:val="AnnexTableCellLeft"/>
            </w:pPr>
            <w:r>
              <w:t>Bygningen er ikke beregnet på utvinning, lagring, transport eller produksjon av fossilt brensel.</w:t>
            </w:r>
          </w:p>
        </w:tc>
      </w:tr>
      <w:tr w:rsidR="006561BA" w14:paraId="6E901B42" w14:textId="77777777">
        <w:tc>
          <w:tcPr>
            <w:tcW w:w="2496" w:type="dxa"/>
            <w:tcMar>
              <w:top w:w="200" w:type="dxa"/>
              <w:left w:w="0" w:type="dxa"/>
              <w:bottom w:w="200" w:type="dxa"/>
            </w:tcMar>
          </w:tcPr>
          <w:p w14:paraId="45E961CA" w14:textId="77777777" w:rsidR="006561BA" w:rsidRDefault="005B4ED6">
            <w:pPr>
              <w:pStyle w:val="AnnexNumberedText"/>
              <w:spacing w:after="0"/>
              <w:ind w:left="293" w:hanging="293"/>
            </w:pPr>
            <w:r>
              <w:t>2)</w:t>
            </w:r>
            <w:r>
              <w:tab/>
              <w:t>Tilpasning til klimaendringer</w:t>
            </w:r>
          </w:p>
        </w:tc>
        <w:tc>
          <w:tcPr>
            <w:tcW w:w="6732" w:type="dxa"/>
            <w:tcMar>
              <w:top w:w="200" w:type="dxa"/>
              <w:bottom w:w="200" w:type="dxa"/>
              <w:right w:w="0" w:type="dxa"/>
            </w:tcMar>
          </w:tcPr>
          <w:p w14:paraId="25595149" w14:textId="77777777" w:rsidR="006561BA" w:rsidRDefault="005B4ED6">
            <w:pPr>
              <w:pStyle w:val="AnnexTableCellLeft"/>
            </w:pPr>
            <w:r>
              <w:t>Aktiviteten oppfyller kriteriene fastsatt i tillegg A til dette vedlegget.</w:t>
            </w:r>
          </w:p>
        </w:tc>
      </w:tr>
      <w:tr w:rsidR="006561BA" w14:paraId="2B4A10B2" w14:textId="77777777">
        <w:tc>
          <w:tcPr>
            <w:tcW w:w="2496" w:type="dxa"/>
            <w:tcMar>
              <w:top w:w="200" w:type="dxa"/>
              <w:left w:w="0" w:type="dxa"/>
              <w:bottom w:w="200" w:type="dxa"/>
            </w:tcMar>
          </w:tcPr>
          <w:p w14:paraId="2972A698" w14:textId="77777777" w:rsidR="006561BA" w:rsidRDefault="005B4ED6">
            <w:pPr>
              <w:pStyle w:val="AnnexNumberedText"/>
              <w:spacing w:after="0"/>
              <w:ind w:left="293" w:hanging="293"/>
            </w:pPr>
            <w:r>
              <w:t>3)</w:t>
            </w:r>
            <w:r>
              <w:tab/>
              <w:t>Bærekraftig bruk og beskyttelse av vann- og havressurser</w:t>
            </w:r>
          </w:p>
        </w:tc>
        <w:tc>
          <w:tcPr>
            <w:tcW w:w="6732" w:type="dxa"/>
            <w:tcMar>
              <w:top w:w="200" w:type="dxa"/>
              <w:bottom w:w="200" w:type="dxa"/>
              <w:right w:w="0" w:type="dxa"/>
            </w:tcMar>
          </w:tcPr>
          <w:p w14:paraId="2E6DD330" w14:textId="32F25477" w:rsidR="006561BA" w:rsidRDefault="005B4ED6">
            <w:pPr>
              <w:pStyle w:val="AnnexTableCellLeft"/>
              <w:spacing w:after="120"/>
            </w:pPr>
            <w:r>
              <w:t>Når følgende vannapparater er installert som en del av renoveringsarbeidene, unntatt renoveringsarbeider i boliger, attesteres den angitte vannbruken ved hjelp av produktdatablad</w:t>
            </w:r>
            <w:r w:rsidR="00601EE9">
              <w:t>er</w:t>
            </w:r>
            <w:r>
              <w:t>, en bygningssertifisering eller et eksisterende produktmerke i Unionen, i samsvar med de tekniske spesifikasjonene fastsatt i tillegg E til vedlegg I til delegert forordning (EU) 2021/2139:</w:t>
            </w:r>
          </w:p>
          <w:p w14:paraId="464B943B" w14:textId="77777777" w:rsidR="006561BA" w:rsidRDefault="005B4ED6">
            <w:pPr>
              <w:pStyle w:val="AnnexNumberedText"/>
              <w:ind w:left="293" w:hanging="293"/>
            </w:pPr>
            <w:r>
              <w:t>a)</w:t>
            </w:r>
            <w:r>
              <w:tab/>
              <w:t>Håndvaskkraner og kjøkkenkraner har en høyeste vanngjennomstrømning på 6 liter/min.</w:t>
            </w:r>
          </w:p>
          <w:p w14:paraId="5C827353" w14:textId="77777777" w:rsidR="006561BA" w:rsidRDefault="005B4ED6">
            <w:pPr>
              <w:pStyle w:val="AnnexNumberedText"/>
              <w:ind w:left="293" w:hanging="293"/>
            </w:pPr>
            <w:r>
              <w:t>b)</w:t>
            </w:r>
            <w:r>
              <w:tab/>
              <w:t>Dusjer har en høyeste vanngjennomstrømning på 8 liter/min.</w:t>
            </w:r>
          </w:p>
          <w:p w14:paraId="138F1378" w14:textId="77777777" w:rsidR="006561BA" w:rsidRDefault="005B4ED6">
            <w:pPr>
              <w:pStyle w:val="AnnexNumberedText"/>
              <w:ind w:left="293" w:hanging="293"/>
            </w:pPr>
            <w:r>
              <w:t>c)</w:t>
            </w:r>
            <w:r>
              <w:tab/>
              <w:t>Toaletter, herunder skåler og spylesisterner, har et fullt spylevolum på høyst 6 liter og et høyeste gjennomsnittlig spylevolum på 3,5 liter.</w:t>
            </w:r>
          </w:p>
          <w:p w14:paraId="72EA8DAD" w14:textId="77777777" w:rsidR="006561BA" w:rsidRDefault="005B4ED6">
            <w:pPr>
              <w:pStyle w:val="AnnexNumberedText"/>
              <w:spacing w:after="0"/>
              <w:ind w:left="293" w:hanging="293"/>
            </w:pPr>
            <w:r>
              <w:t>d)</w:t>
            </w:r>
            <w:r>
              <w:tab/>
              <w:t>Urinaler bruker maksimalt 2 liter/skål/time. Urinaler med spyling har et høyeste fullt spylevolum på 1 liter.</w:t>
            </w:r>
          </w:p>
        </w:tc>
      </w:tr>
      <w:tr w:rsidR="006561BA" w14:paraId="0234CD51" w14:textId="77777777">
        <w:tc>
          <w:tcPr>
            <w:tcW w:w="2496" w:type="dxa"/>
            <w:tcMar>
              <w:top w:w="200" w:type="dxa"/>
              <w:left w:w="0" w:type="dxa"/>
              <w:bottom w:w="200" w:type="dxa"/>
            </w:tcMar>
          </w:tcPr>
          <w:p w14:paraId="536F5767" w14:textId="77777777" w:rsidR="006561BA" w:rsidRDefault="005B4ED6">
            <w:pPr>
              <w:pStyle w:val="AnnexNumberedText"/>
              <w:spacing w:after="0"/>
              <w:ind w:left="293" w:hanging="293"/>
            </w:pPr>
            <w:r>
              <w:t>5)</w:t>
            </w:r>
            <w:r>
              <w:tab/>
              <w:t>Forebygging og begrensning av forurensning</w:t>
            </w:r>
          </w:p>
        </w:tc>
        <w:tc>
          <w:tcPr>
            <w:tcW w:w="6732" w:type="dxa"/>
            <w:tcMar>
              <w:top w:w="200" w:type="dxa"/>
              <w:bottom w:w="200" w:type="dxa"/>
              <w:right w:w="0" w:type="dxa"/>
            </w:tcMar>
          </w:tcPr>
          <w:p w14:paraId="7178E2FB" w14:textId="77777777" w:rsidR="006561BA" w:rsidRDefault="005B4ED6">
            <w:pPr>
              <w:pStyle w:val="AnnexTableCellLeft"/>
              <w:spacing w:after="120"/>
            </w:pPr>
            <w:r>
              <w:t>Bygningskomponenter og -materialer som brukes under oppføringen, oppfyller kriteriene fastsatt i tillegg C til dette vedlegget.</w:t>
            </w:r>
          </w:p>
          <w:p w14:paraId="45A8ABD9" w14:textId="77777777" w:rsidR="006561BA" w:rsidRDefault="005B4ED6">
            <w:pPr>
              <w:pStyle w:val="AnnexTableCellLeft"/>
              <w:spacing w:after="120"/>
            </w:pPr>
            <w:r>
              <w:t>Bygningskomponenter og -materialer som brukes under oppføringen, og som kan komme i kontakt med beboere(</w:t>
            </w:r>
            <w:bookmarkStart w:id="174" w:name="NOTE_176"/>
            <w:r>
              <w:rPr>
                <w:rStyle w:val="FootnoteReference"/>
                <w:sz w:val="18"/>
              </w:rPr>
              <w:footnoteReference w:id="177"/>
            </w:r>
            <w:bookmarkEnd w:id="174"/>
            <w:r>
              <w:t>), avgir mindre enn 0,06 mg formaldehyd per m</w:t>
            </w:r>
            <w:r>
              <w:rPr>
                <w:vertAlign w:val="superscript"/>
              </w:rPr>
              <w:t>3</w:t>
            </w:r>
            <w:r>
              <w:t xml:space="preserve"> luft i prøvingskammeret ved prøving i samsvar med vilkårene angitt i vedlegg XVII til forordning (EF) nr. 1907/2006 og mindre enn 0,001 mg av andre </w:t>
            </w:r>
            <w:proofErr w:type="spellStart"/>
            <w:r>
              <w:t>kreftframkallende</w:t>
            </w:r>
            <w:proofErr w:type="spellEnd"/>
            <w:r>
              <w:t xml:space="preserve"> flyktige organiske forbindelser i kategori 1A og 1B per m</w:t>
            </w:r>
            <w:r>
              <w:rPr>
                <w:vertAlign w:val="superscript"/>
              </w:rPr>
              <w:t>3</w:t>
            </w:r>
            <w:r>
              <w:t xml:space="preserve"> luft i prøvingskammeret ved prøving i samsvar med EN 16516 eller ISO 16000-3:2011(</w:t>
            </w:r>
            <w:bookmarkStart w:id="175" w:name="NOTE_177"/>
            <w:r>
              <w:rPr>
                <w:rStyle w:val="FootnoteReference"/>
                <w:sz w:val="18"/>
              </w:rPr>
              <w:footnoteReference w:id="178"/>
            </w:r>
            <w:bookmarkEnd w:id="175"/>
            <w:r>
              <w:t>) eller andre tilsvarende standardiserte prøvingsforhold og bestemmelsesmetoder.</w:t>
            </w:r>
          </w:p>
          <w:p w14:paraId="72D576A0" w14:textId="77777777" w:rsidR="006561BA" w:rsidRDefault="005B4ED6">
            <w:pPr>
              <w:pStyle w:val="AnnexTableCellLeft"/>
            </w:pPr>
            <w:r>
              <w:t>Det treffes tiltak for å redusere utslipp av støy, støv og forurensende stoffer under bygge- eller vedlikeholdsarbeider.</w:t>
            </w:r>
          </w:p>
        </w:tc>
      </w:tr>
      <w:tr w:rsidR="006561BA" w14:paraId="02A11E71" w14:textId="77777777">
        <w:tc>
          <w:tcPr>
            <w:tcW w:w="2496" w:type="dxa"/>
            <w:tcMar>
              <w:top w:w="200" w:type="dxa"/>
              <w:left w:w="0" w:type="dxa"/>
              <w:bottom w:w="200" w:type="dxa"/>
            </w:tcMar>
          </w:tcPr>
          <w:p w14:paraId="3EB55333" w14:textId="77777777" w:rsidR="006561BA" w:rsidRDefault="005B4ED6">
            <w:pPr>
              <w:pStyle w:val="AnnexNumberedText"/>
              <w:pageBreakBefore/>
              <w:spacing w:after="0"/>
              <w:ind w:left="293" w:hanging="293"/>
            </w:pPr>
            <w:r>
              <w:lastRenderedPageBreak/>
              <w:t>6)</w:t>
            </w:r>
            <w:r>
              <w:tab/>
              <w:t>Beskyttelse og restaurering av biologisk mangfold og økosystemer</w:t>
            </w:r>
          </w:p>
        </w:tc>
        <w:tc>
          <w:tcPr>
            <w:tcW w:w="6732" w:type="dxa"/>
            <w:tcMar>
              <w:top w:w="200" w:type="dxa"/>
              <w:bottom w:w="200" w:type="dxa"/>
              <w:right w:w="0" w:type="dxa"/>
            </w:tcMar>
          </w:tcPr>
          <w:p w14:paraId="4D459CE7" w14:textId="77777777" w:rsidR="006561BA" w:rsidRDefault="005B4ED6">
            <w:pPr>
              <w:pStyle w:val="AnnexTableCellLeft"/>
            </w:pPr>
            <w:r>
              <w:t>Ikke relevant</w:t>
            </w:r>
          </w:p>
        </w:tc>
      </w:tr>
    </w:tbl>
    <w:p w14:paraId="7A198454" w14:textId="77777777" w:rsidR="006561BA" w:rsidRDefault="005B4ED6">
      <w:pPr>
        <w:pStyle w:val="AnnexNumberedText"/>
        <w:spacing w:before="600" w:after="800"/>
        <w:ind w:left="414" w:hanging="414"/>
      </w:pPr>
      <w:r>
        <w:t>3.3.</w:t>
      </w:r>
      <w:r>
        <w:rPr>
          <w:b/>
        </w:rPr>
        <w:tab/>
      </w:r>
      <w:proofErr w:type="spellStart"/>
      <w:r>
        <w:rPr>
          <w:b/>
        </w:rPr>
        <w:t>Riving</w:t>
      </w:r>
      <w:proofErr w:type="spellEnd"/>
      <w:r>
        <w:rPr>
          <w:b/>
        </w:rPr>
        <w:t xml:space="preserve"> av bygninger og andre anlegg</w:t>
      </w:r>
    </w:p>
    <w:p w14:paraId="3FF67BF6" w14:textId="77777777" w:rsidR="006561BA" w:rsidRDefault="005B4ED6">
      <w:pPr>
        <w:pStyle w:val="AnnexGrSeq3"/>
        <w:jc w:val="both"/>
      </w:pPr>
      <w:r>
        <w:rPr>
          <w:i/>
        </w:rPr>
        <w:t>Beskrivelse av aktiviteten</w:t>
      </w:r>
    </w:p>
    <w:p w14:paraId="6DFE5711" w14:textId="77777777" w:rsidR="006561BA" w:rsidRDefault="005B4ED6">
      <w:pPr>
        <w:pStyle w:val="AnnexNormal"/>
      </w:pPr>
      <w:proofErr w:type="spellStart"/>
      <w:r>
        <w:t>Riving</w:t>
      </w:r>
      <w:proofErr w:type="spellEnd"/>
      <w:r>
        <w:t xml:space="preserve"> av bygninger, veier og rullebaner, jernbaner, broer, tunneler, renseanlegg for avløpsvann, vannbehandlingsanlegg, rørledninger, brønner og borehull, kraftverk, kjemiske anlegg, dammer og reservoarer, gruver og steinbrudd, offshore-anlegg, kystnære anlegg, havner, arbeider på vannveier eller inndragelse av jordarealer og landinnvinning(</w:t>
      </w:r>
      <w:bookmarkStart w:id="176" w:name="NOTE_178"/>
      <w:r>
        <w:rPr>
          <w:rStyle w:val="FootnoteReference"/>
          <w:sz w:val="18"/>
        </w:rPr>
        <w:footnoteReference w:id="179"/>
      </w:r>
      <w:bookmarkEnd w:id="176"/>
      <w:r>
        <w:t>).</w:t>
      </w:r>
    </w:p>
    <w:p w14:paraId="515F2B0D" w14:textId="77777777" w:rsidR="006561BA" w:rsidRDefault="005B4ED6">
      <w:pPr>
        <w:pStyle w:val="AnnexNormal"/>
      </w:pPr>
      <w:r>
        <w:t xml:space="preserve">For prosjekter i forbindelse med aktivitetene «Oppføring av nye bygninger» eller «Renovering av eksisterende bygninger» (se avsnitt 3.1 og 3.2 i dette vedlegget), der </w:t>
      </w:r>
      <w:proofErr w:type="spellStart"/>
      <w:r>
        <w:t>riving</w:t>
      </w:r>
      <w:proofErr w:type="spellEnd"/>
      <w:r>
        <w:t xml:space="preserve"> og oppføring eller renovering inngår i kjøpet i henhold til samme kontrakt, får de tekniske screeningkriteriene for bygge- eller renoveringsaktiviteter anvendelse.</w:t>
      </w:r>
    </w:p>
    <w:p w14:paraId="4B035F93" w14:textId="77777777" w:rsidR="006561BA" w:rsidRDefault="005B4ED6">
      <w:pPr>
        <w:pStyle w:val="AnnexNormal"/>
      </w:pPr>
      <w:r>
        <w:t xml:space="preserve">Den økonomiske aktiviteten omfatter ikke </w:t>
      </w:r>
      <w:proofErr w:type="spellStart"/>
      <w:r>
        <w:t>riving</w:t>
      </w:r>
      <w:proofErr w:type="spellEnd"/>
      <w:r>
        <w:t xml:space="preserve"> av bygninger og andre anlegg som utføres som ledd i aktiviteten «Opprydding av forurensede områder og arealer» (se avsnitt 2.4 i vedlegg III).</w:t>
      </w:r>
    </w:p>
    <w:p w14:paraId="5B7659AD" w14:textId="77777777" w:rsidR="006561BA" w:rsidRDefault="005B4ED6">
      <w:pPr>
        <w:pStyle w:val="AnnexNormal"/>
        <w:spacing w:after="600"/>
      </w:pPr>
      <w:r>
        <w:t>De økonomiske aktivitetene i denne kategorien kan knyttes til NACE-kode F43.1 i samsvar med standarden for næringsgruppering fastsatt ved forordning (EF) nr. 1893/2006.</w:t>
      </w:r>
    </w:p>
    <w:p w14:paraId="665B226E" w14:textId="77777777" w:rsidR="006561BA" w:rsidRDefault="005B4ED6">
      <w:pPr>
        <w:pStyle w:val="AnnexGrSeq3"/>
        <w:spacing w:after="300"/>
        <w:jc w:val="both"/>
      </w:pPr>
      <w:r>
        <w:rPr>
          <w:i/>
        </w:rPr>
        <w:t>Tekniske screeningkriterier</w:t>
      </w:r>
    </w:p>
    <w:tbl>
      <w:tblPr>
        <w:tblStyle w:val="EFTATable"/>
        <w:tblW w:w="9228" w:type="dxa"/>
        <w:tblInd w:w="12" w:type="dxa"/>
        <w:tblLayout w:type="fixed"/>
        <w:tblLook w:val="04A0" w:firstRow="1" w:lastRow="0" w:firstColumn="1" w:lastColumn="0" w:noHBand="0" w:noVBand="1"/>
      </w:tblPr>
      <w:tblGrid>
        <w:gridCol w:w="2496"/>
        <w:gridCol w:w="6732"/>
      </w:tblGrid>
      <w:tr w:rsidR="006561BA" w14:paraId="53DF7438" w14:textId="77777777">
        <w:trPr>
          <w:trHeight w:val="240"/>
        </w:trPr>
        <w:tc>
          <w:tcPr>
            <w:tcW w:w="9228" w:type="dxa"/>
            <w:gridSpan w:val="2"/>
            <w:tcMar>
              <w:top w:w="200" w:type="dxa"/>
              <w:left w:w="0" w:type="dxa"/>
              <w:bottom w:w="200" w:type="dxa"/>
              <w:right w:w="0" w:type="dxa"/>
            </w:tcMar>
          </w:tcPr>
          <w:p w14:paraId="5144B4F8" w14:textId="77777777" w:rsidR="006561BA" w:rsidRDefault="005B4ED6">
            <w:pPr>
              <w:pStyle w:val="AnnexTableCellLeft"/>
            </w:pPr>
            <w:r>
              <w:t>Vesentlig bidrag til omstilling til en sirkulær økonomi</w:t>
            </w:r>
          </w:p>
        </w:tc>
      </w:tr>
      <w:tr w:rsidR="006561BA" w14:paraId="2D8F57CA" w14:textId="77777777">
        <w:trPr>
          <w:trHeight w:val="360"/>
        </w:trPr>
        <w:tc>
          <w:tcPr>
            <w:tcW w:w="9228" w:type="dxa"/>
            <w:gridSpan w:val="2"/>
            <w:tcMar>
              <w:top w:w="200" w:type="dxa"/>
              <w:left w:w="0" w:type="dxa"/>
              <w:bottom w:w="200" w:type="dxa"/>
              <w:right w:w="0" w:type="dxa"/>
            </w:tcMar>
          </w:tcPr>
          <w:p w14:paraId="3E7A7849" w14:textId="77777777" w:rsidR="006561BA" w:rsidRDefault="005B4ED6">
            <w:pPr>
              <w:pStyle w:val="AnnexNumberedText"/>
              <w:tabs>
                <w:tab w:val="left" w:pos="276"/>
              </w:tabs>
              <w:spacing w:after="200"/>
              <w:ind w:left="0" w:firstLine="0"/>
            </w:pPr>
            <w:r>
              <w:t>1.</w:t>
            </w:r>
            <w:r>
              <w:tab/>
              <w:t xml:space="preserve">Før </w:t>
            </w:r>
            <w:proofErr w:type="spellStart"/>
            <w:r>
              <w:t>rivingen</w:t>
            </w:r>
            <w:proofErr w:type="spellEnd"/>
            <w:r>
              <w:t xml:space="preserve"> starter skal minst følgende aspekter på sjekklisten for utformingskonseptet Level 1 for Level(s)-indikator 2.2(</w:t>
            </w:r>
            <w:bookmarkStart w:id="177" w:name="NOTE_179"/>
            <w:r>
              <w:rPr>
                <w:rStyle w:val="FootnoteReference"/>
                <w:sz w:val="18"/>
              </w:rPr>
              <w:footnoteReference w:id="180"/>
            </w:r>
            <w:bookmarkEnd w:id="177"/>
            <w:r>
              <w:t>) diskuteres med og godkjennes av kunden:</w:t>
            </w:r>
          </w:p>
          <w:p w14:paraId="7B657097" w14:textId="77777777" w:rsidR="006561BA" w:rsidRDefault="005B4ED6">
            <w:pPr>
              <w:pStyle w:val="AnnexNumberedText"/>
              <w:spacing w:after="200"/>
              <w:ind w:left="293" w:hanging="293"/>
            </w:pPr>
            <w:r>
              <w:t>a)</w:t>
            </w:r>
            <w:r>
              <w:tab/>
              <w:t>Definisjon av nøkkelindikatorer og målambisjonsnivå.</w:t>
            </w:r>
          </w:p>
          <w:p w14:paraId="7D9D5C85" w14:textId="77777777" w:rsidR="006561BA" w:rsidRDefault="005B4ED6">
            <w:pPr>
              <w:pStyle w:val="AnnexNumberedText"/>
              <w:spacing w:after="200"/>
              <w:ind w:left="293" w:hanging="293"/>
            </w:pPr>
            <w:r>
              <w:t>b)</w:t>
            </w:r>
            <w:r>
              <w:tab/>
              <w:t>Identifisering av prosjektspesifikke begrensninger som kan bringe målambisjonsnivået (som for eksempel tid, arbeidskraft og plass) i fare, og hvordan disse begrensningene kan minimeres.</w:t>
            </w:r>
          </w:p>
          <w:p w14:paraId="18F34A56" w14:textId="77777777" w:rsidR="006561BA" w:rsidRDefault="005B4ED6">
            <w:pPr>
              <w:pStyle w:val="AnnexNumberedText"/>
              <w:spacing w:after="200"/>
              <w:ind w:left="293" w:hanging="293"/>
            </w:pPr>
            <w:r>
              <w:t>c)</w:t>
            </w:r>
            <w:r>
              <w:tab/>
              <w:t xml:space="preserve">Nærmere opplysninger om prosedyren med kontroll før </w:t>
            </w:r>
            <w:proofErr w:type="spellStart"/>
            <w:r>
              <w:t>riving</w:t>
            </w:r>
            <w:proofErr w:type="spellEnd"/>
            <w:r>
              <w:t>.</w:t>
            </w:r>
          </w:p>
          <w:p w14:paraId="48778DFF" w14:textId="77777777" w:rsidR="006561BA" w:rsidRDefault="005B4ED6">
            <w:pPr>
              <w:pStyle w:val="AnnexNumberedText"/>
              <w:spacing w:after="0"/>
              <w:ind w:left="293" w:hanging="293"/>
            </w:pPr>
            <w:r>
              <w:t>d)</w:t>
            </w:r>
            <w:r>
              <w:tab/>
              <w:t xml:space="preserve">En oversiktlig avfallshåndteringsplan som prioriterer selektiv </w:t>
            </w:r>
            <w:proofErr w:type="spellStart"/>
            <w:r>
              <w:t>riving</w:t>
            </w:r>
            <w:proofErr w:type="spellEnd"/>
            <w:r>
              <w:t xml:space="preserve">, dekontaminering og kildesortering av avfallsstrømmer. Dersom disse tiltakene ikke prioriteres, gis det en forklaring på hvorfor selektiv </w:t>
            </w:r>
            <w:proofErr w:type="spellStart"/>
            <w:r>
              <w:t>riving</w:t>
            </w:r>
            <w:proofErr w:type="spellEnd"/>
            <w:r>
              <w:t>, dekontaminering eller kildesortering av avfallsstrømmer ikke er teknisk mulig for prosjektet. Kostnadsrelaterte eller økonomiske hensyn er ikke en akseptabel grunn for ikke å oppfylle dette kravet.</w:t>
            </w:r>
          </w:p>
        </w:tc>
      </w:tr>
      <w:tr w:rsidR="006561BA" w14:paraId="472010C7" w14:textId="77777777">
        <w:trPr>
          <w:trHeight w:val="360"/>
        </w:trPr>
        <w:tc>
          <w:tcPr>
            <w:tcW w:w="9228" w:type="dxa"/>
            <w:gridSpan w:val="2"/>
            <w:tcMar>
              <w:top w:w="200" w:type="dxa"/>
              <w:left w:w="0" w:type="dxa"/>
              <w:bottom w:w="200" w:type="dxa"/>
              <w:right w:w="0" w:type="dxa"/>
            </w:tcMar>
          </w:tcPr>
          <w:p w14:paraId="6F27A64A" w14:textId="77777777" w:rsidR="006561BA" w:rsidRDefault="005B4ED6">
            <w:pPr>
              <w:pStyle w:val="AnnexNumberedText"/>
              <w:pageBreakBefore/>
              <w:tabs>
                <w:tab w:val="left" w:pos="276"/>
              </w:tabs>
              <w:ind w:left="0" w:firstLine="0"/>
            </w:pPr>
            <w:r>
              <w:lastRenderedPageBreak/>
              <w:t>2.</w:t>
            </w:r>
            <w:r>
              <w:tab/>
              <w:t xml:space="preserve">Aktivitetsutøveren foretar en kontroll før </w:t>
            </w:r>
            <w:proofErr w:type="spellStart"/>
            <w:r>
              <w:t>riving</w:t>
            </w:r>
            <w:proofErr w:type="spellEnd"/>
            <w:r>
              <w:t xml:space="preserve"> i tråd med EUs protokoll om håndtering av bygge- og </w:t>
            </w:r>
            <w:proofErr w:type="spellStart"/>
            <w:r>
              <w:t>rivingsavfall</w:t>
            </w:r>
            <w:proofErr w:type="spellEnd"/>
            <w:r>
              <w:t> (</w:t>
            </w:r>
            <w:bookmarkStart w:id="178" w:name="NOTE_180"/>
            <w:r>
              <w:rPr>
                <w:rStyle w:val="FootnoteReference"/>
                <w:sz w:val="18"/>
              </w:rPr>
              <w:footnoteReference w:id="181"/>
            </w:r>
            <w:bookmarkEnd w:id="178"/>
            <w:r>
              <w:t>).</w:t>
            </w:r>
          </w:p>
          <w:p w14:paraId="5F2350C7" w14:textId="77777777" w:rsidR="006561BA" w:rsidRDefault="005B4ED6">
            <w:pPr>
              <w:pStyle w:val="AnnexNumberedText"/>
              <w:pageBreakBefore/>
              <w:tabs>
                <w:tab w:val="left" w:pos="276"/>
              </w:tabs>
              <w:ind w:left="0" w:firstLine="0"/>
            </w:pPr>
            <w:r>
              <w:t>3.</w:t>
            </w:r>
            <w:r>
              <w:tab/>
              <w:t xml:space="preserve">Alt </w:t>
            </w:r>
            <w:proofErr w:type="spellStart"/>
            <w:r>
              <w:t>rivingsavfall</w:t>
            </w:r>
            <w:proofErr w:type="spellEnd"/>
            <w:r>
              <w:t xml:space="preserve"> som genereres under </w:t>
            </w:r>
            <w:proofErr w:type="spellStart"/>
            <w:r>
              <w:t>rivingen</w:t>
            </w:r>
            <w:proofErr w:type="spellEnd"/>
            <w:r>
              <w:t xml:space="preserve">, behandles i samsvar med EUs avfallsregelverk og den fullstendige sjekklisten i EUs protokoll om håndtering av bygge- og </w:t>
            </w:r>
            <w:proofErr w:type="spellStart"/>
            <w:r>
              <w:t>rivingsavfall</w:t>
            </w:r>
            <w:proofErr w:type="spellEnd"/>
            <w:r>
              <w:t>(</w:t>
            </w:r>
            <w:bookmarkStart w:id="179" w:name="NOTE_181"/>
            <w:r>
              <w:rPr>
                <w:rStyle w:val="FootnoteReference"/>
                <w:sz w:val="18"/>
              </w:rPr>
              <w:footnoteReference w:id="182"/>
            </w:r>
            <w:bookmarkEnd w:id="179"/>
            <w:r>
              <w:t>).</w:t>
            </w:r>
          </w:p>
          <w:p w14:paraId="68DED1B6" w14:textId="77777777" w:rsidR="006561BA" w:rsidRDefault="005B4ED6">
            <w:pPr>
              <w:pStyle w:val="AnnexNumberedText"/>
              <w:pageBreakBefore/>
              <w:tabs>
                <w:tab w:val="left" w:pos="276"/>
              </w:tabs>
              <w:spacing w:after="0"/>
              <w:ind w:left="0" w:firstLine="0"/>
            </w:pPr>
            <w:r>
              <w:t>4.</w:t>
            </w:r>
            <w:r>
              <w:tab/>
              <w:t>Forberedelse til ombruk(</w:t>
            </w:r>
            <w:bookmarkStart w:id="180" w:name="NOTE_182"/>
            <w:r>
              <w:rPr>
                <w:rStyle w:val="FootnoteReference"/>
                <w:sz w:val="18"/>
              </w:rPr>
              <w:footnoteReference w:id="183"/>
            </w:r>
            <w:bookmarkEnd w:id="180"/>
            <w:r>
              <w:t>) eller materialgjenvinning(</w:t>
            </w:r>
            <w:bookmarkStart w:id="181" w:name="NOTE_183"/>
            <w:r>
              <w:rPr>
                <w:rStyle w:val="FootnoteReference"/>
                <w:sz w:val="18"/>
              </w:rPr>
              <w:footnoteReference w:id="184"/>
            </w:r>
            <w:bookmarkEnd w:id="181"/>
            <w:r>
              <w:t xml:space="preserve">) av det ikke-farlige bygge- og </w:t>
            </w:r>
            <w:proofErr w:type="spellStart"/>
            <w:r>
              <w:t>rivingsavfallet</w:t>
            </w:r>
            <w:proofErr w:type="spellEnd"/>
            <w:r>
              <w:t xml:space="preserve"> som genereres på byggeplassen, er minst 90 % (i masse i kilo), unntatt utfylling(</w:t>
            </w:r>
            <w:bookmarkStart w:id="182" w:name="NOTE_184"/>
            <w:r>
              <w:rPr>
                <w:rStyle w:val="FootnoteReference"/>
                <w:sz w:val="18"/>
              </w:rPr>
              <w:footnoteReference w:id="185"/>
            </w:r>
            <w:bookmarkEnd w:id="182"/>
            <w:r>
              <w:t>). Dette utelukker naturlig forekommende materiale som omhandlet i kategori 17 05 04 i den europeiske listen over avfall opprettet ved vedtak 2000/532/EF. Aktivitetsutøveren viser at terskelverdien på 90 % er overholdt ved å rapportere om Level(s)-indikator 2.2(</w:t>
            </w:r>
            <w:bookmarkStart w:id="183" w:name="NOTE_185"/>
            <w:r>
              <w:rPr>
                <w:rStyle w:val="FootnoteReference"/>
                <w:sz w:val="18"/>
              </w:rPr>
              <w:footnoteReference w:id="186"/>
            </w:r>
            <w:bookmarkEnd w:id="183"/>
            <w:r>
              <w:t>) ved hjelp av Level 3-rapporteringsformatet for forskjellige avfallsstrømmer. Alternativt samles minst 95 % av mineralfraksjonen(</w:t>
            </w:r>
            <w:bookmarkStart w:id="184" w:name="NOTE_186"/>
            <w:r>
              <w:rPr>
                <w:rStyle w:val="FootnoteReference"/>
                <w:sz w:val="18"/>
              </w:rPr>
              <w:footnoteReference w:id="187"/>
            </w:r>
            <w:bookmarkEnd w:id="184"/>
            <w:r>
              <w:t xml:space="preserve">) og 70 % av den ikke-mineralske fraksjonen av ikke-farlig </w:t>
            </w:r>
            <w:proofErr w:type="spellStart"/>
            <w:r>
              <w:t>rivingsavfall</w:t>
            </w:r>
            <w:proofErr w:type="spellEnd"/>
            <w:r>
              <w:t xml:space="preserve"> inn separat og forberedes til ombruk eller materialgjenvinning.</w:t>
            </w:r>
          </w:p>
        </w:tc>
      </w:tr>
      <w:tr w:rsidR="006561BA" w14:paraId="4361B2A9" w14:textId="77777777">
        <w:trPr>
          <w:trHeight w:val="240"/>
        </w:trPr>
        <w:tc>
          <w:tcPr>
            <w:tcW w:w="9228" w:type="dxa"/>
            <w:gridSpan w:val="2"/>
            <w:tcMar>
              <w:top w:w="200" w:type="dxa"/>
              <w:left w:w="0" w:type="dxa"/>
              <w:bottom w:w="200" w:type="dxa"/>
              <w:right w:w="0" w:type="dxa"/>
            </w:tcMar>
          </w:tcPr>
          <w:p w14:paraId="34307E15" w14:textId="77777777" w:rsidR="006561BA" w:rsidRDefault="005B4ED6">
            <w:pPr>
              <w:pStyle w:val="AnnexTableCellLeft"/>
            </w:pPr>
            <w:r>
              <w:t>Prinsippet om ikke å gjøre betydelig skade («DNSH»)</w:t>
            </w:r>
          </w:p>
        </w:tc>
      </w:tr>
      <w:tr w:rsidR="006561BA" w14:paraId="24E6A420" w14:textId="77777777">
        <w:tc>
          <w:tcPr>
            <w:tcW w:w="2496" w:type="dxa"/>
            <w:tcMar>
              <w:top w:w="200" w:type="dxa"/>
              <w:left w:w="0" w:type="dxa"/>
              <w:bottom w:w="200" w:type="dxa"/>
            </w:tcMar>
          </w:tcPr>
          <w:p w14:paraId="160FDEBB" w14:textId="77777777" w:rsidR="006561BA" w:rsidRDefault="005B4ED6">
            <w:pPr>
              <w:pStyle w:val="AnnexNumberedText"/>
              <w:pageBreakBefore/>
              <w:spacing w:after="0"/>
              <w:ind w:left="293" w:hanging="293"/>
            </w:pPr>
            <w:r>
              <w:lastRenderedPageBreak/>
              <w:t>1)</w:t>
            </w:r>
            <w:r>
              <w:tab/>
              <w:t>Begrensning av klimaendringer</w:t>
            </w:r>
          </w:p>
        </w:tc>
        <w:tc>
          <w:tcPr>
            <w:tcW w:w="6732" w:type="dxa"/>
            <w:tcMar>
              <w:top w:w="200" w:type="dxa"/>
              <w:bottom w:w="200" w:type="dxa"/>
              <w:right w:w="0" w:type="dxa"/>
            </w:tcMar>
          </w:tcPr>
          <w:p w14:paraId="79E05D88" w14:textId="77777777" w:rsidR="006561BA" w:rsidRDefault="005B4ED6">
            <w:pPr>
              <w:pStyle w:val="AnnexTableCellLeft"/>
              <w:spacing w:after="200"/>
            </w:pPr>
            <w:r>
              <w:t xml:space="preserve">Eiere av bygninger og entreprenører skal sikre at utslipp i størst mulig grad unngås i forbindelse med renoverings-, oppussings- eller </w:t>
            </w:r>
            <w:proofErr w:type="spellStart"/>
            <w:r>
              <w:t>rivingsaktiviteter</w:t>
            </w:r>
            <w:proofErr w:type="spellEnd"/>
            <w:r>
              <w:t xml:space="preserve"> som innebærer fjerning av </w:t>
            </w:r>
            <w:proofErr w:type="spellStart"/>
            <w:r>
              <w:t>skumplater</w:t>
            </w:r>
            <w:proofErr w:type="spellEnd"/>
            <w:r>
              <w:t xml:space="preserve"> eller </w:t>
            </w:r>
            <w:proofErr w:type="spellStart"/>
            <w:r>
              <w:t>laminatplater</w:t>
            </w:r>
            <w:proofErr w:type="spellEnd"/>
            <w:r>
              <w:t xml:space="preserve"> installert i hulrom eller påbygde konstruksjoner, som inneholder skum med fluorholdige klimagasser, mettede og umettede hydrofluorkarboner og stoffer som bryter ned ozonlaget, som definert i forordning (EU) nr. 517/2014 og i forordning (EU) nr. 1005/2009, ved å håndtere skum eller gasser i skum på en måte som sikrer ombruk eller destruksjon av </w:t>
            </w:r>
            <w:proofErr w:type="spellStart"/>
            <w:r>
              <w:t>skumplatene</w:t>
            </w:r>
            <w:proofErr w:type="spellEnd"/>
            <w:r>
              <w:t xml:space="preserve"> eller gassene i skummet. Gjenvinningen av de gassene som inngår i skummet, utføres av behørig opplært personell.</w:t>
            </w:r>
          </w:p>
          <w:p w14:paraId="2F71340D" w14:textId="77777777" w:rsidR="006561BA" w:rsidRDefault="005B4ED6">
            <w:pPr>
              <w:pStyle w:val="AnnexTableCellLeft"/>
            </w:pPr>
            <w:r>
              <w:t>Dersom det ikke er teknisk mulig å gjenvinne disse skumtypene, skal aktivitetsutøveren utarbeide dokumentasjon som viser at det ikke er mulig å gjenvinne disse skumtypene i det konkrete tilfellet. Slik dokumentasjon oppbevares i fem år og gjøres tilgjengelig på forespørsel.</w:t>
            </w:r>
          </w:p>
        </w:tc>
      </w:tr>
      <w:tr w:rsidR="006561BA" w14:paraId="6BD32CC0" w14:textId="77777777">
        <w:tc>
          <w:tcPr>
            <w:tcW w:w="2496" w:type="dxa"/>
            <w:tcMar>
              <w:top w:w="200" w:type="dxa"/>
              <w:left w:w="0" w:type="dxa"/>
              <w:bottom w:w="200" w:type="dxa"/>
            </w:tcMar>
          </w:tcPr>
          <w:p w14:paraId="3F332B74" w14:textId="77777777" w:rsidR="006561BA" w:rsidRDefault="005B4ED6">
            <w:pPr>
              <w:pStyle w:val="AnnexNumberedText"/>
              <w:spacing w:after="0"/>
              <w:ind w:left="293" w:hanging="293"/>
            </w:pPr>
            <w:r>
              <w:t>2)</w:t>
            </w:r>
            <w:r>
              <w:tab/>
              <w:t>Tilpasning til klimaendringer</w:t>
            </w:r>
          </w:p>
        </w:tc>
        <w:tc>
          <w:tcPr>
            <w:tcW w:w="6732" w:type="dxa"/>
            <w:tcMar>
              <w:top w:w="200" w:type="dxa"/>
              <w:bottom w:w="200" w:type="dxa"/>
              <w:right w:w="0" w:type="dxa"/>
            </w:tcMar>
          </w:tcPr>
          <w:p w14:paraId="2916D417" w14:textId="77777777" w:rsidR="006561BA" w:rsidRDefault="005B4ED6">
            <w:pPr>
              <w:pStyle w:val="AnnexTableCellLeft"/>
            </w:pPr>
            <w:r>
              <w:t>Aktiviteten oppfyller kriteriene fastsatt i tillegg A til dette vedlegget.</w:t>
            </w:r>
          </w:p>
        </w:tc>
      </w:tr>
      <w:tr w:rsidR="006561BA" w14:paraId="612D8C8A" w14:textId="77777777">
        <w:tc>
          <w:tcPr>
            <w:tcW w:w="2496" w:type="dxa"/>
            <w:tcMar>
              <w:top w:w="200" w:type="dxa"/>
              <w:left w:w="0" w:type="dxa"/>
              <w:bottom w:w="200" w:type="dxa"/>
            </w:tcMar>
          </w:tcPr>
          <w:p w14:paraId="1F68BD02" w14:textId="77777777" w:rsidR="006561BA" w:rsidRDefault="005B4ED6">
            <w:pPr>
              <w:pStyle w:val="AnnexNumberedText"/>
              <w:spacing w:after="0"/>
              <w:ind w:left="293" w:hanging="293"/>
            </w:pPr>
            <w:r>
              <w:t>3)</w:t>
            </w:r>
            <w:r>
              <w:tab/>
              <w:t>Bærekraftig bruk og beskyttelse av vann- og havressurser</w:t>
            </w:r>
          </w:p>
        </w:tc>
        <w:tc>
          <w:tcPr>
            <w:tcW w:w="6732" w:type="dxa"/>
            <w:tcMar>
              <w:top w:w="200" w:type="dxa"/>
              <w:bottom w:w="200" w:type="dxa"/>
              <w:right w:w="0" w:type="dxa"/>
            </w:tcMar>
          </w:tcPr>
          <w:p w14:paraId="1027C7ED" w14:textId="77777777" w:rsidR="006561BA" w:rsidRDefault="005B4ED6">
            <w:pPr>
              <w:pStyle w:val="AnnexTableCellLeft"/>
            </w:pPr>
            <w:r>
              <w:t>Aktiviteten oppfyller kriteriene fastsatt i tillegg B til dette vedlegget.</w:t>
            </w:r>
          </w:p>
        </w:tc>
      </w:tr>
      <w:tr w:rsidR="006561BA" w14:paraId="03E24B71" w14:textId="77777777">
        <w:tc>
          <w:tcPr>
            <w:tcW w:w="2496" w:type="dxa"/>
            <w:tcMar>
              <w:top w:w="200" w:type="dxa"/>
              <w:left w:w="0" w:type="dxa"/>
              <w:bottom w:w="200" w:type="dxa"/>
            </w:tcMar>
          </w:tcPr>
          <w:p w14:paraId="2B7561E0" w14:textId="77777777" w:rsidR="006561BA" w:rsidRDefault="005B4ED6">
            <w:pPr>
              <w:pStyle w:val="AnnexNumberedText"/>
              <w:spacing w:after="0"/>
              <w:ind w:left="293" w:hanging="293"/>
            </w:pPr>
            <w:r>
              <w:t>5)</w:t>
            </w:r>
            <w:r>
              <w:tab/>
              <w:t>Forebygging og begrensning av forurensning</w:t>
            </w:r>
          </w:p>
        </w:tc>
        <w:tc>
          <w:tcPr>
            <w:tcW w:w="6732" w:type="dxa"/>
            <w:tcMar>
              <w:top w:w="200" w:type="dxa"/>
              <w:bottom w:w="200" w:type="dxa"/>
              <w:right w:w="0" w:type="dxa"/>
            </w:tcMar>
          </w:tcPr>
          <w:p w14:paraId="51389CC0" w14:textId="77777777" w:rsidR="006561BA" w:rsidRDefault="005B4ED6">
            <w:pPr>
              <w:pStyle w:val="AnnexTableCellLeft"/>
            </w:pPr>
            <w:r>
              <w:t xml:space="preserve">Det treffes tiltak for å redusere utslipp av støy, støv og forurensende stoffer i forbindelse med </w:t>
            </w:r>
            <w:proofErr w:type="spellStart"/>
            <w:r>
              <w:t>rivingsarbeider</w:t>
            </w:r>
            <w:proofErr w:type="spellEnd"/>
            <w:r>
              <w:t>.</w:t>
            </w:r>
          </w:p>
        </w:tc>
      </w:tr>
      <w:tr w:rsidR="006561BA" w14:paraId="0F830D26" w14:textId="77777777">
        <w:tc>
          <w:tcPr>
            <w:tcW w:w="2496" w:type="dxa"/>
            <w:tcMar>
              <w:top w:w="200" w:type="dxa"/>
              <w:left w:w="0" w:type="dxa"/>
              <w:bottom w:w="200" w:type="dxa"/>
            </w:tcMar>
          </w:tcPr>
          <w:p w14:paraId="1B74F1CA" w14:textId="77777777" w:rsidR="006561BA" w:rsidRDefault="005B4ED6">
            <w:pPr>
              <w:pStyle w:val="AnnexNumberedText"/>
              <w:spacing w:after="0"/>
              <w:ind w:left="293" w:hanging="293"/>
            </w:pPr>
            <w:r>
              <w:t>6)</w:t>
            </w:r>
            <w:r>
              <w:tab/>
              <w:t>Beskyttelse og restaurering av biologisk mangfold og økosystemer</w:t>
            </w:r>
          </w:p>
        </w:tc>
        <w:tc>
          <w:tcPr>
            <w:tcW w:w="6732" w:type="dxa"/>
            <w:tcMar>
              <w:top w:w="200" w:type="dxa"/>
              <w:bottom w:w="200" w:type="dxa"/>
              <w:right w:w="0" w:type="dxa"/>
            </w:tcMar>
          </w:tcPr>
          <w:p w14:paraId="706C8DA6" w14:textId="77777777" w:rsidR="006561BA" w:rsidRDefault="005B4ED6">
            <w:pPr>
              <w:pStyle w:val="AnnexTableCellLeft"/>
            </w:pPr>
            <w:r>
              <w:t>Aktiviteten oppfyller kriteriene fastsatt i tillegg D til dette vedlegget.</w:t>
            </w:r>
          </w:p>
        </w:tc>
      </w:tr>
    </w:tbl>
    <w:p w14:paraId="319C1763" w14:textId="77777777" w:rsidR="006561BA" w:rsidRDefault="005B4ED6">
      <w:pPr>
        <w:pStyle w:val="AnnexNumberedText"/>
        <w:spacing w:before="800" w:after="800"/>
        <w:ind w:left="414" w:hanging="414"/>
      </w:pPr>
      <w:r>
        <w:t>3.4.</w:t>
      </w:r>
      <w:r>
        <w:rPr>
          <w:b/>
        </w:rPr>
        <w:tab/>
        <w:t>Vedlikehold av veier og motorveier</w:t>
      </w:r>
    </w:p>
    <w:p w14:paraId="4C3A0DBA" w14:textId="77777777" w:rsidR="006561BA" w:rsidRDefault="005B4ED6">
      <w:pPr>
        <w:pStyle w:val="AnnexGrSeq3"/>
        <w:jc w:val="both"/>
      </w:pPr>
      <w:r>
        <w:rPr>
          <w:i/>
        </w:rPr>
        <w:t>Beskrivelse av aktiviteten</w:t>
      </w:r>
    </w:p>
    <w:p w14:paraId="6A2D6D76" w14:textId="4A967020" w:rsidR="006561BA" w:rsidRDefault="005B4ED6">
      <w:pPr>
        <w:pStyle w:val="AnnexNormal"/>
      </w:pPr>
      <w:r>
        <w:t xml:space="preserve">Vedlikehold av gater, veier og motorveier, andre kjøreveier og gangstier, overflatearbeid på gater, veier, motorveier, broer, tunneler, rullebaner på flyplasser, </w:t>
      </w:r>
      <w:proofErr w:type="spellStart"/>
      <w:r>
        <w:t>taksebaner</w:t>
      </w:r>
      <w:proofErr w:type="spellEnd"/>
      <w:r>
        <w:t xml:space="preserve"> og oppstillingsplasser, definert som alle tiltak som er truffet for å opprettholde og gjenopprette veienes funksjonsdyktighet(</w:t>
      </w:r>
      <w:bookmarkStart w:id="185" w:name="NOTE_187"/>
      <w:r>
        <w:rPr>
          <w:rStyle w:val="FootnoteReference"/>
          <w:sz w:val="18"/>
        </w:rPr>
        <w:footnoteReference w:id="188"/>
      </w:r>
      <w:bookmarkEnd w:id="185"/>
      <w:r w:rsidR="00F73996">
        <w:t>)</w:t>
      </w:r>
      <w:r>
        <w:t xml:space="preserve"> og servicenivå(</w:t>
      </w:r>
      <w:bookmarkStart w:id="186" w:name="NOTE_188"/>
      <w:r>
        <w:rPr>
          <w:rStyle w:val="FootnoteReference"/>
          <w:sz w:val="18"/>
        </w:rPr>
        <w:footnoteReference w:id="189"/>
      </w:r>
      <w:bookmarkEnd w:id="186"/>
      <w:r>
        <w:t>). For broer og tunneler omfatter den økonomiske aktiviteten bare vedlikehold av den veien som ligger på broen eller går gjennom tunnelen. Det omfatter ikke vedlikehold av selve broen eller tunnelen.</w:t>
      </w:r>
    </w:p>
    <w:p w14:paraId="6BCD4059" w14:textId="3A8B653E" w:rsidR="006561BA" w:rsidRDefault="005B4ED6">
      <w:pPr>
        <w:pStyle w:val="AnnexNormal"/>
      </w:pPr>
      <w:r>
        <w:t>Den økonomiske aktiviteten omfatter rutinemessig vedlikehold, som kan planlegges regelmessig. Den økonomiske aktiviteten omfatter også forebyggende vedlikehold og rehabilitering som er definert som arbeid utført for å bevare eller gjenopprette funk</w:t>
      </w:r>
      <w:r w:rsidR="00D11080">
        <w:t>s</w:t>
      </w:r>
      <w:r>
        <w:t>jonsdyktighet, og for å forlenge levetiden(</w:t>
      </w:r>
      <w:bookmarkStart w:id="187" w:name="NOTE_189"/>
      <w:r>
        <w:rPr>
          <w:rStyle w:val="FootnoteReference"/>
          <w:sz w:val="18"/>
        </w:rPr>
        <w:footnoteReference w:id="190"/>
      </w:r>
      <w:bookmarkEnd w:id="187"/>
      <w:r>
        <w:t xml:space="preserve">) til en eksisterende vei. Vedlikehold omfatter hovedsakelig vedlikehold av veidekket og gjelder bare følgende viktigste veielementer: </w:t>
      </w:r>
      <w:proofErr w:type="spellStart"/>
      <w:r>
        <w:t>bindelag</w:t>
      </w:r>
      <w:proofErr w:type="spellEnd"/>
      <w:r>
        <w:t>, slitelag og betongplater. De veiene som er omfattet av denne økonomiske aktiviteten, består av asfalt, betong eller en kombinasjon av disse.</w:t>
      </w:r>
    </w:p>
    <w:p w14:paraId="3C2A9988" w14:textId="77777777" w:rsidR="006561BA" w:rsidRDefault="005B4ED6">
      <w:pPr>
        <w:pStyle w:val="AnnexNormal"/>
      </w:pPr>
      <w:r>
        <w:t>De økonomiske aktivitetene i denne kategorien kan knyttes til NACE-kode F42.11 i samsvar med standarden for næringsgruppering fastsatt ved forordning (EF) nr. 1893/2006.</w:t>
      </w:r>
      <w:r>
        <w:br w:type="page"/>
      </w:r>
    </w:p>
    <w:p w14:paraId="4950D258" w14:textId="77777777" w:rsidR="006561BA" w:rsidRDefault="005B4ED6">
      <w:pPr>
        <w:pStyle w:val="AnnexGrSeq3"/>
        <w:spacing w:after="300"/>
        <w:jc w:val="both"/>
      </w:pPr>
      <w:r>
        <w:rPr>
          <w:i/>
        </w:rPr>
        <w:lastRenderedPageBreak/>
        <w:t>Tekniske screeningkriterier</w:t>
      </w:r>
    </w:p>
    <w:tbl>
      <w:tblPr>
        <w:tblStyle w:val="EFTATable"/>
        <w:tblW w:w="9228" w:type="dxa"/>
        <w:tblInd w:w="12" w:type="dxa"/>
        <w:tblLayout w:type="fixed"/>
        <w:tblLook w:val="04A0" w:firstRow="1" w:lastRow="0" w:firstColumn="1" w:lastColumn="0" w:noHBand="0" w:noVBand="1"/>
      </w:tblPr>
      <w:tblGrid>
        <w:gridCol w:w="2472"/>
        <w:gridCol w:w="6756"/>
      </w:tblGrid>
      <w:tr w:rsidR="006561BA" w14:paraId="39BB2647" w14:textId="77777777">
        <w:trPr>
          <w:trHeight w:val="240"/>
        </w:trPr>
        <w:tc>
          <w:tcPr>
            <w:tcW w:w="9228" w:type="dxa"/>
            <w:gridSpan w:val="2"/>
            <w:tcMar>
              <w:top w:w="200" w:type="dxa"/>
              <w:left w:w="0" w:type="dxa"/>
              <w:bottom w:w="200" w:type="dxa"/>
              <w:right w:w="0" w:type="dxa"/>
            </w:tcMar>
          </w:tcPr>
          <w:p w14:paraId="3CA24EF0" w14:textId="77777777" w:rsidR="006561BA" w:rsidRDefault="005B4ED6">
            <w:pPr>
              <w:pStyle w:val="AnnexTableCellLeft"/>
            </w:pPr>
            <w:r>
              <w:t>Vesentlig bidrag til omstilling til en sirkulær økonomi</w:t>
            </w:r>
          </w:p>
        </w:tc>
      </w:tr>
      <w:tr w:rsidR="006561BA" w14:paraId="6AA30662" w14:textId="77777777">
        <w:trPr>
          <w:trHeight w:val="360"/>
        </w:trPr>
        <w:tc>
          <w:tcPr>
            <w:tcW w:w="9228" w:type="dxa"/>
            <w:gridSpan w:val="2"/>
            <w:tcMar>
              <w:top w:w="200" w:type="dxa"/>
              <w:left w:w="0" w:type="dxa"/>
              <w:bottom w:w="200" w:type="dxa"/>
              <w:right w:w="0" w:type="dxa"/>
            </w:tcMar>
          </w:tcPr>
          <w:p w14:paraId="5BB84A82" w14:textId="77777777" w:rsidR="006561BA" w:rsidRDefault="005B4ED6">
            <w:pPr>
              <w:pStyle w:val="AnnexNumberedText"/>
              <w:tabs>
                <w:tab w:val="left" w:pos="276"/>
              </w:tabs>
              <w:spacing w:after="200"/>
              <w:ind w:left="0" w:firstLine="0"/>
            </w:pPr>
            <w:r>
              <w:t>1.</w:t>
            </w:r>
            <w:r>
              <w:tab/>
              <w:t>Dersom de viktigste veielementene (</w:t>
            </w:r>
            <w:proofErr w:type="spellStart"/>
            <w:r>
              <w:t>bindelag</w:t>
            </w:r>
            <w:proofErr w:type="spellEnd"/>
            <w:r>
              <w:t>, slitelag eller betongplater) rives eller fjernes, er forberedelsen til ombruk(</w:t>
            </w:r>
            <w:bookmarkStart w:id="188" w:name="NOTE_190"/>
            <w:r>
              <w:rPr>
                <w:rStyle w:val="FootnoteReference"/>
                <w:sz w:val="18"/>
              </w:rPr>
              <w:footnoteReference w:id="191"/>
            </w:r>
            <w:bookmarkEnd w:id="188"/>
            <w:r>
              <w:t>) eller materialgjenvinning(</w:t>
            </w:r>
            <w:bookmarkStart w:id="189" w:name="NOTE_191"/>
            <w:r>
              <w:rPr>
                <w:rStyle w:val="FootnoteReference"/>
                <w:sz w:val="18"/>
              </w:rPr>
              <w:footnoteReference w:id="192"/>
            </w:r>
            <w:bookmarkEnd w:id="189"/>
            <w:r>
              <w:t>) av det ikke-farlige avfallet som genereres på stedet, 100 % (i masse i kilo), unntatt utfylling(</w:t>
            </w:r>
            <w:bookmarkStart w:id="190" w:name="NOTE_192"/>
            <w:r>
              <w:rPr>
                <w:rStyle w:val="FootnoteReference"/>
                <w:sz w:val="18"/>
              </w:rPr>
              <w:footnoteReference w:id="193"/>
            </w:r>
            <w:bookmarkEnd w:id="190"/>
            <w:r>
              <w:t>). Dette utelukker naturlig forekommende materiale som omhandlet i kategori 17 05 04 i den europeiske listen over avfall opprettet ved vedtak 2000/532/EF.</w:t>
            </w:r>
          </w:p>
          <w:p w14:paraId="480F3977" w14:textId="6D907163" w:rsidR="006561BA" w:rsidRDefault="005B4ED6">
            <w:pPr>
              <w:pStyle w:val="AnnexNumberedText"/>
              <w:tabs>
                <w:tab w:val="left" w:pos="276"/>
              </w:tabs>
              <w:spacing w:after="200"/>
              <w:ind w:left="0" w:firstLine="0"/>
            </w:pPr>
            <w:r>
              <w:t>2.</w:t>
            </w:r>
            <w:r>
              <w:tab/>
              <w:t>Dersom veielementene (</w:t>
            </w:r>
            <w:proofErr w:type="spellStart"/>
            <w:r>
              <w:t>bindelag</w:t>
            </w:r>
            <w:proofErr w:type="spellEnd"/>
            <w:r>
              <w:t xml:space="preserve">, slitelag og betongplater) er nyinstallerte etter </w:t>
            </w:r>
            <w:proofErr w:type="spellStart"/>
            <w:r>
              <w:t>riving</w:t>
            </w:r>
            <w:proofErr w:type="spellEnd"/>
            <w:r>
              <w:t xml:space="preserve"> eller fjerning, herunder veier som er bygget midlertidig for å utføre vedlikeholdsarbeider, utgjør minst 50 % (i masse i kilo) av de veikomponentene som brukes, av </w:t>
            </w:r>
            <w:proofErr w:type="spellStart"/>
            <w:r>
              <w:t>ombrukte</w:t>
            </w:r>
            <w:proofErr w:type="spellEnd"/>
            <w:r>
              <w:t xml:space="preserve"> eller </w:t>
            </w:r>
            <w:r w:rsidR="000E46AE">
              <w:t>material</w:t>
            </w:r>
            <w:r>
              <w:t xml:space="preserve">gjenvunne </w:t>
            </w:r>
            <w:r w:rsidR="00C47C84">
              <w:t>råvarer</w:t>
            </w:r>
            <w:r>
              <w:t xml:space="preserve"> eller av ikke-farlige industrielle biprodukter.</w:t>
            </w:r>
          </w:p>
          <w:p w14:paraId="0B1C54B6" w14:textId="094B5009" w:rsidR="006561BA" w:rsidRDefault="005B4ED6">
            <w:pPr>
              <w:pStyle w:val="AnnexNumberedText"/>
              <w:tabs>
                <w:tab w:val="left" w:pos="276"/>
              </w:tabs>
              <w:spacing w:after="200"/>
              <w:ind w:left="0" w:firstLine="0"/>
            </w:pPr>
            <w:r>
              <w:t>3.</w:t>
            </w:r>
            <w:r>
              <w:tab/>
            </w:r>
            <w:proofErr w:type="spellStart"/>
            <w:r>
              <w:t>Ombrukte</w:t>
            </w:r>
            <w:proofErr w:type="spellEnd"/>
            <w:r>
              <w:t xml:space="preserve"> eller </w:t>
            </w:r>
            <w:r w:rsidR="000E46AE">
              <w:t>material</w:t>
            </w:r>
            <w:r>
              <w:t xml:space="preserve">gjenvunne </w:t>
            </w:r>
            <w:r w:rsidR="00EA333C">
              <w:t>råvarer</w:t>
            </w:r>
            <w:r>
              <w:t xml:space="preserve"> transporteres ikke over avstander som er mer enn 2,5 ganger avstanden mellom byggeplassen og nærmeste produksjonsanlegg for tilsvarende </w:t>
            </w:r>
            <w:r w:rsidR="006D723D" w:rsidRPr="006D723D">
              <w:t>primære råvarer</w:t>
            </w:r>
            <w:r>
              <w:t xml:space="preserve">, for å unngå at bruken av </w:t>
            </w:r>
            <w:proofErr w:type="spellStart"/>
            <w:r>
              <w:t>ombrukte</w:t>
            </w:r>
            <w:proofErr w:type="spellEnd"/>
            <w:r>
              <w:t xml:space="preserve"> eller </w:t>
            </w:r>
            <w:r w:rsidR="0040029B">
              <w:t>material</w:t>
            </w:r>
            <w:r>
              <w:t xml:space="preserve">gjenvunne </w:t>
            </w:r>
            <w:r w:rsidR="001E0940">
              <w:t>råvarer</w:t>
            </w:r>
            <w:r>
              <w:t xml:space="preserve"> fører til høyere CO</w:t>
            </w:r>
            <w:r>
              <w:rPr>
                <w:vertAlign w:val="subscript"/>
              </w:rPr>
              <w:t>2</w:t>
            </w:r>
            <w:r>
              <w:t xml:space="preserve">-utslipp enn bruken av </w:t>
            </w:r>
            <w:r w:rsidR="006D723D" w:rsidRPr="006D723D">
              <w:t>primære råvarer</w:t>
            </w:r>
            <w:r>
              <w:t>.</w:t>
            </w:r>
          </w:p>
          <w:p w14:paraId="58EA92B9" w14:textId="77777777" w:rsidR="006561BA" w:rsidRDefault="005B4ED6">
            <w:pPr>
              <w:pStyle w:val="AnnexNumberedText"/>
              <w:tabs>
                <w:tab w:val="left" w:pos="276"/>
              </w:tabs>
              <w:spacing w:after="200"/>
              <w:ind w:left="0" w:firstLine="0"/>
            </w:pPr>
            <w:r>
              <w:t>4.</w:t>
            </w:r>
            <w:r>
              <w:tab/>
              <w:t xml:space="preserve">Dersom </w:t>
            </w:r>
            <w:proofErr w:type="spellStart"/>
            <w:r>
              <w:t>bindelaget</w:t>
            </w:r>
            <w:proofErr w:type="spellEnd"/>
            <w:r>
              <w:t xml:space="preserve"> er nyinstallert, har det en levetid på minst 20 år(</w:t>
            </w:r>
            <w:bookmarkStart w:id="191" w:name="NOTE_193"/>
            <w:r>
              <w:rPr>
                <w:rStyle w:val="FootnoteReference"/>
                <w:sz w:val="18"/>
              </w:rPr>
              <w:footnoteReference w:id="194"/>
            </w:r>
            <w:bookmarkEnd w:id="191"/>
            <w:r>
              <w:t>).</w:t>
            </w:r>
          </w:p>
          <w:p w14:paraId="3A0B9D6C" w14:textId="316A3B09" w:rsidR="006561BA" w:rsidRDefault="005B4ED6">
            <w:pPr>
              <w:pStyle w:val="AnnexNumberedText"/>
              <w:tabs>
                <w:tab w:val="left" w:pos="276"/>
              </w:tabs>
              <w:spacing w:after="0"/>
              <w:ind w:left="0" w:firstLine="0"/>
            </w:pPr>
            <w:r>
              <w:t>5.</w:t>
            </w:r>
            <w:r>
              <w:tab/>
              <w:t>Bruken av primær</w:t>
            </w:r>
            <w:r w:rsidR="00D7519B">
              <w:t xml:space="preserve">e </w:t>
            </w:r>
            <w:r>
              <w:t>rå</w:t>
            </w:r>
            <w:r w:rsidR="00D7519B">
              <w:t>varer</w:t>
            </w:r>
            <w:r>
              <w:t xml:space="preserve"> for veiutrustning minimeres ved bruk av </w:t>
            </w:r>
            <w:r w:rsidR="00CC7717" w:rsidRPr="00CC7717">
              <w:t>sekundære råvarer</w:t>
            </w:r>
            <w:r>
              <w:t>(</w:t>
            </w:r>
            <w:bookmarkStart w:id="192" w:name="NOTE_194"/>
            <w:r>
              <w:rPr>
                <w:rStyle w:val="FootnoteReference"/>
                <w:sz w:val="18"/>
              </w:rPr>
              <w:footnoteReference w:id="195"/>
            </w:r>
            <w:bookmarkEnd w:id="192"/>
            <w:r>
              <w:t xml:space="preserve">). Aktivitetsutøveren sikrer at høyst 30 % av materialet kommer fra </w:t>
            </w:r>
            <w:r w:rsidR="00502CFC">
              <w:t xml:space="preserve">primære råvarer </w:t>
            </w:r>
            <w:r>
              <w:t xml:space="preserve">når det gjelder metaller, for eksempel stålsikringssystemer. Terskelverdien beregnes ved å trekke </w:t>
            </w:r>
            <w:r w:rsidR="00CC7717">
              <w:t xml:space="preserve">den </w:t>
            </w:r>
            <w:r w:rsidR="00CC7717" w:rsidRPr="00CC7717">
              <w:t>sekundære råvare</w:t>
            </w:r>
            <w:r w:rsidR="00CC7717">
              <w:t>n</w:t>
            </w:r>
            <w:r>
              <w:t xml:space="preserve"> fra den samlede mengden av hver </w:t>
            </w:r>
            <w:r w:rsidR="00A70546">
              <w:t>materialekategori</w:t>
            </w:r>
            <w:r w:rsidR="00CC7717">
              <w:t xml:space="preserve"> </w:t>
            </w:r>
            <w:r>
              <w:t xml:space="preserve">som brukes i arbeidet, målt i masse i kilo. Dersom det ikke foreligger opplysninger om materialgjenvunnet innhold i byggevaren, skal det medregnes som innhold som består av 100 % </w:t>
            </w:r>
            <w:r w:rsidR="00D25828" w:rsidRPr="00D25828">
              <w:t>primære råvarer</w:t>
            </w:r>
            <w:r>
              <w:t xml:space="preserve">. For å respektere avfallshierarkiet og dermed favorisere ombruk framfor materialgjenvinning, skal </w:t>
            </w:r>
            <w:proofErr w:type="spellStart"/>
            <w:r>
              <w:t>ombrukte</w:t>
            </w:r>
            <w:proofErr w:type="spellEnd"/>
            <w:r>
              <w:t xml:space="preserve"> byggevarer, herunder de som inneholder materialer som ikke er avfall, og som bearbeides på nytt på stedet, medregnes som byggevarer som består av 0 % </w:t>
            </w:r>
            <w:r w:rsidR="001B765A" w:rsidRPr="001B765A">
              <w:t>primære råvarer</w:t>
            </w:r>
            <w:r>
              <w:t>.</w:t>
            </w:r>
          </w:p>
        </w:tc>
      </w:tr>
      <w:tr w:rsidR="006561BA" w14:paraId="1C7A3DDA" w14:textId="77777777">
        <w:trPr>
          <w:trHeight w:val="240"/>
        </w:trPr>
        <w:tc>
          <w:tcPr>
            <w:tcW w:w="9228" w:type="dxa"/>
            <w:gridSpan w:val="2"/>
            <w:tcMar>
              <w:top w:w="200" w:type="dxa"/>
              <w:left w:w="0" w:type="dxa"/>
              <w:bottom w:w="200" w:type="dxa"/>
              <w:right w:w="0" w:type="dxa"/>
            </w:tcMar>
          </w:tcPr>
          <w:p w14:paraId="0B38C8C1" w14:textId="77777777" w:rsidR="006561BA" w:rsidRDefault="005B4ED6">
            <w:pPr>
              <w:pStyle w:val="AnnexTableCellLeft"/>
            </w:pPr>
            <w:r>
              <w:t>Prinsippet om ikke å gjøre betydelig skade («DNSH»)</w:t>
            </w:r>
          </w:p>
        </w:tc>
      </w:tr>
      <w:tr w:rsidR="006561BA" w14:paraId="5532DF30" w14:textId="77777777">
        <w:tc>
          <w:tcPr>
            <w:tcW w:w="2472" w:type="dxa"/>
            <w:tcMar>
              <w:top w:w="200" w:type="dxa"/>
              <w:left w:w="0" w:type="dxa"/>
              <w:bottom w:w="200" w:type="dxa"/>
            </w:tcMar>
          </w:tcPr>
          <w:p w14:paraId="18A38E58" w14:textId="77777777" w:rsidR="006561BA" w:rsidRDefault="005B4ED6">
            <w:pPr>
              <w:pStyle w:val="AnnexNumberedText"/>
              <w:spacing w:after="0"/>
              <w:ind w:left="293" w:hanging="293"/>
            </w:pPr>
            <w:r>
              <w:t>1)</w:t>
            </w:r>
            <w:r>
              <w:tab/>
              <w:t>Begrensning av klimaendringer</w:t>
            </w:r>
          </w:p>
        </w:tc>
        <w:tc>
          <w:tcPr>
            <w:tcW w:w="6756" w:type="dxa"/>
            <w:tcMar>
              <w:top w:w="200" w:type="dxa"/>
              <w:bottom w:w="200" w:type="dxa"/>
              <w:right w:w="0" w:type="dxa"/>
            </w:tcMar>
          </w:tcPr>
          <w:p w14:paraId="559877A5" w14:textId="77777777" w:rsidR="006561BA" w:rsidRDefault="005B4ED6">
            <w:pPr>
              <w:pStyle w:val="AnnexTableCellLeft"/>
            </w:pPr>
            <w:r>
              <w:t>Det skal legges fram en plan for trafikkbegrensning som skal gjennomføres under vedlikeholdsarbeidet.</w:t>
            </w:r>
          </w:p>
        </w:tc>
      </w:tr>
      <w:tr w:rsidR="006561BA" w14:paraId="52D821E9" w14:textId="77777777">
        <w:tc>
          <w:tcPr>
            <w:tcW w:w="2472" w:type="dxa"/>
            <w:tcMar>
              <w:top w:w="200" w:type="dxa"/>
              <w:left w:w="0" w:type="dxa"/>
              <w:bottom w:w="200" w:type="dxa"/>
            </w:tcMar>
          </w:tcPr>
          <w:p w14:paraId="1BA92402" w14:textId="77777777" w:rsidR="006561BA" w:rsidRDefault="005B4ED6">
            <w:pPr>
              <w:pStyle w:val="AnnexNumberedText"/>
              <w:spacing w:after="0"/>
              <w:ind w:left="293" w:hanging="293"/>
            </w:pPr>
            <w:r>
              <w:t>2)</w:t>
            </w:r>
            <w:r>
              <w:tab/>
              <w:t>Tilpasning til klimaendringer</w:t>
            </w:r>
          </w:p>
        </w:tc>
        <w:tc>
          <w:tcPr>
            <w:tcW w:w="6756" w:type="dxa"/>
            <w:tcMar>
              <w:top w:w="200" w:type="dxa"/>
              <w:bottom w:w="200" w:type="dxa"/>
              <w:right w:w="0" w:type="dxa"/>
            </w:tcMar>
          </w:tcPr>
          <w:p w14:paraId="42D725F6" w14:textId="77777777" w:rsidR="006561BA" w:rsidRDefault="005B4ED6">
            <w:pPr>
              <w:pStyle w:val="AnnexTableCellLeft"/>
            </w:pPr>
            <w:r>
              <w:t>Aktiviteten oppfyller kriteriene fastsatt i tillegg A til dette vedlegget.</w:t>
            </w:r>
          </w:p>
        </w:tc>
      </w:tr>
      <w:tr w:rsidR="006561BA" w14:paraId="5E741B9A" w14:textId="77777777">
        <w:trPr>
          <w:trHeight w:val="360"/>
        </w:trPr>
        <w:tc>
          <w:tcPr>
            <w:tcW w:w="2472" w:type="dxa"/>
            <w:tcMar>
              <w:top w:w="200" w:type="dxa"/>
              <w:left w:w="0" w:type="dxa"/>
              <w:bottom w:w="200" w:type="dxa"/>
            </w:tcMar>
          </w:tcPr>
          <w:p w14:paraId="4899D5CA" w14:textId="77777777" w:rsidR="006561BA" w:rsidRDefault="005B4ED6">
            <w:pPr>
              <w:pStyle w:val="AnnexNumberedText"/>
              <w:pageBreakBefore/>
              <w:spacing w:after="0"/>
              <w:ind w:left="293" w:hanging="293"/>
            </w:pPr>
            <w:r>
              <w:lastRenderedPageBreak/>
              <w:t>3)</w:t>
            </w:r>
            <w:r>
              <w:tab/>
              <w:t>Bærekraftig bruk og beskyttelse av vann- og havressurser</w:t>
            </w:r>
          </w:p>
        </w:tc>
        <w:tc>
          <w:tcPr>
            <w:tcW w:w="6756" w:type="dxa"/>
            <w:tcMar>
              <w:top w:w="200" w:type="dxa"/>
              <w:bottom w:w="200" w:type="dxa"/>
              <w:right w:w="0" w:type="dxa"/>
            </w:tcMar>
          </w:tcPr>
          <w:p w14:paraId="50AB80AC" w14:textId="77777777" w:rsidR="006561BA" w:rsidRDefault="005B4ED6">
            <w:pPr>
              <w:pStyle w:val="AnnexTableCellLeft"/>
            </w:pPr>
            <w:r>
              <w:t>Aktiviteten oppfyller kriteriene fastsatt i tillegg B til dette vedlegget.</w:t>
            </w:r>
          </w:p>
        </w:tc>
      </w:tr>
      <w:tr w:rsidR="006561BA" w14:paraId="2053F873" w14:textId="77777777">
        <w:trPr>
          <w:trHeight w:val="360"/>
        </w:trPr>
        <w:tc>
          <w:tcPr>
            <w:tcW w:w="2472" w:type="dxa"/>
            <w:tcMar>
              <w:top w:w="200" w:type="dxa"/>
              <w:left w:w="0" w:type="dxa"/>
              <w:bottom w:w="200" w:type="dxa"/>
            </w:tcMar>
          </w:tcPr>
          <w:p w14:paraId="2753C9F9" w14:textId="77777777" w:rsidR="006561BA" w:rsidRDefault="005B4ED6">
            <w:pPr>
              <w:pStyle w:val="AnnexNumberedText"/>
              <w:spacing w:after="0"/>
              <w:ind w:left="293" w:hanging="293"/>
            </w:pPr>
            <w:r>
              <w:t>5)</w:t>
            </w:r>
            <w:r>
              <w:tab/>
              <w:t>Forebygging og begrensning av forurensning</w:t>
            </w:r>
          </w:p>
        </w:tc>
        <w:tc>
          <w:tcPr>
            <w:tcW w:w="6756" w:type="dxa"/>
            <w:tcMar>
              <w:top w:w="200" w:type="dxa"/>
              <w:bottom w:w="200" w:type="dxa"/>
              <w:right w:w="0" w:type="dxa"/>
            </w:tcMar>
          </w:tcPr>
          <w:p w14:paraId="547825EE" w14:textId="061E186C" w:rsidR="006561BA" w:rsidRDefault="005B4ED6">
            <w:pPr>
              <w:pStyle w:val="AnnexTableCellLeft"/>
            </w:pPr>
            <w:r>
              <w:t xml:space="preserve">Det treffes tiltak for å redusere utslipp av støy, vibrasjoner, støv og forurensende stoffer under bygge- og vedlikeholdsarbeider. Ved valg av type veidekke foretrekkes støysvakt veidekke i samsvar med det overgripende kriteriet B7 «minimum </w:t>
            </w:r>
            <w:proofErr w:type="spellStart"/>
            <w:r>
              <w:t>requirements</w:t>
            </w:r>
            <w:proofErr w:type="spellEnd"/>
            <w:r>
              <w:t xml:space="preserve"> for </w:t>
            </w:r>
            <w:proofErr w:type="spellStart"/>
            <w:r>
              <w:t>low-noise</w:t>
            </w:r>
            <w:proofErr w:type="spellEnd"/>
            <w:r>
              <w:t xml:space="preserve"> pavement design» (minstekrav til utforming av støysvakt veidekke) i «EU Green Public </w:t>
            </w:r>
            <w:proofErr w:type="spellStart"/>
            <w:r>
              <w:t>Procurement</w:t>
            </w:r>
            <w:proofErr w:type="spellEnd"/>
            <w:r>
              <w:t xml:space="preserve"> </w:t>
            </w:r>
            <w:proofErr w:type="spellStart"/>
            <w:r>
              <w:t>Criteria</w:t>
            </w:r>
            <w:proofErr w:type="spellEnd"/>
            <w:r>
              <w:t xml:space="preserve"> for Road Design, Construction and </w:t>
            </w:r>
            <w:proofErr w:type="spellStart"/>
            <w:r>
              <w:t>Maintenance</w:t>
            </w:r>
            <w:proofErr w:type="spellEnd"/>
            <w:r>
              <w:t>» (EUs kriterier for grønne offentlige innkjøp for utforming, bygging og vedlikehold av veier</w:t>
            </w:r>
            <w:r w:rsidR="002F3922">
              <w:t>)</w:t>
            </w:r>
            <w:r>
              <w:t>(</w:t>
            </w:r>
            <w:bookmarkStart w:id="193" w:name="NOTE_195"/>
            <w:r>
              <w:rPr>
                <w:rStyle w:val="FootnoteReference"/>
                <w:sz w:val="18"/>
              </w:rPr>
              <w:footnoteReference w:id="196"/>
            </w:r>
            <w:bookmarkEnd w:id="193"/>
            <w:r>
              <w:t>), og med tanke på at støysvakt veidekke betraktes som en prioritet for alle veier som er omfattet av direktiv 2002/49/EF.</w:t>
            </w:r>
          </w:p>
        </w:tc>
      </w:tr>
      <w:tr w:rsidR="006561BA" w14:paraId="6471569E" w14:textId="77777777">
        <w:trPr>
          <w:trHeight w:val="360"/>
        </w:trPr>
        <w:tc>
          <w:tcPr>
            <w:tcW w:w="2472" w:type="dxa"/>
            <w:tcMar>
              <w:top w:w="200" w:type="dxa"/>
              <w:left w:w="0" w:type="dxa"/>
              <w:bottom w:w="200" w:type="dxa"/>
            </w:tcMar>
          </w:tcPr>
          <w:p w14:paraId="506F1736" w14:textId="77777777" w:rsidR="006561BA" w:rsidRDefault="005B4ED6">
            <w:pPr>
              <w:pStyle w:val="AnnexNumberedText"/>
              <w:spacing w:after="0"/>
              <w:ind w:left="293" w:hanging="293"/>
            </w:pPr>
            <w:r>
              <w:t>6)</w:t>
            </w:r>
            <w:r>
              <w:tab/>
              <w:t>Beskyttelse og restaurering av biologisk mangfold og økosystemer</w:t>
            </w:r>
          </w:p>
        </w:tc>
        <w:tc>
          <w:tcPr>
            <w:tcW w:w="6756" w:type="dxa"/>
            <w:tcMar>
              <w:top w:w="200" w:type="dxa"/>
              <w:bottom w:w="200" w:type="dxa"/>
              <w:right w:w="0" w:type="dxa"/>
            </w:tcMar>
          </w:tcPr>
          <w:p w14:paraId="50DA5EBD" w14:textId="77777777" w:rsidR="006561BA" w:rsidRDefault="005B4ED6">
            <w:pPr>
              <w:pStyle w:val="AnnexTableCellLeft"/>
            </w:pPr>
            <w:r>
              <w:t>Aktiviteten oppfyller kriteriene fastsatt i tillegg D til dette vedlegget.</w:t>
            </w:r>
          </w:p>
        </w:tc>
      </w:tr>
    </w:tbl>
    <w:p w14:paraId="6B14E30E" w14:textId="77777777" w:rsidR="006561BA" w:rsidRDefault="005B4ED6">
      <w:pPr>
        <w:pStyle w:val="AnnexNumberedText"/>
        <w:spacing w:before="400" w:after="200"/>
        <w:ind w:left="414" w:hanging="414"/>
      </w:pPr>
      <w:r>
        <w:t>3.5.</w:t>
      </w:r>
      <w:r>
        <w:rPr>
          <w:b/>
        </w:rPr>
        <w:tab/>
        <w:t>Bruk av betong i bygge- og anleggsarbeider</w:t>
      </w:r>
    </w:p>
    <w:p w14:paraId="1B57935D" w14:textId="77777777" w:rsidR="006561BA" w:rsidRDefault="005B4ED6">
      <w:pPr>
        <w:pStyle w:val="AnnexGrSeq3"/>
        <w:jc w:val="both"/>
      </w:pPr>
      <w:r>
        <w:rPr>
          <w:i/>
        </w:rPr>
        <w:t>Beskrivelse av aktiviteten</w:t>
      </w:r>
    </w:p>
    <w:p w14:paraId="09BD1342" w14:textId="77777777" w:rsidR="006561BA" w:rsidRDefault="005B4ED6">
      <w:pPr>
        <w:pStyle w:val="AnnexNormal"/>
      </w:pPr>
      <w:r>
        <w:t>Bruk av betong til nybygg, ombygging eller vedlikehold(</w:t>
      </w:r>
      <w:bookmarkStart w:id="194" w:name="NOTE_196"/>
      <w:r>
        <w:rPr>
          <w:rStyle w:val="FootnoteReference"/>
          <w:sz w:val="18"/>
        </w:rPr>
        <w:footnoteReference w:id="197"/>
      </w:r>
      <w:bookmarkEnd w:id="194"/>
      <w:r>
        <w:t xml:space="preserve">) av bygge- og anleggsarbeider, unntatt veidekke av betong på følgende elementer: gater, motorveier, andre kjøreveier og gangstier, broer, tunneler og rullebaner på flyplasser, </w:t>
      </w:r>
      <w:proofErr w:type="spellStart"/>
      <w:r>
        <w:t>taksebaner</w:t>
      </w:r>
      <w:proofErr w:type="spellEnd"/>
      <w:r>
        <w:t xml:space="preserve"> og oppstillingsplasser som er omfattet av den økonomiske aktiviteten «Vedlikehold av veier og motorveier» (se avsnitt 3.4 i dette vedlegget).</w:t>
      </w:r>
    </w:p>
    <w:p w14:paraId="35986E7E" w14:textId="77777777" w:rsidR="006561BA" w:rsidRDefault="005B4ED6">
      <w:pPr>
        <w:pStyle w:val="AnnexNormal"/>
        <w:spacing w:after="0"/>
      </w:pPr>
      <w:r>
        <w:t>De økonomiske aktivitetene i denne kategorien kan knyttes til flere NACE-koder, særlig F42.12, F42.13, F42.2 og F42.9, i samsvar med standarden for næringsgruppering fastsatt ved forordning (EF) nr. 1893/2006.</w:t>
      </w:r>
      <w:r>
        <w:br w:type="page"/>
      </w:r>
    </w:p>
    <w:p w14:paraId="33D3B55C" w14:textId="77777777" w:rsidR="006561BA" w:rsidRDefault="005B4ED6">
      <w:pPr>
        <w:pStyle w:val="AnnexGrSeq3"/>
        <w:spacing w:after="300"/>
        <w:jc w:val="both"/>
      </w:pPr>
      <w:r>
        <w:rPr>
          <w:i/>
        </w:rPr>
        <w:lastRenderedPageBreak/>
        <w:t>Tekniske screeningkriterier</w:t>
      </w:r>
    </w:p>
    <w:tbl>
      <w:tblPr>
        <w:tblStyle w:val="EFTATable"/>
        <w:tblW w:w="9228" w:type="dxa"/>
        <w:tblInd w:w="12" w:type="dxa"/>
        <w:tblLayout w:type="fixed"/>
        <w:tblLook w:val="04A0" w:firstRow="1" w:lastRow="0" w:firstColumn="1" w:lastColumn="0" w:noHBand="0" w:noVBand="1"/>
      </w:tblPr>
      <w:tblGrid>
        <w:gridCol w:w="2508"/>
        <w:gridCol w:w="6720"/>
      </w:tblGrid>
      <w:tr w:rsidR="006561BA" w14:paraId="700F98AD" w14:textId="77777777">
        <w:trPr>
          <w:trHeight w:val="240"/>
        </w:trPr>
        <w:tc>
          <w:tcPr>
            <w:tcW w:w="9228" w:type="dxa"/>
            <w:gridSpan w:val="2"/>
            <w:tcMar>
              <w:top w:w="200" w:type="dxa"/>
              <w:left w:w="0" w:type="dxa"/>
              <w:bottom w:w="200" w:type="dxa"/>
              <w:right w:w="0" w:type="dxa"/>
            </w:tcMar>
          </w:tcPr>
          <w:p w14:paraId="5BE15F3D" w14:textId="77777777" w:rsidR="006561BA" w:rsidRDefault="005B4ED6">
            <w:pPr>
              <w:pStyle w:val="AnnexTableCellLeft"/>
            </w:pPr>
            <w:r>
              <w:t>Vesentlig bidrag til omstilling til en sirkulær økonomi</w:t>
            </w:r>
          </w:p>
        </w:tc>
      </w:tr>
      <w:tr w:rsidR="006561BA" w14:paraId="114598D9" w14:textId="77777777">
        <w:trPr>
          <w:trHeight w:val="360"/>
        </w:trPr>
        <w:tc>
          <w:tcPr>
            <w:tcW w:w="9228" w:type="dxa"/>
            <w:gridSpan w:val="2"/>
            <w:tcMar>
              <w:top w:w="200" w:type="dxa"/>
              <w:left w:w="0" w:type="dxa"/>
              <w:bottom w:w="200" w:type="dxa"/>
              <w:right w:w="0" w:type="dxa"/>
            </w:tcMar>
          </w:tcPr>
          <w:p w14:paraId="216105CF" w14:textId="77777777" w:rsidR="006561BA" w:rsidRDefault="005B4ED6">
            <w:pPr>
              <w:pStyle w:val="AnnexNumberedText"/>
              <w:tabs>
                <w:tab w:val="left" w:pos="278"/>
              </w:tabs>
              <w:ind w:left="0" w:firstLine="0"/>
            </w:pPr>
            <w:r>
              <w:t>1.</w:t>
            </w:r>
            <w:r>
              <w:tab/>
              <w:t xml:space="preserve">Alt bygge- og </w:t>
            </w:r>
            <w:proofErr w:type="spellStart"/>
            <w:r>
              <w:t>rivingsavfall</w:t>
            </w:r>
            <w:proofErr w:type="spellEnd"/>
            <w:r>
              <w:t xml:space="preserve"> som genereres, behandles i samsvar med EUs avfallsregelverk og den fullstendige sjekklisten i EUs protokoll om håndtering av bygge- og </w:t>
            </w:r>
            <w:proofErr w:type="spellStart"/>
            <w:r>
              <w:t>rivingsavfall</w:t>
            </w:r>
            <w:proofErr w:type="spellEnd"/>
            <w:r>
              <w:t>, særlig ved å innføre sorteringssystemer(</w:t>
            </w:r>
            <w:bookmarkStart w:id="195" w:name="NOTE_197"/>
            <w:r>
              <w:rPr>
                <w:rStyle w:val="FootnoteReference"/>
                <w:sz w:val="18"/>
              </w:rPr>
              <w:footnoteReference w:id="198"/>
            </w:r>
            <w:bookmarkEnd w:id="195"/>
            <w:r>
              <w:t>). Forberedelse til ombruk(</w:t>
            </w:r>
            <w:bookmarkStart w:id="196" w:name="NOTE_198"/>
            <w:r>
              <w:rPr>
                <w:rStyle w:val="FootnoteReference"/>
                <w:sz w:val="18"/>
              </w:rPr>
              <w:footnoteReference w:id="199"/>
            </w:r>
            <w:bookmarkEnd w:id="196"/>
            <w:r>
              <w:t>) eller materialgjenvinning(</w:t>
            </w:r>
            <w:bookmarkStart w:id="197" w:name="NOTE_199"/>
            <w:r>
              <w:rPr>
                <w:rStyle w:val="FootnoteReference"/>
                <w:sz w:val="18"/>
              </w:rPr>
              <w:footnoteReference w:id="200"/>
            </w:r>
            <w:bookmarkEnd w:id="197"/>
            <w:r>
              <w:t xml:space="preserve">) av det ikke-farlige bygge- og </w:t>
            </w:r>
            <w:proofErr w:type="spellStart"/>
            <w:r>
              <w:t>rivingsavfallet</w:t>
            </w:r>
            <w:proofErr w:type="spellEnd"/>
            <w:r>
              <w:t xml:space="preserve"> som genereres på byggeplassen, er minst 90 % (i masse i kilo), unntatt utfylling(</w:t>
            </w:r>
            <w:bookmarkStart w:id="198" w:name="NOTE_200"/>
            <w:r>
              <w:rPr>
                <w:rStyle w:val="FootnoteReference"/>
                <w:sz w:val="18"/>
              </w:rPr>
              <w:footnoteReference w:id="201"/>
            </w:r>
            <w:bookmarkEnd w:id="198"/>
            <w:r>
              <w:t>). Dette utelukker naturlig forekommende materiale som omhandlet i kategori 17 05 04 i den europeiske listen over avfall opprettet ved vedtak 2000/532/EF. Aktivitetsutøveren viser at terskelverdien på 90 % er overholdt ved å rapportere om Level(s)-indikator 2.2 ved hjelp av Level 2-rapporteringsformatet for forskjellige avfallsstrømmer.</w:t>
            </w:r>
          </w:p>
          <w:p w14:paraId="22288B7A" w14:textId="77777777" w:rsidR="006561BA" w:rsidRDefault="005B4ED6">
            <w:pPr>
              <w:pStyle w:val="AnnexNumberedText"/>
              <w:tabs>
                <w:tab w:val="left" w:pos="278"/>
              </w:tabs>
              <w:ind w:left="0" w:firstLine="0"/>
            </w:pPr>
            <w:r>
              <w:t>2.</w:t>
            </w:r>
            <w:r>
              <w:tab/>
              <w:t xml:space="preserve">Byggetegninger og -teknikker støtter </w:t>
            </w:r>
            <w:proofErr w:type="spellStart"/>
            <w:r>
              <w:t>sirkularitet</w:t>
            </w:r>
            <w:proofErr w:type="spellEnd"/>
            <w:r>
              <w:t xml:space="preserve"> ved å integrere utformingskonsepter for tilpasning og nedmontering i henhold til henholdsvis Level(s)-indikator 2.3 og 2.4. Overholdelse av dette kravet vises ved å rapportere om Level(s)-indikator 2.3(</w:t>
            </w:r>
            <w:bookmarkStart w:id="199" w:name="NOTE_201"/>
            <w:r>
              <w:rPr>
                <w:rStyle w:val="FootnoteReference"/>
                <w:sz w:val="18"/>
              </w:rPr>
              <w:footnoteReference w:id="202"/>
            </w:r>
            <w:bookmarkEnd w:id="199"/>
            <w:r>
              <w:t>) og 2.4(</w:t>
            </w:r>
            <w:bookmarkStart w:id="200" w:name="NOTE_202"/>
            <w:r>
              <w:rPr>
                <w:rStyle w:val="FootnoteReference"/>
                <w:sz w:val="18"/>
              </w:rPr>
              <w:footnoteReference w:id="203"/>
            </w:r>
            <w:bookmarkEnd w:id="200"/>
            <w:r>
              <w:t>) i Level 2.</w:t>
            </w:r>
          </w:p>
          <w:p w14:paraId="087B806B" w14:textId="2F6044D9" w:rsidR="006561BA" w:rsidRDefault="005B4ED6">
            <w:pPr>
              <w:pStyle w:val="AnnexNumberedText"/>
              <w:tabs>
                <w:tab w:val="left" w:pos="278"/>
              </w:tabs>
              <w:ind w:left="0" w:firstLine="0"/>
            </w:pPr>
            <w:r>
              <w:t>3.</w:t>
            </w:r>
            <w:r>
              <w:tab/>
              <w:t xml:space="preserve">Bruken av </w:t>
            </w:r>
            <w:r w:rsidR="00867E59">
              <w:t xml:space="preserve">primære råvarer </w:t>
            </w:r>
            <w:r>
              <w:t xml:space="preserve">minimeres ved bruk av </w:t>
            </w:r>
            <w:r w:rsidR="00DE5ACB" w:rsidRPr="00DE5ACB">
              <w:t>sekundære råvarer</w:t>
            </w:r>
            <w:r>
              <w:t>(</w:t>
            </w:r>
            <w:bookmarkStart w:id="201" w:name="NOTE_203"/>
            <w:r>
              <w:rPr>
                <w:rStyle w:val="FootnoteReference"/>
                <w:sz w:val="18"/>
              </w:rPr>
              <w:footnoteReference w:id="204"/>
            </w:r>
            <w:bookmarkEnd w:id="201"/>
            <w:r>
              <w:t xml:space="preserve">). For betong kommer høyst 70 % av materialet fra </w:t>
            </w:r>
            <w:r w:rsidR="00B872FB">
              <w:t>primære råvarer</w:t>
            </w:r>
            <w:r>
              <w:t xml:space="preserve">. Dette kriteriet gjelder for betong som støpes på stedet, ferdigstøpte produkter og alle bestanddeler, herunder eventuell armering. Terskelverdien beregnes ved å trekke </w:t>
            </w:r>
            <w:r w:rsidR="00DE5ACB">
              <w:t xml:space="preserve">den </w:t>
            </w:r>
            <w:r w:rsidR="00DE5ACB" w:rsidRPr="00DE5ACB">
              <w:t>sekundære råvare</w:t>
            </w:r>
            <w:r w:rsidR="00B872FB">
              <w:t>n</w:t>
            </w:r>
            <w:r>
              <w:t xml:space="preserve"> fra den samlede mengden av materialet som brukes, målt i masse i kilo. Dersom det ikke foreligger opplysninger om materialgjenvunnet innhold i byggevaren, skal det medregnes som innhold som består av 100 % </w:t>
            </w:r>
            <w:r w:rsidR="00963A8A" w:rsidRPr="00963A8A">
              <w:t>primære råvarer</w:t>
            </w:r>
            <w:r>
              <w:t xml:space="preserve">. For å respektere avfallshierarkiet og dermed favorisere ombruk framfor materialgjenvinning, skal </w:t>
            </w:r>
            <w:proofErr w:type="spellStart"/>
            <w:r>
              <w:t>ombrukte</w:t>
            </w:r>
            <w:proofErr w:type="spellEnd"/>
            <w:r>
              <w:t xml:space="preserve"> byggevarer, herunder de som inneholder materialer som ikke er avfall, og som bearbeides på nytt på stedet, medregnes som byggevarer som består av 0 % </w:t>
            </w:r>
            <w:r w:rsidR="00963A8A" w:rsidRPr="00963A8A">
              <w:t>primære råvarer</w:t>
            </w:r>
            <w:r>
              <w:t>.</w:t>
            </w:r>
          </w:p>
          <w:p w14:paraId="04FA4C16" w14:textId="49B579D0" w:rsidR="006561BA" w:rsidRDefault="005B4ED6">
            <w:pPr>
              <w:pStyle w:val="AnnexNumberedText"/>
              <w:tabs>
                <w:tab w:val="left" w:pos="278"/>
              </w:tabs>
              <w:spacing w:after="0"/>
              <w:ind w:left="0" w:firstLine="0"/>
            </w:pPr>
            <w:r>
              <w:t>4.</w:t>
            </w:r>
            <w:r>
              <w:tab/>
            </w:r>
            <w:r w:rsidR="00DE5ACB">
              <w:t xml:space="preserve">De </w:t>
            </w:r>
            <w:r w:rsidR="00DE5ACB" w:rsidRPr="00DE5ACB">
              <w:t>sekundære råvare</w:t>
            </w:r>
            <w:r w:rsidR="0006063C">
              <w:t>ne</w:t>
            </w:r>
            <w:r>
              <w:t xml:space="preserve"> transporteres over avstander som er mer enn 2,5 ganger avstanden mellom byggeplassen og nærmeste produksjonsanlegg for tilsvarende primær</w:t>
            </w:r>
            <w:r w:rsidR="0006063C">
              <w:t xml:space="preserve">e </w:t>
            </w:r>
            <w:r>
              <w:t>rå</w:t>
            </w:r>
            <w:r w:rsidR="0006063C">
              <w:t>varer</w:t>
            </w:r>
            <w:r>
              <w:t xml:space="preserve">, for å unngå at bruken av </w:t>
            </w:r>
            <w:proofErr w:type="spellStart"/>
            <w:r>
              <w:t>ombrukte</w:t>
            </w:r>
            <w:proofErr w:type="spellEnd"/>
            <w:r>
              <w:t xml:space="preserve"> eller </w:t>
            </w:r>
            <w:r w:rsidR="0006063C">
              <w:t>material</w:t>
            </w:r>
            <w:r>
              <w:t xml:space="preserve">gjenvunne </w:t>
            </w:r>
            <w:r w:rsidR="00B8211A">
              <w:t>råvarer</w:t>
            </w:r>
            <w:r>
              <w:t xml:space="preserve"> fører til høyere CO</w:t>
            </w:r>
            <w:r>
              <w:rPr>
                <w:vertAlign w:val="subscript"/>
              </w:rPr>
              <w:t>2</w:t>
            </w:r>
            <w:r>
              <w:t>-utslipp enn bruken av primær</w:t>
            </w:r>
            <w:r w:rsidR="00422381">
              <w:t xml:space="preserve">e </w:t>
            </w:r>
            <w:r>
              <w:t>rå</w:t>
            </w:r>
            <w:r w:rsidR="00422381">
              <w:t>varer</w:t>
            </w:r>
            <w:r>
              <w:t>.</w:t>
            </w:r>
          </w:p>
        </w:tc>
      </w:tr>
      <w:tr w:rsidR="006561BA" w14:paraId="5E780DD8" w14:textId="77777777">
        <w:trPr>
          <w:trHeight w:val="360"/>
        </w:trPr>
        <w:tc>
          <w:tcPr>
            <w:tcW w:w="9228" w:type="dxa"/>
            <w:gridSpan w:val="2"/>
            <w:tcMar>
              <w:top w:w="200" w:type="dxa"/>
              <w:left w:w="0" w:type="dxa"/>
              <w:bottom w:w="200" w:type="dxa"/>
              <w:right w:w="0" w:type="dxa"/>
            </w:tcMar>
          </w:tcPr>
          <w:p w14:paraId="360580CB" w14:textId="0155EB68" w:rsidR="006561BA" w:rsidRDefault="005B4ED6">
            <w:pPr>
              <w:pStyle w:val="AnnexNumberedText"/>
              <w:pageBreakBefore/>
              <w:tabs>
                <w:tab w:val="left" w:pos="278"/>
              </w:tabs>
              <w:ind w:left="0" w:firstLine="0"/>
            </w:pPr>
            <w:r>
              <w:lastRenderedPageBreak/>
              <w:t>5.</w:t>
            </w:r>
            <w:r>
              <w:tab/>
              <w:t>Aktivitetsutøveren bruker elektroniske verktøyer for å beskrive bygningens egenskaper, slik den er oppført, herunder de materialene og komponentene som er brukt, med henblikk på framtidig vedlikehold, gjenvinning og ombruk, for eksempel ved hjelp av EN ISO 22057:2022 for å legge fram miljøvaredeklarasjoner(</w:t>
            </w:r>
            <w:bookmarkStart w:id="202" w:name="NOTE_204"/>
            <w:r>
              <w:rPr>
                <w:rStyle w:val="FootnoteReference"/>
                <w:sz w:val="18"/>
              </w:rPr>
              <w:footnoteReference w:id="205"/>
            </w:r>
            <w:bookmarkEnd w:id="202"/>
            <w:r>
              <w:t>). Opplysningene lagres i et digitalt format og gjøres tilgjengelig</w:t>
            </w:r>
            <w:r w:rsidR="00352CB6">
              <w:t>e</w:t>
            </w:r>
            <w:r>
              <w:t xml:space="preserve"> for investorer og kunder på anmodning. Dessuten sikrer aktivitetsutøveren langsiktig oppbevaring av disse opplysningene utover bygningens levetid ved hjelp av de systemene for informasjonshåndtering som stilles til rådighet gjennom nasjonale verktøyer, som for eksempel matrikkel eller offentlig register.</w:t>
            </w:r>
          </w:p>
          <w:p w14:paraId="0C2ABBEC" w14:textId="77777777" w:rsidR="006561BA" w:rsidRDefault="005B4ED6">
            <w:pPr>
              <w:pStyle w:val="AnnexNumberedText"/>
              <w:pageBreakBefore/>
              <w:tabs>
                <w:tab w:val="left" w:pos="278"/>
              </w:tabs>
              <w:spacing w:after="0"/>
              <w:ind w:left="0" w:firstLine="0"/>
            </w:pPr>
            <w:r>
              <w:t>6.</w:t>
            </w:r>
            <w:r>
              <w:tab/>
              <w:t>Broer, tunneler, diker og sluser inspiseres regelmessig av en nasjonalt godkjent inspektør, og opplysningene brukes til å forutsi vedlikeholdsbehov.</w:t>
            </w:r>
          </w:p>
        </w:tc>
      </w:tr>
      <w:tr w:rsidR="006561BA" w14:paraId="368DDD60" w14:textId="77777777">
        <w:trPr>
          <w:trHeight w:val="240"/>
        </w:trPr>
        <w:tc>
          <w:tcPr>
            <w:tcW w:w="9228" w:type="dxa"/>
            <w:gridSpan w:val="2"/>
            <w:tcMar>
              <w:top w:w="200" w:type="dxa"/>
              <w:left w:w="0" w:type="dxa"/>
              <w:bottom w:w="200" w:type="dxa"/>
              <w:right w:w="0" w:type="dxa"/>
            </w:tcMar>
          </w:tcPr>
          <w:p w14:paraId="3EB811C1" w14:textId="77777777" w:rsidR="006561BA" w:rsidRDefault="005B4ED6">
            <w:pPr>
              <w:pStyle w:val="AnnexTableCellLeft"/>
            </w:pPr>
            <w:r>
              <w:t>Prinsippet om ikke å gjøre betydelig skade («DNSH»)</w:t>
            </w:r>
          </w:p>
        </w:tc>
      </w:tr>
      <w:tr w:rsidR="006561BA" w14:paraId="78148FAE" w14:textId="77777777">
        <w:tc>
          <w:tcPr>
            <w:tcW w:w="2508" w:type="dxa"/>
            <w:tcMar>
              <w:top w:w="200" w:type="dxa"/>
              <w:left w:w="0" w:type="dxa"/>
              <w:bottom w:w="200" w:type="dxa"/>
            </w:tcMar>
          </w:tcPr>
          <w:p w14:paraId="7B72718E" w14:textId="77777777" w:rsidR="006561BA" w:rsidRDefault="005B4ED6">
            <w:pPr>
              <w:pStyle w:val="AnnexNumberedText"/>
              <w:spacing w:after="0"/>
              <w:ind w:left="293" w:hanging="293"/>
            </w:pPr>
            <w:r>
              <w:t>1)</w:t>
            </w:r>
            <w:r>
              <w:tab/>
              <w:t>Begrensning av klimaendringer</w:t>
            </w:r>
          </w:p>
        </w:tc>
        <w:tc>
          <w:tcPr>
            <w:tcW w:w="6720" w:type="dxa"/>
            <w:tcMar>
              <w:top w:w="200" w:type="dxa"/>
              <w:bottom w:w="200" w:type="dxa"/>
              <w:right w:w="0" w:type="dxa"/>
            </w:tcMar>
          </w:tcPr>
          <w:p w14:paraId="707B51F0" w14:textId="77777777" w:rsidR="006561BA" w:rsidRDefault="005B4ED6">
            <w:pPr>
              <w:pStyle w:val="AnnexTableCellLeft"/>
              <w:spacing w:after="120"/>
            </w:pPr>
            <w:r>
              <w:t>Det bygde anlegget er ikke beregnet på utvinning, lagring, transport eller produksjon av fossilt brensel.</w:t>
            </w:r>
          </w:p>
          <w:p w14:paraId="4603600B" w14:textId="77777777" w:rsidR="006561BA" w:rsidRDefault="005B4ED6">
            <w:pPr>
              <w:pStyle w:val="AnnexTableCellLeft"/>
              <w:spacing w:after="120"/>
            </w:pPr>
            <w:r>
              <w:t>For sement som brukes i denne aktiviteten, er klimagassutslippene(</w:t>
            </w:r>
            <w:bookmarkStart w:id="203" w:name="NOTE_205"/>
            <w:r>
              <w:rPr>
                <w:rStyle w:val="FootnoteReference"/>
                <w:sz w:val="18"/>
              </w:rPr>
              <w:footnoteReference w:id="206"/>
            </w:r>
            <w:bookmarkEnd w:id="203"/>
            <w:r>
              <w:t>) fra produksjonsprosessene som følger:</w:t>
            </w:r>
          </w:p>
          <w:p w14:paraId="0A886994" w14:textId="77777777" w:rsidR="006561BA" w:rsidRDefault="005B4ED6">
            <w:pPr>
              <w:pStyle w:val="AnnexNumberedText"/>
              <w:ind w:left="293" w:hanging="293"/>
            </w:pPr>
            <w:r>
              <w:t>a)</w:t>
            </w:r>
            <w:r>
              <w:tab/>
              <w:t>For grå sementklinker, lavere enn 0,816(</w:t>
            </w:r>
            <w:bookmarkStart w:id="204" w:name="NOTE_206"/>
            <w:r>
              <w:rPr>
                <w:rStyle w:val="FootnoteReference"/>
                <w:sz w:val="18"/>
              </w:rPr>
              <w:footnoteReference w:id="207"/>
            </w:r>
            <w:bookmarkEnd w:id="204"/>
            <w:r>
              <w:t>) tCO</w:t>
            </w:r>
            <w:r>
              <w:rPr>
                <w:vertAlign w:val="subscript"/>
              </w:rPr>
              <w:t>2</w:t>
            </w:r>
            <w:r>
              <w:t>e per tonn grå sementklinker.</w:t>
            </w:r>
          </w:p>
          <w:p w14:paraId="2E47159A" w14:textId="77777777" w:rsidR="006561BA" w:rsidRDefault="005B4ED6">
            <w:pPr>
              <w:pStyle w:val="AnnexNumberedText"/>
              <w:spacing w:after="0"/>
              <w:ind w:left="293" w:hanging="293"/>
            </w:pPr>
            <w:r>
              <w:t>b)</w:t>
            </w:r>
            <w:r>
              <w:tab/>
              <w:t>For sement fra grå klinker eller alternativt hydraulisk bindemiddel, lavere enn 0,530(</w:t>
            </w:r>
            <w:bookmarkStart w:id="205" w:name="NOTE_207"/>
            <w:r>
              <w:rPr>
                <w:rStyle w:val="FootnoteReference"/>
                <w:sz w:val="18"/>
              </w:rPr>
              <w:footnoteReference w:id="208"/>
            </w:r>
            <w:bookmarkEnd w:id="205"/>
            <w:r>
              <w:t>) tCO</w:t>
            </w:r>
            <w:r>
              <w:rPr>
                <w:vertAlign w:val="subscript"/>
              </w:rPr>
              <w:t>2</w:t>
            </w:r>
            <w:r>
              <w:t>e per tonn framstilt sement eller alternativt bindemiddel.</w:t>
            </w:r>
          </w:p>
        </w:tc>
      </w:tr>
      <w:tr w:rsidR="006561BA" w14:paraId="01658FB4" w14:textId="77777777">
        <w:tc>
          <w:tcPr>
            <w:tcW w:w="2508" w:type="dxa"/>
            <w:tcMar>
              <w:top w:w="200" w:type="dxa"/>
              <w:left w:w="0" w:type="dxa"/>
              <w:bottom w:w="200" w:type="dxa"/>
            </w:tcMar>
          </w:tcPr>
          <w:p w14:paraId="47D90524" w14:textId="77777777" w:rsidR="006561BA" w:rsidRDefault="005B4ED6">
            <w:pPr>
              <w:pStyle w:val="AnnexNumberedText"/>
              <w:spacing w:after="0"/>
              <w:ind w:left="293" w:hanging="293"/>
            </w:pPr>
            <w:r>
              <w:t>2)</w:t>
            </w:r>
            <w:r>
              <w:tab/>
              <w:t>Tilpasning til klimaendringer</w:t>
            </w:r>
          </w:p>
        </w:tc>
        <w:tc>
          <w:tcPr>
            <w:tcW w:w="6720" w:type="dxa"/>
            <w:tcMar>
              <w:top w:w="200" w:type="dxa"/>
              <w:bottom w:w="200" w:type="dxa"/>
              <w:right w:w="0" w:type="dxa"/>
            </w:tcMar>
          </w:tcPr>
          <w:p w14:paraId="6BA70487" w14:textId="77777777" w:rsidR="006561BA" w:rsidRDefault="005B4ED6">
            <w:pPr>
              <w:pStyle w:val="AnnexTableCellLeft"/>
            </w:pPr>
            <w:r>
              <w:t>Aktiviteten oppfyller kriteriene fastsatt i tillegg A til dette vedlegget.</w:t>
            </w:r>
          </w:p>
        </w:tc>
      </w:tr>
      <w:tr w:rsidR="006561BA" w14:paraId="230CD9C0" w14:textId="77777777">
        <w:tc>
          <w:tcPr>
            <w:tcW w:w="2508" w:type="dxa"/>
            <w:tcMar>
              <w:top w:w="200" w:type="dxa"/>
              <w:left w:w="0" w:type="dxa"/>
              <w:bottom w:w="200" w:type="dxa"/>
            </w:tcMar>
          </w:tcPr>
          <w:p w14:paraId="3046AC28" w14:textId="77777777" w:rsidR="006561BA" w:rsidRDefault="005B4ED6">
            <w:pPr>
              <w:pStyle w:val="AnnexNumberedText"/>
              <w:spacing w:after="0"/>
              <w:ind w:left="293" w:hanging="293"/>
            </w:pPr>
            <w:r>
              <w:t>3)</w:t>
            </w:r>
            <w:r>
              <w:tab/>
              <w:t>Bærekraftig bruk og beskyttelse av vann- og havressurser</w:t>
            </w:r>
          </w:p>
        </w:tc>
        <w:tc>
          <w:tcPr>
            <w:tcW w:w="6720" w:type="dxa"/>
            <w:tcMar>
              <w:top w:w="200" w:type="dxa"/>
              <w:bottom w:w="200" w:type="dxa"/>
              <w:right w:w="0" w:type="dxa"/>
            </w:tcMar>
          </w:tcPr>
          <w:p w14:paraId="2247441D" w14:textId="77777777" w:rsidR="006561BA" w:rsidRDefault="005B4ED6">
            <w:pPr>
              <w:pStyle w:val="AnnexTableCellLeft"/>
            </w:pPr>
            <w:r>
              <w:t>Aktiviteten oppfyller kriteriene fastsatt i tillegg B til dette vedlegget.</w:t>
            </w:r>
          </w:p>
        </w:tc>
      </w:tr>
      <w:tr w:rsidR="006561BA" w14:paraId="2095CD6D" w14:textId="77777777">
        <w:tc>
          <w:tcPr>
            <w:tcW w:w="2508" w:type="dxa"/>
            <w:tcMar>
              <w:top w:w="200" w:type="dxa"/>
              <w:left w:w="0" w:type="dxa"/>
              <w:bottom w:w="200" w:type="dxa"/>
            </w:tcMar>
          </w:tcPr>
          <w:p w14:paraId="3F0A6857" w14:textId="77777777" w:rsidR="006561BA" w:rsidRDefault="005B4ED6">
            <w:pPr>
              <w:pStyle w:val="AnnexNumberedText"/>
              <w:pageBreakBefore/>
              <w:ind w:left="293" w:hanging="293"/>
            </w:pPr>
            <w:r>
              <w:lastRenderedPageBreak/>
              <w:t>5)</w:t>
            </w:r>
            <w:r>
              <w:tab/>
              <w:t>Forebygging og begrensning av forurensning</w:t>
            </w:r>
          </w:p>
        </w:tc>
        <w:tc>
          <w:tcPr>
            <w:tcW w:w="6720" w:type="dxa"/>
            <w:tcMar>
              <w:top w:w="200" w:type="dxa"/>
              <w:bottom w:w="200" w:type="dxa"/>
              <w:right w:w="0" w:type="dxa"/>
            </w:tcMar>
          </w:tcPr>
          <w:p w14:paraId="0D519BAD" w14:textId="77777777" w:rsidR="006561BA" w:rsidRDefault="005B4ED6">
            <w:pPr>
              <w:pStyle w:val="AnnexTableCellLeft"/>
              <w:spacing w:after="120"/>
            </w:pPr>
            <w:r>
              <w:t>Komponenter og materialer som brukes i konstruksjonen, oppfyller kriteriene angitt i tillegg C til dette vedlegget.</w:t>
            </w:r>
          </w:p>
          <w:p w14:paraId="0ECDF15A" w14:textId="77777777" w:rsidR="006561BA" w:rsidRDefault="005B4ED6">
            <w:pPr>
              <w:pStyle w:val="AnnexTableCellLeft"/>
              <w:spacing w:after="120"/>
            </w:pPr>
            <w:r>
              <w:t>Bygningskomponenter og -materialer som brukes under oppføringen, og som kan komme i kontakt med beboere(</w:t>
            </w:r>
            <w:bookmarkStart w:id="206" w:name="NOTE_208"/>
            <w:r>
              <w:rPr>
                <w:rStyle w:val="FootnoteReference"/>
                <w:sz w:val="18"/>
              </w:rPr>
              <w:footnoteReference w:id="209"/>
            </w:r>
            <w:bookmarkEnd w:id="206"/>
            <w:r>
              <w:t>), avgir mindre enn 0,06 mg formaldehyd per m</w:t>
            </w:r>
            <w:r>
              <w:rPr>
                <w:vertAlign w:val="superscript"/>
              </w:rPr>
              <w:t>3</w:t>
            </w:r>
            <w:r>
              <w:t xml:space="preserve"> luft i prøvingskammeret ved prøving i samsvar med vilkårene angitt i vedlegg XVII til forordning (EF) nr. 1907/2006 og mindre enn 0,001 mg av andre </w:t>
            </w:r>
            <w:proofErr w:type="spellStart"/>
            <w:r>
              <w:t>kreftframkallende</w:t>
            </w:r>
            <w:proofErr w:type="spellEnd"/>
            <w:r>
              <w:t xml:space="preserve"> flyktige organiske forbindelser i kategori 1A og 1B per m</w:t>
            </w:r>
            <w:r>
              <w:rPr>
                <w:vertAlign w:val="superscript"/>
              </w:rPr>
              <w:t>3</w:t>
            </w:r>
            <w:r>
              <w:t xml:space="preserve"> luft i prøvingskammeret ved prøving i samsvar med CEN/EN 16516(</w:t>
            </w:r>
            <w:bookmarkStart w:id="207" w:name="NOTE_209"/>
            <w:r>
              <w:rPr>
                <w:rStyle w:val="FootnoteReference"/>
                <w:sz w:val="18"/>
              </w:rPr>
              <w:footnoteReference w:id="210"/>
            </w:r>
            <w:bookmarkEnd w:id="207"/>
            <w:r>
              <w:t>) eller ISO 16000-3:2011(</w:t>
            </w:r>
            <w:bookmarkStart w:id="208" w:name="NOTE_210"/>
            <w:r>
              <w:rPr>
                <w:rStyle w:val="FootnoteReference"/>
                <w:sz w:val="18"/>
              </w:rPr>
              <w:footnoteReference w:id="211"/>
            </w:r>
            <w:bookmarkEnd w:id="208"/>
            <w:r>
              <w:t>) eller andre tilsvarende standardiserte prøvingsforhold og bestemmelsesmetoder(</w:t>
            </w:r>
            <w:bookmarkStart w:id="209" w:name="NOTE_211"/>
            <w:r>
              <w:rPr>
                <w:rStyle w:val="FootnoteReference"/>
                <w:sz w:val="18"/>
              </w:rPr>
              <w:footnoteReference w:id="212"/>
            </w:r>
            <w:bookmarkEnd w:id="209"/>
            <w:r>
              <w:t>).</w:t>
            </w:r>
          </w:p>
          <w:p w14:paraId="0DB0B156" w14:textId="2B4F8C1B" w:rsidR="006561BA" w:rsidRDefault="005B4ED6">
            <w:pPr>
              <w:pStyle w:val="AnnexTableCellLeft"/>
              <w:spacing w:after="120"/>
            </w:pPr>
            <w:r>
              <w:t>Dersom nybygget befinner seg på et potensielt forurenset område (eksisterende industriareal), har området vært gjenstand for en undersøkelse for potensielle forurensninger, for eksempel ved bruk av standard ISO 18400.</w:t>
            </w:r>
          </w:p>
          <w:p w14:paraId="4E8FE717" w14:textId="77777777" w:rsidR="006561BA" w:rsidRDefault="005B4ED6">
            <w:pPr>
              <w:pStyle w:val="AnnexTableCellLeft"/>
              <w:spacing w:after="120"/>
            </w:pPr>
            <w:r>
              <w:t>Det treffes tiltak for å redusere utslipp av støy, vibrasjoner, støv og forurensende stoffer under bygge- og vedlikeholdsarbeider.</w:t>
            </w:r>
          </w:p>
          <w:p w14:paraId="01A135B3" w14:textId="77777777" w:rsidR="006561BA" w:rsidRDefault="005B4ED6">
            <w:pPr>
              <w:pStyle w:val="AnnexTableCellLeft"/>
            </w:pPr>
            <w:r>
              <w:t>Når det er hensiktsmessig, på grunn av sårbarheten i det berørte området, særlig når det gjelder størrelsen på den befolkningen og det dyrelivet som berøres, reduseres støy og vibrasjoner fra bygging, bruk og vedlikehold av infrastruktur ved hjelp av støyplanlegging, idet det innføres åpne grøfter, murer eller andre hensiktsmessige tiltak som er i samsvar med europaparlaments- og rådsdirektiv 2002/49/EF(</w:t>
            </w:r>
            <w:bookmarkStart w:id="210" w:name="NOTE_212"/>
            <w:r>
              <w:rPr>
                <w:rStyle w:val="FootnoteReference"/>
                <w:sz w:val="18"/>
              </w:rPr>
              <w:footnoteReference w:id="213"/>
            </w:r>
            <w:bookmarkEnd w:id="210"/>
            <w:r>
              <w:t>).</w:t>
            </w:r>
          </w:p>
        </w:tc>
      </w:tr>
      <w:tr w:rsidR="006561BA" w14:paraId="7D1ADD18" w14:textId="77777777">
        <w:tc>
          <w:tcPr>
            <w:tcW w:w="2508" w:type="dxa"/>
            <w:tcMar>
              <w:top w:w="200" w:type="dxa"/>
              <w:left w:w="0" w:type="dxa"/>
              <w:bottom w:w="200" w:type="dxa"/>
            </w:tcMar>
          </w:tcPr>
          <w:p w14:paraId="2DF68752" w14:textId="77777777" w:rsidR="006561BA" w:rsidRDefault="005B4ED6">
            <w:pPr>
              <w:pStyle w:val="AnnexNumberedText"/>
              <w:ind w:left="293" w:hanging="293"/>
            </w:pPr>
            <w:r>
              <w:t>6)</w:t>
            </w:r>
            <w:r>
              <w:tab/>
              <w:t>Beskyttelse og restaurering av biologisk mangfold og økosystemer</w:t>
            </w:r>
          </w:p>
        </w:tc>
        <w:tc>
          <w:tcPr>
            <w:tcW w:w="6720" w:type="dxa"/>
            <w:tcMar>
              <w:top w:w="200" w:type="dxa"/>
              <w:bottom w:w="200" w:type="dxa"/>
              <w:right w:w="0" w:type="dxa"/>
            </w:tcMar>
          </w:tcPr>
          <w:p w14:paraId="65B22705" w14:textId="77777777" w:rsidR="006561BA" w:rsidRDefault="005B4ED6">
            <w:pPr>
              <w:pStyle w:val="AnnexTableCellLeft"/>
              <w:spacing w:after="120"/>
            </w:pPr>
            <w:r>
              <w:t>Aktiviteten oppfyller kriteriene fastsatt i tillegg D til dette vedlegget.</w:t>
            </w:r>
          </w:p>
          <w:p w14:paraId="7E8FE549" w14:textId="77777777" w:rsidR="006561BA" w:rsidRDefault="005B4ED6">
            <w:pPr>
              <w:pStyle w:val="AnnexTableCellLeft"/>
              <w:spacing w:after="120"/>
            </w:pPr>
            <w:r>
              <w:t>Dessuten kreves følgende:</w:t>
            </w:r>
          </w:p>
          <w:p w14:paraId="715C0A6B" w14:textId="77777777" w:rsidR="006561BA" w:rsidRDefault="005B4ED6">
            <w:pPr>
              <w:pStyle w:val="AnnexNumberedText"/>
              <w:ind w:left="293" w:hanging="293"/>
            </w:pPr>
            <w:r>
              <w:t>a)</w:t>
            </w:r>
            <w:r>
              <w:tab/>
              <w:t>I EU, når det gjelder Natura 2000-områder: Aktiviteten har ingen vesentlig innvirkning på Natura 2000-områder med tanke på deres bevaringsmål på grunnlag av en hensiktsmessig vurdering foretatt i samsvar med artikkel 6 nr. 3 i direktiv 92/43/EØF.</w:t>
            </w:r>
          </w:p>
          <w:p w14:paraId="73089019" w14:textId="77777777" w:rsidR="006561BA" w:rsidRDefault="005B4ED6">
            <w:pPr>
              <w:pStyle w:val="AnnexNumberedText"/>
              <w:ind w:left="293" w:hanging="293"/>
            </w:pPr>
            <w:r>
              <w:t>b)</w:t>
            </w:r>
            <w:r>
              <w:tab/>
              <w:t>I EU, i alle områder: Aktiviteten er ikke til skade for gjenoppretting eller opprettholdelse av en gunstig bevaringsstatus for de populasjonene av arter som er beskyttet i henhold til direktiv 92/43/EØF og direktiv 2009/147/EF. Aktiviteten er heller ikke til skade for gjenoppretting eller opprettholdelse av en gunstig bevaringsstatus for de aktuelle habitattypene som er beskyttet i henhold til direktiv 92/43/EØF.</w:t>
            </w:r>
          </w:p>
          <w:p w14:paraId="2A8CF835" w14:textId="77777777" w:rsidR="006561BA" w:rsidRDefault="005B4ED6">
            <w:pPr>
              <w:pStyle w:val="AnnexNumberedText"/>
              <w:spacing w:after="0"/>
              <w:ind w:left="293" w:hanging="293"/>
            </w:pPr>
            <w:r>
              <w:t>c)</w:t>
            </w:r>
            <w:r>
              <w:tab/>
              <w:t>Utenfor EU utøves aktivitetene i samsvar med gjeldende rett knyttet til bevaring av habitater og arter.</w:t>
            </w:r>
          </w:p>
        </w:tc>
      </w:tr>
    </w:tbl>
    <w:p w14:paraId="0AA0EBBE" w14:textId="77777777" w:rsidR="006561BA" w:rsidRDefault="005B4ED6">
      <w:pPr>
        <w:shd w:val="clear" w:color="auto" w:fill="auto"/>
        <w:spacing w:line="0" w:lineRule="auto"/>
        <w:jc w:val="left"/>
        <w:rPr>
          <w:color w:val="auto"/>
          <w14:ligatures w14:val="standard"/>
        </w:rPr>
      </w:pPr>
      <w:r>
        <w:br w:type="page"/>
      </w:r>
    </w:p>
    <w:p w14:paraId="5A807B9D" w14:textId="77777777" w:rsidR="006561BA" w:rsidRDefault="005B4ED6">
      <w:pPr>
        <w:pStyle w:val="AnnexNumberedText"/>
        <w:ind w:left="414" w:hanging="414"/>
      </w:pPr>
      <w:r>
        <w:lastRenderedPageBreak/>
        <w:t>4.</w:t>
      </w:r>
      <w:r>
        <w:rPr>
          <w:b/>
          <w:i/>
        </w:rPr>
        <w:tab/>
        <w:t>Informasjon og kommunikasjon</w:t>
      </w:r>
    </w:p>
    <w:p w14:paraId="0E131A98" w14:textId="77777777" w:rsidR="006561BA" w:rsidRDefault="005B4ED6">
      <w:pPr>
        <w:pStyle w:val="AnnexNumberedText"/>
        <w:spacing w:after="200"/>
        <w:ind w:left="414" w:hanging="414"/>
      </w:pPr>
      <w:r>
        <w:t>4.1.</w:t>
      </w:r>
      <w:r>
        <w:rPr>
          <w:b/>
        </w:rPr>
        <w:tab/>
        <w:t>Levering av datadrevne IT-/OT-løsninger</w:t>
      </w:r>
    </w:p>
    <w:p w14:paraId="0DEFE38E" w14:textId="77777777" w:rsidR="006561BA" w:rsidRDefault="005B4ED6">
      <w:pPr>
        <w:pStyle w:val="AnnexGrSeq3"/>
        <w:jc w:val="both"/>
      </w:pPr>
      <w:r>
        <w:rPr>
          <w:i/>
        </w:rPr>
        <w:t>Beskrivelse av aktiviteten</w:t>
      </w:r>
    </w:p>
    <w:p w14:paraId="46F98A1D" w14:textId="77777777" w:rsidR="006561BA" w:rsidRDefault="005B4ED6">
      <w:pPr>
        <w:pStyle w:val="AnnexNormal"/>
      </w:pPr>
      <w:r>
        <w:t>Aktiviteten innebærer produksjon, utvikling, installering, gjennomføring, vedlikehold, reparasjon eller levering av profesjonelle tjenester, herunder teknisk rådgivning i forbindelse med utforming eller overvåking av</w:t>
      </w:r>
    </w:p>
    <w:p w14:paraId="6E3457F8" w14:textId="77777777" w:rsidR="006561BA" w:rsidRDefault="005B4ED6">
      <w:pPr>
        <w:pStyle w:val="AnnexNumberedText"/>
        <w:spacing w:after="200"/>
        <w:ind w:left="293" w:hanging="293"/>
      </w:pPr>
      <w:r>
        <w:t>a)</w:t>
      </w:r>
      <w:r>
        <w:tab/>
        <w:t>programvare-(</w:t>
      </w:r>
      <w:bookmarkStart w:id="211" w:name="NOTE_213"/>
      <w:r>
        <w:rPr>
          <w:rStyle w:val="FootnoteReference"/>
          <w:sz w:val="18"/>
        </w:rPr>
        <w:footnoteReference w:id="214"/>
      </w:r>
      <w:bookmarkEnd w:id="211"/>
      <w:r>
        <w:t>) og informasjonsteknologisystemer (IT) eller operative teknologisystemer (OT)(</w:t>
      </w:r>
      <w:bookmarkStart w:id="212" w:name="NOTE_214"/>
      <w:r>
        <w:rPr>
          <w:rStyle w:val="FootnoteReference"/>
          <w:sz w:val="18"/>
        </w:rPr>
        <w:footnoteReference w:id="215"/>
      </w:r>
      <w:bookmarkEnd w:id="212"/>
      <w:r>
        <w:t>), herunder løsninger basert på kunstig intelligens (KI), som for eksempel til automatisert maskinlæring, som er utviklet med henblikk på fjernovervåking og forebyggende vedlikehold, herunder systemer for</w:t>
      </w:r>
    </w:p>
    <w:p w14:paraId="691FB256" w14:textId="77777777" w:rsidR="006561BA" w:rsidRDefault="005B4ED6">
      <w:pPr>
        <w:pStyle w:val="AnnexNumberedText"/>
        <w:spacing w:after="200"/>
        <w:ind w:left="647" w:hanging="353"/>
      </w:pPr>
      <w:r>
        <w:t>i)</w:t>
      </w:r>
      <w:r>
        <w:tab/>
        <w:t>fjerninnsamling, behandling, overføring og lagring av data fra utstyr, produkter eller infrastruktur når de er i bruk eller drift,</w:t>
      </w:r>
    </w:p>
    <w:p w14:paraId="00098728" w14:textId="77777777" w:rsidR="006561BA" w:rsidRDefault="005B4ED6">
      <w:pPr>
        <w:pStyle w:val="AnnexNumberedText"/>
        <w:spacing w:after="200"/>
        <w:ind w:left="647" w:hanging="353"/>
      </w:pPr>
      <w:r>
        <w:t>ii)</w:t>
      </w:r>
      <w:r>
        <w:tab/>
        <w:t xml:space="preserve">analyse av dataene og generering av innsikt om utstyrets, produktets eller infrastrukturens </w:t>
      </w:r>
      <w:proofErr w:type="spellStart"/>
      <w:r>
        <w:t>driftsytelse</w:t>
      </w:r>
      <w:proofErr w:type="spellEnd"/>
      <w:r>
        <w:t xml:space="preserve"> og tilstand,</w:t>
      </w:r>
    </w:p>
    <w:p w14:paraId="0892AAF4" w14:textId="77777777" w:rsidR="006561BA" w:rsidRDefault="005B4ED6">
      <w:pPr>
        <w:pStyle w:val="AnnexNumberedText"/>
        <w:spacing w:after="200"/>
        <w:ind w:left="647" w:hanging="353"/>
      </w:pPr>
      <w:r>
        <w:t>iii)</w:t>
      </w:r>
      <w:r>
        <w:tab/>
        <w:t>levering av fjernvedlikehold og anbefalinger om tiltak som kreves for å unngå driftsavbrudd og opprettholde utstyret, produktet eller infrastrukturen i en optimal driftstilstand, og forlenge deres levetid samt redusere ressursbruk og avfall,</w:t>
      </w:r>
    </w:p>
    <w:p w14:paraId="7DB50690" w14:textId="77777777" w:rsidR="006561BA" w:rsidRDefault="005B4ED6">
      <w:pPr>
        <w:pStyle w:val="AnnexNumberedText"/>
        <w:spacing w:after="200"/>
        <w:ind w:left="293" w:hanging="293"/>
      </w:pPr>
      <w:r>
        <w:t>b)</w:t>
      </w:r>
      <w:r>
        <w:tab/>
        <w:t xml:space="preserve">programvare for sporing og IT- eller OT-systemer som er bygget med henblikk på identifisering, sporing av materialer, produkter og eiendeler gjennom deres respektive verdikjeder (herunder digitalt materiale og produktpass) der det fremste målet er å støtte </w:t>
      </w:r>
      <w:proofErr w:type="spellStart"/>
      <w:r>
        <w:t>sirkulariteten</w:t>
      </w:r>
      <w:proofErr w:type="spellEnd"/>
      <w:r>
        <w:t xml:space="preserve"> hos materialstrømmer og produkter eller andre mål som er fastsatt i forordning (EU) 2020/852,</w:t>
      </w:r>
    </w:p>
    <w:p w14:paraId="24C9CB74" w14:textId="77777777" w:rsidR="006561BA" w:rsidRDefault="005B4ED6">
      <w:pPr>
        <w:pStyle w:val="AnnexNumberedText"/>
        <w:spacing w:after="200"/>
        <w:ind w:left="293" w:hanging="293"/>
      </w:pPr>
      <w:r>
        <w:t>c)</w:t>
      </w:r>
      <w:r>
        <w:tab/>
        <w:t>programvare for livsløpsvurdering som støtter livsløpsvurderingen og tilhørende rapportering for produkter, utstyr eller infrastruktur,</w:t>
      </w:r>
    </w:p>
    <w:p w14:paraId="6C8EDC42" w14:textId="77777777" w:rsidR="006561BA" w:rsidRDefault="005B4ED6">
      <w:pPr>
        <w:pStyle w:val="AnnexNumberedText"/>
        <w:spacing w:after="200"/>
        <w:ind w:left="293" w:hanging="293"/>
      </w:pPr>
      <w:r>
        <w:t>d)</w:t>
      </w:r>
      <w:r>
        <w:tab/>
        <w:t>programvare for konstruksjon og teknikk som støtter miljøvennlig utforming av produkter, utstyr og infrastruktur, herunder avfallshåndtering og ressurseffektivitet,</w:t>
      </w:r>
    </w:p>
    <w:p w14:paraId="3FA4B5E1" w14:textId="77777777" w:rsidR="006561BA" w:rsidRDefault="005B4ED6">
      <w:pPr>
        <w:pStyle w:val="AnnexNumberedText"/>
        <w:spacing w:after="200"/>
        <w:ind w:left="293" w:hanging="293"/>
      </w:pPr>
      <w:r>
        <w:t>e)</w:t>
      </w:r>
      <w:r>
        <w:tab/>
        <w:t>programvare for leverandørhåndtering som støtter grønne innkjøp av materialer, produkter og tjenester med liten miljøvirkning, men som utelukker drift av markedsplasser som støtter handel med slike varer,</w:t>
      </w:r>
    </w:p>
    <w:p w14:paraId="2CE253C7" w14:textId="77777777" w:rsidR="006561BA" w:rsidRDefault="005B4ED6">
      <w:pPr>
        <w:pStyle w:val="AnnexNumberedText"/>
        <w:spacing w:after="200"/>
        <w:ind w:left="293" w:hanging="293"/>
      </w:pPr>
      <w:r>
        <w:t>f)</w:t>
      </w:r>
      <w:r>
        <w:tab/>
        <w:t xml:space="preserve">programvare for håndtering av yteevne i hele livsløpet som støtter overvåking og vurdering av produkters, utstyrs eller infrastrukturers yteevne med hensyn til </w:t>
      </w:r>
      <w:proofErr w:type="spellStart"/>
      <w:r>
        <w:t>sirkularitet</w:t>
      </w:r>
      <w:proofErr w:type="spellEnd"/>
      <w:r>
        <w:t>.</w:t>
      </w:r>
    </w:p>
    <w:p w14:paraId="01B4C75F" w14:textId="5282A538" w:rsidR="006561BA" w:rsidRDefault="005B4ED6">
      <w:pPr>
        <w:pStyle w:val="AnnexNormal"/>
      </w:pPr>
      <w:r>
        <w:t>De økonomiske aktivitetene i denne kategorien kan knyttes til flere NACE-koder, særlig C26, C27, J58.29, J61, J62 og J63.1</w:t>
      </w:r>
      <w:r w:rsidR="00700296">
        <w:t>,</w:t>
      </w:r>
      <w:r>
        <w:t xml:space="preserve"> i samsvar med standarden for næringsgruppering fastsatt ved forordning (EF) nr. 1893/2006.</w:t>
      </w:r>
    </w:p>
    <w:p w14:paraId="0F514555" w14:textId="77777777" w:rsidR="006561BA" w:rsidRDefault="005B4ED6">
      <w:pPr>
        <w:pStyle w:val="AnnexNormal"/>
        <w:spacing w:after="0"/>
      </w:pPr>
      <w:r>
        <w:t>En økonomisk aktivitet i denne kategorien er en muliggjørende aktivitet i samsvar med artikkel 13 nr. 1 bokstav l) i forordning (EU) 2020/852 dersom den oppfyller de tekniske screeningkriteriene fastsatt i dette avsnittet.</w:t>
      </w:r>
      <w:r>
        <w:br w:type="page"/>
      </w:r>
    </w:p>
    <w:p w14:paraId="3BDD7BBD" w14:textId="77777777" w:rsidR="006561BA" w:rsidRDefault="005B4ED6">
      <w:pPr>
        <w:pStyle w:val="AnnexGrSeq3"/>
        <w:spacing w:after="300"/>
        <w:jc w:val="both"/>
      </w:pPr>
      <w:r>
        <w:rPr>
          <w:i/>
        </w:rPr>
        <w:lastRenderedPageBreak/>
        <w:t>Tekniske screeningkriterier</w:t>
      </w:r>
    </w:p>
    <w:tbl>
      <w:tblPr>
        <w:tblStyle w:val="EFTATable"/>
        <w:tblW w:w="9228" w:type="dxa"/>
        <w:tblInd w:w="12" w:type="dxa"/>
        <w:tblLayout w:type="fixed"/>
        <w:tblLook w:val="04A0" w:firstRow="1" w:lastRow="0" w:firstColumn="1" w:lastColumn="0" w:noHBand="0" w:noVBand="1"/>
      </w:tblPr>
      <w:tblGrid>
        <w:gridCol w:w="2496"/>
        <w:gridCol w:w="6732"/>
      </w:tblGrid>
      <w:tr w:rsidR="006561BA" w14:paraId="5DF5BED2" w14:textId="77777777">
        <w:trPr>
          <w:trHeight w:val="240"/>
        </w:trPr>
        <w:tc>
          <w:tcPr>
            <w:tcW w:w="9228" w:type="dxa"/>
            <w:gridSpan w:val="2"/>
            <w:tcMar>
              <w:top w:w="200" w:type="dxa"/>
              <w:left w:w="0" w:type="dxa"/>
              <w:bottom w:w="200" w:type="dxa"/>
              <w:right w:w="0" w:type="dxa"/>
            </w:tcMar>
          </w:tcPr>
          <w:p w14:paraId="3AE0D26F" w14:textId="77777777" w:rsidR="006561BA" w:rsidRDefault="005B4ED6">
            <w:pPr>
              <w:pStyle w:val="AnnexTableCellLeft"/>
            </w:pPr>
            <w:r>
              <w:t>Vesentlig bidrag til omstilling til en sirkulær økonomi</w:t>
            </w:r>
          </w:p>
        </w:tc>
      </w:tr>
      <w:tr w:rsidR="006561BA" w14:paraId="2F6FDD36" w14:textId="77777777">
        <w:trPr>
          <w:trHeight w:val="360"/>
        </w:trPr>
        <w:tc>
          <w:tcPr>
            <w:tcW w:w="9228" w:type="dxa"/>
            <w:gridSpan w:val="2"/>
            <w:tcMar>
              <w:top w:w="200" w:type="dxa"/>
              <w:left w:w="0" w:type="dxa"/>
              <w:bottom w:w="200" w:type="dxa"/>
              <w:right w:w="0" w:type="dxa"/>
            </w:tcMar>
          </w:tcPr>
          <w:p w14:paraId="37A6579B" w14:textId="7A180B61" w:rsidR="006561BA" w:rsidRDefault="005B4ED6">
            <w:pPr>
              <w:pStyle w:val="AnnexNumberedText"/>
              <w:tabs>
                <w:tab w:val="left" w:pos="276"/>
              </w:tabs>
              <w:ind w:left="0" w:firstLine="0"/>
            </w:pPr>
            <w:r>
              <w:t>1.</w:t>
            </w:r>
            <w:r>
              <w:tab/>
              <w:t>Den økonomiske aktiviteten innebærer produksjon, utvikling, installering, gjennomføring, vedlikehold, reparasjon eller levering av profesjonelle tjenester, herunder teknisk rådgivning i forbindelse med utforming eller overvåking, til en eller flere av følgende datadrevne IT-/OT-løsninger som leverer den kapasiteten som er oppført på listen nedenfor</w:t>
            </w:r>
            <w:r w:rsidR="00A82B56">
              <w:t>.</w:t>
            </w:r>
            <w:r>
              <w:t xml:space="preserve"> Slike datadrevne IT-/OT-løsninger omfatter sensorer (som for eksempel strøm, temperatur, vibrasjon, video, lyd, viskositet), datainnsamlings- og kommunikasjonsutstyr, databaser (Edge eller </w:t>
            </w:r>
            <w:proofErr w:type="spellStart"/>
            <w:r>
              <w:t>Cloud</w:t>
            </w:r>
            <w:proofErr w:type="spellEnd"/>
            <w:r>
              <w:t>) og programvare. Dersom disse funksjonene er en del av et bredere programvare- eller IT-/OT-tilbud, er det bare spesifikke programvaretillegg som gjennomfører disse funksjonene, som kan komme i betraktning.</w:t>
            </w:r>
          </w:p>
          <w:p w14:paraId="037B9C92" w14:textId="77777777" w:rsidR="006561BA" w:rsidRDefault="005B4ED6">
            <w:pPr>
              <w:pStyle w:val="AnnexNumberedText"/>
              <w:tabs>
                <w:tab w:val="left" w:pos="276"/>
              </w:tabs>
              <w:ind w:left="0" w:firstLine="0"/>
            </w:pPr>
            <w:r>
              <w:t>2.</w:t>
            </w:r>
            <w:r>
              <w:tab/>
              <w:t>For fjernovervåkingssystemer og forebyggende vedlikeholdssystemer oppfylles minst to av følgende funksjoner spesifisert i bokstav a)–d) fullt og helt:</w:t>
            </w:r>
          </w:p>
          <w:p w14:paraId="3832368D" w14:textId="517C3D0D" w:rsidR="006561BA" w:rsidRDefault="005B4ED6">
            <w:pPr>
              <w:pStyle w:val="AnnexNumberedText"/>
              <w:ind w:left="293" w:hanging="293"/>
            </w:pPr>
            <w:r>
              <w:t>a)</w:t>
            </w:r>
            <w:r>
              <w:tab/>
              <w:t>Varsle brukeren om unormale sensorverdier og vurdere statusen til produktet, utstyret eller infrastrukturen, oppdage slitasje eller elektriske problemer og trekke konklusjoner om unormale driftsforholds eksakte karakter ved hjelp av avanserte analysemetoder.</w:t>
            </w:r>
          </w:p>
          <w:p w14:paraId="79638AD2" w14:textId="77777777" w:rsidR="006561BA" w:rsidRDefault="005B4ED6">
            <w:pPr>
              <w:pStyle w:val="AnnexNumberedText"/>
              <w:ind w:left="293" w:hanging="293"/>
            </w:pPr>
            <w:r>
              <w:t>b)</w:t>
            </w:r>
            <w:r>
              <w:tab/>
              <w:t>Forutsi den forventede gjenværende levetiden til et produkt, utstyr eller infrastruktur og anbefale tiltak for å forlenge den gjenværende levetiden.</w:t>
            </w:r>
          </w:p>
          <w:p w14:paraId="7AD1A50E" w14:textId="77777777" w:rsidR="006561BA" w:rsidRDefault="005B4ED6">
            <w:pPr>
              <w:pStyle w:val="AnnexNumberedText"/>
              <w:ind w:left="293" w:hanging="293"/>
            </w:pPr>
            <w:r>
              <w:t>c)</w:t>
            </w:r>
            <w:r>
              <w:tab/>
              <w:t>Forutsi en kommende feil på et produkt, utstyr eller infrastruktur og anbefale tiltak for å forhindre en slik svikt.</w:t>
            </w:r>
          </w:p>
          <w:p w14:paraId="57B5F336" w14:textId="77777777" w:rsidR="006561BA" w:rsidRDefault="005B4ED6">
            <w:pPr>
              <w:pStyle w:val="AnnexNumberedText"/>
              <w:ind w:left="293" w:hanging="293"/>
            </w:pPr>
            <w:r>
              <w:t>d)</w:t>
            </w:r>
            <w:r>
              <w:tab/>
              <w:t xml:space="preserve">Gi anbefalinger om neste brukssyklus med høyeste verdi, som for eksempel ombruk, gjenvinning av komponenter gjennom innsamling av deler med henblikk på </w:t>
            </w:r>
            <w:proofErr w:type="spellStart"/>
            <w:r>
              <w:t>refabrikasjon</w:t>
            </w:r>
            <w:proofErr w:type="spellEnd"/>
            <w:r>
              <w:t xml:space="preserve"> eller materialgjenvinning, idet det tas hensyn til en kombinasjon av faktorer med hensyn til produktets tilstand.</w:t>
            </w:r>
          </w:p>
          <w:p w14:paraId="7A403275" w14:textId="77777777" w:rsidR="006561BA" w:rsidRDefault="005B4ED6">
            <w:pPr>
              <w:pStyle w:val="AnnexTableCellLeft"/>
              <w:spacing w:after="120"/>
            </w:pPr>
            <w:r>
              <w:t>IT-/OT-systemer som brukes til i) overvåking med henblikk på utskifting av forbruksvarer(</w:t>
            </w:r>
            <w:bookmarkStart w:id="213" w:name="NOTE_215"/>
            <w:r>
              <w:rPr>
                <w:rStyle w:val="FootnoteReference"/>
                <w:sz w:val="18"/>
              </w:rPr>
              <w:footnoteReference w:id="216"/>
            </w:r>
            <w:bookmarkEnd w:id="213"/>
            <w:r>
              <w:t xml:space="preserve">), som for eksempel blekk til skriver, ii) fjernovervåking og fjernvedlikehold av kraftverk som er mer klimagassintensive enn 100 </w:t>
            </w:r>
            <w:proofErr w:type="spellStart"/>
            <w:r>
              <w:t>gCO</w:t>
            </w:r>
            <w:proofErr w:type="spellEnd"/>
            <w:r>
              <w:rPr>
                <w:vertAlign w:val="subscript"/>
              </w:rPr>
              <w:t xml:space="preserve"> 2</w:t>
            </w:r>
            <w:r>
              <w:t>e/kWh, eller iii) overvåking og fjernstyring av alle typer motorer som bruker fossile brensler, kan ikke komme i betraktning.</w:t>
            </w:r>
          </w:p>
          <w:p w14:paraId="0BDCBC86" w14:textId="77777777" w:rsidR="006561BA" w:rsidRDefault="005B4ED6">
            <w:pPr>
              <w:pStyle w:val="AnnexNumberedText"/>
              <w:tabs>
                <w:tab w:val="left" w:pos="276"/>
              </w:tabs>
              <w:ind w:left="0" w:firstLine="0"/>
            </w:pPr>
            <w:r>
              <w:t>3.</w:t>
            </w:r>
            <w:r>
              <w:tab/>
              <w:t>For programvare for sporing og IT-/OT-systemer oppfylles minst én av følgende funksjoner spesifisert i bokstav a)–d) fullt og helt:</w:t>
            </w:r>
          </w:p>
          <w:p w14:paraId="2E392AA3" w14:textId="77777777" w:rsidR="006561BA" w:rsidRDefault="005B4ED6">
            <w:pPr>
              <w:pStyle w:val="AnnexNumberedText"/>
              <w:ind w:left="293" w:hanging="293"/>
            </w:pPr>
            <w:r>
              <w:t>a)</w:t>
            </w:r>
            <w:r>
              <w:tab/>
              <w:t>Identifisering, sporing av materialer, produkter og eiendeler gjennom verdikjeder for å gjøre strukturerte data tilgjengelige (som for eksempel materialinnhold, stoffer, miljøinformasjon) som kreves for livsløpsvurderinger eller materialdeklarasjoner i henhold til relevante standarder, som for eksempel rekommandasjon (EU) 2021/2279, ISO 14067:2018(</w:t>
            </w:r>
            <w:bookmarkStart w:id="214" w:name="NOTE_216"/>
            <w:r>
              <w:rPr>
                <w:rStyle w:val="FootnoteReference"/>
                <w:sz w:val="18"/>
              </w:rPr>
              <w:footnoteReference w:id="217"/>
            </w:r>
            <w:bookmarkEnd w:id="214"/>
            <w:r>
              <w:t>) eller ISO 14040:2006(</w:t>
            </w:r>
            <w:bookmarkStart w:id="215" w:name="NOTE_217"/>
            <w:r>
              <w:rPr>
                <w:rStyle w:val="FootnoteReference"/>
                <w:sz w:val="18"/>
              </w:rPr>
              <w:footnoteReference w:id="218"/>
            </w:r>
            <w:bookmarkEnd w:id="215"/>
            <w:r>
              <w:t>), samt deling av slike data med verdikjedepartnere, forbrukere og andre markedsdeltakere i samsvar med relevante standarder om datamodellering, interoperabilitet, datavern og datasikkerhet.</w:t>
            </w:r>
          </w:p>
          <w:p w14:paraId="62256D67" w14:textId="77777777" w:rsidR="006561BA" w:rsidRDefault="005B4ED6">
            <w:pPr>
              <w:pStyle w:val="AnnexNumberedText"/>
              <w:ind w:left="293" w:hanging="293"/>
            </w:pPr>
            <w:r>
              <w:t>b)</w:t>
            </w:r>
            <w:r>
              <w:tab/>
              <w:t xml:space="preserve">Levering og deling av dokumenter og data som direkte støtter reparasjon og vedlikehold av produkter og utstyr, som for eksempel reparasjonsinstrukser, prøvingsutstyr, kablings- og </w:t>
            </w:r>
            <w:proofErr w:type="spellStart"/>
            <w:r>
              <w:t>koplingsskjemaer</w:t>
            </w:r>
            <w:proofErr w:type="spellEnd"/>
            <w:r>
              <w:t>, diagnostiske feilkoder og demonteringsinstrukser.</w:t>
            </w:r>
          </w:p>
          <w:p w14:paraId="50E2FF7A" w14:textId="77777777" w:rsidR="006561BA" w:rsidRDefault="005B4ED6">
            <w:pPr>
              <w:pStyle w:val="AnnexNumberedText"/>
              <w:spacing w:after="0"/>
              <w:ind w:left="293" w:hanging="293"/>
            </w:pPr>
            <w:r>
              <w:t>c)</w:t>
            </w:r>
            <w:r>
              <w:tab/>
              <w:t xml:space="preserve">Støtte omvendt logistikk, herunder retur av produkter med henblikk på </w:t>
            </w:r>
            <w:proofErr w:type="spellStart"/>
            <w:r>
              <w:t>refabrikasjon</w:t>
            </w:r>
            <w:proofErr w:type="spellEnd"/>
            <w:r>
              <w:t>, renovering eller materialgjenvinning, ved å styre trinn og transaksjoner i returprosessen, som for eksempel henting av ordre, sporing av salgstransaksjoner, nedbryting av produkter i materialer som skal tilbakeføres i sirkulære materialstrømmer, samt ved å optimalisere beslutninger for å forhindre nedbryting og maksimere ressursgjenvinningen. Digitale produktpass som oppfyller minstekravene i unionsretten, anses ikke å være taksonomiforenlige.</w:t>
            </w:r>
          </w:p>
        </w:tc>
      </w:tr>
      <w:tr w:rsidR="006561BA" w14:paraId="088E44FB" w14:textId="77777777">
        <w:trPr>
          <w:trHeight w:val="360"/>
        </w:trPr>
        <w:tc>
          <w:tcPr>
            <w:tcW w:w="9228" w:type="dxa"/>
            <w:gridSpan w:val="2"/>
            <w:tcMar>
              <w:top w:w="200" w:type="dxa"/>
              <w:left w:w="0" w:type="dxa"/>
              <w:bottom w:w="200" w:type="dxa"/>
              <w:right w:w="0" w:type="dxa"/>
            </w:tcMar>
          </w:tcPr>
          <w:p w14:paraId="71863E0D" w14:textId="77777777" w:rsidR="006561BA" w:rsidRDefault="005B4ED6">
            <w:pPr>
              <w:pStyle w:val="AnnexNumberedText"/>
              <w:pageBreakBefore/>
            </w:pPr>
            <w:r>
              <w:lastRenderedPageBreak/>
              <w:t>d)</w:t>
            </w:r>
            <w:r>
              <w:tab/>
              <w:t>Støtte optimalisering og intensivering av bruken av produkter gjennom sirkulære forretningsmodeller som levering av produkter som en tjeneste eller kunnskapsdeling.</w:t>
            </w:r>
          </w:p>
          <w:p w14:paraId="460765F8" w14:textId="77777777" w:rsidR="006561BA" w:rsidRDefault="005B4ED6">
            <w:pPr>
              <w:pStyle w:val="AnnexNumberedText"/>
              <w:tabs>
                <w:tab w:val="left" w:pos="276"/>
              </w:tabs>
              <w:ind w:left="0" w:firstLine="0"/>
            </w:pPr>
            <w:r>
              <w:t>4.</w:t>
            </w:r>
            <w:r>
              <w:tab/>
              <w:t>For programvare for livsløpsvurdering oppfylles minst én av følgende funksjoner spesifisert i bokstav a)–c) fullt og helt:</w:t>
            </w:r>
          </w:p>
          <w:p w14:paraId="24DFAEA4" w14:textId="77777777" w:rsidR="006561BA" w:rsidRDefault="005B4ED6">
            <w:pPr>
              <w:pStyle w:val="AnnexNumberedText"/>
              <w:ind w:left="293" w:hanging="293"/>
            </w:pPr>
            <w:r>
              <w:t>a)</w:t>
            </w:r>
            <w:r>
              <w:tab/>
              <w:t>Støtte livsløpsvurdering av produkter, utstyr eller infrastruktur med programvarebaserte metoder og algoritmer i henhold til relevante standarder som for eksempel rekommandasjon (EU) 2021/2279, ISO 14067:2018(</w:t>
            </w:r>
            <w:bookmarkStart w:id="216" w:name="NOTE_218"/>
            <w:r>
              <w:rPr>
                <w:rStyle w:val="FootnoteReference"/>
                <w:sz w:val="18"/>
              </w:rPr>
              <w:footnoteReference w:id="219"/>
            </w:r>
            <w:bookmarkEnd w:id="216"/>
            <w:r>
              <w:t>) eller ISO 14040:2006(</w:t>
            </w:r>
            <w:bookmarkStart w:id="217" w:name="NOTE_219"/>
            <w:r>
              <w:rPr>
                <w:rStyle w:val="FootnoteReference"/>
                <w:sz w:val="18"/>
              </w:rPr>
              <w:footnoteReference w:id="220"/>
            </w:r>
            <w:bookmarkEnd w:id="217"/>
            <w:r>
              <w:t>).</w:t>
            </w:r>
          </w:p>
          <w:p w14:paraId="343B915C" w14:textId="77777777" w:rsidR="006561BA" w:rsidRDefault="005B4ED6">
            <w:pPr>
              <w:pStyle w:val="AnnexNumberedText"/>
              <w:ind w:left="293" w:hanging="293"/>
            </w:pPr>
            <w:r>
              <w:t>b)</w:t>
            </w:r>
            <w:r>
              <w:tab/>
              <w:t>Legge fram de opplysningene som kreves for livsløpsanalyser, som for eksempel standardverdier for karbonutslipp og andre miljøvirkninger for produkter og materialer som brukes hyppig, eller produksjonstrinn.</w:t>
            </w:r>
          </w:p>
          <w:p w14:paraId="6C4450B5" w14:textId="77777777" w:rsidR="006561BA" w:rsidRDefault="005B4ED6">
            <w:pPr>
              <w:pStyle w:val="AnnexNumberedText"/>
              <w:ind w:left="293" w:hanging="293"/>
            </w:pPr>
            <w:r>
              <w:t>c)</w:t>
            </w:r>
            <w:r>
              <w:tab/>
              <w:t>Gi anbefalinger for å forbedre utformingen av et produkt, utstyr eller infrastruktur for å minimere deres material- og karbonavtrykk.</w:t>
            </w:r>
          </w:p>
          <w:p w14:paraId="13D92B3D" w14:textId="77777777" w:rsidR="006561BA" w:rsidRDefault="005B4ED6">
            <w:pPr>
              <w:pStyle w:val="AnnexNumberedText"/>
              <w:tabs>
                <w:tab w:val="left" w:pos="276"/>
              </w:tabs>
              <w:ind w:left="0" w:firstLine="0"/>
            </w:pPr>
            <w:r>
              <w:t>5.</w:t>
            </w:r>
            <w:r>
              <w:tab/>
              <w:t>For programvare for konstruksjon og teknikk oppfylles minst én av følgende funksjoner spesifisert i bokstav a)–e) fullt og helt:</w:t>
            </w:r>
          </w:p>
          <w:p w14:paraId="0D5C83D4" w14:textId="6B77DEB0" w:rsidR="006561BA" w:rsidRDefault="005B4ED6">
            <w:pPr>
              <w:pStyle w:val="AnnexNumberedText"/>
              <w:ind w:left="293" w:hanging="293"/>
            </w:pPr>
            <w:r>
              <w:t>a)</w:t>
            </w:r>
            <w:r>
              <w:tab/>
              <w:t xml:space="preserve">Støtte til brukere for å formulere, dokumentere og håndtere produktspesifikk </w:t>
            </w:r>
            <w:proofErr w:type="spellStart"/>
            <w:r>
              <w:t>sirkularitet</w:t>
            </w:r>
            <w:proofErr w:type="spellEnd"/>
            <w:r>
              <w:t xml:space="preserve"> samt andre mål og krav til miljødesign, som for eksempel utforming som sikrer at produktet kan </w:t>
            </w:r>
            <w:proofErr w:type="spellStart"/>
            <w:r>
              <w:t>refabri</w:t>
            </w:r>
            <w:r w:rsidR="00111D1C">
              <w:t>k</w:t>
            </w:r>
            <w:r>
              <w:t>keres</w:t>
            </w:r>
            <w:proofErr w:type="spellEnd"/>
            <w:r>
              <w:t>, utforming med henblikk på funksjonsdyktighet, minimal miljøvirkning fra bruk eller drift av produktet, minimalt med avfall i forbindelse med produksjon eller konstruksjon og skreddersydd produksjon med henblikk på å eliminere overspesifisering og redusere innsatsmateriale.</w:t>
            </w:r>
          </w:p>
          <w:p w14:paraId="313A0620" w14:textId="77777777" w:rsidR="006561BA" w:rsidRDefault="005B4ED6">
            <w:pPr>
              <w:pStyle w:val="AnnexNumberedText"/>
              <w:ind w:left="293" w:hanging="293"/>
            </w:pPr>
            <w:r>
              <w:t>b)</w:t>
            </w:r>
            <w:r>
              <w:tab/>
              <w:t xml:space="preserve">Støtte til brukere for å utforske produktdesign med henblikk på å vurdere og optimalisere produktdesign i forhold til spesifikke mål for </w:t>
            </w:r>
            <w:proofErr w:type="spellStart"/>
            <w:r>
              <w:t>sirkularitet</w:t>
            </w:r>
            <w:proofErr w:type="spellEnd"/>
            <w:r>
              <w:t xml:space="preserve"> eller andre miljømål, eller finne det beste kompromisset mellom motstridende </w:t>
            </w:r>
            <w:proofErr w:type="spellStart"/>
            <w:r>
              <w:t>designmål</w:t>
            </w:r>
            <w:proofErr w:type="spellEnd"/>
            <w:r>
              <w:t>, som for eksempel robusthet sammenlignet med materialbruk, grønnere materialer sammenlignet med kostnader eller installasjon av tidsplaner eller kostnader til ombruks- og gjenvinningssystemer i senere ledd.</w:t>
            </w:r>
          </w:p>
          <w:p w14:paraId="1A09D69D" w14:textId="77777777" w:rsidR="006561BA" w:rsidRDefault="005B4ED6">
            <w:pPr>
              <w:pStyle w:val="AnnexNumberedText"/>
              <w:ind w:left="293" w:hanging="293"/>
            </w:pPr>
            <w:r>
              <w:t>c)</w:t>
            </w:r>
            <w:r>
              <w:tab/>
              <w:t xml:space="preserve">Validering av et design gjennom analyse og simulering i forhold til spesifisert </w:t>
            </w:r>
            <w:proofErr w:type="spellStart"/>
            <w:r>
              <w:t>sirkularitet</w:t>
            </w:r>
            <w:proofErr w:type="spellEnd"/>
            <w:r>
              <w:t xml:space="preserve"> og andre mål og krav til miljødesign.</w:t>
            </w:r>
          </w:p>
          <w:p w14:paraId="067B0879" w14:textId="77777777" w:rsidR="006561BA" w:rsidRDefault="005B4ED6">
            <w:pPr>
              <w:pStyle w:val="AnnexNumberedText"/>
              <w:ind w:left="293" w:hanging="293"/>
            </w:pPr>
            <w:r>
              <w:t>d)</w:t>
            </w:r>
            <w:r>
              <w:tab/>
              <w:t xml:space="preserve">Støtte datastøttet produktdesign – herunder mekanisk, elektrisk og elektronisk design eller oppskriftsdesign – med data og opplysninger om innvirkningen av design- og konstruksjonsbeslutninger på </w:t>
            </w:r>
            <w:proofErr w:type="spellStart"/>
            <w:r>
              <w:t>sirkularitet</w:t>
            </w:r>
            <w:proofErr w:type="spellEnd"/>
            <w:r>
              <w:t xml:space="preserve"> og miljøprestasjoner.</w:t>
            </w:r>
          </w:p>
          <w:p w14:paraId="3900CFB7" w14:textId="77777777" w:rsidR="006561BA" w:rsidRDefault="005B4ED6">
            <w:pPr>
              <w:pStyle w:val="AnnexNumberedText"/>
              <w:ind w:left="293" w:hanging="293"/>
            </w:pPr>
            <w:r>
              <w:t>e)</w:t>
            </w:r>
            <w:r>
              <w:tab/>
              <w:t>Støtte utvelgelsen av materialer og komponenter med liten miljøvirkning ved å legge fram data om materialer og komponenter som er tilgjengelige på markedet, og kostnadene ved dem.</w:t>
            </w:r>
          </w:p>
          <w:p w14:paraId="6F2D7D70" w14:textId="77777777" w:rsidR="006561BA" w:rsidRDefault="005B4ED6">
            <w:pPr>
              <w:pStyle w:val="AnnexNumberedText"/>
              <w:tabs>
                <w:tab w:val="left" w:pos="276"/>
              </w:tabs>
              <w:ind w:left="0" w:firstLine="0"/>
            </w:pPr>
            <w:r>
              <w:t>6.</w:t>
            </w:r>
            <w:r>
              <w:tab/>
              <w:t>For programvare til leverandørhåndtering oppfylles minst én av følgende funksjoner spesifisert i bokstav a)–e) fullt og helt:</w:t>
            </w:r>
          </w:p>
          <w:p w14:paraId="3F322959" w14:textId="77777777" w:rsidR="006561BA" w:rsidRDefault="005B4ED6">
            <w:pPr>
              <w:pStyle w:val="AnnexNumberedText"/>
              <w:ind w:left="293" w:hanging="293"/>
            </w:pPr>
            <w:r>
              <w:t>a)</w:t>
            </w:r>
            <w:r>
              <w:tab/>
              <w:t xml:space="preserve">Gi brukeren opplysninger om leverandører og leveranser av sirkulære produkter, produkter som kan mottas umiddelbart, komponenter og materialer som er utformet for lukkede systemer, ombruk, </w:t>
            </w:r>
            <w:proofErr w:type="spellStart"/>
            <w:r>
              <w:t>refabrikasjon</w:t>
            </w:r>
            <w:proofErr w:type="spellEnd"/>
            <w:r>
              <w:t xml:space="preserve"> eller endring av bruksområde. De opplysningene som gis, overskrider minstekravene til opplysninger i gjeldende unionsrett(</w:t>
            </w:r>
            <w:bookmarkStart w:id="218" w:name="NOTE_220"/>
            <w:r>
              <w:rPr>
                <w:rStyle w:val="FootnoteReference"/>
                <w:sz w:val="18"/>
              </w:rPr>
              <w:footnoteReference w:id="221"/>
            </w:r>
            <w:bookmarkEnd w:id="218"/>
            <w:r>
              <w:t>).</w:t>
            </w:r>
          </w:p>
          <w:p w14:paraId="02691852" w14:textId="77777777" w:rsidR="006561BA" w:rsidRDefault="005B4ED6">
            <w:pPr>
              <w:pStyle w:val="AnnexNumberedText"/>
              <w:ind w:left="293" w:hanging="293"/>
            </w:pPr>
            <w:r>
              <w:t>b)</w:t>
            </w:r>
            <w:r>
              <w:tab/>
              <w:t>Støtte til forvaltning og overvåking av leverandørers overholdelse av standarder og sertifiseringer i forbindelse med levering av slike materialer, produkter og komponenter.</w:t>
            </w:r>
          </w:p>
          <w:p w14:paraId="14D6C53A" w14:textId="77777777" w:rsidR="006561BA" w:rsidRDefault="005B4ED6">
            <w:pPr>
              <w:pStyle w:val="AnnexNumberedText"/>
              <w:ind w:left="293" w:hanging="293"/>
            </w:pPr>
            <w:r>
              <w:t>c)</w:t>
            </w:r>
            <w:r>
              <w:tab/>
              <w:t>Støtte utvekslingen med leverandører av de opplysningene som kreves for å kontrollere de leverte materialenes, produktenes og komponentenes miljøprestasjoner.</w:t>
            </w:r>
          </w:p>
          <w:p w14:paraId="0E5907D6" w14:textId="77777777" w:rsidR="006561BA" w:rsidRDefault="005B4ED6">
            <w:pPr>
              <w:pStyle w:val="AnnexNumberedText"/>
              <w:spacing w:after="0"/>
              <w:ind w:left="293" w:hanging="293"/>
            </w:pPr>
            <w:r>
              <w:t>d)</w:t>
            </w:r>
            <w:r>
              <w:tab/>
              <w:t>Støtte handel og matching mellom leverandører og kjøpere av sirkulære produkter, materialer og komponenter med miljøvennlig design, eller som på annen måte er miljøvennlige.</w:t>
            </w:r>
          </w:p>
        </w:tc>
      </w:tr>
      <w:tr w:rsidR="006561BA" w14:paraId="3D90302E" w14:textId="77777777">
        <w:trPr>
          <w:trHeight w:val="360"/>
        </w:trPr>
        <w:tc>
          <w:tcPr>
            <w:tcW w:w="9228" w:type="dxa"/>
            <w:gridSpan w:val="2"/>
            <w:tcMar>
              <w:top w:w="240" w:type="dxa"/>
              <w:left w:w="0" w:type="dxa"/>
              <w:bottom w:w="240" w:type="dxa"/>
              <w:right w:w="0" w:type="dxa"/>
            </w:tcMar>
          </w:tcPr>
          <w:p w14:paraId="54F9196A" w14:textId="77777777" w:rsidR="006561BA" w:rsidRDefault="005B4ED6">
            <w:pPr>
              <w:pStyle w:val="AnnexNumberedText"/>
              <w:pageBreakBefore/>
            </w:pPr>
            <w:r>
              <w:lastRenderedPageBreak/>
              <w:t>e)</w:t>
            </w:r>
            <w:r>
              <w:tab/>
              <w:t>Støtte omvendt logistikk.</w:t>
            </w:r>
          </w:p>
          <w:p w14:paraId="7350D53E" w14:textId="77777777" w:rsidR="006561BA" w:rsidRDefault="005B4ED6">
            <w:pPr>
              <w:pStyle w:val="AnnexNumberedText"/>
              <w:tabs>
                <w:tab w:val="left" w:pos="276"/>
              </w:tabs>
              <w:ind w:left="0" w:firstLine="0"/>
            </w:pPr>
            <w:r>
              <w:t>7.</w:t>
            </w:r>
            <w:r>
              <w:tab/>
              <w:t>Når det gjelder programvare for håndtering av yteevne i hele livsløpet, oppfylles minst én av følgende funksjoner spesifisert i bokstav a)–e) fullt og helt:</w:t>
            </w:r>
          </w:p>
          <w:p w14:paraId="7F118E47" w14:textId="77777777" w:rsidR="006561BA" w:rsidRDefault="005B4ED6">
            <w:pPr>
              <w:pStyle w:val="AnnexNumberedText"/>
              <w:ind w:left="293" w:hanging="293"/>
            </w:pPr>
            <w:r>
              <w:t>a)</w:t>
            </w:r>
            <w:r>
              <w:tab/>
              <w:t xml:space="preserve">Støtte overvåkingen og vurderingen av produkters, utstyrs eller infrastrukturers yteevne med hensyn til </w:t>
            </w:r>
            <w:proofErr w:type="spellStart"/>
            <w:r>
              <w:t>sirkularitet</w:t>
            </w:r>
            <w:proofErr w:type="spellEnd"/>
            <w:r>
              <w:t>(</w:t>
            </w:r>
            <w:bookmarkStart w:id="219" w:name="NOTE_221"/>
            <w:r>
              <w:rPr>
                <w:rStyle w:val="FootnoteReference"/>
                <w:sz w:val="18"/>
              </w:rPr>
              <w:footnoteReference w:id="222"/>
            </w:r>
            <w:bookmarkEnd w:id="219"/>
            <w:r>
              <w:t>) i hele livsløpet.</w:t>
            </w:r>
          </w:p>
          <w:p w14:paraId="5F8C2337" w14:textId="77777777" w:rsidR="006561BA" w:rsidRDefault="005B4ED6">
            <w:pPr>
              <w:pStyle w:val="AnnexNumberedText"/>
              <w:ind w:left="293" w:hanging="293"/>
            </w:pPr>
            <w:r>
              <w:t>b)</w:t>
            </w:r>
            <w:r>
              <w:tab/>
              <w:t xml:space="preserve">Sammenligne yteevne med hensyn til </w:t>
            </w:r>
            <w:proofErr w:type="spellStart"/>
            <w:r>
              <w:t>sirkularitet</w:t>
            </w:r>
            <w:proofErr w:type="spellEnd"/>
            <w:r>
              <w:t xml:space="preserve"> med opprinnelige </w:t>
            </w:r>
            <w:proofErr w:type="spellStart"/>
            <w:r>
              <w:t>sirkularitetsrelaterte</w:t>
            </w:r>
            <w:proofErr w:type="spellEnd"/>
            <w:r>
              <w:t xml:space="preserve"> </w:t>
            </w:r>
            <w:proofErr w:type="spellStart"/>
            <w:r>
              <w:t>designmål</w:t>
            </w:r>
            <w:proofErr w:type="spellEnd"/>
            <w:r>
              <w:t>, analysere avvik og deres grunnleggende årsaker.</w:t>
            </w:r>
          </w:p>
          <w:p w14:paraId="1E2FE4B3" w14:textId="77777777" w:rsidR="006561BA" w:rsidRDefault="005B4ED6">
            <w:pPr>
              <w:pStyle w:val="AnnexNumberedText"/>
              <w:ind w:left="293" w:hanging="293"/>
            </w:pPr>
            <w:r>
              <w:t>c)</w:t>
            </w:r>
            <w:r>
              <w:tab/>
              <w:t>Støtte planlegging og dokumentasjon av tiltak som er nødvendige for å forlenge levetiden til produktet, utstyret eller infrastrukturen, som for eksempel vedlikehold, ettermontering eller andre tjenester.</w:t>
            </w:r>
          </w:p>
          <w:p w14:paraId="2E657A33" w14:textId="77777777" w:rsidR="006561BA" w:rsidRDefault="005B4ED6">
            <w:pPr>
              <w:pStyle w:val="AnnexNumberedText"/>
              <w:ind w:left="293" w:hanging="293"/>
            </w:pPr>
            <w:r>
              <w:t>d)</w:t>
            </w:r>
            <w:r>
              <w:tab/>
              <w:t xml:space="preserve">Støtte konsekvensvurderingen av slike tiltak vedrørende yteevne med hensyn til </w:t>
            </w:r>
            <w:proofErr w:type="spellStart"/>
            <w:r>
              <w:t>sirkularitet</w:t>
            </w:r>
            <w:proofErr w:type="spellEnd"/>
            <w:r>
              <w:t>.</w:t>
            </w:r>
          </w:p>
          <w:p w14:paraId="060DC1D6" w14:textId="77777777" w:rsidR="006561BA" w:rsidRDefault="005B4ED6">
            <w:pPr>
              <w:pStyle w:val="AnnexNumberedText"/>
              <w:ind w:left="293" w:hanging="293"/>
            </w:pPr>
            <w:r>
              <w:t>e)</w:t>
            </w:r>
            <w:r>
              <w:tab/>
              <w:t>Gi brukeren de opplysningene som er nødvendige for å treffe beslutninger om framtidig bruk av produktet, utstyret eller infrastrukturen, som for eksempel ettermontering, bruksendring, skroting og gjenvinning.</w:t>
            </w:r>
          </w:p>
          <w:p w14:paraId="58D1D0E9" w14:textId="77777777" w:rsidR="006561BA" w:rsidRDefault="005B4ED6">
            <w:pPr>
              <w:pStyle w:val="AnnexNumberedText"/>
              <w:tabs>
                <w:tab w:val="left" w:pos="276"/>
              </w:tabs>
              <w:ind w:left="0" w:firstLine="0"/>
            </w:pPr>
            <w:r>
              <w:t>8.</w:t>
            </w:r>
            <w:r>
              <w:tab/>
              <w:t>Alle datadrevne IT-/OT-løsninger bør oppfylle følgende kriterier:</w:t>
            </w:r>
          </w:p>
          <w:p w14:paraId="04484DE5" w14:textId="72B529E8" w:rsidR="006561BA" w:rsidRDefault="005B4ED6">
            <w:pPr>
              <w:pStyle w:val="AnnexNumberedText"/>
              <w:ind w:left="293" w:hanging="293"/>
            </w:pPr>
            <w:r>
              <w:t>a)</w:t>
            </w:r>
            <w:r>
              <w:tab/>
              <w:t xml:space="preserve">Det anvendes teknikker som støtter ombruk og bruk av </w:t>
            </w:r>
            <w:r w:rsidR="00422381" w:rsidRPr="00422381">
              <w:t xml:space="preserve">sekundære råvarer </w:t>
            </w:r>
            <w:r>
              <w:t xml:space="preserve">og </w:t>
            </w:r>
            <w:proofErr w:type="spellStart"/>
            <w:r>
              <w:t>ombrukte</w:t>
            </w:r>
            <w:proofErr w:type="spellEnd"/>
            <w:r>
              <w:t xml:space="preserve"> komponenter, og løsningene er utformet med henblikk på høy holdbarhet, gjenvinnbarhet, lett demontering, tilpasningsevne og mulighet for oppgradering</w:t>
            </w:r>
            <w:r w:rsidR="00D90ABB">
              <w:t>.</w:t>
            </w:r>
          </w:p>
          <w:p w14:paraId="64E0F619" w14:textId="24E25471" w:rsidR="006561BA" w:rsidRDefault="005B4ED6">
            <w:pPr>
              <w:pStyle w:val="AnnexNumberedText"/>
              <w:ind w:left="293" w:hanging="293"/>
            </w:pPr>
            <w:r>
              <w:t>b)</w:t>
            </w:r>
            <w:r>
              <w:tab/>
              <w:t>Det er innført tiltak for håndtering og gjenvinning av avfall ved endt levetid, herunder gjennom avtaler om skroting med leverandører av materialgjenvinningstjenester, integrering i økonomiske prognoser eller offisiell prosjektdokumentasjon. Disse tiltakene sikrer at komponenter og materialer sorteres og behandles for å maksimere materialgjenvinningen og ombruken i samsvar med avfallshierarkiet, prinsippene i EUs avfallsregelverk og gjeldende bestemmelser, særlig gjennom ombruk og materialgjenvinning av batterier og elektronikk og av kritiske rå</w:t>
            </w:r>
            <w:r w:rsidR="00376DBB">
              <w:t>varer</w:t>
            </w:r>
            <w:r>
              <w:t xml:space="preserve"> som inngår i disse. Disse tiltakene omfatter også kontroll med og håndtering av farlige materialer.</w:t>
            </w:r>
          </w:p>
          <w:p w14:paraId="254E07DB" w14:textId="77777777" w:rsidR="006561BA" w:rsidRDefault="005B4ED6">
            <w:pPr>
              <w:pStyle w:val="AnnexNumberedText"/>
              <w:spacing w:after="0"/>
              <w:ind w:left="293" w:hanging="293"/>
            </w:pPr>
            <w:r>
              <w:t>c)</w:t>
            </w:r>
            <w:r>
              <w:tab/>
              <w:t>Forberedelse til ombruk, utnytting eller materialgjenvinning, eller korrekt behandling, herunder uttak av alle væsker og selektiv behandling, utføres i samsvar med vedlegg VII til direktiv 2012/19/EU().</w:t>
            </w:r>
          </w:p>
        </w:tc>
      </w:tr>
      <w:tr w:rsidR="006561BA" w14:paraId="777E3C08" w14:textId="77777777">
        <w:trPr>
          <w:trHeight w:val="240"/>
        </w:trPr>
        <w:tc>
          <w:tcPr>
            <w:tcW w:w="9228" w:type="dxa"/>
            <w:gridSpan w:val="2"/>
            <w:tcMar>
              <w:top w:w="240" w:type="dxa"/>
              <w:left w:w="0" w:type="dxa"/>
              <w:bottom w:w="240" w:type="dxa"/>
              <w:right w:w="0" w:type="dxa"/>
            </w:tcMar>
          </w:tcPr>
          <w:p w14:paraId="5F952375" w14:textId="77777777" w:rsidR="006561BA" w:rsidRDefault="005B4ED6">
            <w:pPr>
              <w:pStyle w:val="AnnexTableCellLeft"/>
            </w:pPr>
            <w:r>
              <w:t>Prinsippet om ikke å gjøre betydelig skade («DNSH»)</w:t>
            </w:r>
          </w:p>
        </w:tc>
      </w:tr>
      <w:tr w:rsidR="006561BA" w14:paraId="2A006812" w14:textId="77777777">
        <w:tc>
          <w:tcPr>
            <w:tcW w:w="2496" w:type="dxa"/>
            <w:tcMar>
              <w:top w:w="240" w:type="dxa"/>
              <w:left w:w="0" w:type="dxa"/>
              <w:bottom w:w="240" w:type="dxa"/>
            </w:tcMar>
          </w:tcPr>
          <w:p w14:paraId="40D1FAC3" w14:textId="77777777" w:rsidR="006561BA" w:rsidRDefault="005B4ED6">
            <w:pPr>
              <w:pStyle w:val="AnnexNumberedText"/>
              <w:spacing w:after="0"/>
              <w:ind w:left="293" w:hanging="293"/>
            </w:pPr>
            <w:r>
              <w:t>1)</w:t>
            </w:r>
            <w:r>
              <w:tab/>
              <w:t>Begrensning av klimaendringer</w:t>
            </w:r>
          </w:p>
        </w:tc>
        <w:tc>
          <w:tcPr>
            <w:tcW w:w="6732" w:type="dxa"/>
            <w:tcMar>
              <w:top w:w="240" w:type="dxa"/>
              <w:bottom w:w="240" w:type="dxa"/>
              <w:right w:w="0" w:type="dxa"/>
            </w:tcMar>
          </w:tcPr>
          <w:p w14:paraId="528DEE6B" w14:textId="77777777" w:rsidR="006561BA" w:rsidRDefault="005B4ED6">
            <w:pPr>
              <w:pStyle w:val="AnnexTableCellLeft"/>
            </w:pPr>
            <w:r>
              <w:t>Ikke relevant</w:t>
            </w:r>
          </w:p>
        </w:tc>
      </w:tr>
      <w:tr w:rsidR="006561BA" w14:paraId="379B60DF" w14:textId="77777777">
        <w:tc>
          <w:tcPr>
            <w:tcW w:w="2496" w:type="dxa"/>
            <w:tcMar>
              <w:top w:w="240" w:type="dxa"/>
              <w:left w:w="0" w:type="dxa"/>
              <w:bottom w:w="240" w:type="dxa"/>
            </w:tcMar>
          </w:tcPr>
          <w:p w14:paraId="6CA55546" w14:textId="77777777" w:rsidR="006561BA" w:rsidRDefault="005B4ED6">
            <w:pPr>
              <w:pStyle w:val="AnnexNumberedText"/>
              <w:spacing w:after="0"/>
              <w:ind w:left="293" w:hanging="293"/>
            </w:pPr>
            <w:r>
              <w:t>2)</w:t>
            </w:r>
            <w:r>
              <w:tab/>
              <w:t>Tilpasning til klimaendringer</w:t>
            </w:r>
          </w:p>
        </w:tc>
        <w:tc>
          <w:tcPr>
            <w:tcW w:w="6732" w:type="dxa"/>
            <w:tcMar>
              <w:top w:w="240" w:type="dxa"/>
              <w:bottom w:w="240" w:type="dxa"/>
              <w:right w:w="0" w:type="dxa"/>
            </w:tcMar>
          </w:tcPr>
          <w:p w14:paraId="1DC55D5C" w14:textId="77777777" w:rsidR="006561BA" w:rsidRDefault="005B4ED6">
            <w:pPr>
              <w:pStyle w:val="AnnexTableCellLeft"/>
            </w:pPr>
            <w:r>
              <w:t>Aktiviteten oppfyller kriteriene fastsatt i tillegg A til dette vedlegget.</w:t>
            </w:r>
          </w:p>
        </w:tc>
      </w:tr>
      <w:tr w:rsidR="006561BA" w14:paraId="42B41217" w14:textId="77777777">
        <w:tc>
          <w:tcPr>
            <w:tcW w:w="2496" w:type="dxa"/>
            <w:tcMar>
              <w:top w:w="240" w:type="dxa"/>
              <w:left w:w="0" w:type="dxa"/>
              <w:bottom w:w="240" w:type="dxa"/>
            </w:tcMar>
          </w:tcPr>
          <w:p w14:paraId="5EE02BAB" w14:textId="77777777" w:rsidR="006561BA" w:rsidRDefault="005B4ED6">
            <w:pPr>
              <w:pStyle w:val="AnnexNumberedText"/>
              <w:spacing w:after="0"/>
              <w:ind w:left="293" w:hanging="293"/>
            </w:pPr>
            <w:r>
              <w:t>3)</w:t>
            </w:r>
            <w:r>
              <w:tab/>
              <w:t>Bærekraftig bruk og beskyttelse av vann- og havressurser</w:t>
            </w:r>
          </w:p>
        </w:tc>
        <w:tc>
          <w:tcPr>
            <w:tcW w:w="6732" w:type="dxa"/>
            <w:tcMar>
              <w:top w:w="240" w:type="dxa"/>
              <w:bottom w:w="240" w:type="dxa"/>
              <w:right w:w="0" w:type="dxa"/>
            </w:tcMar>
          </w:tcPr>
          <w:p w14:paraId="58F82519" w14:textId="77777777" w:rsidR="006561BA" w:rsidRDefault="005B4ED6">
            <w:pPr>
              <w:pStyle w:val="AnnexTableCellLeft"/>
            </w:pPr>
            <w:r>
              <w:t>Aktiviteten oppfyller kriteriene fastsatt i tillegg B til dette vedlegget.</w:t>
            </w:r>
          </w:p>
        </w:tc>
      </w:tr>
      <w:tr w:rsidR="006561BA" w14:paraId="2B4A0F98" w14:textId="77777777">
        <w:trPr>
          <w:trHeight w:val="360"/>
        </w:trPr>
        <w:tc>
          <w:tcPr>
            <w:tcW w:w="2496" w:type="dxa"/>
            <w:tcMar>
              <w:top w:w="200" w:type="dxa"/>
              <w:left w:w="0" w:type="dxa"/>
              <w:bottom w:w="200" w:type="dxa"/>
            </w:tcMar>
          </w:tcPr>
          <w:p w14:paraId="1126C650" w14:textId="77777777" w:rsidR="006561BA" w:rsidRDefault="005B4ED6">
            <w:pPr>
              <w:pStyle w:val="AnnexNumberedText"/>
              <w:pageBreakBefore/>
              <w:spacing w:after="0"/>
              <w:ind w:left="293" w:hanging="293"/>
            </w:pPr>
            <w:r>
              <w:lastRenderedPageBreak/>
              <w:t>5)</w:t>
            </w:r>
            <w:r>
              <w:tab/>
              <w:t>Forebygging og begrensning av forurensning</w:t>
            </w:r>
          </w:p>
        </w:tc>
        <w:tc>
          <w:tcPr>
            <w:tcW w:w="6732" w:type="dxa"/>
            <w:tcMar>
              <w:top w:w="200" w:type="dxa"/>
              <w:bottom w:w="200" w:type="dxa"/>
              <w:right w:w="0" w:type="dxa"/>
            </w:tcMar>
          </w:tcPr>
          <w:p w14:paraId="1792A941" w14:textId="77777777" w:rsidR="006561BA" w:rsidRDefault="005B4ED6">
            <w:pPr>
              <w:pStyle w:val="AnnexTableCellLeft"/>
              <w:spacing w:after="120"/>
            </w:pPr>
            <w:r>
              <w:t>Utstyret som brukes til drift av programvaren, oppfyller kravene i direktiv 2009/125/EF for servere og datalagringsprodukter.</w:t>
            </w:r>
          </w:p>
          <w:p w14:paraId="7073F34F" w14:textId="77777777" w:rsidR="006561BA" w:rsidRDefault="005B4ED6">
            <w:pPr>
              <w:pStyle w:val="AnnexTableCellLeft"/>
            </w:pPr>
            <w:r>
              <w:t>Utstyret som brukes, inneholder ikke de stoffene som er underlagt begrensninger, og som er oppført i vedlegg II til direktiv 2011/65/EU, med mindre konsentrasjonsverdiene i vektprosent i homogene materialer ikke overskrider maksimumsverdiene oppført i det nevnte vedlegget.</w:t>
            </w:r>
          </w:p>
        </w:tc>
      </w:tr>
      <w:tr w:rsidR="006561BA" w14:paraId="19717263" w14:textId="77777777">
        <w:trPr>
          <w:trHeight w:val="360"/>
        </w:trPr>
        <w:tc>
          <w:tcPr>
            <w:tcW w:w="2496" w:type="dxa"/>
            <w:tcMar>
              <w:top w:w="200" w:type="dxa"/>
              <w:left w:w="0" w:type="dxa"/>
              <w:bottom w:w="200" w:type="dxa"/>
            </w:tcMar>
          </w:tcPr>
          <w:p w14:paraId="5344F14A" w14:textId="77777777" w:rsidR="006561BA" w:rsidRDefault="005B4ED6">
            <w:pPr>
              <w:pStyle w:val="AnnexNumberedText"/>
              <w:spacing w:after="0"/>
              <w:ind w:left="293" w:hanging="293"/>
            </w:pPr>
            <w:r>
              <w:t>6)</w:t>
            </w:r>
            <w:r>
              <w:tab/>
              <w:t>Beskyttelse og restaurering av biologisk mangfold og økosystemer</w:t>
            </w:r>
          </w:p>
        </w:tc>
        <w:tc>
          <w:tcPr>
            <w:tcW w:w="6732" w:type="dxa"/>
            <w:tcMar>
              <w:top w:w="200" w:type="dxa"/>
              <w:bottom w:w="200" w:type="dxa"/>
              <w:right w:w="0" w:type="dxa"/>
            </w:tcMar>
          </w:tcPr>
          <w:p w14:paraId="16E99122" w14:textId="77777777" w:rsidR="006561BA" w:rsidRDefault="005B4ED6">
            <w:pPr>
              <w:pStyle w:val="AnnexTableCellLeft"/>
            </w:pPr>
            <w:r>
              <w:t>Ikke relevant</w:t>
            </w:r>
          </w:p>
        </w:tc>
      </w:tr>
    </w:tbl>
    <w:p w14:paraId="303DF9D0" w14:textId="77777777" w:rsidR="006561BA" w:rsidRDefault="005B4ED6">
      <w:pPr>
        <w:pStyle w:val="AnnexNumberedText"/>
        <w:spacing w:before="800" w:after="500"/>
        <w:ind w:left="414" w:hanging="414"/>
      </w:pPr>
      <w:r>
        <w:t>5.</w:t>
      </w:r>
      <w:r>
        <w:rPr>
          <w:b/>
          <w:i/>
        </w:rPr>
        <w:tab/>
        <w:t>Tjenester</w:t>
      </w:r>
    </w:p>
    <w:p w14:paraId="54A55CBB" w14:textId="77777777" w:rsidR="006561BA" w:rsidRDefault="005B4ED6">
      <w:pPr>
        <w:pStyle w:val="AnnexNumberedText"/>
        <w:spacing w:after="1000"/>
        <w:ind w:left="414" w:hanging="414"/>
      </w:pPr>
      <w:r>
        <w:t>5.1.</w:t>
      </w:r>
      <w:r>
        <w:rPr>
          <w:b/>
        </w:rPr>
        <w:tab/>
        <w:t xml:space="preserve">Reparasjon, renovering og </w:t>
      </w:r>
      <w:proofErr w:type="spellStart"/>
      <w:r>
        <w:rPr>
          <w:b/>
        </w:rPr>
        <w:t>refabrikasjon</w:t>
      </w:r>
      <w:proofErr w:type="spellEnd"/>
    </w:p>
    <w:p w14:paraId="66E3464D" w14:textId="77777777" w:rsidR="006561BA" w:rsidRDefault="005B4ED6">
      <w:pPr>
        <w:pStyle w:val="AnnexGrSeq3"/>
        <w:spacing w:after="300"/>
        <w:jc w:val="both"/>
      </w:pPr>
      <w:r>
        <w:rPr>
          <w:i/>
        </w:rPr>
        <w:t>Beskrivelse av aktiviteten</w:t>
      </w:r>
    </w:p>
    <w:p w14:paraId="380CE60B" w14:textId="77777777" w:rsidR="006561BA" w:rsidRDefault="005B4ED6">
      <w:pPr>
        <w:pStyle w:val="AnnexNormal"/>
        <w:spacing w:after="300"/>
      </w:pPr>
      <w:r>
        <w:t>Reparasjon(</w:t>
      </w:r>
      <w:bookmarkStart w:id="220" w:name="NOTE_222"/>
      <w:r>
        <w:rPr>
          <w:rStyle w:val="FootnoteReference"/>
          <w:sz w:val="18"/>
        </w:rPr>
        <w:footnoteReference w:id="223"/>
      </w:r>
      <w:bookmarkEnd w:id="220"/>
      <w:r>
        <w:t>), renovering(</w:t>
      </w:r>
      <w:bookmarkStart w:id="221" w:name="NOTE_223"/>
      <w:r>
        <w:rPr>
          <w:rStyle w:val="FootnoteReference"/>
          <w:sz w:val="18"/>
        </w:rPr>
        <w:footnoteReference w:id="224"/>
      </w:r>
      <w:bookmarkEnd w:id="221"/>
      <w:r>
        <w:t xml:space="preserve">) og </w:t>
      </w:r>
      <w:proofErr w:type="spellStart"/>
      <w:r>
        <w:t>refabrikasjon</w:t>
      </w:r>
      <w:proofErr w:type="spellEnd"/>
      <w:r>
        <w:t>(</w:t>
      </w:r>
      <w:bookmarkStart w:id="222" w:name="NOTE_224"/>
      <w:r>
        <w:rPr>
          <w:rStyle w:val="FootnoteReference"/>
          <w:sz w:val="18"/>
        </w:rPr>
        <w:footnoteReference w:id="225"/>
      </w:r>
      <w:bookmarkEnd w:id="222"/>
      <w:r>
        <w:t>) av varer som en kunde (fysisk person eller juridisk person) tidligere har brukt til sitt tiltenkte bruksområde.</w:t>
      </w:r>
    </w:p>
    <w:p w14:paraId="61E20751" w14:textId="77777777" w:rsidR="006561BA" w:rsidRDefault="005B4ED6">
      <w:pPr>
        <w:pStyle w:val="AnnexNormal"/>
        <w:spacing w:after="300"/>
      </w:pPr>
      <w:r>
        <w:t>Den økonomiske aktiviteten omfatter ikke utskifting av forbruksvarer(</w:t>
      </w:r>
      <w:bookmarkStart w:id="223" w:name="NOTE_225"/>
      <w:r>
        <w:rPr>
          <w:rStyle w:val="FootnoteReference"/>
          <w:sz w:val="18"/>
        </w:rPr>
        <w:footnoteReference w:id="226"/>
      </w:r>
      <w:bookmarkEnd w:id="223"/>
      <w:r>
        <w:t>), som for eksempel blekk, tonerkassetter, smøremidler for bevegelige deler eller batterier.</w:t>
      </w:r>
    </w:p>
    <w:p w14:paraId="373F87AB" w14:textId="54279DF1" w:rsidR="006561BA" w:rsidRDefault="005B4ED6">
      <w:pPr>
        <w:pStyle w:val="AnnexNormal"/>
        <w:spacing w:after="300"/>
      </w:pPr>
      <w:r>
        <w:t>Den økonomiske aktiviteten gjelder produkter som er framstilt av næringsgrener som klassifiseres i henhold til NACE-kodene C13 Produksjon av tekstiler, C14 Produksjon av klær, C15 Produksjon av lær og lærvarer, C16 Produksjon av trelast og varer av tre, kork, strå og flettematerialer, unntatt møbler, C22 Produksjon av gummi- og plastprodukter, C23.3 Produksjon av byggevarer av brent leire, C23.4 Produksjon av andre porselensprodukter og keramiske produkter, C25.1 Produksjon av metallkonstruksjoner, C25.2 Produksjon av tanker, sisterner og andre beholdere av metall, C25.7 Produksjon av kjøkkenredskaper, skjære- og klipperedskaper, håndverktøy og andre jernvarer, C25.9 Produksjon av andre metallprodukter, C26 Produksjon av datamaskiner og elektroniske og optiske produkter, C27 Produksjon av elektrisk utstyr, C28.22 Produksjon av løfte- og håndteringsutstyr, C28.23 Produksjon av kontormaskiner og utstyr (unntatt datamaskiner og tilleggsutstyr), C28.24 Produksjon av motordrevet håndverktøy, C28.25 Produksjon av kjøle- og ventilasjonsanlegg, unntatt til husholdningsbruk, C28.93 Produksjon av maskiner og utstyr til nærings- og nytelsesmiddelindustri, C28.94 Produksjon av maskiner og utstyr til tekstil-, konfeksjons- og lærvareindustri, C28.95 Produksjon av maskiner og utstyr til papir- og pappvareindustri, C28.96 Produksjon av maskiner og utstyr til plast- og gummiindustri, C31 Produksjon av møbler og C32 Annen industriproduksjon.</w:t>
      </w:r>
    </w:p>
    <w:p w14:paraId="1B446B6A" w14:textId="77777777" w:rsidR="006561BA" w:rsidRDefault="005B4ED6">
      <w:pPr>
        <w:pStyle w:val="AnnexNormal"/>
        <w:spacing w:after="0"/>
      </w:pPr>
      <w:r>
        <w:t>De økonomiske aktivitetene i denne kategorien har ingen bestemte NACE-koder som omhandlet i standarden for næringsgruppering fastsatt ved forordning (EF) nr. 1893/2006.</w:t>
      </w:r>
      <w:r>
        <w:br w:type="page"/>
      </w:r>
    </w:p>
    <w:p w14:paraId="2AD96F24" w14:textId="77777777" w:rsidR="006561BA" w:rsidRDefault="005B4ED6">
      <w:pPr>
        <w:pStyle w:val="AnnexGrSeq3"/>
        <w:spacing w:after="300"/>
        <w:jc w:val="both"/>
      </w:pPr>
      <w:r>
        <w:rPr>
          <w:i/>
        </w:rPr>
        <w:lastRenderedPageBreak/>
        <w:t>Tekniske screeningkriterier</w:t>
      </w:r>
    </w:p>
    <w:tbl>
      <w:tblPr>
        <w:tblStyle w:val="EFTATable"/>
        <w:tblW w:w="9228" w:type="dxa"/>
        <w:tblInd w:w="12" w:type="dxa"/>
        <w:tblLayout w:type="fixed"/>
        <w:tblLook w:val="04A0" w:firstRow="1" w:lastRow="0" w:firstColumn="1" w:lastColumn="0" w:noHBand="0" w:noVBand="1"/>
      </w:tblPr>
      <w:tblGrid>
        <w:gridCol w:w="2508"/>
        <w:gridCol w:w="6720"/>
      </w:tblGrid>
      <w:tr w:rsidR="006561BA" w14:paraId="207F2F44" w14:textId="77777777">
        <w:trPr>
          <w:trHeight w:val="240"/>
        </w:trPr>
        <w:tc>
          <w:tcPr>
            <w:tcW w:w="9228" w:type="dxa"/>
            <w:gridSpan w:val="2"/>
            <w:tcMar>
              <w:top w:w="200" w:type="dxa"/>
              <w:left w:w="0" w:type="dxa"/>
              <w:bottom w:w="200" w:type="dxa"/>
              <w:right w:w="0" w:type="dxa"/>
            </w:tcMar>
          </w:tcPr>
          <w:p w14:paraId="7289834E" w14:textId="77777777" w:rsidR="006561BA" w:rsidRDefault="005B4ED6">
            <w:pPr>
              <w:pStyle w:val="AnnexTableCellLeft"/>
            </w:pPr>
            <w:r>
              <w:t>Vesentlig bidrag til omstilling til en sirkulær økonomi</w:t>
            </w:r>
          </w:p>
        </w:tc>
      </w:tr>
      <w:tr w:rsidR="006561BA" w14:paraId="7ABAB171" w14:textId="77777777">
        <w:trPr>
          <w:trHeight w:val="360"/>
        </w:trPr>
        <w:tc>
          <w:tcPr>
            <w:tcW w:w="9228" w:type="dxa"/>
            <w:gridSpan w:val="2"/>
            <w:tcMar>
              <w:top w:w="200" w:type="dxa"/>
              <w:left w:w="0" w:type="dxa"/>
              <w:bottom w:w="200" w:type="dxa"/>
              <w:right w:w="0" w:type="dxa"/>
            </w:tcMar>
          </w:tcPr>
          <w:p w14:paraId="4A44F4C8" w14:textId="6EAB995B" w:rsidR="006561BA" w:rsidRDefault="005B4ED6">
            <w:pPr>
              <w:pStyle w:val="AnnexNumberedText"/>
              <w:tabs>
                <w:tab w:val="left" w:pos="276"/>
              </w:tabs>
              <w:spacing w:after="200"/>
              <w:ind w:left="0" w:firstLine="0"/>
            </w:pPr>
            <w:r>
              <w:t>1.</w:t>
            </w:r>
            <w:r>
              <w:tab/>
              <w:t xml:space="preserve">Den økonomiske aktiviteten består i å forlenge produkters levetid ved å reparere, renovere eller </w:t>
            </w:r>
            <w:proofErr w:type="spellStart"/>
            <w:r>
              <w:t>refabrik</w:t>
            </w:r>
            <w:r w:rsidR="00AF1CED">
              <w:t>k</w:t>
            </w:r>
            <w:r>
              <w:t>ere</w:t>
            </w:r>
            <w:proofErr w:type="spellEnd"/>
            <w:r>
              <w:t xml:space="preserve"> produkter som en kunde (fysisk person eller juridisk person) allerede har brukt til sitt tiltenkte bruksområde.</w:t>
            </w:r>
          </w:p>
          <w:p w14:paraId="526F7585" w14:textId="77777777" w:rsidR="006561BA" w:rsidRDefault="005B4ED6">
            <w:pPr>
              <w:pStyle w:val="AnnexNumberedText"/>
              <w:tabs>
                <w:tab w:val="left" w:pos="276"/>
              </w:tabs>
              <w:spacing w:after="200"/>
              <w:ind w:left="0" w:firstLine="0"/>
            </w:pPr>
            <w:r>
              <w:t>2.</w:t>
            </w:r>
            <w:r>
              <w:tab/>
              <w:t>Den økonomiske aktiviteten oppfyller følgende kriterier:</w:t>
            </w:r>
          </w:p>
          <w:p w14:paraId="18FC597E" w14:textId="48273A82" w:rsidR="006561BA" w:rsidRDefault="005B4ED6">
            <w:pPr>
              <w:pStyle w:val="AnnexNumberedText"/>
              <w:spacing w:after="200"/>
              <w:ind w:left="293" w:hanging="293"/>
            </w:pPr>
            <w:r>
              <w:t>a)</w:t>
            </w:r>
            <w:r>
              <w:tab/>
              <w:t xml:space="preserve">De erstattede delene, de renoverte produktene eller de </w:t>
            </w:r>
            <w:proofErr w:type="spellStart"/>
            <w:r>
              <w:t>refabrik</w:t>
            </w:r>
            <w:r w:rsidR="00AF1CED">
              <w:t>k</w:t>
            </w:r>
            <w:r>
              <w:t>erte</w:t>
            </w:r>
            <w:proofErr w:type="spellEnd"/>
            <w:r>
              <w:t xml:space="preserve"> produktene er omfattet av en salgsavtale dersom det er relevant og i samsvar med bestemmelser om produktets samsvar, selgerens ansvar(</w:t>
            </w:r>
            <w:bookmarkStart w:id="224" w:name="NOTE_226"/>
            <w:r>
              <w:rPr>
                <w:rStyle w:val="FootnoteReference"/>
                <w:sz w:val="18"/>
              </w:rPr>
              <w:footnoteReference w:id="227"/>
            </w:r>
            <w:bookmarkEnd w:id="224"/>
            <w:r>
              <w:t>) (herunder muligheten for en kortere ansvarsperiode eller foreldelsesfrist for brukte produkter), bevisbyrde, klagemuligheter ved manglende samsvar, reglene for utøvelse av disse klagemulighetene, reparasjon eller erstatning av varer samt kommersielle garantier.</w:t>
            </w:r>
          </w:p>
          <w:p w14:paraId="2401F903" w14:textId="7DDD3B33" w:rsidR="006561BA" w:rsidRDefault="005B4ED6">
            <w:pPr>
              <w:pStyle w:val="AnnexNumberedText"/>
              <w:spacing w:after="0"/>
              <w:ind w:left="293" w:hanging="293"/>
            </w:pPr>
            <w:r>
              <w:t>b)</w:t>
            </w:r>
            <w:r>
              <w:tab/>
              <w:t xml:space="preserve">Den økonomiske aktiviteten gjennomfører en avfallshåndteringsplan som sikrer at produktets materialer, særlig kritiske </w:t>
            </w:r>
            <w:r w:rsidR="00B20D1E">
              <w:t xml:space="preserve">råvarer </w:t>
            </w:r>
            <w:r>
              <w:t xml:space="preserve">og komponenter som ikke er blitt </w:t>
            </w:r>
            <w:proofErr w:type="spellStart"/>
            <w:r>
              <w:t>ombrukt</w:t>
            </w:r>
            <w:proofErr w:type="spellEnd"/>
            <w:r>
              <w:t xml:space="preserve"> i samme produkt, </w:t>
            </w:r>
            <w:proofErr w:type="spellStart"/>
            <w:r>
              <w:t>ombrukes</w:t>
            </w:r>
            <w:proofErr w:type="spellEnd"/>
            <w:r>
              <w:t xml:space="preserve"> andre steder, eller, bare dersom ombruk ikke er mulig (på grunn av skader, forringelse eller farlige stoffer), gjenvinnes</w:t>
            </w:r>
            <w:r w:rsidR="00073D9C">
              <w:t>,</w:t>
            </w:r>
            <w:r>
              <w:t xml:space="preserve"> eller, bare dersom ombruk og materialgjenvinning ikke lar seg gjennomføre, sluttbehandles i samsvar med gjeldende unionsrett og nasjonal rett. Når det gjelder </w:t>
            </w:r>
            <w:proofErr w:type="spellStart"/>
            <w:r>
              <w:t>refabrikasjon</w:t>
            </w:r>
            <w:proofErr w:type="spellEnd"/>
            <w:r>
              <w:t>, er avfallshåndteringsplanen tilgjengelig for allmennheten.</w:t>
            </w:r>
          </w:p>
        </w:tc>
      </w:tr>
      <w:tr w:rsidR="006561BA" w14:paraId="25B286F2" w14:textId="77777777">
        <w:trPr>
          <w:trHeight w:val="240"/>
        </w:trPr>
        <w:tc>
          <w:tcPr>
            <w:tcW w:w="9228" w:type="dxa"/>
            <w:gridSpan w:val="2"/>
            <w:tcMar>
              <w:top w:w="200" w:type="dxa"/>
              <w:left w:w="0" w:type="dxa"/>
              <w:bottom w:w="200" w:type="dxa"/>
              <w:right w:w="0" w:type="dxa"/>
            </w:tcMar>
          </w:tcPr>
          <w:p w14:paraId="67363595" w14:textId="77777777" w:rsidR="006561BA" w:rsidRDefault="005B4ED6">
            <w:pPr>
              <w:pStyle w:val="AnnexTableCellLeft"/>
            </w:pPr>
            <w:r>
              <w:t>Prinsippet om ikke å gjøre betydelig skade («DNSH»)</w:t>
            </w:r>
          </w:p>
        </w:tc>
      </w:tr>
      <w:tr w:rsidR="006561BA" w14:paraId="2F276755" w14:textId="77777777">
        <w:tc>
          <w:tcPr>
            <w:tcW w:w="2508" w:type="dxa"/>
            <w:tcMar>
              <w:top w:w="200" w:type="dxa"/>
              <w:left w:w="0" w:type="dxa"/>
              <w:bottom w:w="200" w:type="dxa"/>
            </w:tcMar>
          </w:tcPr>
          <w:p w14:paraId="4CEFC861" w14:textId="77777777" w:rsidR="006561BA" w:rsidRDefault="005B4ED6">
            <w:pPr>
              <w:pStyle w:val="AnnexNumberedText"/>
              <w:spacing w:after="0"/>
              <w:ind w:left="293" w:hanging="293"/>
            </w:pPr>
            <w:r>
              <w:t>1)</w:t>
            </w:r>
            <w:r>
              <w:tab/>
              <w:t>Begrensning av klimaendringer</w:t>
            </w:r>
          </w:p>
        </w:tc>
        <w:tc>
          <w:tcPr>
            <w:tcW w:w="6720" w:type="dxa"/>
            <w:tcMar>
              <w:top w:w="200" w:type="dxa"/>
              <w:bottom w:w="200" w:type="dxa"/>
              <w:right w:w="0" w:type="dxa"/>
            </w:tcMar>
          </w:tcPr>
          <w:p w14:paraId="25E7229B" w14:textId="77777777" w:rsidR="006561BA" w:rsidRDefault="005B4ED6">
            <w:pPr>
              <w:pStyle w:val="AnnexTableCellLeft"/>
            </w:pPr>
            <w:r>
              <w:t>Dersom aktiviteten omfatter produksjon av varme/kjøling eller kraftvarmeproduksjon, herunder elektrisitet, er de direkte klimagassutslippene fra aktiviteten lavere enn 270 gCO</w:t>
            </w:r>
            <w:r>
              <w:rPr>
                <w:vertAlign w:val="subscript"/>
              </w:rPr>
              <w:t>2</w:t>
            </w:r>
            <w:r>
              <w:t>e/kWh.</w:t>
            </w:r>
          </w:p>
        </w:tc>
      </w:tr>
      <w:tr w:rsidR="006561BA" w14:paraId="75318FE3" w14:textId="77777777">
        <w:tc>
          <w:tcPr>
            <w:tcW w:w="2508" w:type="dxa"/>
            <w:tcMar>
              <w:top w:w="200" w:type="dxa"/>
              <w:left w:w="0" w:type="dxa"/>
              <w:bottom w:w="200" w:type="dxa"/>
            </w:tcMar>
          </w:tcPr>
          <w:p w14:paraId="15B3E540" w14:textId="77777777" w:rsidR="006561BA" w:rsidRDefault="005B4ED6">
            <w:pPr>
              <w:pStyle w:val="AnnexNumberedText"/>
              <w:spacing w:after="0"/>
              <w:ind w:left="293" w:hanging="293"/>
            </w:pPr>
            <w:r>
              <w:t>2)</w:t>
            </w:r>
            <w:r>
              <w:tab/>
              <w:t>Tilpasning til klimaendringer</w:t>
            </w:r>
          </w:p>
        </w:tc>
        <w:tc>
          <w:tcPr>
            <w:tcW w:w="6720" w:type="dxa"/>
            <w:tcMar>
              <w:top w:w="200" w:type="dxa"/>
              <w:bottom w:w="200" w:type="dxa"/>
              <w:right w:w="0" w:type="dxa"/>
            </w:tcMar>
          </w:tcPr>
          <w:p w14:paraId="316E72A9" w14:textId="77777777" w:rsidR="006561BA" w:rsidRDefault="005B4ED6">
            <w:pPr>
              <w:pStyle w:val="AnnexTableCellLeft"/>
            </w:pPr>
            <w:r>
              <w:t>Aktiviteten oppfyller kriteriene fastsatt i tillegg A til dette vedlegget.</w:t>
            </w:r>
          </w:p>
        </w:tc>
      </w:tr>
      <w:tr w:rsidR="006561BA" w14:paraId="11895BE7" w14:textId="77777777">
        <w:tc>
          <w:tcPr>
            <w:tcW w:w="2508" w:type="dxa"/>
            <w:tcMar>
              <w:top w:w="200" w:type="dxa"/>
              <w:left w:w="0" w:type="dxa"/>
              <w:bottom w:w="200" w:type="dxa"/>
            </w:tcMar>
          </w:tcPr>
          <w:p w14:paraId="0969F725" w14:textId="77777777" w:rsidR="006561BA" w:rsidRDefault="005B4ED6">
            <w:pPr>
              <w:pStyle w:val="AnnexNumberedText"/>
              <w:spacing w:after="0"/>
              <w:ind w:left="293" w:hanging="293"/>
            </w:pPr>
            <w:r>
              <w:t>3)</w:t>
            </w:r>
            <w:r>
              <w:tab/>
              <w:t>Bærekraftig bruk og beskyttelse av vann- og havressurser</w:t>
            </w:r>
          </w:p>
        </w:tc>
        <w:tc>
          <w:tcPr>
            <w:tcW w:w="6720" w:type="dxa"/>
            <w:tcMar>
              <w:top w:w="200" w:type="dxa"/>
              <w:bottom w:w="200" w:type="dxa"/>
              <w:right w:w="0" w:type="dxa"/>
            </w:tcMar>
          </w:tcPr>
          <w:p w14:paraId="413B0DB3" w14:textId="77777777" w:rsidR="006561BA" w:rsidRDefault="005B4ED6">
            <w:pPr>
              <w:pStyle w:val="AnnexTableCellLeft"/>
            </w:pPr>
            <w:r>
              <w:t>Aktiviteten oppfyller kriteriene fastsatt i tillegg B til dette vedlegget.</w:t>
            </w:r>
          </w:p>
        </w:tc>
      </w:tr>
      <w:tr w:rsidR="006561BA" w14:paraId="67908661" w14:textId="77777777">
        <w:tc>
          <w:tcPr>
            <w:tcW w:w="2508" w:type="dxa"/>
            <w:tcMar>
              <w:top w:w="200" w:type="dxa"/>
              <w:left w:w="0" w:type="dxa"/>
              <w:bottom w:w="200" w:type="dxa"/>
            </w:tcMar>
          </w:tcPr>
          <w:p w14:paraId="5D977885" w14:textId="77777777" w:rsidR="006561BA" w:rsidRDefault="005B4ED6">
            <w:pPr>
              <w:pStyle w:val="AnnexNumberedText"/>
              <w:spacing w:after="0"/>
              <w:ind w:left="293" w:hanging="293"/>
            </w:pPr>
            <w:r>
              <w:t>5)</w:t>
            </w:r>
            <w:r>
              <w:tab/>
              <w:t>Forebygging og begrensning av forurensning</w:t>
            </w:r>
          </w:p>
        </w:tc>
        <w:tc>
          <w:tcPr>
            <w:tcW w:w="6720" w:type="dxa"/>
            <w:tcMar>
              <w:top w:w="200" w:type="dxa"/>
              <w:bottom w:w="200" w:type="dxa"/>
              <w:right w:w="0" w:type="dxa"/>
            </w:tcMar>
          </w:tcPr>
          <w:p w14:paraId="16F76AB9" w14:textId="77777777" w:rsidR="006561BA" w:rsidRDefault="005B4ED6">
            <w:pPr>
              <w:pStyle w:val="AnnexTableCellLeft"/>
              <w:spacing w:after="200"/>
            </w:pPr>
            <w:r>
              <w:t>Aktiviteten oppfyller kriteriene fastsatt i tillegg C til dette vedlegget.</w:t>
            </w:r>
          </w:p>
          <w:p w14:paraId="2CC5FDF8" w14:textId="77777777" w:rsidR="006561BA" w:rsidRDefault="005B4ED6">
            <w:pPr>
              <w:pStyle w:val="AnnexTableCellLeft"/>
              <w:spacing w:after="200"/>
            </w:pPr>
            <w:r>
              <w:t xml:space="preserve">Reservedeler som installeres gjennom reparasjon, renovering eller </w:t>
            </w:r>
            <w:proofErr w:type="spellStart"/>
            <w:r>
              <w:t>refabrikasjon</w:t>
            </w:r>
            <w:proofErr w:type="spellEnd"/>
            <w:r>
              <w:t>, er i samsvar med alle relevante EU-regler om begrensning av bruken av farlige stoffer av generisk art eller med særlig relevans for denne produktkategorien, som for eksempel forordning (EF) nr. 1907/2006, direktiv 2011/65/EU og europaparlaments- og rådsdirektiv (EU) 2017/2102(</w:t>
            </w:r>
            <w:bookmarkStart w:id="225" w:name="NOTE_227"/>
            <w:r>
              <w:rPr>
                <w:rStyle w:val="FootnoteReference"/>
                <w:sz w:val="18"/>
              </w:rPr>
              <w:footnoteReference w:id="228"/>
            </w:r>
            <w:bookmarkEnd w:id="225"/>
            <w:r>
              <w:t>).</w:t>
            </w:r>
          </w:p>
          <w:p w14:paraId="42ACE6DD" w14:textId="77777777" w:rsidR="006561BA" w:rsidRDefault="005B4ED6">
            <w:pPr>
              <w:pStyle w:val="AnnexTableCellLeft"/>
              <w:spacing w:after="200"/>
            </w:pPr>
            <w:r>
              <w:t>For reparasjons- eller renoveringsaktiviteter får ikke disse kravene anvendelse på de originale komponentene som er bevart i produktet.</w:t>
            </w:r>
          </w:p>
          <w:p w14:paraId="7E2188F8" w14:textId="0FA16AAD" w:rsidR="006561BA" w:rsidRDefault="005B4ED6">
            <w:pPr>
              <w:pStyle w:val="AnnexTableCellLeft"/>
            </w:pPr>
            <w:r>
              <w:t>For anlegg som er omfattet av direktiv 2010/75/EU, ligger utslippene innenfor eller under de utslippsnivåene som er forbundet med de beste tilgjengelige teknikke</w:t>
            </w:r>
            <w:r w:rsidR="001E255E">
              <w:t>ne</w:t>
            </w:r>
            <w:r>
              <w:t xml:space="preserve"> (BAT-AEL), og som er angitt i de siste relevante konklusjonene om beste tilgjengelige teknikker (BAT-konklusjoner), og sikrer samtidig at det ikke forekommer noen betydelige tverrgående miljøvirkninger.</w:t>
            </w:r>
          </w:p>
        </w:tc>
      </w:tr>
      <w:tr w:rsidR="006561BA" w14:paraId="6689A6D8" w14:textId="77777777">
        <w:trPr>
          <w:trHeight w:val="360"/>
        </w:trPr>
        <w:tc>
          <w:tcPr>
            <w:tcW w:w="2508" w:type="dxa"/>
            <w:tcMar>
              <w:top w:w="200" w:type="dxa"/>
              <w:left w:w="0" w:type="dxa"/>
              <w:bottom w:w="200" w:type="dxa"/>
            </w:tcMar>
          </w:tcPr>
          <w:p w14:paraId="2E8033D8" w14:textId="77777777" w:rsidR="006561BA" w:rsidRDefault="005B4ED6">
            <w:pPr>
              <w:pStyle w:val="AnnexNumberedText"/>
              <w:pageBreakBefore/>
              <w:spacing w:after="0"/>
              <w:ind w:left="293" w:hanging="293"/>
            </w:pPr>
            <w:r>
              <w:lastRenderedPageBreak/>
              <w:t>6)</w:t>
            </w:r>
            <w:r>
              <w:tab/>
              <w:t>Beskyttelse og restaurering av biologisk mangfold og økosystemer</w:t>
            </w:r>
          </w:p>
        </w:tc>
        <w:tc>
          <w:tcPr>
            <w:tcW w:w="6720" w:type="dxa"/>
            <w:tcMar>
              <w:top w:w="200" w:type="dxa"/>
              <w:bottom w:w="200" w:type="dxa"/>
              <w:right w:w="0" w:type="dxa"/>
            </w:tcMar>
          </w:tcPr>
          <w:p w14:paraId="0751C1EF" w14:textId="77777777" w:rsidR="006561BA" w:rsidRDefault="005B4ED6">
            <w:pPr>
              <w:pStyle w:val="AnnexTableCellLeft"/>
            </w:pPr>
            <w:r>
              <w:t>Ikke relevant</w:t>
            </w:r>
          </w:p>
        </w:tc>
      </w:tr>
    </w:tbl>
    <w:p w14:paraId="49D28F13" w14:textId="77777777" w:rsidR="006561BA" w:rsidRDefault="005B4ED6">
      <w:pPr>
        <w:pStyle w:val="AnnexNumberedText"/>
        <w:spacing w:before="700" w:after="600"/>
        <w:ind w:left="414" w:hanging="414"/>
      </w:pPr>
      <w:r>
        <w:t>5.2.</w:t>
      </w:r>
      <w:r>
        <w:rPr>
          <w:b/>
        </w:rPr>
        <w:tab/>
        <w:t>Salg av reservedeler</w:t>
      </w:r>
    </w:p>
    <w:p w14:paraId="2DC7A73E" w14:textId="77777777" w:rsidR="006561BA" w:rsidRDefault="005B4ED6">
      <w:pPr>
        <w:pStyle w:val="AnnexGrSeq3"/>
        <w:spacing w:after="300"/>
        <w:jc w:val="both"/>
      </w:pPr>
      <w:r>
        <w:rPr>
          <w:i/>
        </w:rPr>
        <w:t>Beskrivelse av aktiviteten</w:t>
      </w:r>
    </w:p>
    <w:p w14:paraId="5F67B91B" w14:textId="77777777" w:rsidR="006561BA" w:rsidRDefault="005B4ED6">
      <w:pPr>
        <w:pStyle w:val="AnnexNormal"/>
        <w:spacing w:after="300"/>
      </w:pPr>
      <w:r>
        <w:t>Salg av reservedeler(</w:t>
      </w:r>
      <w:bookmarkStart w:id="226" w:name="NOTE_228"/>
      <w:r>
        <w:rPr>
          <w:rStyle w:val="FootnoteReference"/>
          <w:sz w:val="18"/>
        </w:rPr>
        <w:footnoteReference w:id="229"/>
      </w:r>
      <w:bookmarkEnd w:id="226"/>
      <w:r>
        <w:t>).</w:t>
      </w:r>
    </w:p>
    <w:p w14:paraId="29353ADE" w14:textId="77777777" w:rsidR="006561BA" w:rsidRDefault="005B4ED6">
      <w:pPr>
        <w:pStyle w:val="AnnexNormal"/>
        <w:spacing w:after="300"/>
      </w:pPr>
      <w:r>
        <w:t>Den økonomiske aktiviteten omfatter ikke utskifting av forbruksvarer, som for eksempel blekk, tonerkassetter, smøremidler for bevegelige deler eller batterier og vedlikehold.</w:t>
      </w:r>
    </w:p>
    <w:p w14:paraId="7A202C5D" w14:textId="77777777" w:rsidR="006561BA" w:rsidRDefault="005B4ED6">
      <w:pPr>
        <w:pStyle w:val="AnnexNormal"/>
        <w:spacing w:after="300"/>
      </w:pPr>
      <w:r>
        <w:t>Den økonomiske aktiviteten gjelder reservedeler som brukes i produkter som er framstilt av næringsgrener som klassifiseres i henhold til NACE-kodene C26 Produksjon av datamaskiner, elektroniske og optiske produkter, C27 Produksjon av elektrisk utstyr, C28.22 Produksjon av løfte- og håndteringsutstyr, C28.23 Produksjon av kontormaskiner og utstyr (unntatt datamaskiner og tilleggsutstyr), C28.24 Produksjon av motordrevet håndverktøy og C31 Produksjon av møbler.</w:t>
      </w:r>
    </w:p>
    <w:p w14:paraId="3F52E432" w14:textId="176EC141" w:rsidR="006561BA" w:rsidRDefault="005B4ED6">
      <w:pPr>
        <w:pStyle w:val="AnnexNormal"/>
        <w:spacing w:after="700"/>
      </w:pPr>
      <w:r>
        <w:t>De økonomiske aktivitetene i denne kategorien kan knyttes til flere NACE-koder, særlig G46 og</w:t>
      </w:r>
      <w:r w:rsidR="00F85824">
        <w:t xml:space="preserve"> </w:t>
      </w:r>
      <w:r>
        <w:t>G47</w:t>
      </w:r>
      <w:r w:rsidR="00F4544C">
        <w:t>,</w:t>
      </w:r>
      <w:r>
        <w:t xml:space="preserve"> i samsvar med standarden for næringsgruppering fastsatt ved forordning (EF) nr. 1893/2006.</w:t>
      </w:r>
    </w:p>
    <w:p w14:paraId="6A09281B" w14:textId="77777777" w:rsidR="006561BA" w:rsidRDefault="005B4ED6">
      <w:pPr>
        <w:pStyle w:val="AnnexGrSeq3"/>
        <w:spacing w:after="300"/>
        <w:jc w:val="both"/>
      </w:pPr>
      <w:r>
        <w:rPr>
          <w:i/>
        </w:rPr>
        <w:t>Tekniske screeningkriterier</w:t>
      </w:r>
    </w:p>
    <w:tbl>
      <w:tblPr>
        <w:tblStyle w:val="EFTATable"/>
        <w:tblW w:w="9228" w:type="dxa"/>
        <w:tblInd w:w="12" w:type="dxa"/>
        <w:tblLayout w:type="fixed"/>
        <w:tblLook w:val="04A0" w:firstRow="1" w:lastRow="0" w:firstColumn="1" w:lastColumn="0" w:noHBand="0" w:noVBand="1"/>
      </w:tblPr>
      <w:tblGrid>
        <w:gridCol w:w="2544"/>
        <w:gridCol w:w="6684"/>
      </w:tblGrid>
      <w:tr w:rsidR="006561BA" w14:paraId="4FF65458" w14:textId="77777777">
        <w:trPr>
          <w:trHeight w:val="240"/>
        </w:trPr>
        <w:tc>
          <w:tcPr>
            <w:tcW w:w="9228" w:type="dxa"/>
            <w:gridSpan w:val="2"/>
            <w:tcMar>
              <w:top w:w="200" w:type="dxa"/>
              <w:left w:w="0" w:type="dxa"/>
              <w:bottom w:w="200" w:type="dxa"/>
              <w:right w:w="0" w:type="dxa"/>
            </w:tcMar>
          </w:tcPr>
          <w:p w14:paraId="7C547AC2" w14:textId="77777777" w:rsidR="006561BA" w:rsidRDefault="005B4ED6">
            <w:pPr>
              <w:pStyle w:val="AnnexTableCellLeft"/>
            </w:pPr>
            <w:r>
              <w:t>Vesentlig bidrag til omstilling til en sirkulær økonomi</w:t>
            </w:r>
          </w:p>
        </w:tc>
      </w:tr>
      <w:tr w:rsidR="006561BA" w14:paraId="1BD0DE7A" w14:textId="77777777">
        <w:trPr>
          <w:trHeight w:val="360"/>
        </w:trPr>
        <w:tc>
          <w:tcPr>
            <w:tcW w:w="9228" w:type="dxa"/>
            <w:gridSpan w:val="2"/>
            <w:tcMar>
              <w:top w:w="200" w:type="dxa"/>
              <w:left w:w="0" w:type="dxa"/>
              <w:bottom w:w="200" w:type="dxa"/>
              <w:right w:w="0" w:type="dxa"/>
            </w:tcMar>
          </w:tcPr>
          <w:p w14:paraId="380E9527" w14:textId="77777777" w:rsidR="006561BA" w:rsidRDefault="005B4ED6">
            <w:pPr>
              <w:pStyle w:val="AnnexNumberedText"/>
              <w:tabs>
                <w:tab w:val="left" w:pos="287"/>
              </w:tabs>
              <w:ind w:left="0" w:firstLine="0"/>
            </w:pPr>
            <w:r>
              <w:t>1.</w:t>
            </w:r>
            <w:r>
              <w:tab/>
              <w:t>Den økonomiske aktiviteten består av salg av reservedeler som går utover de rettslige forpliktelsene.</w:t>
            </w:r>
          </w:p>
          <w:p w14:paraId="227CC333" w14:textId="77777777" w:rsidR="006561BA" w:rsidRDefault="005B4ED6">
            <w:pPr>
              <w:pStyle w:val="AnnexNumberedText"/>
              <w:tabs>
                <w:tab w:val="left" w:pos="287"/>
              </w:tabs>
              <w:ind w:left="0" w:firstLine="0"/>
            </w:pPr>
            <w:r>
              <w:t>2.</w:t>
            </w:r>
            <w:r>
              <w:tab/>
              <w:t>Den økonomiske aktiviteten oppfyller følgende kriterier:</w:t>
            </w:r>
          </w:p>
          <w:p w14:paraId="275940B0" w14:textId="77777777" w:rsidR="006561BA" w:rsidRDefault="005B4ED6">
            <w:pPr>
              <w:pStyle w:val="AnnexNumberedText"/>
              <w:ind w:left="293" w:hanging="293"/>
            </w:pPr>
            <w:r>
              <w:t>a)</w:t>
            </w:r>
            <w:r>
              <w:tab/>
              <w:t>Hver solgt reservedel er omfattet av en salgsavtale dersom det er relevant og i samsvar med bestemmelser om produktets samsvar, selgerens ansvar(</w:t>
            </w:r>
            <w:bookmarkStart w:id="227" w:name="NOTE_229"/>
            <w:r>
              <w:rPr>
                <w:rStyle w:val="FootnoteReference"/>
                <w:sz w:val="18"/>
              </w:rPr>
              <w:footnoteReference w:id="230"/>
            </w:r>
            <w:bookmarkEnd w:id="227"/>
            <w:r>
              <w:t>) (herunder muligheten for en kortere ansvarsperiode eller foreldelsesfrist for brukte produkter), bevisbyrde, klagemuligheter ved manglende samsvar, reglene for utøvelse av disse klagemulighetene, reparasjon eller erstatning av varene samt kommersielle garantier.</w:t>
            </w:r>
          </w:p>
          <w:p w14:paraId="26136C84" w14:textId="77777777" w:rsidR="006561BA" w:rsidRDefault="005B4ED6">
            <w:pPr>
              <w:pStyle w:val="AnnexNumberedText"/>
              <w:ind w:left="293" w:hanging="293"/>
            </w:pPr>
            <w:r>
              <w:t>b)</w:t>
            </w:r>
            <w:r>
              <w:tab/>
              <w:t>Hver solgt reservedel for et produkt erstatter, eller har til hensikt å erstatte i framtiden, en eksisterende del for å gjenopprette eller oppgradere produktets funksjonsdyktighet, særlig i tilfeller der den eksisterende delen er ødelagt.</w:t>
            </w:r>
          </w:p>
          <w:p w14:paraId="5236CFDB" w14:textId="77777777" w:rsidR="006561BA" w:rsidRDefault="005B4ED6">
            <w:pPr>
              <w:pStyle w:val="AnnexNumberedText"/>
              <w:tabs>
                <w:tab w:val="left" w:pos="287"/>
              </w:tabs>
              <w:spacing w:after="0"/>
              <w:ind w:left="0" w:firstLine="0"/>
            </w:pPr>
            <w:r>
              <w:t>3.</w:t>
            </w:r>
            <w:r>
              <w:tab/>
              <w:t>Dersom den økonomiske aktiviteten omfatter levering av emballerte produkter til kunder (fysisk person eller juridisk person), herunder når aktiviteten utøves som e-handel(</w:t>
            </w:r>
            <w:bookmarkStart w:id="228" w:name="NOTE_230"/>
            <w:r>
              <w:rPr>
                <w:rStyle w:val="FootnoteReference"/>
                <w:sz w:val="18"/>
              </w:rPr>
              <w:footnoteReference w:id="231"/>
            </w:r>
            <w:bookmarkEnd w:id="228"/>
            <w:r>
              <w:t>), oppfyller produktets primær- og sekundæremballasje et av følgende kriterier:</w:t>
            </w:r>
          </w:p>
        </w:tc>
      </w:tr>
      <w:tr w:rsidR="006561BA" w14:paraId="285F93CC" w14:textId="77777777">
        <w:trPr>
          <w:trHeight w:val="360"/>
        </w:trPr>
        <w:tc>
          <w:tcPr>
            <w:tcW w:w="9228" w:type="dxa"/>
            <w:gridSpan w:val="2"/>
            <w:tcMar>
              <w:top w:w="240" w:type="dxa"/>
              <w:left w:w="0" w:type="dxa"/>
              <w:bottom w:w="240" w:type="dxa"/>
              <w:right w:w="0" w:type="dxa"/>
            </w:tcMar>
          </w:tcPr>
          <w:p w14:paraId="36F3A099" w14:textId="20C316E4" w:rsidR="006561BA" w:rsidRDefault="005B4ED6">
            <w:pPr>
              <w:pStyle w:val="AnnexNumberedText"/>
              <w:pageBreakBefore/>
            </w:pPr>
            <w:r>
              <w:lastRenderedPageBreak/>
              <w:t>a)</w:t>
            </w:r>
            <w:r>
              <w:tab/>
              <w:t xml:space="preserve">Emballasjen består av minst 65 % </w:t>
            </w:r>
            <w:r w:rsidR="000E19DA">
              <w:t>material</w:t>
            </w:r>
            <w:r>
              <w:t xml:space="preserve">gjenvunne </w:t>
            </w:r>
            <w:r w:rsidR="00987D7E">
              <w:t>råvare</w:t>
            </w:r>
            <w:r w:rsidR="00AC22B9">
              <w:t>r</w:t>
            </w:r>
            <w:r>
              <w:t xml:space="preserve">. Dersom emballasjen er produsert av papir eller papp, er de gjenværende </w:t>
            </w:r>
            <w:r w:rsidR="00B804AF" w:rsidRPr="00B804AF">
              <w:t>primære råvare</w:t>
            </w:r>
            <w:r w:rsidR="00B804AF">
              <w:t>n</w:t>
            </w:r>
            <w:r w:rsidR="00E953BB">
              <w:t>e</w:t>
            </w:r>
            <w:r w:rsidR="00B804AF" w:rsidRPr="00B804AF">
              <w:t xml:space="preserve"> </w:t>
            </w:r>
            <w:r>
              <w:t xml:space="preserve">sertifisert av «Forest </w:t>
            </w:r>
            <w:proofErr w:type="spellStart"/>
            <w:r>
              <w:t>Stewardship</w:t>
            </w:r>
            <w:proofErr w:type="spellEnd"/>
            <w:r>
              <w:t xml:space="preserve"> Council» (FSC), «</w:t>
            </w:r>
            <w:proofErr w:type="spellStart"/>
            <w:r>
              <w:t>Programme</w:t>
            </w:r>
            <w:proofErr w:type="spellEnd"/>
            <w:r>
              <w:t xml:space="preserve"> for </w:t>
            </w:r>
            <w:proofErr w:type="spellStart"/>
            <w:r>
              <w:t>the</w:t>
            </w:r>
            <w:proofErr w:type="spellEnd"/>
            <w:r>
              <w:t xml:space="preserve"> </w:t>
            </w:r>
            <w:proofErr w:type="spellStart"/>
            <w:r>
              <w:t>Endorsement</w:t>
            </w:r>
            <w:proofErr w:type="spellEnd"/>
            <w:r>
              <w:t xml:space="preserve"> </w:t>
            </w:r>
            <w:proofErr w:type="spellStart"/>
            <w:r>
              <w:t>of</w:t>
            </w:r>
            <w:proofErr w:type="spellEnd"/>
            <w:r>
              <w:t xml:space="preserve"> Forest </w:t>
            </w:r>
            <w:proofErr w:type="spellStart"/>
            <w:r>
              <w:t>Certification</w:t>
            </w:r>
            <w:proofErr w:type="spellEnd"/>
            <w:r>
              <w:t xml:space="preserve"> </w:t>
            </w:r>
            <w:proofErr w:type="spellStart"/>
            <w:r>
              <w:t>Schemes</w:t>
            </w:r>
            <w:proofErr w:type="spellEnd"/>
            <w:r>
              <w:t xml:space="preserve">» (PEFC International) eller tilsvarende anerkjente ordninger. Belegg med plast eller metaller brukes ikke. Til plastemballasje brukes bare enkeltmaterialer uten belegg, halogenholdige </w:t>
            </w:r>
            <w:proofErr w:type="spellStart"/>
            <w:r>
              <w:t>polymerer</w:t>
            </w:r>
            <w:proofErr w:type="spellEnd"/>
            <w:r>
              <w:t xml:space="preserve"> brukes ikke. Det skal legges fram en samsvarserklæring med opplysninger om emballasjematerialets sammensetning og andelen av </w:t>
            </w:r>
            <w:r w:rsidR="007321E0">
              <w:t>material</w:t>
            </w:r>
            <w:r>
              <w:t xml:space="preserve">gjenvunne </w:t>
            </w:r>
            <w:r w:rsidR="003A0C08">
              <w:t>råvare</w:t>
            </w:r>
            <w:r w:rsidR="00A32C17">
              <w:t>r</w:t>
            </w:r>
            <w:r>
              <w:t xml:space="preserve"> og </w:t>
            </w:r>
            <w:r w:rsidR="007321E0" w:rsidRPr="007321E0">
              <w:t>primær</w:t>
            </w:r>
            <w:r w:rsidR="00CF682A">
              <w:t>e</w:t>
            </w:r>
            <w:r w:rsidR="007321E0" w:rsidRPr="007321E0">
              <w:t xml:space="preserve"> råvare</w:t>
            </w:r>
            <w:r w:rsidR="00A32C17">
              <w:t>r</w:t>
            </w:r>
            <w:r>
              <w:t>.</w:t>
            </w:r>
          </w:p>
          <w:p w14:paraId="3B64E2DA" w14:textId="77777777" w:rsidR="006561BA" w:rsidRDefault="005B4ED6">
            <w:pPr>
              <w:pStyle w:val="AnnexNumberedText"/>
              <w:spacing w:after="0"/>
            </w:pPr>
            <w:r>
              <w:t>b)</w:t>
            </w:r>
            <w:r>
              <w:tab/>
              <w:t xml:space="preserve">Emballasjen er utformet for å kunne </w:t>
            </w:r>
            <w:proofErr w:type="spellStart"/>
            <w:r>
              <w:t>ombrukes</w:t>
            </w:r>
            <w:proofErr w:type="spellEnd"/>
            <w:r>
              <w:t xml:space="preserve"> i et ombrukssystem(</w:t>
            </w:r>
            <w:bookmarkStart w:id="229" w:name="NOTE_231"/>
            <w:r>
              <w:rPr>
                <w:rStyle w:val="FootnoteReference"/>
                <w:sz w:val="18"/>
              </w:rPr>
              <w:footnoteReference w:id="232"/>
            </w:r>
            <w:bookmarkEnd w:id="229"/>
            <w:r>
              <w:t>). Systemet for ombruk er innrettet på en måte som sikrer muligheten for ombruk i et lukket eller åpent kretsløp.</w:t>
            </w:r>
          </w:p>
        </w:tc>
      </w:tr>
      <w:tr w:rsidR="006561BA" w14:paraId="58C70457" w14:textId="77777777">
        <w:trPr>
          <w:trHeight w:val="240"/>
        </w:trPr>
        <w:tc>
          <w:tcPr>
            <w:tcW w:w="9228" w:type="dxa"/>
            <w:gridSpan w:val="2"/>
            <w:tcMar>
              <w:top w:w="240" w:type="dxa"/>
              <w:left w:w="0" w:type="dxa"/>
              <w:bottom w:w="240" w:type="dxa"/>
              <w:right w:w="0" w:type="dxa"/>
            </w:tcMar>
          </w:tcPr>
          <w:p w14:paraId="75B5C156" w14:textId="77777777" w:rsidR="006561BA" w:rsidRDefault="005B4ED6">
            <w:pPr>
              <w:pStyle w:val="AnnexTableCellLeft"/>
            </w:pPr>
            <w:r>
              <w:t>Prinsippet om ikke å gjøre betydelig skade («DNSH»)</w:t>
            </w:r>
          </w:p>
        </w:tc>
      </w:tr>
      <w:tr w:rsidR="006561BA" w14:paraId="7F31993B" w14:textId="77777777">
        <w:tc>
          <w:tcPr>
            <w:tcW w:w="2544" w:type="dxa"/>
            <w:tcMar>
              <w:top w:w="240" w:type="dxa"/>
              <w:left w:w="0" w:type="dxa"/>
              <w:bottom w:w="240" w:type="dxa"/>
            </w:tcMar>
          </w:tcPr>
          <w:p w14:paraId="65FE606F" w14:textId="77777777" w:rsidR="006561BA" w:rsidRDefault="005B4ED6">
            <w:pPr>
              <w:pStyle w:val="AnnexNumberedText"/>
              <w:spacing w:after="0"/>
              <w:ind w:left="293" w:hanging="293"/>
            </w:pPr>
            <w:r>
              <w:t>1)</w:t>
            </w:r>
            <w:r>
              <w:tab/>
              <w:t>Begrensning av klimaendringer</w:t>
            </w:r>
          </w:p>
        </w:tc>
        <w:tc>
          <w:tcPr>
            <w:tcW w:w="6684" w:type="dxa"/>
            <w:tcMar>
              <w:top w:w="240" w:type="dxa"/>
              <w:bottom w:w="240" w:type="dxa"/>
              <w:right w:w="0" w:type="dxa"/>
            </w:tcMar>
          </w:tcPr>
          <w:p w14:paraId="6AC67291" w14:textId="77777777" w:rsidR="006561BA" w:rsidRDefault="005B4ED6">
            <w:pPr>
              <w:pStyle w:val="AnnexTableCellLeft"/>
              <w:spacing w:after="120"/>
            </w:pPr>
            <w:r>
              <w:t>Dersom aktiviteten omfatter produksjon av varme/kjøling eller kraftvarmeproduksjon, herunder elektrisitet, er de direkte klimagassutslippene fra aktiviteten lavere enn 270 gCO</w:t>
            </w:r>
            <w:r>
              <w:rPr>
                <w:vertAlign w:val="subscript"/>
              </w:rPr>
              <w:t>2</w:t>
            </w:r>
            <w:r>
              <w:t>e/kWh.</w:t>
            </w:r>
          </w:p>
          <w:p w14:paraId="5A260243" w14:textId="77777777" w:rsidR="006561BA" w:rsidRDefault="005B4ED6">
            <w:pPr>
              <w:pStyle w:val="AnnexTableCellLeft"/>
            </w:pPr>
            <w:r>
              <w:t>Aktiviteten utvikler en strategi for å ta høyde for og redusere klimagassutslippene fra transport i hele verdikjeden, herunder frakt og retur, i den utstrekning disse kan spores.</w:t>
            </w:r>
          </w:p>
        </w:tc>
      </w:tr>
      <w:tr w:rsidR="006561BA" w14:paraId="43F6951E" w14:textId="77777777">
        <w:tc>
          <w:tcPr>
            <w:tcW w:w="2544" w:type="dxa"/>
            <w:tcMar>
              <w:top w:w="240" w:type="dxa"/>
              <w:left w:w="0" w:type="dxa"/>
              <w:bottom w:w="240" w:type="dxa"/>
            </w:tcMar>
          </w:tcPr>
          <w:p w14:paraId="2CD064EB" w14:textId="77777777" w:rsidR="006561BA" w:rsidRDefault="005B4ED6">
            <w:pPr>
              <w:pStyle w:val="AnnexNumberedText"/>
              <w:spacing w:after="0"/>
              <w:ind w:left="293" w:hanging="293"/>
            </w:pPr>
            <w:r>
              <w:t>2)</w:t>
            </w:r>
            <w:r>
              <w:tab/>
              <w:t>Tilpasning til klimaendringer</w:t>
            </w:r>
          </w:p>
        </w:tc>
        <w:tc>
          <w:tcPr>
            <w:tcW w:w="6684" w:type="dxa"/>
            <w:tcMar>
              <w:top w:w="240" w:type="dxa"/>
              <w:bottom w:w="240" w:type="dxa"/>
              <w:right w:w="0" w:type="dxa"/>
            </w:tcMar>
          </w:tcPr>
          <w:p w14:paraId="51BC6835" w14:textId="77777777" w:rsidR="006561BA" w:rsidRDefault="005B4ED6">
            <w:pPr>
              <w:pStyle w:val="AnnexTableCellLeft"/>
            </w:pPr>
            <w:r>
              <w:t>Aktiviteten oppfyller kriteriene fastsatt i tillegg A til dette vedlegget.</w:t>
            </w:r>
          </w:p>
        </w:tc>
      </w:tr>
      <w:tr w:rsidR="006561BA" w14:paraId="02BD508C" w14:textId="77777777">
        <w:tc>
          <w:tcPr>
            <w:tcW w:w="2544" w:type="dxa"/>
            <w:tcMar>
              <w:top w:w="240" w:type="dxa"/>
              <w:left w:w="0" w:type="dxa"/>
              <w:bottom w:w="240" w:type="dxa"/>
            </w:tcMar>
          </w:tcPr>
          <w:p w14:paraId="65C36DE6" w14:textId="77777777" w:rsidR="006561BA" w:rsidRDefault="005B4ED6">
            <w:pPr>
              <w:pStyle w:val="AnnexNumberedText"/>
              <w:spacing w:after="0"/>
              <w:ind w:left="293" w:hanging="293"/>
            </w:pPr>
            <w:r>
              <w:t>3)</w:t>
            </w:r>
            <w:r>
              <w:tab/>
              <w:t>Bærekraftig bruk og beskyttelse av vann- og havressurser</w:t>
            </w:r>
          </w:p>
        </w:tc>
        <w:tc>
          <w:tcPr>
            <w:tcW w:w="6684" w:type="dxa"/>
            <w:tcMar>
              <w:top w:w="240" w:type="dxa"/>
              <w:bottom w:w="240" w:type="dxa"/>
              <w:right w:w="0" w:type="dxa"/>
            </w:tcMar>
          </w:tcPr>
          <w:p w14:paraId="155BEDC5" w14:textId="77777777" w:rsidR="006561BA" w:rsidRDefault="005B4ED6">
            <w:pPr>
              <w:pStyle w:val="AnnexTableCellLeft"/>
            </w:pPr>
            <w:r>
              <w:t>Aktiviteten oppfyller kriteriene fastsatt i tillegg B til dette vedlegget.</w:t>
            </w:r>
          </w:p>
        </w:tc>
      </w:tr>
      <w:tr w:rsidR="006561BA" w14:paraId="56A85B98" w14:textId="77777777">
        <w:tc>
          <w:tcPr>
            <w:tcW w:w="2544" w:type="dxa"/>
            <w:tcMar>
              <w:top w:w="240" w:type="dxa"/>
              <w:left w:w="0" w:type="dxa"/>
              <w:bottom w:w="240" w:type="dxa"/>
            </w:tcMar>
          </w:tcPr>
          <w:p w14:paraId="33C7C441" w14:textId="77777777" w:rsidR="006561BA" w:rsidRDefault="005B4ED6">
            <w:pPr>
              <w:pStyle w:val="AnnexNumberedText"/>
              <w:spacing w:after="0"/>
              <w:ind w:left="293" w:hanging="293"/>
            </w:pPr>
            <w:r>
              <w:t>5)</w:t>
            </w:r>
            <w:r>
              <w:tab/>
              <w:t>Forebygging og begrensning av forurensning</w:t>
            </w:r>
          </w:p>
        </w:tc>
        <w:tc>
          <w:tcPr>
            <w:tcW w:w="6684" w:type="dxa"/>
            <w:tcMar>
              <w:top w:w="240" w:type="dxa"/>
              <w:bottom w:w="240" w:type="dxa"/>
              <w:right w:w="0" w:type="dxa"/>
            </w:tcMar>
          </w:tcPr>
          <w:p w14:paraId="11C0D0B4" w14:textId="77777777" w:rsidR="006561BA" w:rsidRDefault="005B4ED6">
            <w:pPr>
              <w:pStyle w:val="AnnexTableCellLeft"/>
              <w:spacing w:after="120"/>
            </w:pPr>
            <w:r>
              <w:t>Aktiviteten oppfyller kriteriene fastsatt i tillegg C til dette vedlegget.</w:t>
            </w:r>
          </w:p>
          <w:p w14:paraId="2D1340C4" w14:textId="77777777" w:rsidR="006561BA" w:rsidRDefault="005B4ED6">
            <w:pPr>
              <w:pStyle w:val="AnnexTableCellLeft"/>
            </w:pPr>
            <w:r>
              <w:t>Solgte reservedeler som er i samsvar med alle relevante EU-regler om begrensning av bruken av farlige stoffer av generisk art eller med særlig relevans for denne produktkategorien, som for eksempel forordning (EF) nr. 1907/2006, direktiv 2011/65/EU og direktiv (EU) 2017/2102.</w:t>
            </w:r>
          </w:p>
        </w:tc>
      </w:tr>
      <w:tr w:rsidR="006561BA" w14:paraId="5DF21120" w14:textId="77777777">
        <w:tc>
          <w:tcPr>
            <w:tcW w:w="2544" w:type="dxa"/>
            <w:tcMar>
              <w:top w:w="240" w:type="dxa"/>
              <w:left w:w="0" w:type="dxa"/>
              <w:bottom w:w="240" w:type="dxa"/>
            </w:tcMar>
          </w:tcPr>
          <w:p w14:paraId="13CEBF7F" w14:textId="77777777" w:rsidR="006561BA" w:rsidRDefault="005B4ED6">
            <w:pPr>
              <w:pStyle w:val="AnnexNumberedText"/>
              <w:spacing w:after="0"/>
              <w:ind w:left="293" w:hanging="293"/>
            </w:pPr>
            <w:r>
              <w:t>6)</w:t>
            </w:r>
            <w:r>
              <w:tab/>
              <w:t>Beskyttelse og restaurering av biologisk mangfold og økosystemer</w:t>
            </w:r>
          </w:p>
        </w:tc>
        <w:tc>
          <w:tcPr>
            <w:tcW w:w="6684" w:type="dxa"/>
            <w:tcMar>
              <w:top w:w="240" w:type="dxa"/>
              <w:bottom w:w="240" w:type="dxa"/>
              <w:right w:w="0" w:type="dxa"/>
            </w:tcMar>
          </w:tcPr>
          <w:p w14:paraId="7D95267A" w14:textId="77777777" w:rsidR="006561BA" w:rsidRDefault="005B4ED6">
            <w:pPr>
              <w:pStyle w:val="AnnexTableCellLeft"/>
            </w:pPr>
            <w:r>
              <w:t>Ikke relevant</w:t>
            </w:r>
          </w:p>
        </w:tc>
      </w:tr>
    </w:tbl>
    <w:p w14:paraId="2A87EDBD" w14:textId="77777777" w:rsidR="006561BA" w:rsidRDefault="005B4ED6">
      <w:pPr>
        <w:pStyle w:val="AnnexNumberedText"/>
        <w:spacing w:before="600" w:after="600"/>
        <w:ind w:left="414" w:hanging="414"/>
      </w:pPr>
      <w:r>
        <w:t>5.3.</w:t>
      </w:r>
      <w:r>
        <w:rPr>
          <w:b/>
        </w:rPr>
        <w:tab/>
        <w:t>Forberedelse til ombruk av kasserte produkter og produktkomponenter</w:t>
      </w:r>
    </w:p>
    <w:p w14:paraId="3BB841D4" w14:textId="77777777" w:rsidR="006561BA" w:rsidRDefault="005B4ED6">
      <w:pPr>
        <w:pStyle w:val="AnnexGrSeq3"/>
        <w:jc w:val="both"/>
      </w:pPr>
      <w:r>
        <w:rPr>
          <w:i/>
        </w:rPr>
        <w:t>Beskrivelse av aktiviteten</w:t>
      </w:r>
    </w:p>
    <w:p w14:paraId="26C23783" w14:textId="14251356" w:rsidR="006561BA" w:rsidRDefault="005B4ED6">
      <w:pPr>
        <w:pStyle w:val="AnnexNormal"/>
      </w:pPr>
      <w:r>
        <w:t xml:space="preserve">Forberedelse til ombruk av produkter og komponenter når de er </w:t>
      </w:r>
      <w:r w:rsidR="0070387E">
        <w:t>uttjent</w:t>
      </w:r>
      <w:r>
        <w:t>e(</w:t>
      </w:r>
      <w:bookmarkStart w:id="230" w:name="NOTE_232"/>
      <w:r>
        <w:rPr>
          <w:rStyle w:val="FootnoteReference"/>
          <w:sz w:val="18"/>
        </w:rPr>
        <w:footnoteReference w:id="233"/>
      </w:r>
      <w:bookmarkEnd w:id="230"/>
      <w:r>
        <w:t>).</w:t>
      </w:r>
    </w:p>
    <w:p w14:paraId="03D859BC" w14:textId="77777777" w:rsidR="006561BA" w:rsidRDefault="005B4ED6">
      <w:pPr>
        <w:pStyle w:val="AnnexNormal"/>
      </w:pPr>
      <w:r>
        <w:t>Den økonomiske aktiviteten omfatter ikke reparasjonsaktiviteter som utføres i produktets bruksfase.</w:t>
      </w:r>
      <w:r>
        <w:br w:type="page"/>
      </w:r>
    </w:p>
    <w:p w14:paraId="1DF73D2B" w14:textId="09E96EB5" w:rsidR="006561BA" w:rsidRDefault="005B4ED6">
      <w:pPr>
        <w:pStyle w:val="AnnexNormal"/>
        <w:spacing w:after="400"/>
      </w:pPr>
      <w:r>
        <w:lastRenderedPageBreak/>
        <w:t>Den økonomiske aktiviteten gjelder produkter og deres komponenter som er framstilt av næringsgrener som klassifiseres i henhold til NACE-kodene C13 Produksjon av tekstiler, C14 Produksjon av klær, C15 Produksjon av lær og lærvarer, C16 Produksjon av trelast og varer av tre, kork, strå og flettematerialer, unntatt møbler, C18 Trykking og reproduksjon av innspilte opptak, C22 Produksjon av gummi- og plastprodukter, C23.3 Produksjon av byggevarer av brent leire, C23.4 Produksjon av andre porselensprodukter og keramiske produkter, C25.1 Produksjon av metallkonstruksjoner, C25.2 Produksjon av tanker, sisterner og andre beholdere av metall, C25.7 Produksjon av kjøkkenredskaper, skjære- og klipperedskaper, håndverktøy og andre jernvarer, C25.9 Produksjon av andre metallprodukter, C26 Produksjon av datamaskiner og elektroniske og optiske produkter, C27 Produksjon av elektrisk utstyr, C28.22 Produksjon av løfte- og håndteringsutstyr, C28.23 Produksjon av kontormaskiner og utstyr (unntatt datamaskiner og tilleggsutstyr), C28.24 Produksjon av motordrevet håndverktøy, C28.25 Produksjon av kjøle- og ventilasjonsanlegg, unntatt til husholdningsbruk, C28.93 Produksjon av maskiner og utstyr til nærings- og nytelsesmiddelindustri, C28.94 Produksjon av maskiner og utstyr til tekstil-, konfeksjons- og lærvareindustri, C28.95 Produksjon av maskiner og utstyr til papir- og pappvareindustri, C28.96 Produksjon av maskiner og utstyr til plast- og gummiindustri, C29 Produksjon av motorvogner og tilhengere, C30.1 Bygging av skip og båter, C30.2 Produksjon av lokomotiver og annet rullende materiell til jernbane og sporvei, C30.3 Produksjon av luftfartøyer og romfartøyer og lignende utstyr, C30.9 Produksjon av transportmidler ikke nevnt annet sted, C31 Produksjon av møbler og C32 Annen industriproduksjon.</w:t>
      </w:r>
    </w:p>
    <w:p w14:paraId="30F2531E" w14:textId="77777777" w:rsidR="006561BA" w:rsidRDefault="005B4ED6">
      <w:pPr>
        <w:pStyle w:val="AnnexNormal"/>
        <w:spacing w:after="1000"/>
      </w:pPr>
      <w:r>
        <w:t>De økonomiske aktivitetene i denne kategorien har ingen bestemt NACE-kode som omhandlet i standarden for næringsgruppering fastsatt ved forordning (EF) nr. 1893/2006.</w:t>
      </w:r>
    </w:p>
    <w:p w14:paraId="5B6B7E16" w14:textId="77777777" w:rsidR="006561BA" w:rsidRDefault="005B4ED6">
      <w:pPr>
        <w:pStyle w:val="AnnexGrSeq3"/>
        <w:spacing w:after="300"/>
        <w:jc w:val="both"/>
      </w:pPr>
      <w:r>
        <w:rPr>
          <w:i/>
        </w:rPr>
        <w:t>Tekniske screeningkriterier</w:t>
      </w:r>
    </w:p>
    <w:tbl>
      <w:tblPr>
        <w:tblStyle w:val="EFTATable"/>
        <w:tblW w:w="9228" w:type="dxa"/>
        <w:tblInd w:w="12" w:type="dxa"/>
        <w:tblLayout w:type="fixed"/>
        <w:tblLook w:val="04A0" w:firstRow="1" w:lastRow="0" w:firstColumn="1" w:lastColumn="0" w:noHBand="0" w:noVBand="1"/>
      </w:tblPr>
      <w:tblGrid>
        <w:gridCol w:w="2520"/>
        <w:gridCol w:w="6708"/>
      </w:tblGrid>
      <w:tr w:rsidR="006561BA" w14:paraId="7F8047AC" w14:textId="77777777">
        <w:trPr>
          <w:trHeight w:val="240"/>
        </w:trPr>
        <w:tc>
          <w:tcPr>
            <w:tcW w:w="9228" w:type="dxa"/>
            <w:gridSpan w:val="2"/>
            <w:tcMar>
              <w:top w:w="200" w:type="dxa"/>
              <w:left w:w="0" w:type="dxa"/>
              <w:bottom w:w="200" w:type="dxa"/>
              <w:right w:w="0" w:type="dxa"/>
            </w:tcMar>
          </w:tcPr>
          <w:p w14:paraId="45D10A2D" w14:textId="77777777" w:rsidR="006561BA" w:rsidRDefault="005B4ED6">
            <w:pPr>
              <w:pStyle w:val="AnnexTableCellLeft"/>
            </w:pPr>
            <w:r>
              <w:t>Vesentlig bidrag til omstilling til en sirkulær økonomi</w:t>
            </w:r>
          </w:p>
        </w:tc>
      </w:tr>
      <w:tr w:rsidR="006561BA" w14:paraId="767D6097" w14:textId="77777777">
        <w:trPr>
          <w:trHeight w:val="360"/>
        </w:trPr>
        <w:tc>
          <w:tcPr>
            <w:tcW w:w="9228" w:type="dxa"/>
            <w:gridSpan w:val="2"/>
            <w:tcMar>
              <w:top w:w="200" w:type="dxa"/>
              <w:left w:w="0" w:type="dxa"/>
              <w:bottom w:w="200" w:type="dxa"/>
              <w:right w:w="0" w:type="dxa"/>
            </w:tcMar>
          </w:tcPr>
          <w:p w14:paraId="774A7DD4" w14:textId="77777777" w:rsidR="006561BA" w:rsidRDefault="005B4ED6">
            <w:pPr>
              <w:pStyle w:val="AnnexNumberedText"/>
              <w:tabs>
                <w:tab w:val="left" w:pos="276"/>
              </w:tabs>
              <w:spacing w:after="200"/>
              <w:ind w:left="0" w:firstLine="0"/>
            </w:pPr>
            <w:r>
              <w:t>1.</w:t>
            </w:r>
            <w:r>
              <w:tab/>
              <w:t xml:space="preserve">Aktiviteten innebærer forberedelse til ombruk av produkter eller komponenter av produkter som er blitt til avfall, slik at de kan </w:t>
            </w:r>
            <w:proofErr w:type="spellStart"/>
            <w:r>
              <w:t>ombrukes</w:t>
            </w:r>
            <w:proofErr w:type="spellEnd"/>
            <w:r>
              <w:t xml:space="preserve"> uten annen forbehandling.</w:t>
            </w:r>
          </w:p>
          <w:p w14:paraId="7FCA2107" w14:textId="77777777" w:rsidR="006561BA" w:rsidRDefault="005B4ED6">
            <w:pPr>
              <w:pStyle w:val="AnnexNumberedText"/>
              <w:tabs>
                <w:tab w:val="left" w:pos="276"/>
              </w:tabs>
              <w:spacing w:after="200"/>
              <w:ind w:left="0" w:firstLine="0"/>
            </w:pPr>
            <w:r>
              <w:t>2.</w:t>
            </w:r>
            <w:r>
              <w:tab/>
              <w:t>Aktivitetens råvarer fra avfall kommer fra separat innsamlet og transportert avfall i kildesorterte eller blandede fraksjoner(</w:t>
            </w:r>
            <w:bookmarkStart w:id="231" w:name="NOTE_233"/>
            <w:r>
              <w:rPr>
                <w:rStyle w:val="FootnoteReference"/>
                <w:sz w:val="18"/>
              </w:rPr>
              <w:footnoteReference w:id="234"/>
            </w:r>
            <w:bookmarkEnd w:id="231"/>
            <w:r>
              <w:t>).</w:t>
            </w:r>
          </w:p>
          <w:p w14:paraId="086202DB" w14:textId="77777777" w:rsidR="006561BA" w:rsidRDefault="005B4ED6">
            <w:pPr>
              <w:pStyle w:val="AnnexNumberedText"/>
              <w:tabs>
                <w:tab w:val="left" w:pos="276"/>
              </w:tabs>
              <w:spacing w:after="200"/>
              <w:ind w:left="0" w:firstLine="0"/>
            </w:pPr>
            <w:r>
              <w:t>3.</w:t>
            </w:r>
            <w:r>
              <w:tab/>
              <w:t>Aktiviteten har gjennomført godkjennings-, sikkerhets- og inspeksjonsprosedyrer som oppfyller følgende kriterier:</w:t>
            </w:r>
          </w:p>
          <w:p w14:paraId="33144208" w14:textId="30995543" w:rsidR="006561BA" w:rsidRDefault="005B4ED6">
            <w:pPr>
              <w:pStyle w:val="AnnexNumberedText"/>
              <w:spacing w:after="200"/>
              <w:ind w:left="293" w:hanging="293"/>
            </w:pPr>
            <w:r>
              <w:t>a)</w:t>
            </w:r>
            <w:r>
              <w:tab/>
              <w:t xml:space="preserve">Det er innført en prosedyre for å kontrollere egnetheten med henblikk på forberedelse til ombruk eller materialgjenvinning, og av at aktiviteten gjennomfører en offentlig tilgjengelig avfallshåndteringsplan, som sikrer at kasserte </w:t>
            </w:r>
            <w:r w:rsidR="0070387E">
              <w:t>uttjent</w:t>
            </w:r>
            <w:r>
              <w:t xml:space="preserve">e produkter som ikke er egnet til ombruk (på grunn av skader, forringelse eller farlige stoffer), sendes til </w:t>
            </w:r>
            <w:r w:rsidR="007A0C6F">
              <w:t>material</w:t>
            </w:r>
            <w:r>
              <w:t>gjenvinning eller, bare dersom ombruk og materialgjenvinning ikke lar seg gjennomføre, sluttbehandles.</w:t>
            </w:r>
          </w:p>
          <w:p w14:paraId="2B3608C5" w14:textId="35AD032E" w:rsidR="006561BA" w:rsidRDefault="005B4ED6">
            <w:pPr>
              <w:pStyle w:val="AnnexNumberedText"/>
              <w:spacing w:after="200"/>
              <w:ind w:left="293" w:hanging="293"/>
            </w:pPr>
            <w:r>
              <w:t>b)</w:t>
            </w:r>
            <w:r>
              <w:tab/>
              <w:t xml:space="preserve">Den prosedyren som kan baseres på visuell eller manuell ekstern inspeksjon ut fra forhåndsfastsatte kriterier, passer til kategorien av kasserte </w:t>
            </w:r>
            <w:r w:rsidR="0070387E">
              <w:t>uttjent</w:t>
            </w:r>
            <w:r>
              <w:t>e produkter, som forberedes til ombruk.</w:t>
            </w:r>
          </w:p>
          <w:p w14:paraId="52FB3B91" w14:textId="7D5F4A94" w:rsidR="006561BA" w:rsidRDefault="005B4ED6">
            <w:pPr>
              <w:pStyle w:val="AnnexNumberedText"/>
              <w:spacing w:after="200"/>
              <w:ind w:left="293" w:hanging="293"/>
            </w:pPr>
            <w:r>
              <w:t>c)</w:t>
            </w:r>
            <w:r>
              <w:tab/>
              <w:t xml:space="preserve">Det tilbys egnet opplæring, og det sikres at ombruksaktørene er kvalifisert for forberedelse til ombruk av de aktuelle kasserte </w:t>
            </w:r>
            <w:r w:rsidR="0070387E">
              <w:t>uttjent</w:t>
            </w:r>
            <w:r>
              <w:t>e produktene.</w:t>
            </w:r>
          </w:p>
          <w:p w14:paraId="0B2906E4" w14:textId="30901E08" w:rsidR="006561BA" w:rsidRDefault="005B4ED6">
            <w:pPr>
              <w:pStyle w:val="AnnexNumberedText"/>
              <w:tabs>
                <w:tab w:val="left" w:pos="276"/>
              </w:tabs>
              <w:spacing w:after="200"/>
              <w:ind w:left="0" w:firstLine="0"/>
            </w:pPr>
            <w:r>
              <w:t>4.</w:t>
            </w:r>
            <w:r>
              <w:tab/>
              <w:t xml:space="preserve">Aktiviteten innebærer bruk av verktøyer og utstyr som er egnet til forberedelse til ombruk av kasserte </w:t>
            </w:r>
            <w:r w:rsidR="0070387E">
              <w:t>uttjent</w:t>
            </w:r>
            <w:r>
              <w:t>e produkter.</w:t>
            </w:r>
          </w:p>
          <w:p w14:paraId="3FFA0ACE" w14:textId="77777777" w:rsidR="006561BA" w:rsidRDefault="005B4ED6">
            <w:pPr>
              <w:pStyle w:val="AnnexNumberedText"/>
              <w:tabs>
                <w:tab w:val="left" w:pos="276"/>
              </w:tabs>
              <w:spacing w:after="0"/>
              <w:ind w:left="0" w:firstLine="0"/>
            </w:pPr>
            <w:r>
              <w:t>5.</w:t>
            </w:r>
            <w:r>
              <w:tab/>
              <w:t>Aktiviteten har et system for rapportering av utnyttingsgrad og, når det er aktuelt, mål for forberedelse til ombruk eller materialgjenvinning som fastsatt i unionsretten eller nasjonal rett.</w:t>
            </w:r>
          </w:p>
        </w:tc>
      </w:tr>
      <w:tr w:rsidR="006561BA" w14:paraId="0770E90E" w14:textId="77777777">
        <w:trPr>
          <w:trHeight w:val="360"/>
        </w:trPr>
        <w:tc>
          <w:tcPr>
            <w:tcW w:w="9228" w:type="dxa"/>
            <w:gridSpan w:val="2"/>
            <w:tcMar>
              <w:top w:w="200" w:type="dxa"/>
              <w:left w:w="0" w:type="dxa"/>
              <w:bottom w:w="200" w:type="dxa"/>
              <w:right w:w="0" w:type="dxa"/>
            </w:tcMar>
          </w:tcPr>
          <w:p w14:paraId="42EF864E" w14:textId="77777777" w:rsidR="006561BA" w:rsidRDefault="005B4ED6">
            <w:pPr>
              <w:pStyle w:val="AnnexNumberedText"/>
              <w:pageBreakBefore/>
              <w:tabs>
                <w:tab w:val="left" w:pos="276"/>
              </w:tabs>
              <w:ind w:left="0" w:firstLine="0"/>
            </w:pPr>
            <w:r>
              <w:lastRenderedPageBreak/>
              <w:t>6.</w:t>
            </w:r>
            <w:r>
              <w:tab/>
              <w:t>Aktiviteten oppfyller følgende kriterier:</w:t>
            </w:r>
          </w:p>
          <w:p w14:paraId="7A002524" w14:textId="77777777" w:rsidR="006561BA" w:rsidRDefault="005B4ED6">
            <w:pPr>
              <w:pStyle w:val="AnnexNumberedText"/>
              <w:pageBreakBefore/>
              <w:ind w:left="293" w:hanging="293"/>
            </w:pPr>
            <w:r>
              <w:t>a)</w:t>
            </w:r>
            <w:r>
              <w:tab/>
              <w:t>Resultatet av aktiviteten er produkter eller komponenter av produkter som er egnet for ombruk uten annen behandling.</w:t>
            </w:r>
          </w:p>
          <w:p w14:paraId="729DC8DE" w14:textId="77777777" w:rsidR="006561BA" w:rsidRDefault="005B4ED6">
            <w:pPr>
              <w:pStyle w:val="AnnexNumberedText"/>
              <w:pageBreakBefore/>
              <w:ind w:left="293" w:hanging="293"/>
            </w:pPr>
            <w:r>
              <w:t>b)</w:t>
            </w:r>
            <w:r>
              <w:tab/>
              <w:t>Solgte varer er omfattet av en salgsavtale dersom det er relevant og i samsvar med bestemmelser om produktets samsvar, selgerens ansvar(</w:t>
            </w:r>
            <w:bookmarkStart w:id="232" w:name="NOTE_234"/>
            <w:r>
              <w:rPr>
                <w:rStyle w:val="FootnoteReference"/>
                <w:sz w:val="18"/>
              </w:rPr>
              <w:footnoteReference w:id="235"/>
            </w:r>
            <w:bookmarkEnd w:id="232"/>
            <w:r>
              <w:t>) (herunder muligheten for en kortere ansvarsperiode eller foreldelsesfrist for brukte produkter), bevisbyrde, klagemuligheter ved manglende samsvar, reglene for utøvelse av disse klagemulighetene, reparasjon eller erstatning av varene samt kommersielle garantier.</w:t>
            </w:r>
          </w:p>
          <w:p w14:paraId="2A2FD0FB" w14:textId="77777777" w:rsidR="006561BA" w:rsidRDefault="005B4ED6">
            <w:pPr>
              <w:pStyle w:val="AnnexNumberedText"/>
              <w:pageBreakBefore/>
              <w:tabs>
                <w:tab w:val="left" w:pos="276"/>
              </w:tabs>
              <w:spacing w:after="0"/>
              <w:ind w:left="0" w:firstLine="0"/>
            </w:pPr>
            <w:r>
              <w:t>7.</w:t>
            </w:r>
            <w:r>
              <w:tab/>
              <w:t>Med henblikk på forberedelse til ombruk av avfall fra elektrisk og elektronisk utstyr (WEEE) har den økonomiske aktiviteten tillatelse til å behandle avfall og gjennomføre en miljøstyringsordning ved hjelp av ISO 14001:2015(</w:t>
            </w:r>
            <w:bookmarkStart w:id="233" w:name="NOTE_235"/>
            <w:r>
              <w:rPr>
                <w:rStyle w:val="FootnoteReference"/>
                <w:sz w:val="18"/>
              </w:rPr>
              <w:footnoteReference w:id="236"/>
            </w:r>
            <w:bookmarkEnd w:id="233"/>
            <w:r>
              <w:t>), fellesskapsordningen for miljøstyring og miljørevisjon (EMAS) i samsvar med europaparlaments- og rådsforordning (EF) nr. 1221/2009(</w:t>
            </w:r>
            <w:bookmarkStart w:id="234" w:name="NOTE_236"/>
            <w:r>
              <w:rPr>
                <w:rStyle w:val="FootnoteReference"/>
                <w:sz w:val="18"/>
              </w:rPr>
              <w:footnoteReference w:id="237"/>
            </w:r>
            <w:bookmarkEnd w:id="234"/>
            <w:r>
              <w:t>) eller tilsvarende og et kvalitetsstyringssystem ved hjelp av ISO 9001:2015(</w:t>
            </w:r>
            <w:bookmarkStart w:id="235" w:name="NOTE_237"/>
            <w:r>
              <w:rPr>
                <w:rStyle w:val="FootnoteReference"/>
                <w:sz w:val="18"/>
              </w:rPr>
              <w:footnoteReference w:id="238"/>
            </w:r>
            <w:bookmarkEnd w:id="235"/>
            <w:r>
              <w:t>).</w:t>
            </w:r>
          </w:p>
        </w:tc>
      </w:tr>
      <w:tr w:rsidR="006561BA" w14:paraId="2D370A52" w14:textId="77777777">
        <w:trPr>
          <w:trHeight w:val="240"/>
        </w:trPr>
        <w:tc>
          <w:tcPr>
            <w:tcW w:w="9228" w:type="dxa"/>
            <w:gridSpan w:val="2"/>
            <w:tcMar>
              <w:top w:w="200" w:type="dxa"/>
              <w:left w:w="0" w:type="dxa"/>
              <w:bottom w:w="200" w:type="dxa"/>
              <w:right w:w="0" w:type="dxa"/>
            </w:tcMar>
          </w:tcPr>
          <w:p w14:paraId="11A97696" w14:textId="77777777" w:rsidR="006561BA" w:rsidRDefault="005B4ED6">
            <w:pPr>
              <w:pStyle w:val="AnnexTableCellLeft"/>
            </w:pPr>
            <w:r>
              <w:t>Prinsippet om ikke å gjøre betydelig skade («DNSH»)</w:t>
            </w:r>
          </w:p>
        </w:tc>
      </w:tr>
      <w:tr w:rsidR="006561BA" w14:paraId="6E7352FB" w14:textId="77777777">
        <w:tc>
          <w:tcPr>
            <w:tcW w:w="2520" w:type="dxa"/>
            <w:tcMar>
              <w:top w:w="200" w:type="dxa"/>
              <w:left w:w="0" w:type="dxa"/>
              <w:bottom w:w="200" w:type="dxa"/>
            </w:tcMar>
          </w:tcPr>
          <w:p w14:paraId="3393BD9D" w14:textId="77777777" w:rsidR="006561BA" w:rsidRDefault="005B4ED6">
            <w:pPr>
              <w:pStyle w:val="AnnexNumberedText"/>
              <w:spacing w:after="0"/>
              <w:ind w:left="293" w:hanging="293"/>
            </w:pPr>
            <w:r>
              <w:t>1)</w:t>
            </w:r>
            <w:r>
              <w:tab/>
              <w:t>Begrensning av klimaendringer</w:t>
            </w:r>
          </w:p>
        </w:tc>
        <w:tc>
          <w:tcPr>
            <w:tcW w:w="6708" w:type="dxa"/>
            <w:tcMar>
              <w:top w:w="200" w:type="dxa"/>
              <w:bottom w:w="200" w:type="dxa"/>
              <w:right w:w="0" w:type="dxa"/>
            </w:tcMar>
          </w:tcPr>
          <w:p w14:paraId="45DDF0FF" w14:textId="77777777" w:rsidR="006561BA" w:rsidRDefault="005B4ED6">
            <w:pPr>
              <w:pStyle w:val="AnnexTableCellLeft"/>
            </w:pPr>
            <w:r>
              <w:t>Dersom aktiviteten omfatter produksjon av varme/kjøling eller kraftvarmeproduksjon, herunder elektrisitet, er de direkte klimagassutslippene fra aktiviteten lavere enn 270 gCO</w:t>
            </w:r>
            <w:r>
              <w:rPr>
                <w:vertAlign w:val="subscript"/>
              </w:rPr>
              <w:t>2</w:t>
            </w:r>
            <w:r>
              <w:t>e/kWh.</w:t>
            </w:r>
          </w:p>
        </w:tc>
      </w:tr>
      <w:tr w:rsidR="006561BA" w14:paraId="13FF0FF1" w14:textId="77777777">
        <w:tc>
          <w:tcPr>
            <w:tcW w:w="2520" w:type="dxa"/>
            <w:tcMar>
              <w:top w:w="200" w:type="dxa"/>
              <w:left w:w="0" w:type="dxa"/>
              <w:bottom w:w="200" w:type="dxa"/>
            </w:tcMar>
          </w:tcPr>
          <w:p w14:paraId="59435A0C" w14:textId="77777777" w:rsidR="006561BA" w:rsidRDefault="005B4ED6">
            <w:pPr>
              <w:pStyle w:val="AnnexNumberedText"/>
              <w:spacing w:after="0"/>
              <w:ind w:left="293" w:hanging="293"/>
            </w:pPr>
            <w:r>
              <w:t>2)</w:t>
            </w:r>
            <w:r>
              <w:tab/>
              <w:t>Tilpasning til klimaendringer</w:t>
            </w:r>
          </w:p>
        </w:tc>
        <w:tc>
          <w:tcPr>
            <w:tcW w:w="6708" w:type="dxa"/>
            <w:tcMar>
              <w:top w:w="200" w:type="dxa"/>
              <w:bottom w:w="200" w:type="dxa"/>
              <w:right w:w="0" w:type="dxa"/>
            </w:tcMar>
          </w:tcPr>
          <w:p w14:paraId="07E269BC" w14:textId="77777777" w:rsidR="006561BA" w:rsidRDefault="005B4ED6">
            <w:pPr>
              <w:pStyle w:val="AnnexTableCellLeft"/>
            </w:pPr>
            <w:r>
              <w:t>Aktiviteten oppfyller kriteriene fastsatt i tillegg A til dette vedlegget.</w:t>
            </w:r>
          </w:p>
        </w:tc>
      </w:tr>
      <w:tr w:rsidR="006561BA" w14:paraId="187FB1AF" w14:textId="77777777">
        <w:tc>
          <w:tcPr>
            <w:tcW w:w="2520" w:type="dxa"/>
            <w:tcMar>
              <w:top w:w="200" w:type="dxa"/>
              <w:left w:w="0" w:type="dxa"/>
              <w:bottom w:w="200" w:type="dxa"/>
            </w:tcMar>
          </w:tcPr>
          <w:p w14:paraId="3B133E55" w14:textId="77777777" w:rsidR="006561BA" w:rsidRDefault="005B4ED6">
            <w:pPr>
              <w:pStyle w:val="AnnexNumberedText"/>
              <w:spacing w:after="0"/>
              <w:ind w:left="293" w:hanging="293"/>
            </w:pPr>
            <w:r>
              <w:t>3)</w:t>
            </w:r>
            <w:r>
              <w:tab/>
              <w:t>Bærekraftig bruk og beskyttelse av vann- og havressurser</w:t>
            </w:r>
          </w:p>
        </w:tc>
        <w:tc>
          <w:tcPr>
            <w:tcW w:w="6708" w:type="dxa"/>
            <w:tcMar>
              <w:top w:w="200" w:type="dxa"/>
              <w:bottom w:w="200" w:type="dxa"/>
              <w:right w:w="0" w:type="dxa"/>
            </w:tcMar>
          </w:tcPr>
          <w:p w14:paraId="6C4B1C0B" w14:textId="77777777" w:rsidR="006561BA" w:rsidRDefault="005B4ED6">
            <w:pPr>
              <w:pStyle w:val="AnnexTableCellLeft"/>
            </w:pPr>
            <w:r>
              <w:t>Aktiviteten oppfyller kriteriene fastsatt i tillegg B til dette vedlegget.</w:t>
            </w:r>
          </w:p>
        </w:tc>
      </w:tr>
      <w:tr w:rsidR="006561BA" w14:paraId="7CC0A164" w14:textId="77777777">
        <w:tc>
          <w:tcPr>
            <w:tcW w:w="2520" w:type="dxa"/>
            <w:tcMar>
              <w:top w:w="200" w:type="dxa"/>
              <w:left w:w="0" w:type="dxa"/>
              <w:bottom w:w="200" w:type="dxa"/>
            </w:tcMar>
          </w:tcPr>
          <w:p w14:paraId="75D03866" w14:textId="77777777" w:rsidR="006561BA" w:rsidRDefault="005B4ED6">
            <w:pPr>
              <w:pStyle w:val="AnnexNumberedText"/>
              <w:spacing w:after="0"/>
              <w:ind w:left="293" w:hanging="293"/>
            </w:pPr>
            <w:r>
              <w:t>5)</w:t>
            </w:r>
            <w:r>
              <w:tab/>
              <w:t>Forebygging og begrensning av forurensning</w:t>
            </w:r>
          </w:p>
        </w:tc>
        <w:tc>
          <w:tcPr>
            <w:tcW w:w="6708" w:type="dxa"/>
            <w:tcMar>
              <w:top w:w="200" w:type="dxa"/>
              <w:bottom w:w="200" w:type="dxa"/>
              <w:right w:w="0" w:type="dxa"/>
            </w:tcMar>
          </w:tcPr>
          <w:p w14:paraId="5010993D" w14:textId="77777777" w:rsidR="006561BA" w:rsidRDefault="005B4ED6">
            <w:pPr>
              <w:pStyle w:val="AnnexTableCellLeft"/>
              <w:spacing w:after="120"/>
            </w:pPr>
            <w:r>
              <w:t>Aktiviteten oppfyller kriteriene fastsatt i tillegg C til dette vedlegget.</w:t>
            </w:r>
          </w:p>
          <w:p w14:paraId="27D3A07D" w14:textId="77777777" w:rsidR="006561BA" w:rsidRDefault="005B4ED6">
            <w:pPr>
              <w:pStyle w:val="AnnexTableCellLeft"/>
            </w:pPr>
            <w:r>
              <w:t>Aktiviteten gjennomfører sikkerhetsprosedyrer som er nødvendige for å beskytte helse og sikkerhet for de arbeidstakere som utfører forberedelser til ombruk.</w:t>
            </w:r>
          </w:p>
        </w:tc>
      </w:tr>
      <w:tr w:rsidR="006561BA" w14:paraId="4D4E9FFD" w14:textId="77777777">
        <w:tc>
          <w:tcPr>
            <w:tcW w:w="2520" w:type="dxa"/>
            <w:tcMar>
              <w:top w:w="200" w:type="dxa"/>
              <w:left w:w="0" w:type="dxa"/>
              <w:bottom w:w="200" w:type="dxa"/>
            </w:tcMar>
          </w:tcPr>
          <w:p w14:paraId="04FC6C32" w14:textId="77777777" w:rsidR="006561BA" w:rsidRDefault="005B4ED6">
            <w:pPr>
              <w:pStyle w:val="AnnexNumberedText"/>
              <w:spacing w:after="0"/>
              <w:ind w:left="293" w:hanging="293"/>
            </w:pPr>
            <w:r>
              <w:t>6)</w:t>
            </w:r>
            <w:r>
              <w:tab/>
              <w:t>Beskyttelse og restaurering av biologisk mangfold og økosystemer</w:t>
            </w:r>
          </w:p>
        </w:tc>
        <w:tc>
          <w:tcPr>
            <w:tcW w:w="6708" w:type="dxa"/>
            <w:tcMar>
              <w:top w:w="200" w:type="dxa"/>
              <w:bottom w:w="200" w:type="dxa"/>
              <w:right w:w="0" w:type="dxa"/>
            </w:tcMar>
          </w:tcPr>
          <w:p w14:paraId="62CF7F2C" w14:textId="77777777" w:rsidR="006561BA" w:rsidRDefault="005B4ED6">
            <w:pPr>
              <w:pStyle w:val="AnnexTableCellLeft"/>
            </w:pPr>
            <w:r>
              <w:t>Ikke relevant</w:t>
            </w:r>
          </w:p>
        </w:tc>
      </w:tr>
    </w:tbl>
    <w:p w14:paraId="5C5C810E" w14:textId="77777777" w:rsidR="006561BA" w:rsidRDefault="005B4ED6">
      <w:pPr>
        <w:pStyle w:val="AnnexNumberedText"/>
        <w:spacing w:before="400" w:after="300"/>
        <w:ind w:left="414" w:hanging="414"/>
      </w:pPr>
      <w:r>
        <w:t>5.4.</w:t>
      </w:r>
      <w:r>
        <w:rPr>
          <w:b/>
        </w:rPr>
        <w:tab/>
        <w:t>Salg av brukte varer</w:t>
      </w:r>
    </w:p>
    <w:p w14:paraId="63CFCF40" w14:textId="77777777" w:rsidR="006561BA" w:rsidRDefault="005B4ED6">
      <w:pPr>
        <w:pStyle w:val="AnnexGrSeq3"/>
        <w:spacing w:after="300"/>
        <w:jc w:val="both"/>
      </w:pPr>
      <w:r>
        <w:rPr>
          <w:i/>
        </w:rPr>
        <w:t>Beskrivelse av aktiviteten</w:t>
      </w:r>
    </w:p>
    <w:p w14:paraId="364EA9EF" w14:textId="77777777" w:rsidR="006561BA" w:rsidRDefault="005B4ED6">
      <w:pPr>
        <w:pStyle w:val="AnnexNormal"/>
        <w:spacing w:after="0"/>
      </w:pPr>
      <w:r>
        <w:t xml:space="preserve">Salg av brukte varer som en kunde (fysisk person eller juridisk person) tidligere har brukt til sitt tiltenkte bruksområde, eventuelt etter reparasjon, renovering eller </w:t>
      </w:r>
      <w:proofErr w:type="spellStart"/>
      <w:r>
        <w:t>refabrikasjon</w:t>
      </w:r>
      <w:proofErr w:type="spellEnd"/>
      <w:r>
        <w:t>.</w:t>
      </w:r>
      <w:r>
        <w:br w:type="page"/>
      </w:r>
    </w:p>
    <w:p w14:paraId="02DA0DF2" w14:textId="5B48D8E3" w:rsidR="006561BA" w:rsidRDefault="005B4ED6">
      <w:pPr>
        <w:pStyle w:val="AnnexNormal"/>
        <w:spacing w:after="400"/>
      </w:pPr>
      <w:r>
        <w:lastRenderedPageBreak/>
        <w:t>Den økonomiske aktiviteten gjelder produkter som er framstilt av næringsgrener som klassifiseres i henhold til NACE-kodene C13 Produksjon av tekstiler, C14 Produksjon av klær, C15 Produksjon av lær og lærvarer, C16 Produksjon av trelast og varer av tre, kork, strå og flettematerialer, unntatt møbler, C18 Trykking og reproduksjon av innspilte opptak, C22 Produksjon av gummi- og plastprodukter, C23.3 Produksjon av byggevarer av brent leire, C23.4 Produksjon av andre porselensprodukter og keramiske produkter, C25.1 Produksjon av metallkonstruksjoner, C25.2 Produksjon av tanker, sisterner og andre beholdere av metall, C25.7 Produksjon av kjøkkenredskaper, skjære- og klipperedskaper, håndverktøy og andre jernvarer, C25.9 Produksjon av andre metallprodukter, C26 Produksjon av datamaskiner og elektroniske og optiske produkter, C27 Produksjon av elektrisk utstyr, C28.22 Produksjon av løfte- og håndteringsutstyr, C28.23 Produksjon av kontormaskiner og utstyr (unntatt datamaskiner og tilleggsutstyr), C28.24 Produksjon av motordrevet håndverktøy, C28.25 Produksjon av kjøle- og ventilasjonsanlegg, unntatt til husholdningsbruk, C28.93 Produksjon av maskiner og utstyr til nærings- og nytelsesmiddelindustri, C28.94 Produksjon av maskiner og utstyr til tekstil-, konfeksjons- og lærvareindustri, C28.95 Produksjon av maskiner og utstyr til papir- og pappvareindustri, C28.96 Produksjon av maskiner og utstyr til plast- og gummiindustri, C29 Produksjon av motorvogner og tilhengere, C31 Produksjon av møbler og C32 Annen industriproduksjon.</w:t>
      </w:r>
    </w:p>
    <w:p w14:paraId="0255A169" w14:textId="02BB112C" w:rsidR="006561BA" w:rsidRDefault="005B4ED6">
      <w:pPr>
        <w:pStyle w:val="AnnexNormal"/>
        <w:spacing w:after="800"/>
      </w:pPr>
      <w:r>
        <w:t>De økonomiske aktivitetene i denne kategorien kan knyttes til flere NACE-koder, særlig G46 og</w:t>
      </w:r>
      <w:r w:rsidR="00947C0B">
        <w:t xml:space="preserve"> </w:t>
      </w:r>
      <w:r>
        <w:t>G47</w:t>
      </w:r>
      <w:r w:rsidR="00F4544C">
        <w:t>,</w:t>
      </w:r>
      <w:r>
        <w:t xml:space="preserve"> i samsvar med standarden for næringsgruppering fastsatt ved forordning (EF) nr. 1893/2006.</w:t>
      </w:r>
    </w:p>
    <w:p w14:paraId="2A1DD7DF" w14:textId="77777777" w:rsidR="006561BA" w:rsidRDefault="005B4ED6">
      <w:pPr>
        <w:pStyle w:val="AnnexGrSeq3"/>
        <w:spacing w:after="300"/>
        <w:jc w:val="both"/>
      </w:pPr>
      <w:r>
        <w:rPr>
          <w:i/>
        </w:rPr>
        <w:t>Tekniske screeningkriterier</w:t>
      </w:r>
    </w:p>
    <w:tbl>
      <w:tblPr>
        <w:tblStyle w:val="EFTATable"/>
        <w:tblW w:w="9228" w:type="dxa"/>
        <w:tblInd w:w="12" w:type="dxa"/>
        <w:tblLayout w:type="fixed"/>
        <w:tblLook w:val="04A0" w:firstRow="1" w:lastRow="0" w:firstColumn="1" w:lastColumn="0" w:noHBand="0" w:noVBand="1"/>
      </w:tblPr>
      <w:tblGrid>
        <w:gridCol w:w="2484"/>
        <w:gridCol w:w="6744"/>
      </w:tblGrid>
      <w:tr w:rsidR="006561BA" w14:paraId="55E76F4A" w14:textId="77777777">
        <w:trPr>
          <w:trHeight w:val="240"/>
        </w:trPr>
        <w:tc>
          <w:tcPr>
            <w:tcW w:w="9228" w:type="dxa"/>
            <w:gridSpan w:val="2"/>
            <w:tcMar>
              <w:top w:w="140" w:type="dxa"/>
              <w:left w:w="0" w:type="dxa"/>
              <w:bottom w:w="140" w:type="dxa"/>
              <w:right w:w="0" w:type="dxa"/>
            </w:tcMar>
          </w:tcPr>
          <w:p w14:paraId="55EF3C41" w14:textId="77777777" w:rsidR="006561BA" w:rsidRDefault="005B4ED6">
            <w:pPr>
              <w:pStyle w:val="AnnexTableCellLeft"/>
            </w:pPr>
            <w:r>
              <w:t>Vesentlig bidrag til omstilling til en sirkulær økonomi</w:t>
            </w:r>
          </w:p>
        </w:tc>
      </w:tr>
      <w:tr w:rsidR="006561BA" w14:paraId="224C96FB" w14:textId="77777777">
        <w:trPr>
          <w:trHeight w:val="360"/>
        </w:trPr>
        <w:tc>
          <w:tcPr>
            <w:tcW w:w="9228" w:type="dxa"/>
            <w:gridSpan w:val="2"/>
            <w:tcMar>
              <w:top w:w="140" w:type="dxa"/>
              <w:left w:w="0" w:type="dxa"/>
              <w:bottom w:w="140" w:type="dxa"/>
              <w:right w:w="0" w:type="dxa"/>
            </w:tcMar>
          </w:tcPr>
          <w:p w14:paraId="2AA55661" w14:textId="23FC7035" w:rsidR="006561BA" w:rsidRDefault="005B4ED6">
            <w:pPr>
              <w:pStyle w:val="AnnexNumberedText"/>
              <w:tabs>
                <w:tab w:val="left" w:pos="276"/>
              </w:tabs>
              <w:spacing w:after="200"/>
              <w:ind w:left="0" w:firstLine="0"/>
            </w:pPr>
            <w:r>
              <w:t>1.</w:t>
            </w:r>
            <w:r>
              <w:tab/>
              <w:t xml:space="preserve">Den økonomiske aktiviteten består i å selge et brukt produkt som en kunde (fysisk person eller juridisk person) har brukt til sitt tiltenkte formål, eventuelt etter at det først er rengjort, reparert, renovert eller </w:t>
            </w:r>
            <w:proofErr w:type="spellStart"/>
            <w:r>
              <w:t>refabri</w:t>
            </w:r>
            <w:r w:rsidR="00AF1CED">
              <w:t>k</w:t>
            </w:r>
            <w:r>
              <w:t>kert</w:t>
            </w:r>
            <w:proofErr w:type="spellEnd"/>
            <w:r>
              <w:t>.</w:t>
            </w:r>
          </w:p>
          <w:p w14:paraId="23EFA1AE" w14:textId="77777777" w:rsidR="006561BA" w:rsidRDefault="005B4ED6">
            <w:pPr>
              <w:pStyle w:val="AnnexNumberedText"/>
              <w:tabs>
                <w:tab w:val="left" w:pos="276"/>
              </w:tabs>
              <w:spacing w:after="200"/>
              <w:ind w:left="0" w:firstLine="0"/>
            </w:pPr>
            <w:r>
              <w:t>2.</w:t>
            </w:r>
            <w:r>
              <w:tab/>
              <w:t>Det solgte produktet er omfattet av en salgsavtale dersom det er relevant og i samsvar med bestemmelser om produktets samsvar, selgerens ansvar(</w:t>
            </w:r>
            <w:bookmarkStart w:id="236" w:name="NOTE_238"/>
            <w:r>
              <w:rPr>
                <w:rStyle w:val="FootnoteReference"/>
                <w:sz w:val="18"/>
              </w:rPr>
              <w:footnoteReference w:id="239"/>
            </w:r>
            <w:bookmarkEnd w:id="236"/>
            <w:r>
              <w:t>) (herunder muligheten for en kortere ansvarsperiode eller foreldelsesfrist for brukte produkter), bevisbyrde, klagemuligheter ved manglende samsvar, reglene for utøvelse av disse klagemulighetene, reparasjon eller erstatning av varene samt kommersielle garantier.</w:t>
            </w:r>
          </w:p>
          <w:p w14:paraId="3B1A4CE7" w14:textId="26697912" w:rsidR="006561BA" w:rsidRDefault="005B4ED6">
            <w:pPr>
              <w:pStyle w:val="AnnexNumberedText"/>
              <w:tabs>
                <w:tab w:val="left" w:pos="276"/>
              </w:tabs>
              <w:spacing w:after="200"/>
              <w:ind w:left="0" w:firstLine="0"/>
            </w:pPr>
            <w:r>
              <w:t>3.</w:t>
            </w:r>
            <w:r>
              <w:tab/>
              <w:t xml:space="preserve">Dersom produktet er blitt reparert, renovert eller </w:t>
            </w:r>
            <w:proofErr w:type="spellStart"/>
            <w:r>
              <w:t>refabri</w:t>
            </w:r>
            <w:r w:rsidR="00AF1CED">
              <w:t>k</w:t>
            </w:r>
            <w:r>
              <w:t>kert</w:t>
            </w:r>
            <w:proofErr w:type="spellEnd"/>
            <w:r>
              <w:t xml:space="preserve"> før videresalg, gjennomfører aktiviteten en avfallshåndteringsplan som sikrer at produktets materialer og komponenter som ikke er blitt </w:t>
            </w:r>
            <w:proofErr w:type="spellStart"/>
            <w:r>
              <w:t>ombrukt</w:t>
            </w:r>
            <w:proofErr w:type="spellEnd"/>
            <w:r>
              <w:t xml:space="preserve"> i samme produkt, blir </w:t>
            </w:r>
            <w:proofErr w:type="spellStart"/>
            <w:r>
              <w:t>ombrukt</w:t>
            </w:r>
            <w:proofErr w:type="spellEnd"/>
            <w:r>
              <w:t xml:space="preserve"> andre steder, eller dersom ombruk ikke er mulig (for eksempel på grunn av skade, forringelse eller farlige stoffer), blir gjenvunnet, eller, bare dersom ombruk og materialgjenvinning ikke lar seg gjennomføre, blir sluttbehandlet. Når det gjelder </w:t>
            </w:r>
            <w:proofErr w:type="spellStart"/>
            <w:r>
              <w:t>refabrikasjon</w:t>
            </w:r>
            <w:proofErr w:type="spellEnd"/>
            <w:r>
              <w:t>, er avfallshåndteringsplanen tilgjengelig for allmennheten.</w:t>
            </w:r>
          </w:p>
          <w:p w14:paraId="7B0518B3" w14:textId="77777777" w:rsidR="006561BA" w:rsidRDefault="005B4ED6">
            <w:pPr>
              <w:pStyle w:val="AnnexNumberedText"/>
              <w:tabs>
                <w:tab w:val="left" w:pos="276"/>
              </w:tabs>
              <w:spacing w:after="200"/>
              <w:ind w:left="0" w:firstLine="0"/>
            </w:pPr>
            <w:r>
              <w:t>4.</w:t>
            </w:r>
            <w:r>
              <w:tab/>
              <w:t>Dersom den økonomiske aktiviteten omfatter levering av emballerte produkter til kunder (fysisk person eller juridisk person), herunder når aktiviteten utøves som e-handel(</w:t>
            </w:r>
            <w:bookmarkStart w:id="237" w:name="NOTE_239"/>
            <w:r>
              <w:rPr>
                <w:rStyle w:val="FootnoteReference"/>
                <w:sz w:val="18"/>
              </w:rPr>
              <w:footnoteReference w:id="240"/>
            </w:r>
            <w:bookmarkEnd w:id="237"/>
            <w:r>
              <w:t>), oppfyller produktets primær- og sekundæremballasje et av følgende kriterier:</w:t>
            </w:r>
          </w:p>
          <w:p w14:paraId="0D91829E" w14:textId="50973980" w:rsidR="006561BA" w:rsidRDefault="005B4ED6">
            <w:pPr>
              <w:pStyle w:val="AnnexNumberedText"/>
              <w:spacing w:after="0"/>
              <w:ind w:left="283" w:hanging="283"/>
            </w:pPr>
            <w:r>
              <w:t>a)</w:t>
            </w:r>
            <w:r>
              <w:tab/>
              <w:t xml:space="preserve">Emballasjen består av minst 65 % </w:t>
            </w:r>
            <w:r w:rsidR="001C78BB">
              <w:t>material</w:t>
            </w:r>
            <w:r>
              <w:t xml:space="preserve">gjenvunne </w:t>
            </w:r>
            <w:r w:rsidR="00507B3E">
              <w:t>råvare</w:t>
            </w:r>
            <w:r w:rsidR="00897A8E">
              <w:t>r</w:t>
            </w:r>
            <w:r>
              <w:t>. Dersom emballasjen er produsert av papir eller papp, er de gjenværende primær</w:t>
            </w:r>
            <w:r w:rsidR="003A68EF">
              <w:t xml:space="preserve">e </w:t>
            </w:r>
            <w:r>
              <w:t>rå</w:t>
            </w:r>
            <w:r w:rsidR="003A68EF">
              <w:t>varen</w:t>
            </w:r>
            <w:r w:rsidR="00E953BB">
              <w:t>e</w:t>
            </w:r>
            <w:r>
              <w:t xml:space="preserve"> sertifisert av «Forest </w:t>
            </w:r>
            <w:proofErr w:type="spellStart"/>
            <w:r>
              <w:t>Stewardship</w:t>
            </w:r>
            <w:proofErr w:type="spellEnd"/>
            <w:r>
              <w:t xml:space="preserve"> Council» (FSC), «</w:t>
            </w:r>
            <w:proofErr w:type="spellStart"/>
            <w:r>
              <w:t>Programme</w:t>
            </w:r>
            <w:proofErr w:type="spellEnd"/>
            <w:r>
              <w:t xml:space="preserve"> for </w:t>
            </w:r>
            <w:proofErr w:type="spellStart"/>
            <w:r>
              <w:t>the</w:t>
            </w:r>
            <w:proofErr w:type="spellEnd"/>
            <w:r>
              <w:t xml:space="preserve"> </w:t>
            </w:r>
            <w:proofErr w:type="spellStart"/>
            <w:r>
              <w:t>Endorsement</w:t>
            </w:r>
            <w:proofErr w:type="spellEnd"/>
            <w:r>
              <w:t xml:space="preserve"> </w:t>
            </w:r>
            <w:proofErr w:type="spellStart"/>
            <w:r>
              <w:t>of</w:t>
            </w:r>
            <w:proofErr w:type="spellEnd"/>
            <w:r>
              <w:t xml:space="preserve"> Forest </w:t>
            </w:r>
            <w:proofErr w:type="spellStart"/>
            <w:r>
              <w:t>Certification</w:t>
            </w:r>
            <w:proofErr w:type="spellEnd"/>
            <w:r>
              <w:t xml:space="preserve"> </w:t>
            </w:r>
            <w:proofErr w:type="spellStart"/>
            <w:r>
              <w:t>Schemes</w:t>
            </w:r>
            <w:proofErr w:type="spellEnd"/>
            <w:r>
              <w:t xml:space="preserve">» (PEFC International) eller tilsvarende anerkjente ordninger. Belegg med plast eller metaller brukes ikke. Til plastemballasje brukes bare enkeltmaterialer uten belegg, halogenholdige </w:t>
            </w:r>
            <w:proofErr w:type="spellStart"/>
            <w:r>
              <w:t>polymerer</w:t>
            </w:r>
            <w:proofErr w:type="spellEnd"/>
            <w:r>
              <w:t xml:space="preserve"> brukes ikke. Det skal legges fram en samsvarserklæring med opplysninger om emballasjematerialets sammensetning og andelen av </w:t>
            </w:r>
            <w:r w:rsidR="00F27E32">
              <w:t>material</w:t>
            </w:r>
            <w:r>
              <w:t xml:space="preserve">gjenvunne </w:t>
            </w:r>
            <w:r w:rsidR="00F27E32">
              <w:t>råvare</w:t>
            </w:r>
            <w:r w:rsidR="00B301BE">
              <w:t>r</w:t>
            </w:r>
            <w:r>
              <w:t xml:space="preserve"> og </w:t>
            </w:r>
            <w:r w:rsidR="00F27E32" w:rsidRPr="00F27E32">
              <w:t>primær</w:t>
            </w:r>
            <w:r w:rsidR="00B301BE">
              <w:t>e</w:t>
            </w:r>
            <w:r w:rsidR="00F27E32" w:rsidRPr="00F27E32">
              <w:t xml:space="preserve"> råvare</w:t>
            </w:r>
            <w:r w:rsidR="00B301BE">
              <w:t>r</w:t>
            </w:r>
            <w:r>
              <w:t>.</w:t>
            </w:r>
          </w:p>
        </w:tc>
      </w:tr>
      <w:tr w:rsidR="006561BA" w14:paraId="5924046F" w14:textId="77777777">
        <w:trPr>
          <w:trHeight w:val="360"/>
        </w:trPr>
        <w:tc>
          <w:tcPr>
            <w:tcW w:w="9228" w:type="dxa"/>
            <w:gridSpan w:val="2"/>
            <w:tcMar>
              <w:top w:w="200" w:type="dxa"/>
              <w:left w:w="0" w:type="dxa"/>
              <w:bottom w:w="200" w:type="dxa"/>
              <w:right w:w="0" w:type="dxa"/>
            </w:tcMar>
          </w:tcPr>
          <w:p w14:paraId="6F48DBC5" w14:textId="77777777" w:rsidR="006561BA" w:rsidRDefault="005B4ED6">
            <w:pPr>
              <w:pStyle w:val="AnnexNumberedText"/>
              <w:pageBreakBefore/>
              <w:spacing w:after="0"/>
            </w:pPr>
            <w:r>
              <w:lastRenderedPageBreak/>
              <w:t>b)</w:t>
            </w:r>
            <w:r>
              <w:tab/>
              <w:t xml:space="preserve">Emballasjen er utformet for å kunne </w:t>
            </w:r>
            <w:proofErr w:type="spellStart"/>
            <w:r>
              <w:t>ombrukes</w:t>
            </w:r>
            <w:proofErr w:type="spellEnd"/>
            <w:r>
              <w:t xml:space="preserve"> i et ombrukssystem(</w:t>
            </w:r>
            <w:bookmarkStart w:id="238" w:name="NOTE_240"/>
            <w:r>
              <w:rPr>
                <w:rStyle w:val="FootnoteReference"/>
                <w:sz w:val="18"/>
              </w:rPr>
              <w:footnoteReference w:id="241"/>
            </w:r>
            <w:bookmarkEnd w:id="238"/>
            <w:r>
              <w:t>). Systemet for ombruk er innrettet på en måte som sikrer muligheten for ombruk i et lukket eller åpent kretsløp.</w:t>
            </w:r>
          </w:p>
        </w:tc>
      </w:tr>
      <w:tr w:rsidR="006561BA" w14:paraId="66860041" w14:textId="77777777">
        <w:trPr>
          <w:trHeight w:val="240"/>
        </w:trPr>
        <w:tc>
          <w:tcPr>
            <w:tcW w:w="9228" w:type="dxa"/>
            <w:gridSpan w:val="2"/>
            <w:tcMar>
              <w:top w:w="200" w:type="dxa"/>
              <w:left w:w="0" w:type="dxa"/>
              <w:bottom w:w="200" w:type="dxa"/>
              <w:right w:w="0" w:type="dxa"/>
            </w:tcMar>
          </w:tcPr>
          <w:p w14:paraId="55CAF781" w14:textId="77777777" w:rsidR="006561BA" w:rsidRDefault="005B4ED6">
            <w:pPr>
              <w:pStyle w:val="AnnexTableCellLeft"/>
            </w:pPr>
            <w:r>
              <w:t>Prinsippet om ikke å gjøre betydelig skade («DNSH»)</w:t>
            </w:r>
          </w:p>
        </w:tc>
      </w:tr>
      <w:tr w:rsidR="006561BA" w14:paraId="13467FE3" w14:textId="77777777">
        <w:trPr>
          <w:trHeight w:val="360"/>
        </w:trPr>
        <w:tc>
          <w:tcPr>
            <w:tcW w:w="2484" w:type="dxa"/>
            <w:tcMar>
              <w:top w:w="200" w:type="dxa"/>
              <w:left w:w="0" w:type="dxa"/>
              <w:bottom w:w="200" w:type="dxa"/>
            </w:tcMar>
          </w:tcPr>
          <w:p w14:paraId="3DC4A923" w14:textId="77777777" w:rsidR="006561BA" w:rsidRDefault="005B4ED6">
            <w:pPr>
              <w:pStyle w:val="AnnexNumberedText"/>
              <w:ind w:left="293" w:hanging="293"/>
            </w:pPr>
            <w:r>
              <w:t>1)</w:t>
            </w:r>
            <w:r>
              <w:tab/>
              <w:t>Begrensning av klimaendringer</w:t>
            </w:r>
          </w:p>
        </w:tc>
        <w:tc>
          <w:tcPr>
            <w:tcW w:w="6744" w:type="dxa"/>
            <w:tcMar>
              <w:top w:w="200" w:type="dxa"/>
              <w:bottom w:w="200" w:type="dxa"/>
              <w:right w:w="0" w:type="dxa"/>
            </w:tcMar>
          </w:tcPr>
          <w:p w14:paraId="3C99704B" w14:textId="77777777" w:rsidR="006561BA" w:rsidRDefault="005B4ED6">
            <w:pPr>
              <w:pStyle w:val="AnnexTableCellLeft"/>
              <w:spacing w:after="120"/>
            </w:pPr>
            <w:r>
              <w:t>Dersom aktiviteten omfatter produksjon av varme/kjøling eller kraftvarmeproduksjon, herunder elektrisitet, er de direkte klimagassutslippene fra aktiviteten lavere enn 270 gCO</w:t>
            </w:r>
            <w:r>
              <w:rPr>
                <w:vertAlign w:val="subscript"/>
              </w:rPr>
              <w:t>2</w:t>
            </w:r>
            <w:r>
              <w:t>e/kWh.</w:t>
            </w:r>
          </w:p>
          <w:p w14:paraId="6575B926" w14:textId="77777777" w:rsidR="006561BA" w:rsidRDefault="005B4ED6">
            <w:pPr>
              <w:pStyle w:val="AnnexTableCellLeft"/>
              <w:spacing w:after="120"/>
            </w:pPr>
            <w:r>
              <w:t>Aktiviteten utvikler en strategi for å ta høyde for og redusere klimagassutslippene fra transport i hele verdikjeden, herunder frakt og retur, i den utstrekning disse kan spores.</w:t>
            </w:r>
          </w:p>
          <w:p w14:paraId="704CC0B7" w14:textId="77777777" w:rsidR="006561BA" w:rsidRDefault="005B4ED6">
            <w:pPr>
              <w:pStyle w:val="AnnexTableCellLeft"/>
              <w:spacing w:after="120"/>
            </w:pPr>
            <w:r>
              <w:t>Dersom det solgte produktet opprinnelig er produsert av næringsgrener som klassifiseres i henhold til NACE-kode C29, og er et kjøretøy, en mobil komponent, et system, en separat teknisk enhet, en del eller en reservedel som definert i forordning (EU) 2018/858, får følgende kriterier anvendelse når det selges på annenhåndsmarkedet etter 2025 og før 2030:</w:t>
            </w:r>
          </w:p>
          <w:p w14:paraId="4B8A2B7C" w14:textId="77777777" w:rsidR="006561BA" w:rsidRDefault="005B4ED6">
            <w:pPr>
              <w:pStyle w:val="AnnexNumberedText"/>
              <w:ind w:left="293" w:hanging="293"/>
            </w:pPr>
            <w:r>
              <w:t>a)</w:t>
            </w:r>
            <w:r>
              <w:tab/>
              <w:t>Kjøretøyer i gruppe M</w:t>
            </w:r>
            <w:r>
              <w:rPr>
                <w:vertAlign w:val="subscript"/>
              </w:rPr>
              <w:t>1</w:t>
            </w:r>
            <w:r>
              <w:t xml:space="preserve"> og N</w:t>
            </w:r>
            <w:r>
              <w:rPr>
                <w:vertAlign w:val="subscript"/>
              </w:rPr>
              <w:t>1</w:t>
            </w:r>
            <w:r>
              <w:t>, klassifisert som lette kjøretøyer, overholder grenseverdier for spesifikke CO₂-utslipp, som definert i artikkel 3 nr. 1 bokstav h) i europaparlaments- og rådsforordning (EU) 2019/631(</w:t>
            </w:r>
            <w:bookmarkStart w:id="239" w:name="NOTE_241"/>
            <w:r>
              <w:rPr>
                <w:rStyle w:val="FootnoteReference"/>
                <w:sz w:val="18"/>
              </w:rPr>
              <w:footnoteReference w:id="242"/>
            </w:r>
            <w:bookmarkEnd w:id="239"/>
            <w:r>
              <w:t>), og som er lavere enn 50 gCO</w:t>
            </w:r>
            <w:r>
              <w:rPr>
                <w:vertAlign w:val="subscript"/>
              </w:rPr>
              <w:t>2</w:t>
            </w:r>
            <w:r>
              <w:t>/km (lette lav- og nullutslippskjøretøyer).</w:t>
            </w:r>
          </w:p>
          <w:p w14:paraId="0EB30965" w14:textId="77777777" w:rsidR="006561BA" w:rsidRDefault="005B4ED6">
            <w:pPr>
              <w:pStyle w:val="AnnexNumberedText"/>
              <w:ind w:left="293" w:hanging="293"/>
            </w:pPr>
            <w:r>
              <w:t>b)</w:t>
            </w:r>
            <w:r>
              <w:tab/>
              <w:t>Kjøretøykjøretøyer i gruppe L(</w:t>
            </w:r>
            <w:bookmarkStart w:id="240" w:name="NOTE_242"/>
            <w:r>
              <w:rPr>
                <w:rStyle w:val="FootnoteReference"/>
                <w:sz w:val="18"/>
              </w:rPr>
              <w:footnoteReference w:id="243"/>
            </w:r>
            <w:bookmarkEnd w:id="240"/>
            <w:r>
              <w:t>) med CO</w:t>
            </w:r>
            <w:r>
              <w:rPr>
                <w:vertAlign w:val="subscript"/>
              </w:rPr>
              <w:t>2</w:t>
            </w:r>
            <w:r>
              <w:t>-utslipp fra eksos som er lik 0 g CO</w:t>
            </w:r>
            <w:r>
              <w:rPr>
                <w:vertAlign w:val="subscript"/>
              </w:rPr>
              <w:t>2</w:t>
            </w:r>
            <w:r>
              <w:t>e/km, beregnet i samsvar med utslippsprøvingen fastsatt i europaparlaments- og rådsforordning (EU) nr. 168/2013(</w:t>
            </w:r>
            <w:bookmarkStart w:id="241" w:name="NOTE_243"/>
            <w:r>
              <w:rPr>
                <w:rStyle w:val="FootnoteReference"/>
                <w:sz w:val="18"/>
              </w:rPr>
              <w:footnoteReference w:id="244"/>
            </w:r>
            <w:bookmarkEnd w:id="241"/>
            <w:r>
              <w:t>).</w:t>
            </w:r>
          </w:p>
          <w:p w14:paraId="057C16E6" w14:textId="6D2E3A13" w:rsidR="006561BA" w:rsidRDefault="005B4ED6">
            <w:pPr>
              <w:pStyle w:val="AnnexNumberedText"/>
              <w:ind w:left="293" w:hanging="293"/>
            </w:pPr>
            <w:r>
              <w:t>c)</w:t>
            </w:r>
            <w:r>
              <w:tab/>
              <w:t>Kjøretøyer i gruppe N</w:t>
            </w:r>
            <w:r>
              <w:rPr>
                <w:vertAlign w:val="subscript"/>
              </w:rPr>
              <w:t>2</w:t>
            </w:r>
            <w:r>
              <w:t xml:space="preserve"> og N</w:t>
            </w:r>
            <w:r>
              <w:rPr>
                <w:vertAlign w:val="subscript"/>
              </w:rPr>
              <w:t>3</w:t>
            </w:r>
            <w:r>
              <w:t xml:space="preserve"> samt N</w:t>
            </w:r>
            <w:r>
              <w:rPr>
                <w:vertAlign w:val="subscript"/>
              </w:rPr>
              <w:t>1</w:t>
            </w:r>
            <w:r w:rsidR="00AC549A">
              <w:t xml:space="preserve">, </w:t>
            </w:r>
            <w:r>
              <w:t>klassifisert som tunge kjøretøyer, som ikke er beregnet på transport av fossile brensler, med en største teknisk tillatte totalmasse på høyst 7,5 tonn, og som er «tunge nullutslippskjøretøyer» som definert i artikkel 3 nr. 11 i forordning (EU) 2019/1242.</w:t>
            </w:r>
          </w:p>
          <w:p w14:paraId="048739AB" w14:textId="77777777" w:rsidR="006561BA" w:rsidRDefault="005B4ED6">
            <w:pPr>
              <w:pStyle w:val="AnnexNumberedText"/>
              <w:ind w:left="293" w:hanging="293"/>
            </w:pPr>
            <w:r>
              <w:t>d)</w:t>
            </w:r>
            <w:r>
              <w:tab/>
              <w:t>Kjøretøyer i gruppe N</w:t>
            </w:r>
            <w:r>
              <w:rPr>
                <w:vertAlign w:val="subscript"/>
              </w:rPr>
              <w:t>2</w:t>
            </w:r>
            <w:r>
              <w:t xml:space="preserve"> og N</w:t>
            </w:r>
            <w:r>
              <w:rPr>
                <w:vertAlign w:val="subscript"/>
              </w:rPr>
              <w:t>3</w:t>
            </w:r>
            <w:r>
              <w:t xml:space="preserve"> som ikke er beregnet på transport av fossile brensler, med en største teknisk tillatte totalmasse på over 7,5 tonn, og som er «tunge nullutslippskjøretøyer» som definert i artikkel 3 nr. 11 i forordning (EU) 2019/1242, eller «tunge lavutslippskjøretøyer» som definert i artikkel 3 nr. 12 i den nevnte forordningen.</w:t>
            </w:r>
          </w:p>
          <w:p w14:paraId="52BC0CDE" w14:textId="77777777" w:rsidR="006561BA" w:rsidRDefault="005B4ED6">
            <w:pPr>
              <w:pStyle w:val="AnnexTableCellLeft"/>
            </w:pPr>
            <w:r>
              <w:t>Dersom produktet opprinnelig er produsert av næringsgrener som klassifiseres i henhold til NACE-kode C29, og er et kjøretøy, en mobil komponent, et system, en separat teknisk enhet, en del eller en reservedel som definert i forordning (EU) 2018/858, selges på annenhåndsmarkedet etter 2030, er de spesifikke CO</w:t>
            </w:r>
            <w:r>
              <w:rPr>
                <w:vertAlign w:val="subscript"/>
              </w:rPr>
              <w:t>2</w:t>
            </w:r>
            <w:r>
              <w:t xml:space="preserve">-utslippene som definert i artikkel 3 nr. 1 bokstav h) i forordning (EU) 2019/631 lik null. </w:t>
            </w:r>
          </w:p>
        </w:tc>
      </w:tr>
      <w:tr w:rsidR="006561BA" w14:paraId="04BCD6A5" w14:textId="77777777">
        <w:tc>
          <w:tcPr>
            <w:tcW w:w="2484" w:type="dxa"/>
            <w:tcMar>
              <w:top w:w="200" w:type="dxa"/>
              <w:left w:w="0" w:type="dxa"/>
              <w:bottom w:w="200" w:type="dxa"/>
            </w:tcMar>
          </w:tcPr>
          <w:p w14:paraId="12A4D5C6" w14:textId="77777777" w:rsidR="006561BA" w:rsidRDefault="006561BA">
            <w:pPr>
              <w:pStyle w:val="AnnexTableCellLeft"/>
              <w:pageBreakBefore/>
            </w:pPr>
          </w:p>
        </w:tc>
        <w:tc>
          <w:tcPr>
            <w:tcW w:w="6744" w:type="dxa"/>
            <w:tcMar>
              <w:top w:w="200" w:type="dxa"/>
              <w:bottom w:w="200" w:type="dxa"/>
              <w:right w:w="0" w:type="dxa"/>
            </w:tcMar>
          </w:tcPr>
          <w:p w14:paraId="58A9CA25" w14:textId="77777777" w:rsidR="006561BA" w:rsidRDefault="005B4ED6">
            <w:pPr>
              <w:pStyle w:val="AnnexTableCellLeft"/>
            </w:pPr>
            <w:r>
              <w:t>Dersom det solgte produktet opprinnelig er produsert av næringsgrener som klassifiseres i henhold til NACE-kode C26 eller C27, er produktet i samsvar med direktiv 2009/125/EF og de gjennomføringsforordningene som er vedtatt i henhold til det nevnte direktivet.</w:t>
            </w:r>
          </w:p>
        </w:tc>
      </w:tr>
      <w:tr w:rsidR="006561BA" w14:paraId="2E019993" w14:textId="77777777">
        <w:tc>
          <w:tcPr>
            <w:tcW w:w="2484" w:type="dxa"/>
            <w:tcMar>
              <w:top w:w="200" w:type="dxa"/>
              <w:left w:w="0" w:type="dxa"/>
              <w:bottom w:w="200" w:type="dxa"/>
            </w:tcMar>
          </w:tcPr>
          <w:p w14:paraId="5B832C51" w14:textId="77777777" w:rsidR="006561BA" w:rsidRDefault="005B4ED6">
            <w:pPr>
              <w:pStyle w:val="AnnexNumberedText"/>
              <w:spacing w:after="0"/>
              <w:ind w:left="293" w:hanging="293"/>
            </w:pPr>
            <w:r>
              <w:t>2)</w:t>
            </w:r>
            <w:r>
              <w:tab/>
              <w:t>Tilpasning til klimaendringer</w:t>
            </w:r>
          </w:p>
        </w:tc>
        <w:tc>
          <w:tcPr>
            <w:tcW w:w="6744" w:type="dxa"/>
            <w:tcMar>
              <w:top w:w="200" w:type="dxa"/>
              <w:bottom w:w="200" w:type="dxa"/>
              <w:right w:w="0" w:type="dxa"/>
            </w:tcMar>
          </w:tcPr>
          <w:p w14:paraId="5247F7FD" w14:textId="77777777" w:rsidR="006561BA" w:rsidRDefault="005B4ED6">
            <w:pPr>
              <w:pStyle w:val="AnnexTableCellLeft"/>
            </w:pPr>
            <w:r>
              <w:t>Aktiviteten oppfyller kriteriene fastsatt i tillegg A til dette vedlegget.</w:t>
            </w:r>
          </w:p>
        </w:tc>
      </w:tr>
      <w:tr w:rsidR="006561BA" w14:paraId="7C32DDF0" w14:textId="77777777">
        <w:tc>
          <w:tcPr>
            <w:tcW w:w="2484" w:type="dxa"/>
            <w:tcMar>
              <w:top w:w="200" w:type="dxa"/>
              <w:left w:w="0" w:type="dxa"/>
              <w:bottom w:w="200" w:type="dxa"/>
            </w:tcMar>
          </w:tcPr>
          <w:p w14:paraId="0E6D6F20" w14:textId="77777777" w:rsidR="006561BA" w:rsidRDefault="005B4ED6">
            <w:pPr>
              <w:pStyle w:val="AnnexNumberedText"/>
              <w:spacing w:after="0"/>
              <w:ind w:left="293" w:hanging="293"/>
            </w:pPr>
            <w:r>
              <w:t>3)</w:t>
            </w:r>
            <w:r>
              <w:tab/>
              <w:t>Bærekraftig bruk og beskyttelse av vann- og havressurser</w:t>
            </w:r>
          </w:p>
        </w:tc>
        <w:tc>
          <w:tcPr>
            <w:tcW w:w="6744" w:type="dxa"/>
            <w:tcMar>
              <w:top w:w="200" w:type="dxa"/>
              <w:bottom w:w="200" w:type="dxa"/>
              <w:right w:w="0" w:type="dxa"/>
            </w:tcMar>
          </w:tcPr>
          <w:p w14:paraId="174CE67C" w14:textId="77777777" w:rsidR="006561BA" w:rsidRDefault="005B4ED6">
            <w:pPr>
              <w:pStyle w:val="AnnexTableCellLeft"/>
            </w:pPr>
            <w:r>
              <w:t>Aktiviteten oppfyller kriteriene fastsatt i tillegg B til dette vedlegget.</w:t>
            </w:r>
          </w:p>
        </w:tc>
      </w:tr>
      <w:tr w:rsidR="006561BA" w14:paraId="1C5F0F85" w14:textId="77777777">
        <w:tc>
          <w:tcPr>
            <w:tcW w:w="2484" w:type="dxa"/>
            <w:tcMar>
              <w:top w:w="200" w:type="dxa"/>
              <w:left w:w="0" w:type="dxa"/>
              <w:bottom w:w="200" w:type="dxa"/>
            </w:tcMar>
          </w:tcPr>
          <w:p w14:paraId="4679378C" w14:textId="77777777" w:rsidR="006561BA" w:rsidRDefault="005B4ED6">
            <w:pPr>
              <w:pStyle w:val="AnnexNumberedText"/>
              <w:spacing w:after="0"/>
              <w:ind w:left="293" w:hanging="293"/>
            </w:pPr>
            <w:r>
              <w:t>5)</w:t>
            </w:r>
            <w:r>
              <w:tab/>
              <w:t>Forebygging og begrensning av forurensning</w:t>
            </w:r>
          </w:p>
        </w:tc>
        <w:tc>
          <w:tcPr>
            <w:tcW w:w="6744" w:type="dxa"/>
            <w:tcMar>
              <w:top w:w="200" w:type="dxa"/>
              <w:bottom w:w="200" w:type="dxa"/>
              <w:right w:w="0" w:type="dxa"/>
            </w:tcMar>
          </w:tcPr>
          <w:p w14:paraId="3354DD56" w14:textId="77777777" w:rsidR="006561BA" w:rsidRDefault="005B4ED6">
            <w:pPr>
              <w:pStyle w:val="AnnexTableCellLeft"/>
              <w:spacing w:after="120"/>
            </w:pPr>
            <w:r>
              <w:t>Aktiviteten oppfyller kriteriene fastsatt i tillegg C til dette vedlegget.</w:t>
            </w:r>
          </w:p>
          <w:p w14:paraId="59BC0029" w14:textId="77777777" w:rsidR="006561BA" w:rsidRDefault="005B4ED6">
            <w:pPr>
              <w:pStyle w:val="AnnexTableCellLeft"/>
            </w:pPr>
            <w:r>
              <w:t xml:space="preserve">Dersom det solgte produktet opprinnelig er produsert av næringsgrener som klassifiseres i henhold til NACE-kode C29, og er et kjøretøy, en mobil komponent, et system, en separat teknisk enhet, en del eller en reservedel som definert i forordning (EU) 2018/858, oppfyller det kravene i det seneste gjeldende trinnet i Euro VI-typegodkjenningen med hensyn til utslipp fra tunge kjøretøyer fastsatt i samsvar med forordning (EF) nr. 595/2009 eller kravene i det seneste gjeldende trinnet i Euro 6-typegodkjenningen med hensyn til utslipp fra lette kjøretøyer fastsatt i samsvar med forordning (EF) nr. 715/2007 eller den lovgivningen som har erstattet disse. For </w:t>
            </w:r>
            <w:proofErr w:type="spellStart"/>
            <w:r>
              <w:t>veigående</w:t>
            </w:r>
            <w:proofErr w:type="spellEnd"/>
            <w:r>
              <w:t xml:space="preserve"> kjøretøyer i gruppe M og N oppfyller dekkene, med unntak av regummierte dekk, kravene til ekstern </w:t>
            </w:r>
            <w:proofErr w:type="spellStart"/>
            <w:r>
              <w:t>rullestøy</w:t>
            </w:r>
            <w:proofErr w:type="spellEnd"/>
            <w:r>
              <w:t xml:space="preserve"> i den høyeste utnyttede klassen og med en rullemotstandskoeffisient (som påvirker kjøretøyets energieffektivitet) i de to høyeste utnyttede klassene som fastsatt i europaparlaments- og rådsforordning (EU) 2020/740, og som kan verifiseres i den europeiske produktdatabasen for energimerking (EPREL), dersom det relevant. Dekkene skal oppfylle kravene i den lovgivningen som erstatter forordning (EF) nr. 715/2007 og forordning (EF) nr. 595/2009.</w:t>
            </w:r>
          </w:p>
        </w:tc>
      </w:tr>
      <w:tr w:rsidR="006561BA" w14:paraId="42C542B1" w14:textId="77777777">
        <w:tc>
          <w:tcPr>
            <w:tcW w:w="2484" w:type="dxa"/>
            <w:tcMar>
              <w:top w:w="200" w:type="dxa"/>
              <w:left w:w="0" w:type="dxa"/>
              <w:bottom w:w="200" w:type="dxa"/>
            </w:tcMar>
          </w:tcPr>
          <w:p w14:paraId="05E32701" w14:textId="77777777" w:rsidR="006561BA" w:rsidRDefault="005B4ED6">
            <w:pPr>
              <w:pStyle w:val="AnnexNumberedText"/>
              <w:spacing w:after="0"/>
              <w:ind w:left="293" w:hanging="293"/>
            </w:pPr>
            <w:r>
              <w:t>6)</w:t>
            </w:r>
            <w:r>
              <w:tab/>
              <w:t>Beskyttelse og restaurering av biologisk mangfold og økosystemer</w:t>
            </w:r>
          </w:p>
        </w:tc>
        <w:tc>
          <w:tcPr>
            <w:tcW w:w="6744" w:type="dxa"/>
            <w:tcMar>
              <w:top w:w="200" w:type="dxa"/>
              <w:bottom w:w="200" w:type="dxa"/>
              <w:right w:w="0" w:type="dxa"/>
            </w:tcMar>
          </w:tcPr>
          <w:p w14:paraId="765C01FD" w14:textId="77777777" w:rsidR="006561BA" w:rsidRDefault="005B4ED6">
            <w:pPr>
              <w:pStyle w:val="AnnexTableCellLeft"/>
            </w:pPr>
            <w:r>
              <w:t>Ikke relevant</w:t>
            </w:r>
          </w:p>
        </w:tc>
      </w:tr>
    </w:tbl>
    <w:p w14:paraId="249C5CD7" w14:textId="77777777" w:rsidR="006561BA" w:rsidRDefault="005B4ED6">
      <w:pPr>
        <w:pStyle w:val="AnnexNumberedText"/>
        <w:spacing w:before="700" w:after="800"/>
        <w:ind w:left="414" w:hanging="414"/>
      </w:pPr>
      <w:r>
        <w:t>5.5.</w:t>
      </w:r>
      <w:r>
        <w:rPr>
          <w:b/>
        </w:rPr>
        <w:tab/>
        <w:t>«Produkt som en tjeneste» og andre sirkulære bruks- og resultatorienterte tjenestemodeller</w:t>
      </w:r>
    </w:p>
    <w:p w14:paraId="1DA26419" w14:textId="77777777" w:rsidR="006561BA" w:rsidRDefault="005B4ED6">
      <w:pPr>
        <w:pStyle w:val="AnnexGrSeq3"/>
        <w:spacing w:after="300"/>
        <w:jc w:val="both"/>
      </w:pPr>
      <w:r>
        <w:rPr>
          <w:i/>
        </w:rPr>
        <w:t>Beskrivelse av aktiviteten</w:t>
      </w:r>
    </w:p>
    <w:p w14:paraId="79E6CB33" w14:textId="77777777" w:rsidR="006561BA" w:rsidRDefault="005B4ED6">
      <w:pPr>
        <w:pStyle w:val="AnnexNormal"/>
        <w:spacing w:after="300"/>
      </w:pPr>
      <w:r>
        <w:t>Aktiviteten gir kunder (fysisk person eller juridisk person) tilgang til produkter gjennom tjenestemodeller som enten er bruksorienterte tjenester, der produktet fortsatt er sentralt, men fortsatt eies av leverandøren, og produktet leases, deles, leies eller samles; eller resultatorientert, der betalingen er forhåndsdefinert og det avtalte resultatet (det vil si betaling per tjenesteenhet) leveres.</w:t>
      </w:r>
    </w:p>
    <w:p w14:paraId="260E659B" w14:textId="14B57314" w:rsidR="006561BA" w:rsidRDefault="005B4ED6">
      <w:pPr>
        <w:pStyle w:val="AnnexNormal"/>
      </w:pPr>
      <w:r>
        <w:t xml:space="preserve">Den økonomiske aktiviteten gjelder produkter som er framstilt av næringsgrener som klassifiseres i henhold til NACE-kodene C13 Produksjon av tekstiler, C14 Produksjon av klær, C15 Produksjon av lær og lærvarer, C16 Produksjon av trelast og varer av tre, kork, strå og flettematerialer, unntatt møbler, C22 Produksjon av gummi- og plastprodukter, C23.3 Produksjon av byggevarer av brent leire, C23.4 Produksjon av andre porselensprodukter og keramiske produkter, C25.1 Produksjon av metallkonstruksjoner, C25.2 Produksjon av tanker, sisterner og andre beholdere av metall, C25.7 Produksjon av kjøkkenredskaper, skjære- og klipperedskaper, håndverktøy og andre jernvarer, C25.9 Produksjon av andre metallprodukter, C26 Produksjon av datamaskiner og elektroniske og optiske produkter, C27 Produksjon av elektrisk utstyr, C28.22 Produksjon av løfte- og håndteringsutstyr, C28.23 Produksjon av kontormaskiner og utstyr (unntatt datamaskiner og tilleggsutstyr), C28.24 Produksjon av motordrevet håndverktøy, C28.25 Produksjon av kjøle- og ventilasjonsanlegg, unntatt til husholdningsbruk, C28.93 Produksjon av maskiner og utstyr til nærings- og nytelsesmiddelindustri, C28.94 Produksjon av maskiner og utstyr til tekstil-, konfeksjons- og lærvareindustri, C28.95 </w:t>
      </w:r>
      <w:r>
        <w:lastRenderedPageBreak/>
        <w:t>Produksjon av maskiner og utstyr til papir- og pappvareindustri, C28.96 Produksjon av maskiner og utstyr til plast- og gummiindustri, C31 Produksjon av møbler og C32 Annen industriproduksjon.</w:t>
      </w:r>
    </w:p>
    <w:p w14:paraId="115CAB60" w14:textId="24696AC0" w:rsidR="006561BA" w:rsidRDefault="005B4ED6">
      <w:pPr>
        <w:pStyle w:val="AnnexNormal"/>
        <w:spacing w:after="1600"/>
      </w:pPr>
      <w:r>
        <w:t>De økonomiske aktivitetene i denne kategorien kan knyttes til flere NACE-koder, særlig G46, G47 og N.77</w:t>
      </w:r>
      <w:r w:rsidR="00F4544C">
        <w:t>,</w:t>
      </w:r>
      <w:r>
        <w:t xml:space="preserve"> i samsvar med standarden for næringsgruppering fastsatt ved forordning (EF) nr. 1893/2006.</w:t>
      </w:r>
    </w:p>
    <w:p w14:paraId="2B2740F7" w14:textId="77777777" w:rsidR="006561BA" w:rsidRDefault="005B4ED6">
      <w:pPr>
        <w:pStyle w:val="AnnexGrSeq3"/>
        <w:spacing w:after="300"/>
        <w:jc w:val="both"/>
      </w:pPr>
      <w:r>
        <w:rPr>
          <w:i/>
        </w:rPr>
        <w:t>Tekniske screeningkriterier</w:t>
      </w:r>
    </w:p>
    <w:tbl>
      <w:tblPr>
        <w:tblStyle w:val="EFTATable"/>
        <w:tblW w:w="9228" w:type="dxa"/>
        <w:tblInd w:w="12" w:type="dxa"/>
        <w:tblLayout w:type="fixed"/>
        <w:tblLook w:val="04A0" w:firstRow="1" w:lastRow="0" w:firstColumn="1" w:lastColumn="0" w:noHBand="0" w:noVBand="1"/>
      </w:tblPr>
      <w:tblGrid>
        <w:gridCol w:w="2520"/>
        <w:gridCol w:w="6708"/>
      </w:tblGrid>
      <w:tr w:rsidR="006561BA" w14:paraId="7EC8FF96" w14:textId="77777777">
        <w:trPr>
          <w:trHeight w:val="240"/>
        </w:trPr>
        <w:tc>
          <w:tcPr>
            <w:tcW w:w="9228" w:type="dxa"/>
            <w:gridSpan w:val="2"/>
            <w:tcMar>
              <w:top w:w="200" w:type="dxa"/>
              <w:left w:w="0" w:type="dxa"/>
              <w:bottom w:w="200" w:type="dxa"/>
              <w:right w:w="0" w:type="dxa"/>
            </w:tcMar>
          </w:tcPr>
          <w:p w14:paraId="1BF41B53" w14:textId="77777777" w:rsidR="006561BA" w:rsidRDefault="005B4ED6">
            <w:pPr>
              <w:pStyle w:val="AnnexTableCellLeft"/>
            </w:pPr>
            <w:r>
              <w:t>Vesentlig bidrag til omstilling til en sirkulær økonomi</w:t>
            </w:r>
          </w:p>
        </w:tc>
      </w:tr>
      <w:tr w:rsidR="006561BA" w14:paraId="764A6BAD" w14:textId="77777777">
        <w:trPr>
          <w:trHeight w:val="360"/>
        </w:trPr>
        <w:tc>
          <w:tcPr>
            <w:tcW w:w="9228" w:type="dxa"/>
            <w:gridSpan w:val="2"/>
            <w:tcMar>
              <w:top w:w="200" w:type="dxa"/>
              <w:left w:w="0" w:type="dxa"/>
              <w:bottom w:w="200" w:type="dxa"/>
              <w:right w:w="0" w:type="dxa"/>
            </w:tcMar>
          </w:tcPr>
          <w:p w14:paraId="000225CA" w14:textId="77777777" w:rsidR="006561BA" w:rsidRDefault="005B4ED6">
            <w:pPr>
              <w:pStyle w:val="AnnexNumberedText"/>
              <w:tabs>
                <w:tab w:val="left" w:pos="276"/>
              </w:tabs>
              <w:spacing w:after="200"/>
              <w:ind w:left="0" w:firstLine="0"/>
            </w:pPr>
            <w:r>
              <w:t>1.</w:t>
            </w:r>
            <w:r>
              <w:tab/>
              <w:t>Aktiviteten gir kunden (fysiske eller juridiske personer) tilgang til og bruk av produkt(er), samtidig som det sikres at eierskapet forblir hos det selskapet som leverer denne tjenesten, for eksempel en produsent, spesialist eller detaljist. Avtalevilkårene sikrer at alle følgende underkriterier er oppfylt:</w:t>
            </w:r>
          </w:p>
          <w:p w14:paraId="6D707971" w14:textId="77777777" w:rsidR="006561BA" w:rsidRDefault="005B4ED6">
            <w:pPr>
              <w:pStyle w:val="AnnexNumberedText"/>
              <w:spacing w:after="200"/>
              <w:ind w:left="293" w:hanging="293"/>
            </w:pPr>
            <w:r>
              <w:t>a)</w:t>
            </w:r>
            <w:r>
              <w:tab/>
              <w:t>Tjenesteleverandøren er forpliktet til å ta tilbake det brukte produktet når avtalen utløper.</w:t>
            </w:r>
          </w:p>
          <w:p w14:paraId="0EEFD3B3" w14:textId="77777777" w:rsidR="006561BA" w:rsidRDefault="005B4ED6">
            <w:pPr>
              <w:pStyle w:val="AnnexNumberedText"/>
              <w:spacing w:after="200"/>
              <w:ind w:left="293" w:hanging="293"/>
            </w:pPr>
            <w:r>
              <w:t>b)</w:t>
            </w:r>
            <w:r>
              <w:tab/>
              <w:t>Kunden er forpliktet til å levere tilbake det brukte produktet når avtalen utløper.</w:t>
            </w:r>
          </w:p>
          <w:p w14:paraId="21992DCE" w14:textId="39ED02B4" w:rsidR="006561BA" w:rsidRDefault="005B4ED6">
            <w:pPr>
              <w:pStyle w:val="AnnexNumberedText"/>
              <w:spacing w:after="200"/>
              <w:ind w:left="293" w:hanging="293"/>
            </w:pPr>
            <w:r>
              <w:t>c)</w:t>
            </w:r>
            <w:r>
              <w:tab/>
            </w:r>
            <w:r w:rsidR="00DB5CF1">
              <w:t>Tjenesteleverandøren</w:t>
            </w:r>
            <w:r>
              <w:t xml:space="preserve"> forblir eier av produktet.</w:t>
            </w:r>
          </w:p>
          <w:p w14:paraId="0C7EFF05" w14:textId="77777777" w:rsidR="006561BA" w:rsidRDefault="005B4ED6">
            <w:pPr>
              <w:pStyle w:val="AnnexNumberedText"/>
              <w:spacing w:after="200"/>
              <w:ind w:left="293" w:hanging="293"/>
            </w:pPr>
            <w:r>
              <w:t>d)</w:t>
            </w:r>
            <w:r>
              <w:tab/>
              <w:t>Kunden betaler for tilgang til og bruk av produktet, eller for resultatet av tilgangen til og bruken av dette produktet.</w:t>
            </w:r>
          </w:p>
          <w:p w14:paraId="7F0A2BB8" w14:textId="77777777" w:rsidR="006561BA" w:rsidRDefault="005B4ED6">
            <w:pPr>
              <w:pStyle w:val="AnnexNumberedText"/>
              <w:tabs>
                <w:tab w:val="left" w:pos="276"/>
              </w:tabs>
              <w:spacing w:after="200"/>
              <w:ind w:left="0" w:firstLine="0"/>
            </w:pPr>
            <w:r>
              <w:t>2.</w:t>
            </w:r>
            <w:r>
              <w:tab/>
              <w:t>Aktiviteten fører til forlenget levetid eller økt bruksintensitet for produktet i praksis.</w:t>
            </w:r>
          </w:p>
          <w:p w14:paraId="443C27EE" w14:textId="77777777" w:rsidR="006561BA" w:rsidRDefault="005B4ED6">
            <w:pPr>
              <w:pStyle w:val="AnnexNumberedText"/>
              <w:tabs>
                <w:tab w:val="left" w:pos="276"/>
              </w:tabs>
              <w:spacing w:after="200"/>
              <w:ind w:left="0" w:firstLine="0"/>
            </w:pPr>
            <w:r>
              <w:t>3.</w:t>
            </w:r>
            <w:r>
              <w:tab/>
              <w:t>Dersom den økonomiske aktiviteten omfatter levering av emballerte produkter til kunder (fysisk person eller juridisk person), herunder når aktiviteten utøves som e-handel(</w:t>
            </w:r>
            <w:bookmarkStart w:id="242" w:name="NOTE_244"/>
            <w:r>
              <w:rPr>
                <w:rStyle w:val="FootnoteReference"/>
                <w:sz w:val="18"/>
              </w:rPr>
              <w:footnoteReference w:id="245"/>
            </w:r>
            <w:bookmarkEnd w:id="242"/>
            <w:r>
              <w:t>), oppfyller produktets primær- og sekundæremballasje et av følgende kriterier:</w:t>
            </w:r>
          </w:p>
          <w:p w14:paraId="52D4B97D" w14:textId="28E30E1C" w:rsidR="006561BA" w:rsidRDefault="005B4ED6">
            <w:pPr>
              <w:pStyle w:val="AnnexNumberedText"/>
              <w:spacing w:after="200"/>
              <w:ind w:left="293" w:hanging="293"/>
            </w:pPr>
            <w:r>
              <w:t>a)</w:t>
            </w:r>
            <w:r>
              <w:tab/>
              <w:t xml:space="preserve">Emballasjen består av minst 65 % </w:t>
            </w:r>
            <w:r w:rsidR="001C78BB">
              <w:t>material</w:t>
            </w:r>
            <w:r>
              <w:t xml:space="preserve">gjenvunne </w:t>
            </w:r>
            <w:r w:rsidR="00C84B73">
              <w:t>råvare</w:t>
            </w:r>
            <w:r w:rsidR="00DA6141">
              <w:t>r</w:t>
            </w:r>
            <w:r>
              <w:t xml:space="preserve">. Dersom emballasjen er produsert av papir eller papp, er de gjenværende </w:t>
            </w:r>
            <w:r w:rsidR="00B314EE" w:rsidRPr="00B314EE">
              <w:t>primære råvare</w:t>
            </w:r>
            <w:r w:rsidR="00B314EE">
              <w:t>n</w:t>
            </w:r>
            <w:r w:rsidR="00E953BB">
              <w:t>e</w:t>
            </w:r>
            <w:r w:rsidR="00B314EE" w:rsidRPr="00B314EE">
              <w:t xml:space="preserve"> </w:t>
            </w:r>
            <w:r>
              <w:t xml:space="preserve">sertifisert av «Forest </w:t>
            </w:r>
            <w:proofErr w:type="spellStart"/>
            <w:r>
              <w:t>Stewardship</w:t>
            </w:r>
            <w:proofErr w:type="spellEnd"/>
            <w:r>
              <w:t xml:space="preserve"> Council» (FSC), «</w:t>
            </w:r>
            <w:proofErr w:type="spellStart"/>
            <w:r>
              <w:t>Programme</w:t>
            </w:r>
            <w:proofErr w:type="spellEnd"/>
            <w:r>
              <w:t xml:space="preserve"> for </w:t>
            </w:r>
            <w:proofErr w:type="spellStart"/>
            <w:r>
              <w:t>the</w:t>
            </w:r>
            <w:proofErr w:type="spellEnd"/>
            <w:r>
              <w:t xml:space="preserve"> </w:t>
            </w:r>
            <w:proofErr w:type="spellStart"/>
            <w:r>
              <w:t>Endorsement</w:t>
            </w:r>
            <w:proofErr w:type="spellEnd"/>
            <w:r>
              <w:t xml:space="preserve"> </w:t>
            </w:r>
            <w:proofErr w:type="spellStart"/>
            <w:r>
              <w:t>of</w:t>
            </w:r>
            <w:proofErr w:type="spellEnd"/>
            <w:r>
              <w:t xml:space="preserve"> Forest </w:t>
            </w:r>
            <w:proofErr w:type="spellStart"/>
            <w:r>
              <w:t>Certification</w:t>
            </w:r>
            <w:proofErr w:type="spellEnd"/>
            <w:r>
              <w:t xml:space="preserve"> </w:t>
            </w:r>
            <w:proofErr w:type="spellStart"/>
            <w:r>
              <w:t>Schemes</w:t>
            </w:r>
            <w:proofErr w:type="spellEnd"/>
            <w:r>
              <w:t xml:space="preserve">» (PEFC International) eller tilsvarende anerkjente ordninger. Belegg med plast eller metaller brukes ikke. Til plastemballasje brukes bare enkeltmaterialer uten belegg, halogenholdige </w:t>
            </w:r>
            <w:proofErr w:type="spellStart"/>
            <w:r>
              <w:t>polymerer</w:t>
            </w:r>
            <w:proofErr w:type="spellEnd"/>
            <w:r>
              <w:t xml:space="preserve"> brukes ikke. Det skal legges fram en samsvarserklæring med opplysninger om emballasjematerialets sammensetning og andelen av </w:t>
            </w:r>
            <w:r w:rsidR="00B314EE">
              <w:t>material</w:t>
            </w:r>
            <w:r>
              <w:t xml:space="preserve">gjenvunne </w:t>
            </w:r>
            <w:r w:rsidR="00B314EE">
              <w:t>råvare</w:t>
            </w:r>
            <w:r w:rsidR="00B301BE">
              <w:t>r</w:t>
            </w:r>
            <w:r>
              <w:t xml:space="preserve"> og </w:t>
            </w:r>
            <w:r w:rsidR="00B314EE" w:rsidRPr="00B314EE">
              <w:t>primær</w:t>
            </w:r>
            <w:r w:rsidR="00B301BE">
              <w:t>e</w:t>
            </w:r>
            <w:r w:rsidR="00B314EE" w:rsidRPr="00B314EE">
              <w:t xml:space="preserve"> råvare</w:t>
            </w:r>
            <w:r w:rsidR="00B301BE">
              <w:t>r</w:t>
            </w:r>
            <w:r>
              <w:t>.</w:t>
            </w:r>
          </w:p>
          <w:p w14:paraId="45DCDD0E" w14:textId="77777777" w:rsidR="006561BA" w:rsidRDefault="005B4ED6">
            <w:pPr>
              <w:pStyle w:val="AnnexNumberedText"/>
              <w:spacing w:after="200"/>
              <w:ind w:left="293" w:hanging="293"/>
            </w:pPr>
            <w:r>
              <w:t>b)</w:t>
            </w:r>
            <w:r>
              <w:tab/>
              <w:t xml:space="preserve">Emballasjen er utformet for å kunne </w:t>
            </w:r>
            <w:proofErr w:type="spellStart"/>
            <w:r>
              <w:t>ombrukes</w:t>
            </w:r>
            <w:proofErr w:type="spellEnd"/>
            <w:r>
              <w:t xml:space="preserve"> i et ombrukssystem(</w:t>
            </w:r>
            <w:bookmarkStart w:id="243" w:name="NOTE_245"/>
            <w:r>
              <w:rPr>
                <w:rStyle w:val="FootnoteReference"/>
                <w:sz w:val="18"/>
              </w:rPr>
              <w:footnoteReference w:id="246"/>
            </w:r>
            <w:bookmarkEnd w:id="243"/>
            <w:r>
              <w:t>). Systemet for ombruk er innrettet på en måte som sikrer muligheten for ombruk i et lukket eller åpent kretsløp.</w:t>
            </w:r>
          </w:p>
          <w:p w14:paraId="45194A76" w14:textId="77777777" w:rsidR="006561BA" w:rsidRDefault="005B4ED6">
            <w:pPr>
              <w:pStyle w:val="AnnexNumberedText"/>
              <w:tabs>
                <w:tab w:val="left" w:pos="276"/>
              </w:tabs>
              <w:spacing w:after="0"/>
              <w:ind w:left="0" w:firstLine="0"/>
            </w:pPr>
            <w:r>
              <w:t>4.</w:t>
            </w:r>
            <w:r>
              <w:tab/>
              <w:t>Når det gjelder klær, der den økonomiske aktiviteten innebærer klesvask og rensing av brukte klær, er aktiviteten forenlig med et miljømerke av ISO type 1 eller tilsvarende.</w:t>
            </w:r>
          </w:p>
        </w:tc>
      </w:tr>
      <w:tr w:rsidR="006561BA" w14:paraId="66A856A3" w14:textId="77777777">
        <w:tc>
          <w:tcPr>
            <w:tcW w:w="9228" w:type="dxa"/>
            <w:gridSpan w:val="2"/>
            <w:tcMar>
              <w:top w:w="200" w:type="dxa"/>
              <w:left w:w="0" w:type="dxa"/>
              <w:bottom w:w="200" w:type="dxa"/>
              <w:right w:w="0" w:type="dxa"/>
            </w:tcMar>
          </w:tcPr>
          <w:p w14:paraId="2011D1BF" w14:textId="77777777" w:rsidR="006561BA" w:rsidRDefault="005B4ED6">
            <w:pPr>
              <w:pStyle w:val="AnnexTableCellLeft"/>
              <w:pageBreakBefore/>
            </w:pPr>
            <w:r>
              <w:lastRenderedPageBreak/>
              <w:t>Prinsippet om ikke å gjøre betydelig skade («DNSH»)</w:t>
            </w:r>
          </w:p>
        </w:tc>
      </w:tr>
      <w:tr w:rsidR="006561BA" w14:paraId="58E628D2" w14:textId="77777777">
        <w:tc>
          <w:tcPr>
            <w:tcW w:w="2520" w:type="dxa"/>
            <w:tcMar>
              <w:top w:w="200" w:type="dxa"/>
              <w:left w:w="0" w:type="dxa"/>
              <w:bottom w:w="200" w:type="dxa"/>
            </w:tcMar>
          </w:tcPr>
          <w:p w14:paraId="6310ABA4" w14:textId="77777777" w:rsidR="006561BA" w:rsidRDefault="005B4ED6">
            <w:pPr>
              <w:pStyle w:val="AnnexNumberedText"/>
              <w:spacing w:after="0"/>
              <w:ind w:left="293" w:hanging="293"/>
            </w:pPr>
            <w:r>
              <w:t>1)</w:t>
            </w:r>
            <w:r>
              <w:tab/>
              <w:t>Begrensning av klimaendringer</w:t>
            </w:r>
          </w:p>
        </w:tc>
        <w:tc>
          <w:tcPr>
            <w:tcW w:w="6708" w:type="dxa"/>
            <w:tcMar>
              <w:top w:w="200" w:type="dxa"/>
              <w:bottom w:w="200" w:type="dxa"/>
              <w:right w:w="0" w:type="dxa"/>
            </w:tcMar>
          </w:tcPr>
          <w:p w14:paraId="11959928" w14:textId="77777777" w:rsidR="006561BA" w:rsidRDefault="005B4ED6">
            <w:pPr>
              <w:pStyle w:val="AnnexTableCellLeft"/>
              <w:spacing w:after="120"/>
            </w:pPr>
            <w:r>
              <w:t>Dersom aktiviteten omfatter produksjon av varme/kjøling eller kraftvarmeproduksjon, herunder elektrisitet, er de direkte klimagassutslippene fra aktiviteten lavere enn 270 gCO</w:t>
            </w:r>
            <w:r>
              <w:rPr>
                <w:vertAlign w:val="subscript"/>
              </w:rPr>
              <w:t>2</w:t>
            </w:r>
            <w:r>
              <w:t>e/kWh.</w:t>
            </w:r>
          </w:p>
          <w:p w14:paraId="3321608F" w14:textId="77777777" w:rsidR="006561BA" w:rsidRDefault="005B4ED6">
            <w:pPr>
              <w:pStyle w:val="AnnexTableCellLeft"/>
              <w:spacing w:after="120"/>
            </w:pPr>
            <w:r>
              <w:t>Aktiviteten utvikler en strategi som skal ta høyde for og redusere klimagassutslippene fra tjenester i leverandørleddet og de etterfølgende leddene i verdikjeden, herunder følgende:</w:t>
            </w:r>
          </w:p>
          <w:p w14:paraId="22821D4D" w14:textId="397C8046" w:rsidR="006561BA" w:rsidRDefault="005B4ED6">
            <w:pPr>
              <w:pStyle w:val="AnnexNumberedText"/>
              <w:ind w:left="293" w:hanging="293"/>
            </w:pPr>
            <w:r>
              <w:t>a)</w:t>
            </w:r>
            <w:r>
              <w:tab/>
              <w:t xml:space="preserve">Mellomprodukter og </w:t>
            </w:r>
            <w:r w:rsidR="0075663F" w:rsidRPr="0075663F">
              <w:t>råvarer</w:t>
            </w:r>
            <w:r>
              <w:t>.</w:t>
            </w:r>
          </w:p>
          <w:p w14:paraId="74AAD428" w14:textId="77777777" w:rsidR="006561BA" w:rsidRDefault="005B4ED6">
            <w:pPr>
              <w:pStyle w:val="AnnexNumberedText"/>
              <w:ind w:left="293" w:hanging="293"/>
            </w:pPr>
            <w:r>
              <w:t>b)</w:t>
            </w:r>
            <w:r>
              <w:tab/>
              <w:t>Transport i hele verdikjeden, herunder frakt og retur.</w:t>
            </w:r>
          </w:p>
          <w:p w14:paraId="589A03C8" w14:textId="77777777" w:rsidR="006561BA" w:rsidRDefault="005B4ED6">
            <w:pPr>
              <w:pStyle w:val="AnnexNumberedText"/>
              <w:ind w:left="293" w:hanging="293"/>
            </w:pPr>
            <w:r>
              <w:t>c)</w:t>
            </w:r>
            <w:r>
              <w:tab/>
              <w:t>Vedlikehold og drift, herunder klesvask og rengjøring.</w:t>
            </w:r>
          </w:p>
          <w:p w14:paraId="278FF63C" w14:textId="69C76FB1" w:rsidR="006561BA" w:rsidRDefault="005B4ED6">
            <w:pPr>
              <w:pStyle w:val="AnnexNumberedText"/>
              <w:spacing w:after="0"/>
              <w:ind w:left="293" w:hanging="293"/>
            </w:pPr>
            <w:r>
              <w:t>d)</w:t>
            </w:r>
            <w:r>
              <w:tab/>
            </w:r>
            <w:r w:rsidR="0070387E">
              <w:t>Uttjent</w:t>
            </w:r>
            <w:r>
              <w:t>e produkter, herunder avfallshåndtering.</w:t>
            </w:r>
          </w:p>
        </w:tc>
      </w:tr>
      <w:tr w:rsidR="006561BA" w14:paraId="11F30D1D" w14:textId="77777777">
        <w:tc>
          <w:tcPr>
            <w:tcW w:w="2520" w:type="dxa"/>
            <w:tcMar>
              <w:top w:w="200" w:type="dxa"/>
              <w:left w:w="0" w:type="dxa"/>
              <w:bottom w:w="200" w:type="dxa"/>
            </w:tcMar>
          </w:tcPr>
          <w:p w14:paraId="10B8F601" w14:textId="77777777" w:rsidR="006561BA" w:rsidRDefault="005B4ED6">
            <w:pPr>
              <w:pStyle w:val="AnnexNumberedText"/>
              <w:spacing w:after="0"/>
              <w:ind w:left="293" w:hanging="293"/>
            </w:pPr>
            <w:r>
              <w:t>2)</w:t>
            </w:r>
            <w:r>
              <w:tab/>
              <w:t>Tilpasning til klimaendringer</w:t>
            </w:r>
          </w:p>
        </w:tc>
        <w:tc>
          <w:tcPr>
            <w:tcW w:w="6708" w:type="dxa"/>
            <w:tcMar>
              <w:top w:w="200" w:type="dxa"/>
              <w:bottom w:w="200" w:type="dxa"/>
              <w:right w:w="0" w:type="dxa"/>
            </w:tcMar>
          </w:tcPr>
          <w:p w14:paraId="22C2458E" w14:textId="77777777" w:rsidR="006561BA" w:rsidRDefault="005B4ED6">
            <w:pPr>
              <w:pStyle w:val="AnnexTableCellLeft"/>
            </w:pPr>
            <w:r>
              <w:t>Aktiviteten oppfyller kriteriene fastsatt i tillegg A til dette vedlegget.</w:t>
            </w:r>
          </w:p>
        </w:tc>
      </w:tr>
      <w:tr w:rsidR="006561BA" w14:paraId="70B55AC0" w14:textId="77777777">
        <w:tc>
          <w:tcPr>
            <w:tcW w:w="2520" w:type="dxa"/>
            <w:tcMar>
              <w:top w:w="200" w:type="dxa"/>
              <w:left w:w="0" w:type="dxa"/>
              <w:bottom w:w="200" w:type="dxa"/>
            </w:tcMar>
          </w:tcPr>
          <w:p w14:paraId="344AD1AD" w14:textId="77777777" w:rsidR="006561BA" w:rsidRDefault="005B4ED6">
            <w:pPr>
              <w:pStyle w:val="AnnexNumberedText"/>
              <w:spacing w:after="0"/>
              <w:ind w:left="293" w:hanging="293"/>
            </w:pPr>
            <w:r>
              <w:t>3)</w:t>
            </w:r>
            <w:r>
              <w:tab/>
              <w:t>Bærekraftig bruk og beskyttelse av vann- og havressurser</w:t>
            </w:r>
          </w:p>
        </w:tc>
        <w:tc>
          <w:tcPr>
            <w:tcW w:w="6708" w:type="dxa"/>
            <w:tcMar>
              <w:top w:w="200" w:type="dxa"/>
              <w:bottom w:w="200" w:type="dxa"/>
              <w:right w:w="0" w:type="dxa"/>
            </w:tcMar>
          </w:tcPr>
          <w:p w14:paraId="355A9FE8" w14:textId="77777777" w:rsidR="006561BA" w:rsidRDefault="005B4ED6">
            <w:pPr>
              <w:pStyle w:val="AnnexTableCellLeft"/>
            </w:pPr>
            <w:r>
              <w:t>Aktiviteten oppfyller kriteriene fastsatt i tillegg B til dette vedlegget.</w:t>
            </w:r>
          </w:p>
        </w:tc>
      </w:tr>
      <w:tr w:rsidR="006561BA" w14:paraId="25D197EB" w14:textId="77777777">
        <w:tc>
          <w:tcPr>
            <w:tcW w:w="2520" w:type="dxa"/>
            <w:tcMar>
              <w:top w:w="200" w:type="dxa"/>
              <w:left w:w="0" w:type="dxa"/>
              <w:bottom w:w="200" w:type="dxa"/>
            </w:tcMar>
          </w:tcPr>
          <w:p w14:paraId="78675EEC" w14:textId="77777777" w:rsidR="006561BA" w:rsidRDefault="005B4ED6">
            <w:pPr>
              <w:pStyle w:val="AnnexNumberedText"/>
              <w:spacing w:after="0"/>
              <w:ind w:left="293" w:hanging="293"/>
            </w:pPr>
            <w:r>
              <w:t>5)</w:t>
            </w:r>
            <w:r>
              <w:tab/>
              <w:t>Forebygging og begrensning av forurensning</w:t>
            </w:r>
          </w:p>
        </w:tc>
        <w:tc>
          <w:tcPr>
            <w:tcW w:w="6708" w:type="dxa"/>
            <w:tcMar>
              <w:top w:w="200" w:type="dxa"/>
              <w:bottom w:w="200" w:type="dxa"/>
              <w:right w:w="0" w:type="dxa"/>
            </w:tcMar>
          </w:tcPr>
          <w:p w14:paraId="30B18895" w14:textId="77777777" w:rsidR="006561BA" w:rsidRDefault="005B4ED6">
            <w:pPr>
              <w:pStyle w:val="AnnexTableCellLeft"/>
            </w:pPr>
            <w:r>
              <w:t>Aktiviteten oppfyller kriteriene fastsatt i tillegg C til dette vedlegget.</w:t>
            </w:r>
          </w:p>
        </w:tc>
      </w:tr>
      <w:tr w:rsidR="006561BA" w14:paraId="61970ECA" w14:textId="77777777">
        <w:tc>
          <w:tcPr>
            <w:tcW w:w="2520" w:type="dxa"/>
            <w:tcMar>
              <w:top w:w="200" w:type="dxa"/>
              <w:left w:w="0" w:type="dxa"/>
              <w:bottom w:w="200" w:type="dxa"/>
            </w:tcMar>
          </w:tcPr>
          <w:p w14:paraId="74BDD966" w14:textId="77777777" w:rsidR="006561BA" w:rsidRDefault="005B4ED6">
            <w:pPr>
              <w:pStyle w:val="AnnexNumberedText"/>
              <w:spacing w:after="0"/>
              <w:ind w:left="293" w:hanging="293"/>
            </w:pPr>
            <w:r>
              <w:t>6)</w:t>
            </w:r>
            <w:r>
              <w:tab/>
              <w:t>Beskyttelse og restaurering av biologisk mangfold og økosystemer</w:t>
            </w:r>
          </w:p>
        </w:tc>
        <w:tc>
          <w:tcPr>
            <w:tcW w:w="6708" w:type="dxa"/>
            <w:tcMar>
              <w:top w:w="200" w:type="dxa"/>
              <w:bottom w:w="200" w:type="dxa"/>
              <w:right w:w="0" w:type="dxa"/>
            </w:tcMar>
          </w:tcPr>
          <w:p w14:paraId="324A25C0" w14:textId="77777777" w:rsidR="006561BA" w:rsidRDefault="005B4ED6">
            <w:pPr>
              <w:pStyle w:val="AnnexTableCellLeft"/>
            </w:pPr>
            <w:r>
              <w:t>Ikke relevant</w:t>
            </w:r>
          </w:p>
        </w:tc>
      </w:tr>
    </w:tbl>
    <w:p w14:paraId="7B1F45A1" w14:textId="77777777" w:rsidR="006561BA" w:rsidRDefault="005B4ED6">
      <w:pPr>
        <w:pStyle w:val="AnnexNumberedText"/>
        <w:spacing w:before="600" w:after="300"/>
        <w:ind w:left="414" w:hanging="414"/>
      </w:pPr>
      <w:r>
        <w:t>5.6.</w:t>
      </w:r>
      <w:r>
        <w:rPr>
          <w:b/>
        </w:rPr>
        <w:tab/>
        <w:t>Markedsplass for handel med brukte varer for ombruk</w:t>
      </w:r>
    </w:p>
    <w:p w14:paraId="79BF210E" w14:textId="77777777" w:rsidR="006561BA" w:rsidRDefault="005B4ED6">
      <w:pPr>
        <w:pStyle w:val="AnnexGrSeq3"/>
        <w:jc w:val="both"/>
      </w:pPr>
      <w:r>
        <w:rPr>
          <w:i/>
        </w:rPr>
        <w:t>Beskrivelse av aktiviteten</w:t>
      </w:r>
    </w:p>
    <w:p w14:paraId="346401C2" w14:textId="77777777" w:rsidR="006561BA" w:rsidRDefault="005B4ED6">
      <w:pPr>
        <w:pStyle w:val="AnnexNormal"/>
      </w:pPr>
      <w:r>
        <w:t>Utvikling og drift av markedsplasser(</w:t>
      </w:r>
      <w:bookmarkStart w:id="244" w:name="NOTE_246"/>
      <w:r>
        <w:rPr>
          <w:rStyle w:val="FootnoteReference"/>
          <w:sz w:val="18"/>
        </w:rPr>
        <w:footnoteReference w:id="247"/>
      </w:r>
      <w:bookmarkEnd w:id="244"/>
      <w:r>
        <w:t>) og annonseportaler(</w:t>
      </w:r>
      <w:bookmarkStart w:id="245" w:name="NOTE_247"/>
      <w:r>
        <w:rPr>
          <w:rStyle w:val="FootnoteReference"/>
          <w:sz w:val="18"/>
        </w:rPr>
        <w:footnoteReference w:id="248"/>
      </w:r>
      <w:bookmarkEnd w:id="245"/>
      <w:r>
        <w:t>) for handel (salg eller bytte) med brukte produkter, materialer eller komponenter for ombruk, der markedsplassene og annonseportalene fungerer som et mellomledd for å sette kjøpere som søker en tjeneste eller et produkt, i forbindelse med selgere eller leverandører av disse produktene eller tjenestene.</w:t>
      </w:r>
    </w:p>
    <w:p w14:paraId="7BA44A10" w14:textId="77777777" w:rsidR="006561BA" w:rsidRDefault="005B4ED6">
      <w:pPr>
        <w:pStyle w:val="AnnexNormal"/>
      </w:pPr>
      <w:r>
        <w:t>Den økonomiske aktiviteten omfatter markedsplasser og annonseportaler som støtter B2B-, B2C-salg og kunde til kunde-salg (C2C). Aktiviteten omfatter tjenester som å sette kjøper og selger i forbindelse med hverandre, betalings- eller leveringstjenester.</w:t>
      </w:r>
    </w:p>
    <w:p w14:paraId="68BA38CD" w14:textId="77777777" w:rsidR="006561BA" w:rsidRDefault="005B4ED6">
      <w:pPr>
        <w:pStyle w:val="AnnexNormal"/>
      </w:pPr>
      <w:r>
        <w:t>Den økonomiske aktiviteten omfatter ikke engros- eller detaljhandel med brukte varer.</w:t>
      </w:r>
    </w:p>
    <w:p w14:paraId="4B220D61" w14:textId="100C8E5A" w:rsidR="006561BA" w:rsidRDefault="005B4ED6">
      <w:pPr>
        <w:pStyle w:val="AnnexNormal"/>
        <w:spacing w:after="400"/>
      </w:pPr>
      <w:r>
        <w:t xml:space="preserve">Den økonomiske aktiviteten gjelder produkter som er framstilt av næringsgrener som klassifiseres i henhold til NACE-kodene C10 Produksjon av nærings- og nytelsesmidler, C11 Produksjon av drikkevarer, C13 Produksjon av tekstiler, C14 Produksjon av klær, C15 Produksjon av lær og lærvarer, C16 Produksjon av trelast og varer av tre, kork, strå og flettematerialer, unntatt møbler, C17 Produksjon av papir og papirvarer, C18 Trykking og reproduksjon av innspilte opptak, C22 Produksjon av gummi- og plastprodukter, C23.3 Produksjon av byggevarer av brent leire, C23.4 Produksjon av andre porselensprodukter og keramiske produkter, C24 Produksjon av metaller, C25.1 Produksjon av metallkonstruksjoner, C25.2 Produksjon av tanker, sisterner og andre beholdere av metall, C25.7 Produksjon av kjøkkenredskaper, skjære- og klipperedskaper, håndverktøy og andre jernvarer, C25.9 Produksjon av andre metallprodukter, C26 Produksjon av datamaskiner og elektroniske og optiske produkter, C27 Produksjon av elektrisk utstyr, C28.22 Produksjon av løfte- og håndteringsutstyr, C28.23 Produksjon av kontormaskiner og utstyr (unntatt datamaskiner og tilleggsutstyr), C28.24 Produksjon av motordrevet håndverktøy, C28.25 Produksjon av kjøle- og </w:t>
      </w:r>
      <w:r>
        <w:lastRenderedPageBreak/>
        <w:t>ventilasjonsanlegg, unntatt til husholdningsbruk, C28.93 Produksjon av maskiner og utstyr til nærings- og nytelsesmiddelindustri, C28.94 Produksjon av maskiner og utstyr til tekstil-, konfeksjons- og lærvareindustri, C28.95 Produksjon av maskiner og utstyr til papir- og pappvareindustri, C28.96 Produksjon av maskiner og utstyr til plast- og gummiindustri, C31 Produksjon av møbler og C32 Annen industriproduksjon.</w:t>
      </w:r>
    </w:p>
    <w:p w14:paraId="74681435" w14:textId="7B30FC92" w:rsidR="006561BA" w:rsidRDefault="005B4ED6">
      <w:pPr>
        <w:pStyle w:val="AnnexNormal"/>
        <w:spacing w:after="400"/>
      </w:pPr>
      <w:r>
        <w:t>De økonomiske aktivitetene i denne kategorien kan knyttes til flere NACE-koder, særlig J58.29, J61, J62 og J63.1</w:t>
      </w:r>
      <w:r w:rsidR="00F4544C">
        <w:t>,</w:t>
      </w:r>
      <w:r>
        <w:t xml:space="preserve"> i samsvar med standarden for næringsgruppering fastsatt ved forordning (EF) nr. 1893/2006.</w:t>
      </w:r>
    </w:p>
    <w:p w14:paraId="57DC2A84" w14:textId="77777777" w:rsidR="006561BA" w:rsidRDefault="005B4ED6">
      <w:pPr>
        <w:pStyle w:val="AnnexNormal"/>
        <w:spacing w:after="1400"/>
      </w:pPr>
      <w:r>
        <w:t>En økonomisk aktivitet i denne kategorien er en muliggjørende aktivitet i samsvar med artikkel 13 nr. 1 bokstav l) i forordning (EU) 2020/852 dersom den oppfyller de tekniske screeningkriteriene fastsatt i dette avsnittet.</w:t>
      </w:r>
    </w:p>
    <w:p w14:paraId="3457EE22" w14:textId="77777777" w:rsidR="006561BA" w:rsidRDefault="005B4ED6">
      <w:pPr>
        <w:pStyle w:val="AnnexGrSeq3"/>
        <w:spacing w:after="300"/>
        <w:jc w:val="both"/>
      </w:pPr>
      <w:r>
        <w:rPr>
          <w:i/>
        </w:rPr>
        <w:t>Tekniske screeningkriterier</w:t>
      </w:r>
    </w:p>
    <w:tbl>
      <w:tblPr>
        <w:tblStyle w:val="EFTATable"/>
        <w:tblW w:w="9228" w:type="dxa"/>
        <w:tblInd w:w="12" w:type="dxa"/>
        <w:tblLayout w:type="fixed"/>
        <w:tblLook w:val="04A0" w:firstRow="1" w:lastRow="0" w:firstColumn="1" w:lastColumn="0" w:noHBand="0" w:noVBand="1"/>
      </w:tblPr>
      <w:tblGrid>
        <w:gridCol w:w="2496"/>
        <w:gridCol w:w="6732"/>
      </w:tblGrid>
      <w:tr w:rsidR="006561BA" w14:paraId="2F6D5B2C" w14:textId="77777777">
        <w:trPr>
          <w:trHeight w:val="240"/>
        </w:trPr>
        <w:tc>
          <w:tcPr>
            <w:tcW w:w="9228" w:type="dxa"/>
            <w:gridSpan w:val="2"/>
            <w:tcMar>
              <w:top w:w="200" w:type="dxa"/>
              <w:left w:w="0" w:type="dxa"/>
              <w:bottom w:w="200" w:type="dxa"/>
              <w:right w:w="0" w:type="dxa"/>
            </w:tcMar>
          </w:tcPr>
          <w:p w14:paraId="2C576293" w14:textId="77777777" w:rsidR="006561BA" w:rsidRDefault="005B4ED6">
            <w:pPr>
              <w:pStyle w:val="AnnexTableCellLeft"/>
            </w:pPr>
            <w:r>
              <w:t>Vesentlig bidrag til omstilling til en sirkulær økonomi</w:t>
            </w:r>
          </w:p>
        </w:tc>
      </w:tr>
      <w:tr w:rsidR="006561BA" w14:paraId="411F64F2" w14:textId="77777777">
        <w:trPr>
          <w:trHeight w:val="360"/>
        </w:trPr>
        <w:tc>
          <w:tcPr>
            <w:tcW w:w="9228" w:type="dxa"/>
            <w:gridSpan w:val="2"/>
            <w:tcMar>
              <w:top w:w="200" w:type="dxa"/>
              <w:left w:w="0" w:type="dxa"/>
              <w:bottom w:w="200" w:type="dxa"/>
              <w:right w:w="0" w:type="dxa"/>
            </w:tcMar>
          </w:tcPr>
          <w:p w14:paraId="114F828D" w14:textId="77777777" w:rsidR="006561BA" w:rsidRDefault="005B4ED6">
            <w:pPr>
              <w:pStyle w:val="AnnexNumberedText"/>
              <w:tabs>
                <w:tab w:val="left" w:pos="276"/>
              </w:tabs>
              <w:spacing w:after="200"/>
              <w:ind w:left="0" w:firstLine="0"/>
            </w:pPr>
            <w:r>
              <w:t>1.</w:t>
            </w:r>
            <w:r>
              <w:tab/>
              <w:t>Den økonomiske aktiviteten består i å utvikle og drive markedsplasser eller annonseportaler for å støtte salg eller ombruk av brukte produkter, komponenter eller materialer.</w:t>
            </w:r>
          </w:p>
          <w:p w14:paraId="32500D5A" w14:textId="77777777" w:rsidR="006561BA" w:rsidRDefault="005B4ED6">
            <w:pPr>
              <w:pStyle w:val="AnnexTableCellLeft"/>
              <w:spacing w:after="200"/>
            </w:pPr>
            <w:r>
              <w:t>Aktiviteten muliggjør handel (salg eller bytte) med henblikk på ombruk av brukte varer som angitt i aktivitetsbeskrivelsen, og som en forbruker eller en organisasjon allerede har brukt til sitt tiltenkte bruksområde, med eller uten reparasjon.</w:t>
            </w:r>
          </w:p>
          <w:p w14:paraId="441CFD07" w14:textId="77777777" w:rsidR="006561BA" w:rsidRDefault="005B4ED6">
            <w:pPr>
              <w:pStyle w:val="AnnexNumberedText"/>
              <w:tabs>
                <w:tab w:val="left" w:pos="276"/>
              </w:tabs>
              <w:spacing w:after="200"/>
              <w:ind w:left="0" w:firstLine="0"/>
            </w:pPr>
            <w:r>
              <w:t>2.</w:t>
            </w:r>
            <w:r>
              <w:tab/>
              <w:t>Dersom det brukes servere og datalagringsprodukter:</w:t>
            </w:r>
          </w:p>
          <w:p w14:paraId="2723CC63" w14:textId="77777777" w:rsidR="006561BA" w:rsidRDefault="005B4ED6">
            <w:pPr>
              <w:pStyle w:val="AnnexNumberedText"/>
              <w:spacing w:after="200"/>
              <w:ind w:left="293" w:hanging="293"/>
            </w:pPr>
            <w:r>
              <w:t>a)</w:t>
            </w:r>
            <w:r>
              <w:tab/>
              <w:t>Det utstyret som brukes, oppfyller kravene til servere og datalagringsprodukter i samsvar med direktiv 2009/125/EF.</w:t>
            </w:r>
          </w:p>
          <w:p w14:paraId="2364B973" w14:textId="77777777" w:rsidR="006561BA" w:rsidRDefault="005B4ED6">
            <w:pPr>
              <w:pStyle w:val="AnnexNumberedText"/>
              <w:spacing w:after="200"/>
              <w:ind w:left="293" w:hanging="293"/>
            </w:pPr>
            <w:r>
              <w:t>b)</w:t>
            </w:r>
            <w:r>
              <w:tab/>
              <w:t>Det utstyret som brukes, inneholder ikke de stoffene som er underlagt begrensninger, og som er oppført i vedlegg II til direktiv 2011/65/EU, med mindre konsentrasjonsverdiene i vektprosent i homogene materialer ikke overskrider verdiene oppført i det nevnte vedlegget.</w:t>
            </w:r>
          </w:p>
          <w:p w14:paraId="6A2B2F31" w14:textId="703CAECD" w:rsidR="006561BA" w:rsidRDefault="005B4ED6">
            <w:pPr>
              <w:pStyle w:val="AnnexNumberedText"/>
              <w:spacing w:after="200"/>
              <w:ind w:left="293" w:hanging="293"/>
            </w:pPr>
            <w:r>
              <w:t>c)</w:t>
            </w:r>
            <w:r>
              <w:tab/>
              <w:t xml:space="preserve">Det er utarbeidet en avfallshåndteringsplan for å prioritere ombruk og materialgjenvinning når elektrisk og elektronisk utstyr er </w:t>
            </w:r>
            <w:r w:rsidR="0070387E">
              <w:t>uttjent</w:t>
            </w:r>
            <w:r>
              <w:t>, som for eksempel avtaler med materialgjenvinningspartnere.</w:t>
            </w:r>
          </w:p>
          <w:p w14:paraId="15BE5068" w14:textId="356A94E9" w:rsidR="006561BA" w:rsidRDefault="005B4ED6">
            <w:pPr>
              <w:pStyle w:val="AnnexNumberedText"/>
              <w:spacing w:after="0"/>
              <w:ind w:left="293" w:hanging="293"/>
            </w:pPr>
            <w:r>
              <w:t>d)</w:t>
            </w:r>
            <w:r>
              <w:tab/>
              <w:t xml:space="preserve">Når utstyret er </w:t>
            </w:r>
            <w:r w:rsidR="0070387E">
              <w:t>uttjent</w:t>
            </w:r>
            <w:r>
              <w:t>, forberedes det til ombruk, utnytting eller materialgjenvinning, eller korrekt behandling, herunder uttak av alle væsker og selektiv behandling i samsvar med vedlegg VII til direktiv 2012/19/EU.</w:t>
            </w:r>
          </w:p>
        </w:tc>
      </w:tr>
      <w:tr w:rsidR="006561BA" w14:paraId="317DE2A4" w14:textId="77777777">
        <w:trPr>
          <w:trHeight w:val="240"/>
        </w:trPr>
        <w:tc>
          <w:tcPr>
            <w:tcW w:w="9228" w:type="dxa"/>
            <w:gridSpan w:val="2"/>
            <w:tcMar>
              <w:top w:w="200" w:type="dxa"/>
              <w:left w:w="0" w:type="dxa"/>
              <w:bottom w:w="200" w:type="dxa"/>
              <w:right w:w="0" w:type="dxa"/>
            </w:tcMar>
          </w:tcPr>
          <w:p w14:paraId="6C707679" w14:textId="77777777" w:rsidR="006561BA" w:rsidRDefault="005B4ED6">
            <w:pPr>
              <w:pStyle w:val="AnnexTableCellLeft"/>
            </w:pPr>
            <w:r>
              <w:t>Prinsippet om ikke å gjøre betydelig skade («DNSH»)</w:t>
            </w:r>
          </w:p>
        </w:tc>
      </w:tr>
      <w:tr w:rsidR="006561BA" w14:paraId="26613E67" w14:textId="77777777">
        <w:tc>
          <w:tcPr>
            <w:tcW w:w="2496" w:type="dxa"/>
            <w:tcMar>
              <w:top w:w="200" w:type="dxa"/>
              <w:left w:w="0" w:type="dxa"/>
              <w:bottom w:w="200" w:type="dxa"/>
            </w:tcMar>
          </w:tcPr>
          <w:p w14:paraId="456C6998" w14:textId="77777777" w:rsidR="006561BA" w:rsidRDefault="005B4ED6">
            <w:pPr>
              <w:pStyle w:val="AnnexNumberedText"/>
              <w:spacing w:after="0"/>
              <w:ind w:left="293" w:hanging="293"/>
            </w:pPr>
            <w:r>
              <w:t>1)</w:t>
            </w:r>
            <w:r>
              <w:tab/>
              <w:t>Begrensning av klimaendringer</w:t>
            </w:r>
          </w:p>
        </w:tc>
        <w:tc>
          <w:tcPr>
            <w:tcW w:w="6732" w:type="dxa"/>
            <w:tcMar>
              <w:top w:w="200" w:type="dxa"/>
              <w:bottom w:w="200" w:type="dxa"/>
            </w:tcMar>
          </w:tcPr>
          <w:p w14:paraId="6B1BD903" w14:textId="4521855F" w:rsidR="006561BA" w:rsidRDefault="005B4ED6">
            <w:pPr>
              <w:pStyle w:val="AnnexTableCellLeft"/>
            </w:pPr>
            <w:r>
              <w:t>Når det anvendes og drives datasentr</w:t>
            </w:r>
            <w:r w:rsidR="00F12AD7">
              <w:t>aler</w:t>
            </w:r>
            <w:r>
              <w:t xml:space="preserve">, framgår det av aktiviteten at man har gjort en stor innsats for å gjennomføre den relevante praksisen som er oppført som «forventet praksis» i den seneste versjonen av den europeiske </w:t>
            </w:r>
            <w:proofErr w:type="spellStart"/>
            <w:r>
              <w:t>atferdskodeksen</w:t>
            </w:r>
            <w:proofErr w:type="spellEnd"/>
            <w:r>
              <w:t xml:space="preserve"> for energieffektivitet i datasentraler eller i CEN-CENELEC-dokument CLC TR50600-99-1 «Data </w:t>
            </w:r>
            <w:proofErr w:type="spellStart"/>
            <w:r>
              <w:t>centre</w:t>
            </w:r>
            <w:proofErr w:type="spellEnd"/>
            <w:r>
              <w:t xml:space="preserve"> </w:t>
            </w:r>
            <w:proofErr w:type="spellStart"/>
            <w:r>
              <w:t>facilities</w:t>
            </w:r>
            <w:proofErr w:type="spellEnd"/>
            <w:r>
              <w:t xml:space="preserve"> and </w:t>
            </w:r>
            <w:proofErr w:type="spellStart"/>
            <w:r>
              <w:t>infrastructure</w:t>
            </w:r>
            <w:proofErr w:type="spellEnd"/>
            <w:r>
              <w:t xml:space="preserve"> - Part 99-1: </w:t>
            </w:r>
            <w:proofErr w:type="spellStart"/>
            <w:r>
              <w:t>Recommended</w:t>
            </w:r>
            <w:proofErr w:type="spellEnd"/>
            <w:r>
              <w:t xml:space="preserve"> </w:t>
            </w:r>
            <w:proofErr w:type="spellStart"/>
            <w:r>
              <w:t>practices</w:t>
            </w:r>
            <w:proofErr w:type="spellEnd"/>
            <w:r>
              <w:t xml:space="preserve"> for </w:t>
            </w:r>
            <w:proofErr w:type="spellStart"/>
            <w:r>
              <w:t>energy</w:t>
            </w:r>
            <w:proofErr w:type="spellEnd"/>
            <w:r>
              <w:t xml:space="preserve"> management»(</w:t>
            </w:r>
            <w:bookmarkStart w:id="246" w:name="NOTE_248"/>
            <w:r>
              <w:rPr>
                <w:rStyle w:val="FootnoteReference"/>
                <w:sz w:val="18"/>
              </w:rPr>
              <w:footnoteReference w:id="249"/>
            </w:r>
            <w:bookmarkEnd w:id="246"/>
            <w:r>
              <w:t xml:space="preserve">), og man har gjennomført all forventet praksis som er tildelt maksimumsverdien 5 i henhold til den seneste versjonen av den europeiske </w:t>
            </w:r>
            <w:proofErr w:type="spellStart"/>
            <w:r>
              <w:t>atferdskodeksen</w:t>
            </w:r>
            <w:proofErr w:type="spellEnd"/>
            <w:r>
              <w:t xml:space="preserve"> for energieffektivitet i datasentraler.</w:t>
            </w:r>
          </w:p>
        </w:tc>
      </w:tr>
      <w:tr w:rsidR="006561BA" w14:paraId="6B4C4C57" w14:textId="77777777">
        <w:tc>
          <w:tcPr>
            <w:tcW w:w="2496" w:type="dxa"/>
            <w:tcMar>
              <w:top w:w="200" w:type="dxa"/>
              <w:left w:w="0" w:type="dxa"/>
              <w:bottom w:w="200" w:type="dxa"/>
            </w:tcMar>
          </w:tcPr>
          <w:p w14:paraId="7BA3C810" w14:textId="77777777" w:rsidR="006561BA" w:rsidRDefault="005B4ED6">
            <w:pPr>
              <w:pStyle w:val="AnnexNumberedText"/>
              <w:pageBreakBefore/>
              <w:spacing w:after="0"/>
              <w:ind w:left="293" w:hanging="293"/>
            </w:pPr>
            <w:r>
              <w:lastRenderedPageBreak/>
              <w:t>2)</w:t>
            </w:r>
            <w:r>
              <w:tab/>
              <w:t>Tilpasning til klimaendringer</w:t>
            </w:r>
          </w:p>
        </w:tc>
        <w:tc>
          <w:tcPr>
            <w:tcW w:w="6732" w:type="dxa"/>
            <w:tcMar>
              <w:top w:w="200" w:type="dxa"/>
              <w:bottom w:w="200" w:type="dxa"/>
            </w:tcMar>
          </w:tcPr>
          <w:p w14:paraId="553EF510" w14:textId="77777777" w:rsidR="006561BA" w:rsidRDefault="005B4ED6">
            <w:pPr>
              <w:pStyle w:val="AnnexTableCellLeft"/>
            </w:pPr>
            <w:r>
              <w:t>Aktiviteten oppfyller kriteriene fastsatt i tillegg A til dette vedlegget.</w:t>
            </w:r>
          </w:p>
        </w:tc>
      </w:tr>
      <w:tr w:rsidR="006561BA" w14:paraId="2158963D" w14:textId="77777777">
        <w:tc>
          <w:tcPr>
            <w:tcW w:w="2496" w:type="dxa"/>
            <w:tcMar>
              <w:top w:w="200" w:type="dxa"/>
              <w:left w:w="0" w:type="dxa"/>
              <w:bottom w:w="200" w:type="dxa"/>
            </w:tcMar>
          </w:tcPr>
          <w:p w14:paraId="6919842A" w14:textId="77777777" w:rsidR="006561BA" w:rsidRDefault="005B4ED6">
            <w:pPr>
              <w:pStyle w:val="AnnexNumberedText"/>
              <w:spacing w:after="0"/>
              <w:ind w:left="293" w:hanging="293"/>
            </w:pPr>
            <w:r>
              <w:t>3)</w:t>
            </w:r>
            <w:r>
              <w:tab/>
              <w:t>Bærekraftig bruk og beskyttelse av vann- og havressurser</w:t>
            </w:r>
          </w:p>
        </w:tc>
        <w:tc>
          <w:tcPr>
            <w:tcW w:w="6732" w:type="dxa"/>
            <w:tcMar>
              <w:top w:w="200" w:type="dxa"/>
              <w:bottom w:w="200" w:type="dxa"/>
            </w:tcMar>
          </w:tcPr>
          <w:p w14:paraId="12F02217" w14:textId="77777777" w:rsidR="006561BA" w:rsidRDefault="005B4ED6">
            <w:pPr>
              <w:pStyle w:val="AnnexTableCellLeft"/>
            </w:pPr>
            <w:r>
              <w:t>Aktiviteten oppfyller kriteriene fastsatt i tillegg B til dette vedlegget.</w:t>
            </w:r>
          </w:p>
        </w:tc>
      </w:tr>
      <w:tr w:rsidR="006561BA" w14:paraId="5376CF63" w14:textId="77777777">
        <w:tc>
          <w:tcPr>
            <w:tcW w:w="2496" w:type="dxa"/>
            <w:tcMar>
              <w:top w:w="200" w:type="dxa"/>
              <w:left w:w="0" w:type="dxa"/>
              <w:bottom w:w="200" w:type="dxa"/>
            </w:tcMar>
          </w:tcPr>
          <w:p w14:paraId="5E885961" w14:textId="77777777" w:rsidR="006561BA" w:rsidRDefault="005B4ED6">
            <w:pPr>
              <w:pStyle w:val="AnnexNumberedText"/>
              <w:spacing w:after="0"/>
              <w:ind w:left="293" w:hanging="293"/>
            </w:pPr>
            <w:r>
              <w:t>5)</w:t>
            </w:r>
            <w:r>
              <w:tab/>
              <w:t>Forebygging og begrensning av forurensning</w:t>
            </w:r>
          </w:p>
        </w:tc>
        <w:tc>
          <w:tcPr>
            <w:tcW w:w="6732" w:type="dxa"/>
            <w:tcMar>
              <w:top w:w="200" w:type="dxa"/>
              <w:bottom w:w="200" w:type="dxa"/>
            </w:tcMar>
          </w:tcPr>
          <w:p w14:paraId="2FD9D96C" w14:textId="77777777" w:rsidR="006561BA" w:rsidRDefault="005B4ED6">
            <w:pPr>
              <w:pStyle w:val="AnnexTableCellLeft"/>
            </w:pPr>
            <w:r>
              <w:t>Aktiviteten oppfyller kriteriene fastsatt i tillegg C til dette vedlegget.</w:t>
            </w:r>
          </w:p>
        </w:tc>
      </w:tr>
      <w:tr w:rsidR="006561BA" w14:paraId="3C3A023B" w14:textId="77777777">
        <w:tc>
          <w:tcPr>
            <w:tcW w:w="2496" w:type="dxa"/>
            <w:tcMar>
              <w:top w:w="200" w:type="dxa"/>
              <w:left w:w="0" w:type="dxa"/>
              <w:bottom w:w="200" w:type="dxa"/>
            </w:tcMar>
          </w:tcPr>
          <w:p w14:paraId="0FFEE9ED" w14:textId="77777777" w:rsidR="006561BA" w:rsidRDefault="005B4ED6">
            <w:pPr>
              <w:pStyle w:val="AnnexNumberedText"/>
              <w:spacing w:after="0"/>
              <w:ind w:left="293" w:hanging="293"/>
            </w:pPr>
            <w:r>
              <w:t>6)</w:t>
            </w:r>
            <w:r>
              <w:tab/>
              <w:t>Beskyttelse og restaurering av biologisk mangfold og økosystemer</w:t>
            </w:r>
          </w:p>
        </w:tc>
        <w:tc>
          <w:tcPr>
            <w:tcW w:w="6732" w:type="dxa"/>
            <w:tcMar>
              <w:top w:w="200" w:type="dxa"/>
              <w:bottom w:w="200" w:type="dxa"/>
            </w:tcMar>
          </w:tcPr>
          <w:p w14:paraId="4160DE39" w14:textId="77777777" w:rsidR="006561BA" w:rsidRDefault="005B4ED6">
            <w:pPr>
              <w:pStyle w:val="AnnexTableCellLeft"/>
            </w:pPr>
            <w:r>
              <w:t>Ikke relevant</w:t>
            </w:r>
          </w:p>
        </w:tc>
      </w:tr>
    </w:tbl>
    <w:p w14:paraId="18745CE4" w14:textId="77777777" w:rsidR="006561BA" w:rsidRDefault="006561BA">
      <w:pPr>
        <w:shd w:val="clear" w:color="auto" w:fill="auto"/>
        <w:jc w:val="left"/>
        <w:rPr>
          <w:i/>
          <w:color w:val="auto"/>
          <w:sz w:val="16"/>
          <w14:ligatures w14:val="standard"/>
        </w:rPr>
      </w:pPr>
    </w:p>
    <w:p w14:paraId="431C46EF" w14:textId="77777777" w:rsidR="006561BA" w:rsidRDefault="006561BA">
      <w:pPr>
        <w:pStyle w:val="AnnexTI"/>
        <w:sectPr w:rsidR="006561BA" w:rsidSect="000D3D55">
          <w:footnotePr>
            <w:pos w:val="beneathText"/>
            <w:numRestart w:val="eachPage"/>
          </w:footnotePr>
          <w:pgSz w:w="11906" w:h="16838" w:code="9"/>
          <w:pgMar w:top="1680" w:right="1333" w:bottom="840" w:left="1333" w:header="920" w:footer="280" w:gutter="0"/>
          <w:cols w:space="708"/>
          <w:docGrid w:linePitch="360"/>
        </w:sectPr>
      </w:pPr>
    </w:p>
    <w:p w14:paraId="2EDA09D4" w14:textId="77777777" w:rsidR="006561BA" w:rsidRDefault="005B4ED6">
      <w:pPr>
        <w:pStyle w:val="AnnexTI"/>
      </w:pPr>
      <w:r>
        <w:lastRenderedPageBreak/>
        <w:t>Tillegg A</w:t>
      </w:r>
    </w:p>
    <w:p w14:paraId="7DB7DD08" w14:textId="77777777" w:rsidR="006561BA" w:rsidRDefault="005B4ED6">
      <w:pPr>
        <w:pStyle w:val="AnnexSTI"/>
        <w:spacing w:after="300"/>
      </w:pPr>
      <w:r>
        <w:t>Generiske kriterier for anvendelse av prinsippet om ikke å gjøre betydelig skade (DNSH-kriterier) for tilpasning til klimaendringer</w:t>
      </w:r>
    </w:p>
    <w:p w14:paraId="11A78601" w14:textId="77777777" w:rsidR="006561BA" w:rsidRDefault="005B4ED6">
      <w:pPr>
        <w:pStyle w:val="AnnexNumberedText"/>
        <w:spacing w:after="200"/>
        <w:ind w:left="308" w:hanging="308"/>
      </w:pPr>
      <w:r>
        <w:t>I.</w:t>
      </w:r>
      <w:r>
        <w:rPr>
          <w:b/>
        </w:rPr>
        <w:tab/>
        <w:t>Kriterier</w:t>
      </w:r>
    </w:p>
    <w:tbl>
      <w:tblPr>
        <w:tblStyle w:val="EFTATable"/>
        <w:tblW w:w="9228" w:type="dxa"/>
        <w:tblInd w:w="112" w:type="dxa"/>
        <w:tblLayout w:type="fixed"/>
        <w:tblLook w:val="04A0" w:firstRow="1" w:lastRow="0" w:firstColumn="1" w:lastColumn="0" w:noHBand="0" w:noVBand="1"/>
      </w:tblPr>
      <w:tblGrid>
        <w:gridCol w:w="9228"/>
      </w:tblGrid>
      <w:tr w:rsidR="006561BA" w14:paraId="42499C18" w14:textId="77777777">
        <w:tc>
          <w:tcPr>
            <w:tcW w:w="9228" w:type="dxa"/>
            <w:tcBorders>
              <w:left w:val="single" w:sz="4" w:space="0" w:color="auto"/>
              <w:right w:val="single" w:sz="4" w:space="0" w:color="auto"/>
            </w:tcBorders>
            <w:shd w:val="clear" w:color="auto" w:fill="F2F2F2"/>
            <w:tcMar>
              <w:top w:w="100" w:type="dxa"/>
              <w:left w:w="100" w:type="dxa"/>
              <w:bottom w:w="100" w:type="dxa"/>
              <w:right w:w="100" w:type="dxa"/>
            </w:tcMar>
          </w:tcPr>
          <w:p w14:paraId="62CC7ED9" w14:textId="77777777" w:rsidR="006561BA" w:rsidRDefault="005B4ED6">
            <w:pPr>
              <w:pStyle w:val="AnnexNormal"/>
              <w:spacing w:after="120"/>
            </w:pPr>
            <w:r>
              <w:t>De fysiske klimarisikoene som er vesentlige for aktiviteten, er identifisert ut fra dem som er oppført i tabellen i avsnitt II i dette tillegget, ved å utføre en robust klimarisiko- og sårbarhetsvurdering med følgende trinn:</w:t>
            </w:r>
          </w:p>
          <w:p w14:paraId="5A2B244C" w14:textId="77777777" w:rsidR="006561BA" w:rsidRDefault="005B4ED6">
            <w:pPr>
              <w:pStyle w:val="AnnexNumberedText"/>
              <w:ind w:left="293" w:hanging="293"/>
            </w:pPr>
            <w:r>
              <w:t>a)</w:t>
            </w:r>
            <w:r>
              <w:tab/>
              <w:t>Screening av aktiviteten for å identifisere hvilke fysiske klimarisikoer fra listen i avsnitt II i dette tillegget som kan påvirke den økonomiske aktivitetens prestasjon i dens forventede levetid.</w:t>
            </w:r>
          </w:p>
          <w:p w14:paraId="441C4CCE" w14:textId="77777777" w:rsidR="006561BA" w:rsidRDefault="005B4ED6">
            <w:pPr>
              <w:pStyle w:val="AnnexNumberedText"/>
              <w:ind w:left="293" w:hanging="293"/>
            </w:pPr>
            <w:r>
              <w:t>b)</w:t>
            </w:r>
            <w:r>
              <w:tab/>
              <w:t>Dersom aktiviteten vurderes å være utsatt for en eller flere av de fysiske klimarisikoene som er oppført i avsnitt II i dette tillegget, en klimarisiko- og sårbarhetsvurdering for å vurdere hvor vesentlige de fysiske klimarisikoene er for den økonomiske aktiviteten.</w:t>
            </w:r>
          </w:p>
          <w:p w14:paraId="0CBB4279" w14:textId="77777777" w:rsidR="006561BA" w:rsidRDefault="005B4ED6">
            <w:pPr>
              <w:pStyle w:val="AnnexNumberedText"/>
              <w:ind w:left="293" w:hanging="293"/>
            </w:pPr>
            <w:r>
              <w:t>c)</w:t>
            </w:r>
            <w:r>
              <w:tab/>
              <w:t>En vurdering av tilpasningsløsninger som kan redusere den identifiserte fysiske klimarisikoen.</w:t>
            </w:r>
          </w:p>
          <w:p w14:paraId="06F1C1F3" w14:textId="77777777" w:rsidR="006561BA" w:rsidRDefault="005B4ED6">
            <w:pPr>
              <w:pStyle w:val="AnnexNormal"/>
              <w:spacing w:after="120"/>
            </w:pPr>
            <w:r>
              <w:t>Klimarisiko- og sårbarhetsvurderingen står i forhold til aktivitetens omfang og forventede levetid, slik at</w:t>
            </w:r>
          </w:p>
          <w:p w14:paraId="03AA3E47" w14:textId="77777777" w:rsidR="006561BA" w:rsidRDefault="005B4ED6">
            <w:pPr>
              <w:pStyle w:val="AnnexNumberedText"/>
              <w:ind w:left="293" w:hanging="293"/>
            </w:pPr>
            <w:r>
              <w:t>a)</w:t>
            </w:r>
            <w:r>
              <w:tab/>
              <w:t>vurderingen av aktiviteter med en forventet levetid på mindre enn ti år som et minimum utføres ved å bruke klimaframskrivninger i minste hensiktsmessige skala,</w:t>
            </w:r>
          </w:p>
          <w:p w14:paraId="3523E9B5" w14:textId="77777777" w:rsidR="006561BA" w:rsidRDefault="005B4ED6">
            <w:pPr>
              <w:pStyle w:val="AnnexNumberedText"/>
              <w:ind w:left="293" w:hanging="293"/>
            </w:pPr>
            <w:r>
              <w:t>b)</w:t>
            </w:r>
            <w:r>
              <w:tab/>
              <w:t>vurderingen av alle andre aktiviteter utføres ved hjelp av avanserte klimaframskrivninger med høyest tilgjengelig oppløsning på tvers av alle eksisterende framtidige scenarioer(</w:t>
            </w:r>
            <w:bookmarkStart w:id="247" w:name="NOTE_249"/>
            <w:r>
              <w:rPr>
                <w:rStyle w:val="FootnoteReference"/>
                <w:sz w:val="18"/>
              </w:rPr>
              <w:footnoteReference w:id="250"/>
            </w:r>
            <w:bookmarkEnd w:id="247"/>
            <w:r>
              <w:t>), som er i samsvar med aktivitetens forventede levetid, herunder klimaframskrivningsscenarioer på minst 10–30 år for større investeringer.</w:t>
            </w:r>
          </w:p>
          <w:p w14:paraId="3DC99C45" w14:textId="77777777" w:rsidR="006561BA" w:rsidRDefault="005B4ED6">
            <w:pPr>
              <w:pStyle w:val="AnnexNormal"/>
              <w:spacing w:after="120"/>
            </w:pPr>
            <w:r>
              <w:t>Klimaframskrivningene og vurderingen av virkninger er basert på beste praksis og tilgjengelig veiledning og tar hensyn til den nyeste vitenskapen for sårbarhets- og risikoanalyser og relaterte metoder i tråd med de nyeste rapportene fra FNs klimapanel(</w:t>
            </w:r>
            <w:bookmarkStart w:id="248" w:name="NOTE_250"/>
            <w:r>
              <w:rPr>
                <w:rStyle w:val="FootnoteReference"/>
                <w:sz w:val="18"/>
              </w:rPr>
              <w:footnoteReference w:id="251"/>
            </w:r>
            <w:bookmarkEnd w:id="248"/>
            <w:r>
              <w:t>), fagfellevurderte vitenskapelige publikasjoner og modeller som bruker åpen kildekode(</w:t>
            </w:r>
            <w:bookmarkStart w:id="249" w:name="NOTE_251"/>
            <w:r>
              <w:rPr>
                <w:rStyle w:val="FootnoteReference"/>
                <w:sz w:val="18"/>
              </w:rPr>
              <w:footnoteReference w:id="252"/>
            </w:r>
            <w:bookmarkEnd w:id="249"/>
            <w:r>
              <w:t>), eller betalingsmodeller.</w:t>
            </w:r>
          </w:p>
          <w:p w14:paraId="7A7CE2E5" w14:textId="77777777" w:rsidR="006561BA" w:rsidRDefault="005B4ED6">
            <w:pPr>
              <w:pStyle w:val="AnnexNormal"/>
              <w:spacing w:after="120"/>
            </w:pPr>
            <w:r>
              <w:t>For eksisterende aktiviteter og nye aktiviteter som bruker eksisterende fysiske eiendeler, gjennomfører markedsdeltakeren fysiske og ikke-fysiske løsninger («tilpasningsløsninger») over et tidsrom på inntil fem år, som reduserer de viktigste identifiserte fysiske klimarisikoene som er vesentlige for denne aktiviteten. En tilpasningsplan for gjennomføringen av disse løsningene utarbeides i samsvar med dette.</w:t>
            </w:r>
          </w:p>
          <w:p w14:paraId="2419779C" w14:textId="77777777" w:rsidR="006561BA" w:rsidRDefault="005B4ED6">
            <w:pPr>
              <w:pStyle w:val="AnnexNormal"/>
              <w:spacing w:after="120"/>
            </w:pPr>
            <w:r>
              <w:t>For nye aktiviteter og eksisterende aktiviteter som bruker nybygde fysiske eiendeler, integrerer markedsdeltakeren tilpasningsløsningene som reduserer de viktigste identifiserte fysiske klimarisikoene som er vesentlige for denne aktiviteten, på tidspunktet for utforming og bygging, og har gjennomført dem før driften igangsettes.</w:t>
            </w:r>
          </w:p>
          <w:p w14:paraId="000E5E70" w14:textId="77777777" w:rsidR="006561BA" w:rsidRDefault="005B4ED6">
            <w:pPr>
              <w:pStyle w:val="AnnexNormal"/>
            </w:pPr>
            <w:r>
              <w:t>De gjennomførte tilpasningsløsningene har ingen negativ innvirkning på tilpasningstiltakene eller motstandsdyktigheten mot fysiske klimarisikoer hos andre mennesker, naturen, kulturarv, eiendeler og andre økonomiske aktiviteter, er i samsvar med lokale, sektorielle, regionale eller nasjonale tilpasningsstrategier og -planer, og vurderer bruken av naturbaserte løsninger(</w:t>
            </w:r>
            <w:bookmarkStart w:id="250" w:name="NOTE_252"/>
            <w:r>
              <w:rPr>
                <w:rStyle w:val="FootnoteReference"/>
                <w:sz w:val="18"/>
              </w:rPr>
              <w:footnoteReference w:id="253"/>
            </w:r>
            <w:bookmarkEnd w:id="250"/>
            <w:r>
              <w:t>) eller støtter seg på blå eller grønn infrastruktur(</w:t>
            </w:r>
            <w:bookmarkStart w:id="251" w:name="NOTE_253"/>
            <w:r>
              <w:rPr>
                <w:rStyle w:val="FootnoteReference"/>
                <w:sz w:val="18"/>
              </w:rPr>
              <w:footnoteReference w:id="254"/>
            </w:r>
            <w:bookmarkEnd w:id="251"/>
            <w:r>
              <w:t>) i den grad det er mulig.</w:t>
            </w:r>
          </w:p>
        </w:tc>
      </w:tr>
    </w:tbl>
    <w:p w14:paraId="1CF62169" w14:textId="77777777" w:rsidR="006561BA" w:rsidRDefault="005B4ED6">
      <w:pPr>
        <w:pStyle w:val="AnnexNormal"/>
      </w:pPr>
      <w:r>
        <w:br w:type="page"/>
      </w:r>
    </w:p>
    <w:p w14:paraId="296C6E58" w14:textId="77777777" w:rsidR="006561BA" w:rsidRDefault="005B4ED6">
      <w:pPr>
        <w:pStyle w:val="AnnexNumberedText"/>
        <w:spacing w:after="300"/>
        <w:ind w:left="308" w:hanging="308"/>
      </w:pPr>
      <w:r>
        <w:lastRenderedPageBreak/>
        <w:t>II.</w:t>
      </w:r>
      <w:r>
        <w:rPr>
          <w:b/>
        </w:rPr>
        <w:tab/>
        <w:t>Klassifisering av klimarelaterte farer</w:t>
      </w:r>
      <w:r>
        <w:t>(</w:t>
      </w:r>
      <w:bookmarkStart w:id="252" w:name="NOTE_254"/>
      <w:r>
        <w:rPr>
          <w:rStyle w:val="FootnoteReference"/>
          <w:sz w:val="18"/>
        </w:rPr>
        <w:footnoteReference w:id="255"/>
      </w:r>
      <w:bookmarkEnd w:id="252"/>
      <w:r>
        <w:t>)</w:t>
      </w:r>
    </w:p>
    <w:tbl>
      <w:tblPr>
        <w:tblStyle w:val="EFTATable"/>
        <w:tblW w:w="9228" w:type="dxa"/>
        <w:tblInd w:w="12" w:type="dxa"/>
        <w:shd w:val="clear" w:color="auto" w:fill="F2F2F2"/>
        <w:tblLayout w:type="fixed"/>
        <w:tblLook w:val="04A0" w:firstRow="1" w:lastRow="0" w:firstColumn="1" w:lastColumn="0" w:noHBand="0" w:noVBand="1"/>
      </w:tblPr>
      <w:tblGrid>
        <w:gridCol w:w="780"/>
        <w:gridCol w:w="2112"/>
        <w:gridCol w:w="2112"/>
        <w:gridCol w:w="2112"/>
        <w:gridCol w:w="2112"/>
      </w:tblGrid>
      <w:tr w:rsidR="006561BA" w14:paraId="6F69815D" w14:textId="77777777">
        <w:trPr>
          <w:trHeight w:val="240"/>
          <w:tblHeader/>
        </w:trPr>
        <w:tc>
          <w:tcPr>
            <w:tcW w:w="780" w:type="dxa"/>
            <w:shd w:val="clear" w:color="auto" w:fill="F2F2F2"/>
            <w:tcMar>
              <w:top w:w="60" w:type="dxa"/>
              <w:left w:w="0" w:type="dxa"/>
              <w:bottom w:w="60" w:type="dxa"/>
              <w:right w:w="40" w:type="dxa"/>
            </w:tcMar>
            <w:vAlign w:val="center"/>
          </w:tcPr>
          <w:p w14:paraId="3FD1FE76" w14:textId="77777777" w:rsidR="006561BA" w:rsidRDefault="006561BA">
            <w:pPr>
              <w:pStyle w:val="AnnexTableHeader"/>
              <w:spacing w:line="200" w:lineRule="exact"/>
            </w:pPr>
          </w:p>
        </w:tc>
        <w:tc>
          <w:tcPr>
            <w:tcW w:w="2112" w:type="dxa"/>
            <w:shd w:val="clear" w:color="auto" w:fill="F2F2F2"/>
            <w:tcMar>
              <w:top w:w="60" w:type="dxa"/>
              <w:bottom w:w="60" w:type="dxa"/>
            </w:tcMar>
            <w:vAlign w:val="center"/>
          </w:tcPr>
          <w:p w14:paraId="761BBC32" w14:textId="77777777" w:rsidR="006561BA" w:rsidRDefault="005B4ED6">
            <w:pPr>
              <w:pStyle w:val="AnnexTableHeader"/>
              <w:spacing w:line="200" w:lineRule="exact"/>
            </w:pPr>
            <w:r>
              <w:rPr>
                <w:b/>
              </w:rPr>
              <w:t>Temperaturrelatert</w:t>
            </w:r>
          </w:p>
        </w:tc>
        <w:tc>
          <w:tcPr>
            <w:tcW w:w="2112" w:type="dxa"/>
            <w:shd w:val="clear" w:color="auto" w:fill="F2F2F2"/>
            <w:tcMar>
              <w:top w:w="60" w:type="dxa"/>
              <w:bottom w:w="60" w:type="dxa"/>
            </w:tcMar>
            <w:vAlign w:val="center"/>
          </w:tcPr>
          <w:p w14:paraId="210FC75F" w14:textId="77777777" w:rsidR="006561BA" w:rsidRDefault="005B4ED6">
            <w:pPr>
              <w:pStyle w:val="AnnexTableHeader"/>
              <w:spacing w:line="200" w:lineRule="exact"/>
            </w:pPr>
            <w:r>
              <w:rPr>
                <w:b/>
              </w:rPr>
              <w:t>Vindrelatert</w:t>
            </w:r>
          </w:p>
        </w:tc>
        <w:tc>
          <w:tcPr>
            <w:tcW w:w="2112" w:type="dxa"/>
            <w:shd w:val="clear" w:color="auto" w:fill="F2F2F2"/>
            <w:tcMar>
              <w:top w:w="60" w:type="dxa"/>
              <w:bottom w:w="60" w:type="dxa"/>
            </w:tcMar>
            <w:vAlign w:val="center"/>
          </w:tcPr>
          <w:p w14:paraId="75604F11" w14:textId="77777777" w:rsidR="006561BA" w:rsidRDefault="005B4ED6">
            <w:pPr>
              <w:pStyle w:val="AnnexTableHeader"/>
              <w:spacing w:line="200" w:lineRule="exact"/>
            </w:pPr>
            <w:r>
              <w:rPr>
                <w:b/>
              </w:rPr>
              <w:t>Vannrelatert</w:t>
            </w:r>
          </w:p>
        </w:tc>
        <w:tc>
          <w:tcPr>
            <w:tcW w:w="2112" w:type="dxa"/>
            <w:shd w:val="clear" w:color="auto" w:fill="F2F2F2"/>
            <w:tcMar>
              <w:top w:w="60" w:type="dxa"/>
              <w:bottom w:w="60" w:type="dxa"/>
              <w:right w:w="0" w:type="dxa"/>
            </w:tcMar>
            <w:vAlign w:val="center"/>
          </w:tcPr>
          <w:p w14:paraId="0AC62AED" w14:textId="77777777" w:rsidR="006561BA" w:rsidRDefault="005B4ED6">
            <w:pPr>
              <w:pStyle w:val="AnnexTableHeader"/>
              <w:spacing w:line="200" w:lineRule="exact"/>
            </w:pPr>
            <w:r>
              <w:rPr>
                <w:b/>
              </w:rPr>
              <w:t>Relatert til fast masse</w:t>
            </w:r>
          </w:p>
        </w:tc>
      </w:tr>
      <w:tr w:rsidR="006561BA" w14:paraId="1AF61668" w14:textId="77777777">
        <w:trPr>
          <w:trHeight w:val="240"/>
        </w:trPr>
        <w:tc>
          <w:tcPr>
            <w:tcW w:w="780" w:type="dxa"/>
            <w:vMerge w:val="restart"/>
            <w:shd w:val="clear" w:color="auto" w:fill="F2F2F2"/>
            <w:tcMar>
              <w:top w:w="60" w:type="dxa"/>
              <w:left w:w="0" w:type="dxa"/>
              <w:bottom w:w="60" w:type="dxa"/>
              <w:right w:w="40" w:type="dxa"/>
            </w:tcMar>
            <w:textDirection w:val="btLr"/>
            <w:vAlign w:val="center"/>
          </w:tcPr>
          <w:p w14:paraId="3D94C0A0" w14:textId="77777777" w:rsidR="006561BA" w:rsidRDefault="005B4ED6">
            <w:pPr>
              <w:pStyle w:val="AnnexTableCellLeft"/>
              <w:ind w:left="113" w:right="113"/>
              <w:jc w:val="center"/>
            </w:pPr>
            <w:r>
              <w:rPr>
                <w:b/>
              </w:rPr>
              <w:t>Kronisk</w:t>
            </w:r>
          </w:p>
        </w:tc>
        <w:tc>
          <w:tcPr>
            <w:tcW w:w="2112" w:type="dxa"/>
            <w:shd w:val="clear" w:color="auto" w:fill="F2F2F2"/>
            <w:tcMar>
              <w:top w:w="60" w:type="dxa"/>
              <w:bottom w:w="60" w:type="dxa"/>
            </w:tcMar>
          </w:tcPr>
          <w:p w14:paraId="0EAE8D13" w14:textId="77777777" w:rsidR="006561BA" w:rsidRDefault="005B4ED6">
            <w:pPr>
              <w:pStyle w:val="AnnexTableCellLeft"/>
            </w:pPr>
            <w:r>
              <w:t>Endringer i temperatur (luft, ferskvann, sjøvann)</w:t>
            </w:r>
          </w:p>
        </w:tc>
        <w:tc>
          <w:tcPr>
            <w:tcW w:w="2112" w:type="dxa"/>
            <w:shd w:val="clear" w:color="auto" w:fill="F2F2F2"/>
            <w:tcMar>
              <w:top w:w="60" w:type="dxa"/>
              <w:bottom w:w="60" w:type="dxa"/>
            </w:tcMar>
          </w:tcPr>
          <w:p w14:paraId="5966C84D" w14:textId="77777777" w:rsidR="006561BA" w:rsidRDefault="005B4ED6">
            <w:pPr>
              <w:pStyle w:val="AnnexTableCellLeft"/>
            </w:pPr>
            <w:r>
              <w:t>Endringer i vindmønstre</w:t>
            </w:r>
          </w:p>
        </w:tc>
        <w:tc>
          <w:tcPr>
            <w:tcW w:w="2112" w:type="dxa"/>
            <w:shd w:val="clear" w:color="auto" w:fill="F2F2F2"/>
            <w:tcMar>
              <w:top w:w="60" w:type="dxa"/>
              <w:bottom w:w="60" w:type="dxa"/>
            </w:tcMar>
          </w:tcPr>
          <w:p w14:paraId="571F06DE" w14:textId="77777777" w:rsidR="006561BA" w:rsidRDefault="005B4ED6">
            <w:pPr>
              <w:pStyle w:val="AnnexTableCellLeft"/>
            </w:pPr>
            <w:r>
              <w:t>Endringer i nedbørsmønstre og -typer (regn, hagl, snø/is)</w:t>
            </w:r>
          </w:p>
        </w:tc>
        <w:tc>
          <w:tcPr>
            <w:tcW w:w="2112" w:type="dxa"/>
            <w:shd w:val="clear" w:color="auto" w:fill="F2F2F2"/>
            <w:tcMar>
              <w:top w:w="60" w:type="dxa"/>
              <w:bottom w:w="60" w:type="dxa"/>
              <w:right w:w="0" w:type="dxa"/>
            </w:tcMar>
          </w:tcPr>
          <w:p w14:paraId="5C5744C5" w14:textId="77777777" w:rsidR="006561BA" w:rsidRDefault="005B4ED6">
            <w:pPr>
              <w:pStyle w:val="AnnexTableCellLeft"/>
            </w:pPr>
            <w:r>
              <w:t>Kysterosjon</w:t>
            </w:r>
          </w:p>
        </w:tc>
      </w:tr>
      <w:tr w:rsidR="006561BA" w14:paraId="5F7B0D8B" w14:textId="77777777">
        <w:trPr>
          <w:trHeight w:val="240"/>
        </w:trPr>
        <w:tc>
          <w:tcPr>
            <w:tcW w:w="780" w:type="dxa"/>
            <w:vMerge/>
            <w:shd w:val="clear" w:color="auto" w:fill="F2F2F2"/>
            <w:tcMar>
              <w:top w:w="60" w:type="dxa"/>
              <w:left w:w="0" w:type="dxa"/>
              <w:bottom w:w="60" w:type="dxa"/>
              <w:right w:w="40" w:type="dxa"/>
            </w:tcMar>
            <w:textDirection w:val="btLr"/>
            <w:vAlign w:val="center"/>
          </w:tcPr>
          <w:p w14:paraId="6DC64947" w14:textId="77777777" w:rsidR="006561BA" w:rsidRDefault="006561BA">
            <w:pPr>
              <w:pStyle w:val="Para"/>
              <w:ind w:left="113" w:right="113"/>
              <w:jc w:val="center"/>
            </w:pPr>
          </w:p>
        </w:tc>
        <w:tc>
          <w:tcPr>
            <w:tcW w:w="2112" w:type="dxa"/>
            <w:shd w:val="clear" w:color="auto" w:fill="F2F2F2"/>
            <w:tcMar>
              <w:top w:w="60" w:type="dxa"/>
              <w:bottom w:w="60" w:type="dxa"/>
            </w:tcMar>
          </w:tcPr>
          <w:p w14:paraId="6AF61D28" w14:textId="77777777" w:rsidR="006561BA" w:rsidRDefault="005B4ED6">
            <w:pPr>
              <w:pStyle w:val="AnnexTableCellLeft"/>
            </w:pPr>
            <w:r>
              <w:t>Varmestress</w:t>
            </w:r>
          </w:p>
        </w:tc>
        <w:tc>
          <w:tcPr>
            <w:tcW w:w="2112" w:type="dxa"/>
            <w:shd w:val="clear" w:color="auto" w:fill="F2F2F2"/>
            <w:tcMar>
              <w:top w:w="60" w:type="dxa"/>
              <w:bottom w:w="60" w:type="dxa"/>
            </w:tcMar>
          </w:tcPr>
          <w:p w14:paraId="7EC964D0" w14:textId="77777777" w:rsidR="006561BA" w:rsidRDefault="006561BA">
            <w:pPr>
              <w:pStyle w:val="AnnexTableCellLeft"/>
            </w:pPr>
          </w:p>
        </w:tc>
        <w:tc>
          <w:tcPr>
            <w:tcW w:w="2112" w:type="dxa"/>
            <w:shd w:val="clear" w:color="auto" w:fill="F2F2F2"/>
            <w:tcMar>
              <w:top w:w="60" w:type="dxa"/>
              <w:bottom w:w="60" w:type="dxa"/>
            </w:tcMar>
          </w:tcPr>
          <w:p w14:paraId="0F2D8550" w14:textId="77777777" w:rsidR="006561BA" w:rsidRDefault="005B4ED6">
            <w:pPr>
              <w:pStyle w:val="AnnexTableCellLeft"/>
            </w:pPr>
            <w:proofErr w:type="spellStart"/>
            <w:r>
              <w:t>Nedbørsmessige</w:t>
            </w:r>
            <w:proofErr w:type="spellEnd"/>
            <w:r>
              <w:t xml:space="preserve"> eller hydrologiske variasjoner</w:t>
            </w:r>
          </w:p>
        </w:tc>
        <w:tc>
          <w:tcPr>
            <w:tcW w:w="2112" w:type="dxa"/>
            <w:shd w:val="clear" w:color="auto" w:fill="F2F2F2"/>
            <w:tcMar>
              <w:top w:w="60" w:type="dxa"/>
              <w:bottom w:w="60" w:type="dxa"/>
              <w:right w:w="0" w:type="dxa"/>
            </w:tcMar>
          </w:tcPr>
          <w:p w14:paraId="60600A61" w14:textId="77777777" w:rsidR="006561BA" w:rsidRDefault="005B4ED6">
            <w:pPr>
              <w:pStyle w:val="AnnexTableCellLeft"/>
            </w:pPr>
            <w:r>
              <w:t>Jordforringelse</w:t>
            </w:r>
          </w:p>
        </w:tc>
      </w:tr>
      <w:tr w:rsidR="006561BA" w14:paraId="48CA028B" w14:textId="77777777">
        <w:trPr>
          <w:trHeight w:val="240"/>
        </w:trPr>
        <w:tc>
          <w:tcPr>
            <w:tcW w:w="780" w:type="dxa"/>
            <w:vMerge/>
            <w:shd w:val="clear" w:color="auto" w:fill="F2F2F2"/>
            <w:tcMar>
              <w:top w:w="60" w:type="dxa"/>
              <w:left w:w="0" w:type="dxa"/>
              <w:bottom w:w="60" w:type="dxa"/>
              <w:right w:w="40" w:type="dxa"/>
            </w:tcMar>
            <w:textDirection w:val="btLr"/>
            <w:vAlign w:val="center"/>
          </w:tcPr>
          <w:p w14:paraId="0EC37354" w14:textId="77777777" w:rsidR="006561BA" w:rsidRDefault="006561BA">
            <w:pPr>
              <w:pStyle w:val="Para"/>
              <w:ind w:left="113" w:right="113"/>
              <w:jc w:val="center"/>
            </w:pPr>
          </w:p>
        </w:tc>
        <w:tc>
          <w:tcPr>
            <w:tcW w:w="2112" w:type="dxa"/>
            <w:shd w:val="clear" w:color="auto" w:fill="F2F2F2"/>
            <w:tcMar>
              <w:top w:w="60" w:type="dxa"/>
              <w:bottom w:w="60" w:type="dxa"/>
            </w:tcMar>
          </w:tcPr>
          <w:p w14:paraId="7B2C0B38" w14:textId="77777777" w:rsidR="006561BA" w:rsidRDefault="005B4ED6">
            <w:pPr>
              <w:pStyle w:val="AnnexTableCellLeft"/>
            </w:pPr>
            <w:r>
              <w:t>Temperaturvariasjoner</w:t>
            </w:r>
          </w:p>
        </w:tc>
        <w:tc>
          <w:tcPr>
            <w:tcW w:w="2112" w:type="dxa"/>
            <w:shd w:val="clear" w:color="auto" w:fill="F2F2F2"/>
            <w:tcMar>
              <w:top w:w="60" w:type="dxa"/>
              <w:bottom w:w="60" w:type="dxa"/>
            </w:tcMar>
          </w:tcPr>
          <w:p w14:paraId="63B75BE7" w14:textId="77777777" w:rsidR="006561BA" w:rsidRDefault="006561BA">
            <w:pPr>
              <w:pStyle w:val="AnnexTableCellLeft"/>
            </w:pPr>
          </w:p>
        </w:tc>
        <w:tc>
          <w:tcPr>
            <w:tcW w:w="2112" w:type="dxa"/>
            <w:shd w:val="clear" w:color="auto" w:fill="F2F2F2"/>
            <w:tcMar>
              <w:top w:w="60" w:type="dxa"/>
              <w:bottom w:w="60" w:type="dxa"/>
            </w:tcMar>
          </w:tcPr>
          <w:p w14:paraId="0C4D90CD" w14:textId="77777777" w:rsidR="006561BA" w:rsidRDefault="005B4ED6">
            <w:pPr>
              <w:pStyle w:val="AnnexTableCellLeft"/>
            </w:pPr>
            <w:r>
              <w:t>Havforsuring</w:t>
            </w:r>
          </w:p>
        </w:tc>
        <w:tc>
          <w:tcPr>
            <w:tcW w:w="2112" w:type="dxa"/>
            <w:shd w:val="clear" w:color="auto" w:fill="F2F2F2"/>
            <w:tcMar>
              <w:top w:w="60" w:type="dxa"/>
              <w:bottom w:w="60" w:type="dxa"/>
              <w:right w:w="0" w:type="dxa"/>
            </w:tcMar>
          </w:tcPr>
          <w:p w14:paraId="16B8C0D2" w14:textId="77777777" w:rsidR="006561BA" w:rsidRDefault="005B4ED6">
            <w:pPr>
              <w:pStyle w:val="AnnexTableCellLeft"/>
            </w:pPr>
            <w:r>
              <w:t>Jorderosjon</w:t>
            </w:r>
          </w:p>
        </w:tc>
      </w:tr>
      <w:tr w:rsidR="006561BA" w14:paraId="2C955D37" w14:textId="77777777">
        <w:trPr>
          <w:trHeight w:val="240"/>
        </w:trPr>
        <w:tc>
          <w:tcPr>
            <w:tcW w:w="780" w:type="dxa"/>
            <w:vMerge/>
            <w:shd w:val="clear" w:color="auto" w:fill="F2F2F2"/>
            <w:tcMar>
              <w:top w:w="60" w:type="dxa"/>
              <w:left w:w="0" w:type="dxa"/>
              <w:bottom w:w="60" w:type="dxa"/>
              <w:right w:w="40" w:type="dxa"/>
            </w:tcMar>
            <w:textDirection w:val="btLr"/>
            <w:vAlign w:val="center"/>
          </w:tcPr>
          <w:p w14:paraId="08D06890" w14:textId="77777777" w:rsidR="006561BA" w:rsidRDefault="006561BA">
            <w:pPr>
              <w:pStyle w:val="Para"/>
              <w:ind w:left="113" w:right="113"/>
              <w:jc w:val="center"/>
            </w:pPr>
          </w:p>
        </w:tc>
        <w:tc>
          <w:tcPr>
            <w:tcW w:w="2112" w:type="dxa"/>
            <w:shd w:val="clear" w:color="auto" w:fill="F2F2F2"/>
            <w:tcMar>
              <w:top w:w="60" w:type="dxa"/>
              <w:bottom w:w="60" w:type="dxa"/>
            </w:tcMar>
          </w:tcPr>
          <w:p w14:paraId="3E481C87" w14:textId="77777777" w:rsidR="006561BA" w:rsidRDefault="005B4ED6">
            <w:pPr>
              <w:pStyle w:val="AnnexTableCellLeft"/>
            </w:pPr>
            <w:r>
              <w:t>Tinende permafrost</w:t>
            </w:r>
          </w:p>
        </w:tc>
        <w:tc>
          <w:tcPr>
            <w:tcW w:w="2112" w:type="dxa"/>
            <w:shd w:val="clear" w:color="auto" w:fill="F2F2F2"/>
            <w:tcMar>
              <w:top w:w="60" w:type="dxa"/>
              <w:bottom w:w="60" w:type="dxa"/>
            </w:tcMar>
          </w:tcPr>
          <w:p w14:paraId="6F7B3411" w14:textId="77777777" w:rsidR="006561BA" w:rsidRDefault="006561BA">
            <w:pPr>
              <w:pStyle w:val="AnnexTableCellLeft"/>
            </w:pPr>
          </w:p>
        </w:tc>
        <w:tc>
          <w:tcPr>
            <w:tcW w:w="2112" w:type="dxa"/>
            <w:shd w:val="clear" w:color="auto" w:fill="F2F2F2"/>
            <w:tcMar>
              <w:top w:w="60" w:type="dxa"/>
              <w:bottom w:w="60" w:type="dxa"/>
            </w:tcMar>
          </w:tcPr>
          <w:p w14:paraId="648965E3" w14:textId="77777777" w:rsidR="006561BA" w:rsidRDefault="005B4ED6">
            <w:pPr>
              <w:pStyle w:val="AnnexTableCellLeft"/>
            </w:pPr>
            <w:r>
              <w:t>Saltvannsinntrengning</w:t>
            </w:r>
          </w:p>
        </w:tc>
        <w:tc>
          <w:tcPr>
            <w:tcW w:w="2112" w:type="dxa"/>
            <w:shd w:val="clear" w:color="auto" w:fill="F2F2F2"/>
            <w:tcMar>
              <w:top w:w="60" w:type="dxa"/>
              <w:bottom w:w="60" w:type="dxa"/>
              <w:right w:w="0" w:type="dxa"/>
            </w:tcMar>
          </w:tcPr>
          <w:p w14:paraId="06169D18" w14:textId="77777777" w:rsidR="006561BA" w:rsidRDefault="005B4ED6">
            <w:pPr>
              <w:pStyle w:val="AnnexTableCellLeft"/>
            </w:pPr>
            <w:proofErr w:type="spellStart"/>
            <w:r>
              <w:t>Jordsig</w:t>
            </w:r>
            <w:proofErr w:type="spellEnd"/>
          </w:p>
        </w:tc>
      </w:tr>
      <w:tr w:rsidR="006561BA" w14:paraId="68474AA7" w14:textId="77777777">
        <w:trPr>
          <w:trHeight w:val="240"/>
        </w:trPr>
        <w:tc>
          <w:tcPr>
            <w:tcW w:w="780" w:type="dxa"/>
            <w:vMerge/>
            <w:shd w:val="clear" w:color="auto" w:fill="F2F2F2"/>
            <w:tcMar>
              <w:top w:w="60" w:type="dxa"/>
              <w:left w:w="0" w:type="dxa"/>
              <w:bottom w:w="60" w:type="dxa"/>
              <w:right w:w="40" w:type="dxa"/>
            </w:tcMar>
            <w:textDirection w:val="btLr"/>
            <w:vAlign w:val="center"/>
          </w:tcPr>
          <w:p w14:paraId="7925C2FF" w14:textId="77777777" w:rsidR="006561BA" w:rsidRDefault="006561BA">
            <w:pPr>
              <w:pStyle w:val="Para"/>
              <w:ind w:left="113" w:right="113"/>
              <w:jc w:val="center"/>
            </w:pPr>
          </w:p>
        </w:tc>
        <w:tc>
          <w:tcPr>
            <w:tcW w:w="2112" w:type="dxa"/>
            <w:shd w:val="clear" w:color="auto" w:fill="F2F2F2"/>
            <w:tcMar>
              <w:top w:w="60" w:type="dxa"/>
              <w:bottom w:w="60" w:type="dxa"/>
            </w:tcMar>
          </w:tcPr>
          <w:p w14:paraId="38B69D6F" w14:textId="77777777" w:rsidR="006561BA" w:rsidRDefault="006561BA">
            <w:pPr>
              <w:pStyle w:val="AnnexTableCellLeft"/>
            </w:pPr>
          </w:p>
        </w:tc>
        <w:tc>
          <w:tcPr>
            <w:tcW w:w="2112" w:type="dxa"/>
            <w:shd w:val="clear" w:color="auto" w:fill="F2F2F2"/>
            <w:tcMar>
              <w:top w:w="60" w:type="dxa"/>
              <w:bottom w:w="60" w:type="dxa"/>
            </w:tcMar>
          </w:tcPr>
          <w:p w14:paraId="50C27B46" w14:textId="77777777" w:rsidR="006561BA" w:rsidRDefault="006561BA">
            <w:pPr>
              <w:pStyle w:val="AnnexTableCellLeft"/>
            </w:pPr>
          </w:p>
        </w:tc>
        <w:tc>
          <w:tcPr>
            <w:tcW w:w="2112" w:type="dxa"/>
            <w:shd w:val="clear" w:color="auto" w:fill="F2F2F2"/>
            <w:tcMar>
              <w:top w:w="60" w:type="dxa"/>
              <w:bottom w:w="60" w:type="dxa"/>
            </w:tcMar>
          </w:tcPr>
          <w:p w14:paraId="4FFFFF00" w14:textId="77777777" w:rsidR="006561BA" w:rsidRDefault="005B4ED6">
            <w:pPr>
              <w:pStyle w:val="AnnexTableCellLeft"/>
            </w:pPr>
            <w:r>
              <w:t>Havnivåstigning</w:t>
            </w:r>
          </w:p>
        </w:tc>
        <w:tc>
          <w:tcPr>
            <w:tcW w:w="2112" w:type="dxa"/>
            <w:shd w:val="clear" w:color="auto" w:fill="F2F2F2"/>
            <w:tcMar>
              <w:top w:w="60" w:type="dxa"/>
              <w:bottom w:w="60" w:type="dxa"/>
              <w:right w:w="0" w:type="dxa"/>
            </w:tcMar>
          </w:tcPr>
          <w:p w14:paraId="2AE68349" w14:textId="77777777" w:rsidR="006561BA" w:rsidRDefault="006561BA">
            <w:pPr>
              <w:pStyle w:val="AnnexTableCellLeft"/>
            </w:pPr>
          </w:p>
        </w:tc>
      </w:tr>
      <w:tr w:rsidR="006561BA" w14:paraId="1122DB6F" w14:textId="77777777">
        <w:trPr>
          <w:trHeight w:val="240"/>
        </w:trPr>
        <w:tc>
          <w:tcPr>
            <w:tcW w:w="780" w:type="dxa"/>
            <w:vMerge/>
            <w:shd w:val="clear" w:color="auto" w:fill="F2F2F2"/>
            <w:tcMar>
              <w:top w:w="60" w:type="dxa"/>
              <w:left w:w="0" w:type="dxa"/>
              <w:bottom w:w="60" w:type="dxa"/>
              <w:right w:w="40" w:type="dxa"/>
            </w:tcMar>
            <w:textDirection w:val="btLr"/>
            <w:vAlign w:val="center"/>
          </w:tcPr>
          <w:p w14:paraId="1207DF48" w14:textId="77777777" w:rsidR="006561BA" w:rsidRDefault="006561BA">
            <w:pPr>
              <w:pStyle w:val="Para"/>
              <w:ind w:left="113" w:right="113"/>
              <w:jc w:val="center"/>
            </w:pPr>
          </w:p>
        </w:tc>
        <w:tc>
          <w:tcPr>
            <w:tcW w:w="2112" w:type="dxa"/>
            <w:shd w:val="clear" w:color="auto" w:fill="F2F2F2"/>
            <w:tcMar>
              <w:top w:w="60" w:type="dxa"/>
              <w:bottom w:w="60" w:type="dxa"/>
            </w:tcMar>
          </w:tcPr>
          <w:p w14:paraId="530D953D" w14:textId="77777777" w:rsidR="006561BA" w:rsidRDefault="006561BA">
            <w:pPr>
              <w:pStyle w:val="AnnexTableCellLeft"/>
            </w:pPr>
          </w:p>
        </w:tc>
        <w:tc>
          <w:tcPr>
            <w:tcW w:w="2112" w:type="dxa"/>
            <w:shd w:val="clear" w:color="auto" w:fill="F2F2F2"/>
            <w:tcMar>
              <w:top w:w="60" w:type="dxa"/>
              <w:bottom w:w="60" w:type="dxa"/>
            </w:tcMar>
          </w:tcPr>
          <w:p w14:paraId="4B2314F5" w14:textId="77777777" w:rsidR="006561BA" w:rsidRDefault="006561BA">
            <w:pPr>
              <w:pStyle w:val="AnnexTableCellLeft"/>
            </w:pPr>
          </w:p>
        </w:tc>
        <w:tc>
          <w:tcPr>
            <w:tcW w:w="2112" w:type="dxa"/>
            <w:shd w:val="clear" w:color="auto" w:fill="F2F2F2"/>
            <w:tcMar>
              <w:top w:w="60" w:type="dxa"/>
              <w:bottom w:w="60" w:type="dxa"/>
            </w:tcMar>
          </w:tcPr>
          <w:p w14:paraId="1BE7E601" w14:textId="77777777" w:rsidR="006561BA" w:rsidRDefault="005B4ED6">
            <w:pPr>
              <w:pStyle w:val="AnnexTableCellLeft"/>
            </w:pPr>
            <w:r>
              <w:t>Vannstress</w:t>
            </w:r>
          </w:p>
        </w:tc>
        <w:tc>
          <w:tcPr>
            <w:tcW w:w="2112" w:type="dxa"/>
            <w:shd w:val="clear" w:color="auto" w:fill="F2F2F2"/>
            <w:tcMar>
              <w:top w:w="60" w:type="dxa"/>
              <w:bottom w:w="60" w:type="dxa"/>
              <w:right w:w="0" w:type="dxa"/>
            </w:tcMar>
          </w:tcPr>
          <w:p w14:paraId="2A6F7687" w14:textId="77777777" w:rsidR="006561BA" w:rsidRDefault="006561BA">
            <w:pPr>
              <w:pStyle w:val="AnnexTableCellLeft"/>
            </w:pPr>
          </w:p>
        </w:tc>
      </w:tr>
      <w:tr w:rsidR="006561BA" w14:paraId="70B4B93D" w14:textId="77777777">
        <w:trPr>
          <w:trHeight w:val="240"/>
        </w:trPr>
        <w:tc>
          <w:tcPr>
            <w:tcW w:w="780" w:type="dxa"/>
            <w:vMerge w:val="restart"/>
            <w:shd w:val="clear" w:color="auto" w:fill="F2F2F2"/>
            <w:tcMar>
              <w:top w:w="60" w:type="dxa"/>
              <w:left w:w="0" w:type="dxa"/>
              <w:bottom w:w="60" w:type="dxa"/>
              <w:right w:w="40" w:type="dxa"/>
            </w:tcMar>
            <w:textDirection w:val="btLr"/>
            <w:vAlign w:val="center"/>
          </w:tcPr>
          <w:p w14:paraId="0148E242" w14:textId="77777777" w:rsidR="006561BA" w:rsidRDefault="005B4ED6">
            <w:pPr>
              <w:pStyle w:val="AnnexTableCellLeft"/>
              <w:ind w:left="113" w:right="113"/>
              <w:jc w:val="center"/>
            </w:pPr>
            <w:r>
              <w:rPr>
                <w:b/>
              </w:rPr>
              <w:t>Akutt</w:t>
            </w:r>
          </w:p>
        </w:tc>
        <w:tc>
          <w:tcPr>
            <w:tcW w:w="2112" w:type="dxa"/>
            <w:shd w:val="clear" w:color="auto" w:fill="F2F2F2"/>
            <w:tcMar>
              <w:top w:w="60" w:type="dxa"/>
              <w:bottom w:w="60" w:type="dxa"/>
            </w:tcMar>
          </w:tcPr>
          <w:p w14:paraId="641CA28A" w14:textId="77777777" w:rsidR="006561BA" w:rsidRDefault="005B4ED6">
            <w:pPr>
              <w:pStyle w:val="AnnexTableCellLeft"/>
            </w:pPr>
            <w:r>
              <w:t>Varmebølge</w:t>
            </w:r>
          </w:p>
        </w:tc>
        <w:tc>
          <w:tcPr>
            <w:tcW w:w="2112" w:type="dxa"/>
            <w:shd w:val="clear" w:color="auto" w:fill="F2F2F2"/>
            <w:tcMar>
              <w:top w:w="60" w:type="dxa"/>
              <w:bottom w:w="60" w:type="dxa"/>
            </w:tcMar>
          </w:tcPr>
          <w:p w14:paraId="39947A8D" w14:textId="77777777" w:rsidR="006561BA" w:rsidRDefault="005B4ED6">
            <w:pPr>
              <w:pStyle w:val="AnnexTableCellLeft"/>
            </w:pPr>
            <w:r>
              <w:t>Syklon, orkan, tyfon</w:t>
            </w:r>
          </w:p>
        </w:tc>
        <w:tc>
          <w:tcPr>
            <w:tcW w:w="2112" w:type="dxa"/>
            <w:shd w:val="clear" w:color="auto" w:fill="F2F2F2"/>
            <w:tcMar>
              <w:top w:w="60" w:type="dxa"/>
              <w:bottom w:w="60" w:type="dxa"/>
            </w:tcMar>
          </w:tcPr>
          <w:p w14:paraId="102E402D" w14:textId="77777777" w:rsidR="006561BA" w:rsidRDefault="005B4ED6">
            <w:pPr>
              <w:pStyle w:val="AnnexTableCellLeft"/>
            </w:pPr>
            <w:r>
              <w:t>Tørke</w:t>
            </w:r>
          </w:p>
        </w:tc>
        <w:tc>
          <w:tcPr>
            <w:tcW w:w="2112" w:type="dxa"/>
            <w:shd w:val="clear" w:color="auto" w:fill="F2F2F2"/>
            <w:tcMar>
              <w:top w:w="60" w:type="dxa"/>
              <w:bottom w:w="60" w:type="dxa"/>
              <w:right w:w="0" w:type="dxa"/>
            </w:tcMar>
          </w:tcPr>
          <w:p w14:paraId="5960C6BA" w14:textId="77777777" w:rsidR="006561BA" w:rsidRDefault="005B4ED6">
            <w:pPr>
              <w:pStyle w:val="AnnexTableCellLeft"/>
            </w:pPr>
            <w:r>
              <w:t>Snøskred</w:t>
            </w:r>
          </w:p>
        </w:tc>
      </w:tr>
      <w:tr w:rsidR="006561BA" w14:paraId="08545644" w14:textId="77777777">
        <w:trPr>
          <w:trHeight w:val="240"/>
        </w:trPr>
        <w:tc>
          <w:tcPr>
            <w:tcW w:w="780" w:type="dxa"/>
            <w:vMerge/>
            <w:shd w:val="clear" w:color="auto" w:fill="F2F2F2"/>
            <w:tcMar>
              <w:top w:w="60" w:type="dxa"/>
              <w:left w:w="0" w:type="dxa"/>
              <w:bottom w:w="60" w:type="dxa"/>
              <w:right w:w="40" w:type="dxa"/>
            </w:tcMar>
          </w:tcPr>
          <w:p w14:paraId="60335A09" w14:textId="77777777" w:rsidR="006561BA" w:rsidRDefault="006561BA">
            <w:pPr>
              <w:pStyle w:val="Para"/>
            </w:pPr>
          </w:p>
        </w:tc>
        <w:tc>
          <w:tcPr>
            <w:tcW w:w="2112" w:type="dxa"/>
            <w:shd w:val="clear" w:color="auto" w:fill="F2F2F2"/>
            <w:tcMar>
              <w:top w:w="60" w:type="dxa"/>
              <w:bottom w:w="60" w:type="dxa"/>
            </w:tcMar>
          </w:tcPr>
          <w:p w14:paraId="2D11F54B" w14:textId="77777777" w:rsidR="006561BA" w:rsidRDefault="005B4ED6">
            <w:pPr>
              <w:pStyle w:val="AnnexTableCellLeft"/>
            </w:pPr>
            <w:r>
              <w:t>Kuldebølge/frost</w:t>
            </w:r>
          </w:p>
        </w:tc>
        <w:tc>
          <w:tcPr>
            <w:tcW w:w="2112" w:type="dxa"/>
            <w:shd w:val="clear" w:color="auto" w:fill="F2F2F2"/>
            <w:tcMar>
              <w:top w:w="60" w:type="dxa"/>
              <w:bottom w:w="60" w:type="dxa"/>
            </w:tcMar>
          </w:tcPr>
          <w:p w14:paraId="24FC18E9" w14:textId="77777777" w:rsidR="006561BA" w:rsidRDefault="005B4ED6">
            <w:pPr>
              <w:pStyle w:val="AnnexTableCellLeft"/>
            </w:pPr>
            <w:r>
              <w:t>Storm (herunder snø-, støv- og sandstormer)</w:t>
            </w:r>
          </w:p>
        </w:tc>
        <w:tc>
          <w:tcPr>
            <w:tcW w:w="2112" w:type="dxa"/>
            <w:shd w:val="clear" w:color="auto" w:fill="F2F2F2"/>
            <w:tcMar>
              <w:top w:w="60" w:type="dxa"/>
              <w:bottom w:w="60" w:type="dxa"/>
            </w:tcMar>
          </w:tcPr>
          <w:p w14:paraId="7654743D" w14:textId="77777777" w:rsidR="006561BA" w:rsidRDefault="005B4ED6">
            <w:pPr>
              <w:pStyle w:val="AnnexTableCellLeft"/>
            </w:pPr>
            <w:r>
              <w:t>Kraftig nedbør (regn, hagl, snø/is)</w:t>
            </w:r>
          </w:p>
        </w:tc>
        <w:tc>
          <w:tcPr>
            <w:tcW w:w="2112" w:type="dxa"/>
            <w:shd w:val="clear" w:color="auto" w:fill="F2F2F2"/>
            <w:tcMar>
              <w:top w:w="60" w:type="dxa"/>
              <w:bottom w:w="60" w:type="dxa"/>
              <w:right w:w="0" w:type="dxa"/>
            </w:tcMar>
          </w:tcPr>
          <w:p w14:paraId="20FC40F2" w14:textId="77777777" w:rsidR="006561BA" w:rsidRDefault="005B4ED6">
            <w:pPr>
              <w:pStyle w:val="AnnexTableCellLeft"/>
            </w:pPr>
            <w:r>
              <w:t>Jordskred</w:t>
            </w:r>
          </w:p>
        </w:tc>
      </w:tr>
      <w:tr w:rsidR="006561BA" w14:paraId="7569D097" w14:textId="77777777">
        <w:trPr>
          <w:trHeight w:val="240"/>
        </w:trPr>
        <w:tc>
          <w:tcPr>
            <w:tcW w:w="780" w:type="dxa"/>
            <w:vMerge/>
            <w:shd w:val="clear" w:color="auto" w:fill="F2F2F2"/>
            <w:tcMar>
              <w:top w:w="60" w:type="dxa"/>
              <w:left w:w="0" w:type="dxa"/>
              <w:bottom w:w="60" w:type="dxa"/>
              <w:right w:w="40" w:type="dxa"/>
            </w:tcMar>
          </w:tcPr>
          <w:p w14:paraId="267E13B8" w14:textId="77777777" w:rsidR="006561BA" w:rsidRDefault="006561BA">
            <w:pPr>
              <w:pStyle w:val="Para"/>
            </w:pPr>
          </w:p>
        </w:tc>
        <w:tc>
          <w:tcPr>
            <w:tcW w:w="2112" w:type="dxa"/>
            <w:shd w:val="clear" w:color="auto" w:fill="F2F2F2"/>
            <w:tcMar>
              <w:top w:w="60" w:type="dxa"/>
              <w:bottom w:w="60" w:type="dxa"/>
            </w:tcMar>
          </w:tcPr>
          <w:p w14:paraId="4DC74958" w14:textId="77777777" w:rsidR="006561BA" w:rsidRDefault="005B4ED6">
            <w:pPr>
              <w:pStyle w:val="AnnexTableCellLeft"/>
            </w:pPr>
            <w:r>
              <w:t>Skog- og utmarksbrann</w:t>
            </w:r>
          </w:p>
        </w:tc>
        <w:tc>
          <w:tcPr>
            <w:tcW w:w="2112" w:type="dxa"/>
            <w:shd w:val="clear" w:color="auto" w:fill="F2F2F2"/>
            <w:tcMar>
              <w:top w:w="60" w:type="dxa"/>
              <w:bottom w:w="60" w:type="dxa"/>
            </w:tcMar>
          </w:tcPr>
          <w:p w14:paraId="71558417" w14:textId="77777777" w:rsidR="006561BA" w:rsidRDefault="005B4ED6">
            <w:pPr>
              <w:pStyle w:val="AnnexTableCellLeft"/>
            </w:pPr>
            <w:r>
              <w:t>Tornado</w:t>
            </w:r>
          </w:p>
        </w:tc>
        <w:tc>
          <w:tcPr>
            <w:tcW w:w="2112" w:type="dxa"/>
            <w:shd w:val="clear" w:color="auto" w:fill="F2F2F2"/>
            <w:tcMar>
              <w:top w:w="60" w:type="dxa"/>
              <w:bottom w:w="60" w:type="dxa"/>
            </w:tcMar>
          </w:tcPr>
          <w:p w14:paraId="78B95F5D" w14:textId="77777777" w:rsidR="006561BA" w:rsidRDefault="005B4ED6">
            <w:pPr>
              <w:pStyle w:val="AnnexTableCellLeft"/>
            </w:pPr>
            <w:r>
              <w:t>Flom (kystvann, fluvial, pluvial, grunnvann)</w:t>
            </w:r>
          </w:p>
        </w:tc>
        <w:tc>
          <w:tcPr>
            <w:tcW w:w="2112" w:type="dxa"/>
            <w:shd w:val="clear" w:color="auto" w:fill="F2F2F2"/>
            <w:tcMar>
              <w:top w:w="60" w:type="dxa"/>
              <w:bottom w:w="60" w:type="dxa"/>
              <w:right w:w="0" w:type="dxa"/>
            </w:tcMar>
          </w:tcPr>
          <w:p w14:paraId="7A8C5A1C" w14:textId="77777777" w:rsidR="006561BA" w:rsidRDefault="005B4ED6">
            <w:pPr>
              <w:pStyle w:val="AnnexTableCellLeft"/>
            </w:pPr>
            <w:r>
              <w:t>Innsynkning</w:t>
            </w:r>
          </w:p>
        </w:tc>
      </w:tr>
      <w:tr w:rsidR="006561BA" w14:paraId="37859766" w14:textId="77777777">
        <w:trPr>
          <w:trHeight w:val="240"/>
        </w:trPr>
        <w:tc>
          <w:tcPr>
            <w:tcW w:w="780" w:type="dxa"/>
            <w:vMerge/>
            <w:shd w:val="clear" w:color="auto" w:fill="F2F2F2"/>
            <w:tcMar>
              <w:top w:w="60" w:type="dxa"/>
              <w:left w:w="0" w:type="dxa"/>
              <w:bottom w:w="60" w:type="dxa"/>
              <w:right w:w="40" w:type="dxa"/>
            </w:tcMar>
          </w:tcPr>
          <w:p w14:paraId="77742AC3" w14:textId="77777777" w:rsidR="006561BA" w:rsidRDefault="006561BA">
            <w:pPr>
              <w:pStyle w:val="Para"/>
            </w:pPr>
          </w:p>
        </w:tc>
        <w:tc>
          <w:tcPr>
            <w:tcW w:w="2112" w:type="dxa"/>
            <w:shd w:val="clear" w:color="auto" w:fill="F2F2F2"/>
            <w:tcMar>
              <w:top w:w="60" w:type="dxa"/>
              <w:bottom w:w="60" w:type="dxa"/>
            </w:tcMar>
          </w:tcPr>
          <w:p w14:paraId="3E99690F" w14:textId="77777777" w:rsidR="006561BA" w:rsidRDefault="006561BA">
            <w:pPr>
              <w:pStyle w:val="AnnexTableCellLeft"/>
            </w:pPr>
          </w:p>
        </w:tc>
        <w:tc>
          <w:tcPr>
            <w:tcW w:w="2112" w:type="dxa"/>
            <w:shd w:val="clear" w:color="auto" w:fill="F2F2F2"/>
            <w:tcMar>
              <w:top w:w="60" w:type="dxa"/>
              <w:bottom w:w="60" w:type="dxa"/>
            </w:tcMar>
          </w:tcPr>
          <w:p w14:paraId="1E6045C9" w14:textId="77777777" w:rsidR="006561BA" w:rsidRDefault="006561BA">
            <w:pPr>
              <w:pStyle w:val="AnnexTableCellLeft"/>
            </w:pPr>
          </w:p>
        </w:tc>
        <w:tc>
          <w:tcPr>
            <w:tcW w:w="2112" w:type="dxa"/>
            <w:shd w:val="clear" w:color="auto" w:fill="F2F2F2"/>
            <w:tcMar>
              <w:top w:w="60" w:type="dxa"/>
              <w:bottom w:w="60" w:type="dxa"/>
            </w:tcMar>
          </w:tcPr>
          <w:p w14:paraId="6E61E19F" w14:textId="77777777" w:rsidR="006561BA" w:rsidRDefault="005B4ED6">
            <w:pPr>
              <w:pStyle w:val="AnnexTableCellLeft"/>
            </w:pPr>
            <w:proofErr w:type="spellStart"/>
            <w:r>
              <w:t>Jøkullaup</w:t>
            </w:r>
            <w:proofErr w:type="spellEnd"/>
          </w:p>
        </w:tc>
        <w:tc>
          <w:tcPr>
            <w:tcW w:w="2112" w:type="dxa"/>
            <w:shd w:val="clear" w:color="auto" w:fill="F2F2F2"/>
            <w:tcMar>
              <w:top w:w="60" w:type="dxa"/>
              <w:bottom w:w="60" w:type="dxa"/>
              <w:right w:w="0" w:type="dxa"/>
            </w:tcMar>
          </w:tcPr>
          <w:p w14:paraId="3C19740B" w14:textId="77777777" w:rsidR="006561BA" w:rsidRDefault="006561BA">
            <w:pPr>
              <w:pStyle w:val="AnnexTableCellLeft"/>
            </w:pPr>
          </w:p>
        </w:tc>
      </w:tr>
    </w:tbl>
    <w:p w14:paraId="1B0DEFE2" w14:textId="77777777" w:rsidR="006561BA" w:rsidRDefault="006561BA">
      <w:pPr>
        <w:pStyle w:val="AnnexTI"/>
        <w:jc w:val="both"/>
        <w:rPr>
          <w:i w:val="0"/>
          <w:sz w:val="18"/>
        </w:rPr>
      </w:pPr>
    </w:p>
    <w:p w14:paraId="00B8840D" w14:textId="77777777" w:rsidR="006561BA" w:rsidRDefault="006561BA">
      <w:pPr>
        <w:pStyle w:val="AnnexTI"/>
        <w:sectPr w:rsidR="006561BA" w:rsidSect="000D3D55">
          <w:footnotePr>
            <w:pos w:val="beneathText"/>
            <w:numRestart w:val="eachPage"/>
          </w:footnotePr>
          <w:pgSz w:w="11906" w:h="16838" w:code="9"/>
          <w:pgMar w:top="1680" w:right="1333" w:bottom="840" w:left="1333" w:header="920" w:footer="280" w:gutter="0"/>
          <w:cols w:space="708"/>
          <w:docGrid w:linePitch="360"/>
        </w:sectPr>
      </w:pPr>
    </w:p>
    <w:p w14:paraId="41AE9D1F" w14:textId="77777777" w:rsidR="006561BA" w:rsidRDefault="005B4ED6">
      <w:pPr>
        <w:pStyle w:val="AnnexTI"/>
      </w:pPr>
      <w:r>
        <w:lastRenderedPageBreak/>
        <w:t>Tillegg B</w:t>
      </w:r>
    </w:p>
    <w:p w14:paraId="62CE8328" w14:textId="77777777" w:rsidR="006561BA" w:rsidRDefault="005B4ED6">
      <w:pPr>
        <w:pStyle w:val="AnnexSTI"/>
        <w:spacing w:after="300"/>
      </w:pPr>
      <w:r>
        <w:t>Generiske DNSH-kriterier for bærekraftig bruk og beskyttelse av vann- og havressurser</w:t>
      </w:r>
    </w:p>
    <w:tbl>
      <w:tblPr>
        <w:tblStyle w:val="EFTATable"/>
        <w:tblW w:w="9228" w:type="dxa"/>
        <w:tblInd w:w="112" w:type="dxa"/>
        <w:tblLayout w:type="fixed"/>
        <w:tblLook w:val="04A0" w:firstRow="1" w:lastRow="0" w:firstColumn="1" w:lastColumn="0" w:noHBand="0" w:noVBand="1"/>
      </w:tblPr>
      <w:tblGrid>
        <w:gridCol w:w="9228"/>
      </w:tblGrid>
      <w:tr w:rsidR="006561BA" w14:paraId="27184A99" w14:textId="77777777">
        <w:tc>
          <w:tcPr>
            <w:tcW w:w="9228" w:type="dxa"/>
            <w:tcBorders>
              <w:left w:val="single" w:sz="4" w:space="0" w:color="auto"/>
              <w:right w:val="single" w:sz="4" w:space="0" w:color="auto"/>
            </w:tcBorders>
            <w:shd w:val="clear" w:color="auto" w:fill="F2F2F2"/>
            <w:tcMar>
              <w:top w:w="100" w:type="dxa"/>
              <w:left w:w="100" w:type="dxa"/>
              <w:bottom w:w="100" w:type="dxa"/>
              <w:right w:w="100" w:type="dxa"/>
            </w:tcMar>
          </w:tcPr>
          <w:p w14:paraId="278A731E" w14:textId="77777777" w:rsidR="006561BA" w:rsidRDefault="005B4ED6">
            <w:pPr>
              <w:pStyle w:val="AnnexNormal"/>
              <w:spacing w:after="120"/>
            </w:pPr>
            <w:r>
              <w:t>Risikoer for miljøforringelse knyttet til å bevare vannkvaliteten og unngå vannstress skal identifiseres og håndteres med sikte på å oppnå god vanntilstand og et godt økologisk potensial som definert i artikkel 2 nr. 22 og 23 i forordning (EU) 2020/852, i samsvar med direktiv 2000/60/EF(</w:t>
            </w:r>
            <w:bookmarkStart w:id="253" w:name="NOTE_255"/>
            <w:r>
              <w:rPr>
                <w:rStyle w:val="FootnoteReference"/>
                <w:sz w:val="18"/>
              </w:rPr>
              <w:footnoteReference w:id="256"/>
            </w:r>
            <w:bookmarkEnd w:id="253"/>
            <w:r>
              <w:t>) og i henhold til en forvaltningsplan for bruk og beskyttelse av vann som er utarbeidet i henhold til dette for den eller de vannforekomstene som kan bli berørt, i samråd med relevante berørte parter.</w:t>
            </w:r>
          </w:p>
          <w:p w14:paraId="056F1AB9" w14:textId="77777777" w:rsidR="006561BA" w:rsidRDefault="005B4ED6">
            <w:pPr>
              <w:pStyle w:val="AnnexNormal"/>
              <w:spacing w:after="120"/>
            </w:pPr>
            <w:r>
              <w:t>Dersom en miljøkonsekvensutredning gjennomføres i samsvar med direktiv 2011/92/EU og omfatter en vurdering av vannpåvirkningen i samsvar med direktiv 2000/60/EF, kreves ingen ytterligere vurdering av vannpåvirkning, forutsatt at de identifiserte risikoene er håndtert.</w:t>
            </w:r>
          </w:p>
          <w:p w14:paraId="1260D000" w14:textId="77777777" w:rsidR="006561BA" w:rsidRDefault="005B4ED6">
            <w:pPr>
              <w:pStyle w:val="AnnexNormal"/>
            </w:pPr>
            <w:r>
              <w:t>Aktiviteten forhindrer ikke oppnåelsen av god miljøtilstand for havområder eller forringer ikke havområder som allerede har en god miljøtilstand som definert i artikkel 3 nr. 5 i direktiv 2008/56/EF(</w:t>
            </w:r>
            <w:bookmarkStart w:id="254" w:name="NOTE_256"/>
            <w:r>
              <w:rPr>
                <w:rStyle w:val="FootnoteReference"/>
                <w:sz w:val="18"/>
              </w:rPr>
              <w:footnoteReference w:id="257"/>
            </w:r>
            <w:bookmarkEnd w:id="254"/>
            <w:r>
              <w:t xml:space="preserve">), idet det tas hensyn til kommisjonsbeslutning (EU) 2017/848 i forbindelse med de relevante kriteriene og metodestandardene for disse </w:t>
            </w:r>
            <w:proofErr w:type="spellStart"/>
            <w:r>
              <w:t>deskriptorene</w:t>
            </w:r>
            <w:proofErr w:type="spellEnd"/>
            <w:r>
              <w:t>.</w:t>
            </w:r>
          </w:p>
        </w:tc>
      </w:tr>
    </w:tbl>
    <w:p w14:paraId="69F284B4" w14:textId="77777777" w:rsidR="006561BA" w:rsidRDefault="006561BA">
      <w:pPr>
        <w:pStyle w:val="AnnexNormal"/>
      </w:pPr>
    </w:p>
    <w:p w14:paraId="17D9E547" w14:textId="77777777" w:rsidR="006561BA" w:rsidRDefault="006561BA">
      <w:pPr>
        <w:pStyle w:val="AnnexTI"/>
        <w:sectPr w:rsidR="006561BA" w:rsidSect="000D3D55">
          <w:footnotePr>
            <w:pos w:val="beneathText"/>
            <w:numRestart w:val="eachPage"/>
          </w:footnotePr>
          <w:pgSz w:w="11906" w:h="16838" w:code="9"/>
          <w:pgMar w:top="1680" w:right="1333" w:bottom="840" w:left="1333" w:header="920" w:footer="280" w:gutter="0"/>
          <w:cols w:space="708"/>
          <w:docGrid w:linePitch="360"/>
        </w:sectPr>
      </w:pPr>
    </w:p>
    <w:p w14:paraId="1D3DA040" w14:textId="77777777" w:rsidR="006561BA" w:rsidRDefault="005B4ED6">
      <w:pPr>
        <w:pStyle w:val="AnnexTI"/>
      </w:pPr>
      <w:r>
        <w:lastRenderedPageBreak/>
        <w:t>Tillegg C</w:t>
      </w:r>
    </w:p>
    <w:p w14:paraId="6039675A" w14:textId="77777777" w:rsidR="006561BA" w:rsidRDefault="005B4ED6">
      <w:pPr>
        <w:pStyle w:val="AnnexSTI"/>
        <w:spacing w:after="300"/>
      </w:pPr>
      <w:r>
        <w:t>Generiske DNSH-kriterier for forebygging og begrensning av forurensning med hensyn til bruk og forekomst av kjemikalier</w:t>
      </w:r>
    </w:p>
    <w:tbl>
      <w:tblPr>
        <w:tblStyle w:val="EFTATable"/>
        <w:tblW w:w="9228" w:type="dxa"/>
        <w:tblInd w:w="112" w:type="dxa"/>
        <w:tblLayout w:type="fixed"/>
        <w:tblLook w:val="04A0" w:firstRow="1" w:lastRow="0" w:firstColumn="1" w:lastColumn="0" w:noHBand="0" w:noVBand="1"/>
      </w:tblPr>
      <w:tblGrid>
        <w:gridCol w:w="9228"/>
      </w:tblGrid>
      <w:tr w:rsidR="006561BA" w14:paraId="7F60F040" w14:textId="77777777">
        <w:tc>
          <w:tcPr>
            <w:tcW w:w="9228" w:type="dxa"/>
            <w:tcBorders>
              <w:left w:val="single" w:sz="4" w:space="0" w:color="auto"/>
              <w:right w:val="single" w:sz="4" w:space="0" w:color="auto"/>
            </w:tcBorders>
            <w:shd w:val="clear" w:color="auto" w:fill="F2F2F2"/>
            <w:tcMar>
              <w:top w:w="100" w:type="dxa"/>
              <w:left w:w="100" w:type="dxa"/>
              <w:bottom w:w="100" w:type="dxa"/>
              <w:right w:w="100" w:type="dxa"/>
            </w:tcMar>
          </w:tcPr>
          <w:p w14:paraId="153ED911" w14:textId="77777777" w:rsidR="006561BA" w:rsidRDefault="005B4ED6">
            <w:pPr>
              <w:pStyle w:val="AnnexNormal"/>
              <w:spacing w:after="120"/>
            </w:pPr>
            <w:r>
              <w:t>Aktiviteten fører ikke til at følgende stoffer produseres, bringes i omsetning eller brukes:</w:t>
            </w:r>
          </w:p>
          <w:p w14:paraId="271A0DD6" w14:textId="77777777" w:rsidR="006561BA" w:rsidRDefault="005B4ED6">
            <w:pPr>
              <w:pStyle w:val="AnnexNumberedText"/>
              <w:ind w:left="293" w:hanging="293"/>
            </w:pPr>
            <w:r>
              <w:t>a)</w:t>
            </w:r>
            <w:r>
              <w:tab/>
              <w:t>Stoffer for seg, i stoffblandinger eller i et produkt, som er oppført i vedlegg I eller II til forordning (EU) 2019/1021, med unntak av stoffer som forekommer som utilsiktede sporforurensninger.</w:t>
            </w:r>
          </w:p>
          <w:p w14:paraId="2D91881C" w14:textId="77777777" w:rsidR="006561BA" w:rsidRDefault="005B4ED6">
            <w:pPr>
              <w:pStyle w:val="AnnexNumberedText"/>
              <w:ind w:left="293" w:hanging="293"/>
            </w:pPr>
            <w:r>
              <w:t>b)</w:t>
            </w:r>
            <w:r>
              <w:tab/>
              <w:t>Kvikksølv og kvikksølvforbindelser, deres stoffblandinger og produkter tilsatt kvikksølv som definert i artikkel 2 i forordning (EU) 2017/852.</w:t>
            </w:r>
          </w:p>
          <w:p w14:paraId="431F6AF2" w14:textId="77777777" w:rsidR="006561BA" w:rsidRDefault="005B4ED6">
            <w:pPr>
              <w:pStyle w:val="AnnexNumberedText"/>
              <w:ind w:left="293" w:hanging="293"/>
            </w:pPr>
            <w:r>
              <w:t>c)</w:t>
            </w:r>
            <w:r>
              <w:tab/>
              <w:t>Stoffer for seg, i stoffblandinger eller i et produkt, som er oppført i vedlegg I eller II til forordning (EF) nr. 1005/2009.</w:t>
            </w:r>
          </w:p>
          <w:p w14:paraId="27569869" w14:textId="77777777" w:rsidR="006561BA" w:rsidRDefault="005B4ED6">
            <w:pPr>
              <w:pStyle w:val="AnnexNumberedText"/>
              <w:ind w:left="293" w:hanging="293"/>
            </w:pPr>
            <w:r>
              <w:t>d)</w:t>
            </w:r>
            <w:r>
              <w:tab/>
              <w:t>Stoffer for seg, i stoffblandinger eller i et produkt, som er oppført i vedlegg II til direktiv 2011/65/EU, med mindre artikkel 4 nr. 1 i det nevnte direktivet overholdes fullt ut.</w:t>
            </w:r>
          </w:p>
          <w:p w14:paraId="4021CD76" w14:textId="77777777" w:rsidR="006561BA" w:rsidRDefault="005B4ED6">
            <w:pPr>
              <w:pStyle w:val="AnnexNumberedText"/>
              <w:ind w:left="293" w:hanging="293"/>
            </w:pPr>
            <w:r>
              <w:t>e)</w:t>
            </w:r>
            <w:r>
              <w:tab/>
              <w:t>Stoffer for seg, i stoffblandinger eller i et produkt, som er oppført i vedlegg XVII til forordning (EF) 1907/2006, med mindre vilkårene angitt i det nevnte vedlegget oppfylles fullt ut.</w:t>
            </w:r>
          </w:p>
          <w:p w14:paraId="6BD3EF1F" w14:textId="77777777" w:rsidR="006561BA" w:rsidRDefault="005B4ED6">
            <w:pPr>
              <w:pStyle w:val="AnnexNumberedText"/>
              <w:ind w:left="293" w:hanging="293"/>
            </w:pPr>
            <w:r>
              <w:t>f)</w:t>
            </w:r>
            <w:r>
              <w:tab/>
              <w:t>Stoffer for seg, i stoffblandinger eller i et produkt, i en konsentrasjon på over 0,1 vektprosent (w/w), og som oppfyller kriteriene fastsatt i artikkel 57 i forordning (EF) nr. 1907/2006 og er identifisert i samsvar med artikkel 59 nr. 1 i den nevnte forordningen i en periode på minst 18 måneder, med mindre det er vurdert og dokumentert av aktørene at det ikke finnes andre egnede alternative stoffer eller teknikker på markedet, og at de brukes under kontrollerte forhold (</w:t>
            </w:r>
            <w:bookmarkStart w:id="255" w:name="NOTE_257"/>
            <w:r>
              <w:rPr>
                <w:rStyle w:val="FootnoteReference"/>
                <w:sz w:val="18"/>
              </w:rPr>
              <w:footnoteReference w:id="258"/>
            </w:r>
            <w:bookmarkEnd w:id="255"/>
            <w:r>
              <w:t>).</w:t>
            </w:r>
          </w:p>
          <w:p w14:paraId="3C896E80" w14:textId="77777777" w:rsidR="006561BA" w:rsidRDefault="005B4ED6">
            <w:pPr>
              <w:pStyle w:val="AnnexNormal"/>
            </w:pPr>
            <w:r>
              <w:t xml:space="preserve">Dessuten fører ikke aktiviteten til produksjon, forekomst i sluttproduktet eller sluttresultatet, eller omsetning av andre stoffer for seg, eller i stoffblandinger eller i et produkt, i en konsentrasjon på over 0,1 vektprosent (w/w), som oppfyller kriteriene i forordning (EF) nr. 1272/2008 for en av de fareklassene eller </w:t>
            </w:r>
            <w:proofErr w:type="spellStart"/>
            <w:r>
              <w:t>farekategoriene</w:t>
            </w:r>
            <w:proofErr w:type="spellEnd"/>
            <w:r>
              <w:t xml:space="preserve"> som er nevnt i artikkel 57 i forordning (EF) nr. 1907/2006, med mindre det er vurdert og dokumentert av aktørene at det ikke finnes andre egnede alternative stoffer eller teknikker på markedet, og at de brukes under kontrollerte forhold(</w:t>
            </w:r>
            <w:bookmarkStart w:id="256" w:name="NOTE_258"/>
            <w:r>
              <w:rPr>
                <w:rStyle w:val="FootnoteReference"/>
                <w:sz w:val="18"/>
              </w:rPr>
              <w:footnoteReference w:id="259"/>
            </w:r>
            <w:bookmarkEnd w:id="256"/>
            <w:r>
              <w:t>).</w:t>
            </w:r>
          </w:p>
        </w:tc>
      </w:tr>
    </w:tbl>
    <w:p w14:paraId="44EDB997" w14:textId="77777777" w:rsidR="006561BA" w:rsidRDefault="006561BA">
      <w:pPr>
        <w:pStyle w:val="AnnexNormal"/>
      </w:pPr>
    </w:p>
    <w:p w14:paraId="6EF5B6E3" w14:textId="77777777" w:rsidR="006561BA" w:rsidRDefault="006561BA">
      <w:pPr>
        <w:pStyle w:val="AnnexTI"/>
        <w:sectPr w:rsidR="006561BA" w:rsidSect="000D3D55">
          <w:footnotePr>
            <w:pos w:val="beneathText"/>
            <w:numRestart w:val="eachPage"/>
          </w:footnotePr>
          <w:pgSz w:w="11906" w:h="16838" w:code="9"/>
          <w:pgMar w:top="1680" w:right="1333" w:bottom="840" w:left="1333" w:header="920" w:footer="280" w:gutter="0"/>
          <w:cols w:space="708"/>
          <w:docGrid w:linePitch="360"/>
        </w:sectPr>
      </w:pPr>
    </w:p>
    <w:p w14:paraId="637604EB" w14:textId="77777777" w:rsidR="006561BA" w:rsidRDefault="005B4ED6">
      <w:pPr>
        <w:pStyle w:val="AnnexTI"/>
      </w:pPr>
      <w:r>
        <w:lastRenderedPageBreak/>
        <w:t>Tillegg D</w:t>
      </w:r>
    </w:p>
    <w:p w14:paraId="41A79F49" w14:textId="77777777" w:rsidR="006561BA" w:rsidRDefault="005B4ED6">
      <w:pPr>
        <w:pStyle w:val="AnnexSTI"/>
        <w:spacing w:after="300"/>
      </w:pPr>
      <w:r>
        <w:t>Generiske DNSH-kriterier for beskyttelse og restaurering av biologisk mangfold og økosystemer</w:t>
      </w:r>
    </w:p>
    <w:tbl>
      <w:tblPr>
        <w:tblStyle w:val="EFTATable"/>
        <w:tblW w:w="9228" w:type="dxa"/>
        <w:tblInd w:w="112" w:type="dxa"/>
        <w:tblLayout w:type="fixed"/>
        <w:tblLook w:val="04A0" w:firstRow="1" w:lastRow="0" w:firstColumn="1" w:lastColumn="0" w:noHBand="0" w:noVBand="1"/>
      </w:tblPr>
      <w:tblGrid>
        <w:gridCol w:w="9228"/>
      </w:tblGrid>
      <w:tr w:rsidR="006561BA" w14:paraId="75158E31" w14:textId="77777777">
        <w:tc>
          <w:tcPr>
            <w:tcW w:w="9228" w:type="dxa"/>
            <w:tcBorders>
              <w:left w:val="single" w:sz="4" w:space="0" w:color="auto"/>
              <w:right w:val="single" w:sz="4" w:space="0" w:color="auto"/>
            </w:tcBorders>
            <w:shd w:val="clear" w:color="auto" w:fill="F2F2F2"/>
            <w:tcMar>
              <w:top w:w="100" w:type="dxa"/>
              <w:left w:w="100" w:type="dxa"/>
              <w:bottom w:w="100" w:type="dxa"/>
              <w:right w:w="100" w:type="dxa"/>
            </w:tcMar>
          </w:tcPr>
          <w:p w14:paraId="56968D48" w14:textId="77777777" w:rsidR="006561BA" w:rsidRDefault="005B4ED6">
            <w:pPr>
              <w:pStyle w:val="AnnexNormal"/>
              <w:spacing w:after="120"/>
            </w:pPr>
            <w:r>
              <w:t>En miljøkonsekvensutredning eller screening(</w:t>
            </w:r>
            <w:bookmarkStart w:id="257" w:name="NOTE_259"/>
            <w:r>
              <w:rPr>
                <w:rStyle w:val="FootnoteReference"/>
                <w:sz w:val="18"/>
              </w:rPr>
              <w:footnoteReference w:id="260"/>
            </w:r>
            <w:bookmarkEnd w:id="257"/>
            <w:r>
              <w:t>) er utført i samsvar med direktiv 2011/92/EU(</w:t>
            </w:r>
            <w:bookmarkStart w:id="258" w:name="NOTE_260"/>
            <w:r>
              <w:rPr>
                <w:rStyle w:val="FootnoteReference"/>
                <w:sz w:val="18"/>
              </w:rPr>
              <w:footnoteReference w:id="261"/>
            </w:r>
            <w:bookmarkEnd w:id="258"/>
            <w:r>
              <w:t>).</w:t>
            </w:r>
          </w:p>
          <w:p w14:paraId="68B6F439" w14:textId="77777777" w:rsidR="006561BA" w:rsidRDefault="005B4ED6">
            <w:pPr>
              <w:pStyle w:val="AnnexNormal"/>
              <w:spacing w:after="120"/>
            </w:pPr>
            <w:r>
              <w:t>Når det er gjennomført en miljøkonsekvensutredning, gjennomføres de nødvendige avbøtende tiltakene og kompensasjonstiltakene for å beskytte miljøet.</w:t>
            </w:r>
          </w:p>
          <w:p w14:paraId="4DC40C38" w14:textId="77777777" w:rsidR="006561BA" w:rsidRDefault="005B4ED6">
            <w:pPr>
              <w:pStyle w:val="AnnexNormal"/>
            </w:pPr>
            <w:r>
              <w:t xml:space="preserve">For </w:t>
            </w:r>
            <w:proofErr w:type="spellStart"/>
            <w:r>
              <w:t>anleggssteder</w:t>
            </w:r>
            <w:proofErr w:type="spellEnd"/>
            <w:r>
              <w:t xml:space="preserve">/prosjekter som ligger i eller i nærheten av områder med sårbart biologisk mangfold (herunder Natura 2000-nettverket av beskyttede områder, </w:t>
            </w:r>
            <w:proofErr w:type="spellStart"/>
            <w:r>
              <w:t>UNESCOs</w:t>
            </w:r>
            <w:proofErr w:type="spellEnd"/>
            <w:r>
              <w:t xml:space="preserve"> verdensarvsteder og viktige områder for biologisk mangfold, samt andre beskyttede områder), er det foretatt en hensiktsmessig vurdering(</w:t>
            </w:r>
            <w:bookmarkStart w:id="259" w:name="NOTE_261"/>
            <w:r>
              <w:rPr>
                <w:rStyle w:val="FootnoteReference"/>
                <w:sz w:val="18"/>
              </w:rPr>
              <w:footnoteReference w:id="262"/>
            </w:r>
            <w:bookmarkEnd w:id="259"/>
            <w:r>
              <w:t>), der det er relevant, og på grunnlag av konklusjonene i denne er nødvendige avbøtende tiltak(</w:t>
            </w:r>
            <w:bookmarkStart w:id="260" w:name="NOTE_262"/>
            <w:r>
              <w:rPr>
                <w:rStyle w:val="FootnoteReference"/>
                <w:sz w:val="18"/>
              </w:rPr>
              <w:footnoteReference w:id="263"/>
            </w:r>
            <w:bookmarkEnd w:id="260"/>
            <w:r>
              <w:t>) gjennomført.</w:t>
            </w:r>
          </w:p>
        </w:tc>
      </w:tr>
    </w:tbl>
    <w:p w14:paraId="56FCE370" w14:textId="77777777" w:rsidR="006561BA" w:rsidRDefault="006561BA">
      <w:pPr>
        <w:pStyle w:val="AnnexNormal"/>
      </w:pPr>
    </w:p>
    <w:p w14:paraId="3EAE206C" w14:textId="77777777" w:rsidR="006561BA" w:rsidRDefault="006561BA">
      <w:pPr>
        <w:pStyle w:val="AnnexTI"/>
        <w:sectPr w:rsidR="006561BA" w:rsidSect="000D3D55">
          <w:footnotePr>
            <w:pos w:val="beneathText"/>
            <w:numRestart w:val="eachPage"/>
          </w:footnotePr>
          <w:pgSz w:w="11906" w:h="16838" w:code="9"/>
          <w:pgMar w:top="1680" w:right="1333" w:bottom="840" w:left="1333" w:header="920" w:footer="280" w:gutter="0"/>
          <w:cols w:space="708"/>
          <w:docGrid w:linePitch="360"/>
        </w:sectPr>
      </w:pPr>
    </w:p>
    <w:p w14:paraId="391E95D1" w14:textId="77777777" w:rsidR="006561BA" w:rsidRDefault="005B4ED6">
      <w:pPr>
        <w:pStyle w:val="AnnexTI"/>
        <w:spacing w:after="360"/>
      </w:pPr>
      <w:r>
        <w:lastRenderedPageBreak/>
        <w:t>VEDLEGG III</w:t>
      </w:r>
    </w:p>
    <w:p w14:paraId="656650CF" w14:textId="77777777" w:rsidR="006561BA" w:rsidRDefault="005B4ED6">
      <w:pPr>
        <w:pStyle w:val="AnnexSTI"/>
      </w:pPr>
      <w:r>
        <w:t>Tekniske screeningkriterier for å fastslå vilkårene for at en økonomisk aktivitet skal anses å bidra vesentlig til forebygging og begrensning av forurensning, og for å fastslå om det er slik at den økonomiske aktiviteten ikke er til betydelig skade for noen av de andre miljømålene</w:t>
      </w:r>
    </w:p>
    <w:p w14:paraId="213705E5" w14:textId="77777777" w:rsidR="006561BA" w:rsidRDefault="005B4ED6">
      <w:pPr>
        <w:pStyle w:val="AnnexNormal"/>
        <w:jc w:val="center"/>
      </w:pPr>
      <w:r>
        <w:t>Innholdsfortegnelse</w:t>
      </w:r>
    </w:p>
    <w:p w14:paraId="56E9DCDC" w14:textId="77777777" w:rsidR="006561BA" w:rsidRDefault="005B4ED6">
      <w:pPr>
        <w:pStyle w:val="AnnexNormal"/>
        <w:jc w:val="right"/>
      </w:pPr>
      <w:r>
        <w:rPr>
          <w:i/>
        </w:rPr>
        <w:t>Side</w:t>
      </w:r>
    </w:p>
    <w:p w14:paraId="64CAC660" w14:textId="77777777" w:rsidR="006561BA" w:rsidRDefault="005B4ED6">
      <w:pPr>
        <w:pStyle w:val="AnnexNormal"/>
        <w:tabs>
          <w:tab w:val="left" w:leader="dot" w:pos="9060"/>
        </w:tabs>
        <w:spacing w:after="120"/>
        <w:ind w:left="360" w:hanging="360"/>
        <w:jc w:val="left"/>
      </w:pPr>
      <w:r>
        <w:t>1.</w:t>
      </w:r>
      <w:r>
        <w:tab/>
        <w:t>Produksjon</w:t>
      </w:r>
      <w:r>
        <w:tab/>
        <w:t>89</w:t>
      </w:r>
    </w:p>
    <w:p w14:paraId="522944A3" w14:textId="77777777" w:rsidR="006561BA" w:rsidRDefault="005B4ED6">
      <w:pPr>
        <w:pStyle w:val="AnnexNormal"/>
        <w:tabs>
          <w:tab w:val="left" w:leader="dot" w:pos="9060"/>
        </w:tabs>
        <w:spacing w:after="120"/>
        <w:ind w:left="720" w:hanging="360"/>
        <w:jc w:val="left"/>
      </w:pPr>
      <w:r>
        <w:t>1.1.</w:t>
      </w:r>
      <w:r>
        <w:tab/>
        <w:t>Produksjon av aktive legemiddelbestanddeler (API) eller aktive stoffer</w:t>
      </w:r>
      <w:r>
        <w:tab/>
        <w:t>89</w:t>
      </w:r>
    </w:p>
    <w:p w14:paraId="143B1369" w14:textId="77777777" w:rsidR="006561BA" w:rsidRDefault="005B4ED6">
      <w:pPr>
        <w:pStyle w:val="AnnexNormal"/>
        <w:tabs>
          <w:tab w:val="left" w:leader="dot" w:pos="9060"/>
        </w:tabs>
        <w:spacing w:after="120"/>
        <w:ind w:left="720" w:hanging="360"/>
        <w:jc w:val="left"/>
      </w:pPr>
      <w:r>
        <w:t>1.2.</w:t>
      </w:r>
      <w:r>
        <w:tab/>
        <w:t>Produksjon av legemidler</w:t>
      </w:r>
      <w:r>
        <w:tab/>
        <w:t>94</w:t>
      </w:r>
    </w:p>
    <w:p w14:paraId="39644FBA" w14:textId="348DA348" w:rsidR="006561BA" w:rsidRDefault="005B4ED6">
      <w:pPr>
        <w:pStyle w:val="AnnexNormal"/>
        <w:tabs>
          <w:tab w:val="left" w:leader="dot" w:pos="9060"/>
        </w:tabs>
        <w:spacing w:after="120"/>
        <w:ind w:left="360" w:hanging="360"/>
        <w:jc w:val="left"/>
      </w:pPr>
      <w:r>
        <w:t>2.</w:t>
      </w:r>
      <w:r>
        <w:tab/>
        <w:t xml:space="preserve">Vannforsyning, </w:t>
      </w:r>
      <w:r w:rsidR="004B4D3F" w:rsidRPr="004B4D3F">
        <w:t>rensing av avløpsvann</w:t>
      </w:r>
      <w:r>
        <w:t>, avfallshåndtering og oppryddingsaktiviteter</w:t>
      </w:r>
      <w:r>
        <w:tab/>
        <w:t>99</w:t>
      </w:r>
    </w:p>
    <w:p w14:paraId="58536F55" w14:textId="77777777" w:rsidR="006561BA" w:rsidRDefault="005B4ED6">
      <w:pPr>
        <w:pStyle w:val="AnnexNormal"/>
        <w:tabs>
          <w:tab w:val="left" w:leader="dot" w:pos="9060"/>
        </w:tabs>
        <w:spacing w:after="120"/>
        <w:ind w:left="720" w:hanging="360"/>
        <w:jc w:val="left"/>
      </w:pPr>
      <w:r>
        <w:t>2.1.</w:t>
      </w:r>
      <w:r>
        <w:tab/>
        <w:t>Innsamling og transport av farlig avfall</w:t>
      </w:r>
      <w:r>
        <w:tab/>
        <w:t>99</w:t>
      </w:r>
    </w:p>
    <w:p w14:paraId="13E2E4C7" w14:textId="77777777" w:rsidR="006561BA" w:rsidRDefault="005B4ED6">
      <w:pPr>
        <w:pStyle w:val="AnnexNormal"/>
        <w:tabs>
          <w:tab w:val="left" w:leader="dot" w:pos="8964"/>
        </w:tabs>
        <w:spacing w:after="120"/>
        <w:ind w:left="720" w:hanging="360"/>
        <w:jc w:val="left"/>
      </w:pPr>
      <w:r>
        <w:t>2.2.</w:t>
      </w:r>
      <w:r>
        <w:tab/>
        <w:t>Behandling av farlig avfall</w:t>
      </w:r>
      <w:r>
        <w:tab/>
        <w:t>101</w:t>
      </w:r>
    </w:p>
    <w:p w14:paraId="026F520E" w14:textId="77777777" w:rsidR="006561BA" w:rsidRDefault="005B4ED6">
      <w:pPr>
        <w:pStyle w:val="AnnexNormal"/>
        <w:tabs>
          <w:tab w:val="left" w:leader="dot" w:pos="8964"/>
        </w:tabs>
        <w:spacing w:after="120"/>
        <w:ind w:left="720" w:hanging="360"/>
        <w:jc w:val="left"/>
      </w:pPr>
      <w:r>
        <w:t>2.3.</w:t>
      </w:r>
      <w:r>
        <w:tab/>
        <w:t>Opprydding av deponier som ikke overholder de rettslige kravene, og forlatte eller ulovlige avfallsdeponier</w:t>
      </w:r>
      <w:r>
        <w:tab/>
        <w:t>104</w:t>
      </w:r>
    </w:p>
    <w:p w14:paraId="03AB9990" w14:textId="77777777" w:rsidR="006561BA" w:rsidRDefault="005B4ED6">
      <w:pPr>
        <w:pStyle w:val="AnnexNormal"/>
        <w:tabs>
          <w:tab w:val="left" w:leader="dot" w:pos="8964"/>
        </w:tabs>
        <w:ind w:left="720" w:hanging="360"/>
        <w:jc w:val="left"/>
      </w:pPr>
      <w:r>
        <w:t>2.4.</w:t>
      </w:r>
      <w:r>
        <w:tab/>
        <w:t>Opprydding av forurensede områder og arealer</w:t>
      </w:r>
      <w:r>
        <w:tab/>
        <w:t>108</w:t>
      </w:r>
    </w:p>
    <w:p w14:paraId="692EDED0" w14:textId="77777777" w:rsidR="006561BA" w:rsidRDefault="005B4ED6">
      <w:pPr>
        <w:pStyle w:val="AnnexNumberedText"/>
        <w:spacing w:before="600" w:after="200"/>
        <w:ind w:left="414" w:hanging="414"/>
      </w:pPr>
      <w:r>
        <w:t>1.</w:t>
      </w:r>
      <w:r>
        <w:rPr>
          <w:b/>
          <w:i/>
        </w:rPr>
        <w:tab/>
        <w:t>Produksjon</w:t>
      </w:r>
    </w:p>
    <w:p w14:paraId="4626B68E" w14:textId="77777777" w:rsidR="006561BA" w:rsidRDefault="005B4ED6">
      <w:pPr>
        <w:pStyle w:val="AnnexNumberedText"/>
        <w:spacing w:after="300"/>
        <w:ind w:left="414" w:hanging="414"/>
      </w:pPr>
      <w:r>
        <w:t>1.1.</w:t>
      </w:r>
      <w:r>
        <w:rPr>
          <w:b/>
        </w:rPr>
        <w:tab/>
        <w:t>Produksjon av aktive legemiddelbestanddeler (API) eller aktive stoffer</w:t>
      </w:r>
    </w:p>
    <w:p w14:paraId="563650CF" w14:textId="77777777" w:rsidR="006561BA" w:rsidRDefault="005B4ED6">
      <w:pPr>
        <w:pStyle w:val="AnnexGrSeq3"/>
        <w:jc w:val="both"/>
      </w:pPr>
      <w:r>
        <w:rPr>
          <w:i/>
        </w:rPr>
        <w:t>Beskrivelse av aktiviteten</w:t>
      </w:r>
    </w:p>
    <w:p w14:paraId="7CC6EC43" w14:textId="77777777" w:rsidR="006561BA" w:rsidRDefault="005B4ED6">
      <w:pPr>
        <w:pStyle w:val="AnnexNormal"/>
      </w:pPr>
      <w:r>
        <w:t>Produksjon av aktive legemiddelbestanddeler (API) eller aktive stoffer.</w:t>
      </w:r>
    </w:p>
    <w:p w14:paraId="7662C916" w14:textId="77777777" w:rsidR="006561BA" w:rsidRDefault="005B4ED6">
      <w:pPr>
        <w:pStyle w:val="AnnexNormal"/>
        <w:spacing w:after="300"/>
      </w:pPr>
      <w:r>
        <w:t>De økonomiske aktivitetene i denne kategorien kan knyttes til NACE-kode C21.1 i samsvar med standarden for næringsgruppering fastsatt ved forordning (EF) nr. 1893/2006.</w:t>
      </w:r>
    </w:p>
    <w:p w14:paraId="46C94FD8" w14:textId="77777777" w:rsidR="006561BA" w:rsidRDefault="005B4ED6">
      <w:pPr>
        <w:pStyle w:val="AnnexGrSeq3"/>
        <w:spacing w:after="300"/>
        <w:jc w:val="both"/>
      </w:pPr>
      <w:r>
        <w:rPr>
          <w:i/>
        </w:rPr>
        <w:t>Tekniske screeningkriterier</w:t>
      </w:r>
    </w:p>
    <w:tbl>
      <w:tblPr>
        <w:tblStyle w:val="EFTATable"/>
        <w:tblW w:w="9228" w:type="dxa"/>
        <w:tblInd w:w="12" w:type="dxa"/>
        <w:tblLayout w:type="fixed"/>
        <w:tblLook w:val="04A0" w:firstRow="1" w:lastRow="0" w:firstColumn="1" w:lastColumn="0" w:noHBand="0" w:noVBand="1"/>
      </w:tblPr>
      <w:tblGrid>
        <w:gridCol w:w="2484"/>
        <w:gridCol w:w="6744"/>
      </w:tblGrid>
      <w:tr w:rsidR="006561BA" w14:paraId="5834A4F8" w14:textId="77777777">
        <w:trPr>
          <w:trHeight w:val="240"/>
        </w:trPr>
        <w:tc>
          <w:tcPr>
            <w:tcW w:w="9228" w:type="dxa"/>
            <w:gridSpan w:val="2"/>
            <w:tcMar>
              <w:top w:w="200" w:type="dxa"/>
              <w:left w:w="0" w:type="dxa"/>
              <w:bottom w:w="200" w:type="dxa"/>
              <w:right w:w="0" w:type="dxa"/>
            </w:tcMar>
          </w:tcPr>
          <w:p w14:paraId="3408FF3D" w14:textId="77777777" w:rsidR="006561BA" w:rsidRDefault="005B4ED6">
            <w:pPr>
              <w:pStyle w:val="AnnexTableCellLeft"/>
            </w:pPr>
            <w:r>
              <w:t>Vesentlig bidrag til forebygging og begrensning av forurensning</w:t>
            </w:r>
          </w:p>
        </w:tc>
      </w:tr>
      <w:tr w:rsidR="006561BA" w14:paraId="4F6515FF" w14:textId="77777777">
        <w:trPr>
          <w:trHeight w:val="360"/>
        </w:trPr>
        <w:tc>
          <w:tcPr>
            <w:tcW w:w="9228" w:type="dxa"/>
            <w:gridSpan w:val="2"/>
            <w:tcMar>
              <w:top w:w="200" w:type="dxa"/>
              <w:left w:w="0" w:type="dxa"/>
              <w:bottom w:w="200" w:type="dxa"/>
              <w:right w:w="0" w:type="dxa"/>
            </w:tcMar>
          </w:tcPr>
          <w:p w14:paraId="76A9A7D1" w14:textId="77777777" w:rsidR="006561BA" w:rsidRDefault="005B4ED6">
            <w:pPr>
              <w:pStyle w:val="AnnexNumberedText"/>
              <w:tabs>
                <w:tab w:val="left" w:pos="315"/>
              </w:tabs>
              <w:ind w:left="0" w:firstLine="0"/>
            </w:pPr>
            <w:r>
              <w:t>1.</w:t>
            </w:r>
            <w:r>
              <w:tab/>
              <w:t>Aktiviteten oppfyller alle de kravene som er angitt nedenfor i forbindelse med erstatning av produkter.</w:t>
            </w:r>
          </w:p>
          <w:p w14:paraId="6597E214" w14:textId="77777777" w:rsidR="006561BA" w:rsidRDefault="005B4ED6">
            <w:pPr>
              <w:pStyle w:val="AnnexNumberedText"/>
              <w:tabs>
                <w:tab w:val="left" w:pos="396"/>
              </w:tabs>
              <w:ind w:left="0" w:firstLine="0"/>
            </w:pPr>
            <w:r>
              <w:t>1.1.</w:t>
            </w:r>
            <w:r>
              <w:tab/>
              <w:t>Den aktive legemiddelbestanddelen oppfyller et av følgende krav:</w:t>
            </w:r>
          </w:p>
          <w:p w14:paraId="0EC8FB80" w14:textId="77777777" w:rsidR="006561BA" w:rsidRDefault="005B4ED6">
            <w:pPr>
              <w:pStyle w:val="AnnexNumberedText"/>
              <w:spacing w:after="0"/>
              <w:ind w:left="283" w:hanging="283"/>
            </w:pPr>
            <w:r>
              <w:t>a)</w:t>
            </w:r>
            <w:r>
              <w:tab/>
              <w:t>De aktive legemiddelbestanddelene er naturlig forekommende stoffer, som for eksempel vitaminer, elektrolytter, aminosyrer, peptider, proteiner, nukleotider, karbohydrater og lipider, og i henhold til Det europeiske legemiddelbyrås retningslinjer om miljørisikovurdering av legemidler for mennesker(</w:t>
            </w:r>
            <w:bookmarkStart w:id="261" w:name="NOTE_263"/>
            <w:r>
              <w:rPr>
                <w:rStyle w:val="FootnoteReference"/>
                <w:sz w:val="18"/>
              </w:rPr>
              <w:footnoteReference w:id="264"/>
            </w:r>
            <w:bookmarkEnd w:id="261"/>
            <w:r>
              <w:t>) anses de generelt for å være nedbrytbare i miljøet(</w:t>
            </w:r>
            <w:bookmarkStart w:id="262" w:name="NOTE_264"/>
            <w:r>
              <w:rPr>
                <w:rStyle w:val="FootnoteReference"/>
                <w:sz w:val="18"/>
              </w:rPr>
              <w:footnoteReference w:id="265"/>
            </w:r>
            <w:bookmarkEnd w:id="262"/>
            <w:r>
              <w:t>).</w:t>
            </w:r>
          </w:p>
        </w:tc>
      </w:tr>
      <w:tr w:rsidR="006561BA" w14:paraId="5643BE0C" w14:textId="77777777">
        <w:trPr>
          <w:trHeight w:val="360"/>
        </w:trPr>
        <w:tc>
          <w:tcPr>
            <w:tcW w:w="9228" w:type="dxa"/>
            <w:gridSpan w:val="2"/>
            <w:tcMar>
              <w:top w:w="200" w:type="dxa"/>
              <w:left w:w="0" w:type="dxa"/>
              <w:bottom w:w="200" w:type="dxa"/>
              <w:right w:w="0" w:type="dxa"/>
            </w:tcMar>
          </w:tcPr>
          <w:p w14:paraId="7409AFD3" w14:textId="77777777" w:rsidR="006561BA" w:rsidRDefault="005B4ED6">
            <w:pPr>
              <w:pStyle w:val="AnnexNumberedText"/>
              <w:pageBreakBefore/>
            </w:pPr>
            <w:r>
              <w:lastRenderedPageBreak/>
              <w:t>b)</w:t>
            </w:r>
            <w:r>
              <w:tab/>
              <w:t>Dersom de aktive legemiddelbestanddelene ikke oppfyller kravene angitt i bokstav a), oppfyller de aktive legemiddelbestanddelene, deres viktigste humane metabolitter og deres viktigste omdanningsprodukter i miljøet et av følgende:</w:t>
            </w:r>
          </w:p>
          <w:p w14:paraId="32AB29D7" w14:textId="77777777" w:rsidR="006561BA" w:rsidRDefault="005B4ED6">
            <w:pPr>
              <w:pStyle w:val="AnnexNumberedText"/>
              <w:ind w:left="560"/>
            </w:pPr>
            <w:r>
              <w:t>i)</w:t>
            </w:r>
            <w:r>
              <w:tab/>
              <w:t xml:space="preserve">De er klassifisert som lett biologisk nedbrytbare på grunnlag av minst én av testmetodene i OECDs retningslinjer for testing av kjemikalier, test 301 (A–F), lett biologisk </w:t>
            </w:r>
            <w:proofErr w:type="spellStart"/>
            <w:r>
              <w:t>nedbrytbarhet</w:t>
            </w:r>
            <w:proofErr w:type="spellEnd"/>
            <w:r>
              <w:t>(</w:t>
            </w:r>
            <w:bookmarkStart w:id="263" w:name="NOTE_265"/>
            <w:r>
              <w:rPr>
                <w:rStyle w:val="FootnoteReference"/>
                <w:sz w:val="18"/>
              </w:rPr>
              <w:footnoteReference w:id="266"/>
            </w:r>
            <w:bookmarkEnd w:id="263"/>
            <w:r>
              <w:t xml:space="preserve">), i samsvar med den godkjente verdien for lett biologisk </w:t>
            </w:r>
            <w:proofErr w:type="spellStart"/>
            <w:r>
              <w:t>nedbrytbarhet</w:t>
            </w:r>
            <w:proofErr w:type="spellEnd"/>
            <w:r>
              <w:t xml:space="preserve"> som definert i de nevnte retningslinjene.</w:t>
            </w:r>
          </w:p>
          <w:p w14:paraId="6B70DE11" w14:textId="77777777" w:rsidR="006561BA" w:rsidRDefault="005B4ED6">
            <w:pPr>
              <w:pStyle w:val="AnnexNumberedText"/>
              <w:ind w:left="560"/>
            </w:pPr>
            <w:r>
              <w:t>ii)</w:t>
            </w:r>
            <w:r>
              <w:tab/>
              <w:t xml:space="preserve">Det kan konstateres at de er mineralisert på grunnlag av en spesifikk test nr. 308: Aerob og anaerob omdanning i akvatiske </w:t>
            </w:r>
            <w:proofErr w:type="spellStart"/>
            <w:r>
              <w:t>sedimentsystemer</w:t>
            </w:r>
            <w:proofErr w:type="spellEnd"/>
            <w:r>
              <w:t xml:space="preserve"> (OECD 308(</w:t>
            </w:r>
            <w:bookmarkStart w:id="264" w:name="NOTE_266"/>
            <w:r>
              <w:rPr>
                <w:rStyle w:val="FootnoteReference"/>
                <w:sz w:val="18"/>
              </w:rPr>
              <w:footnoteReference w:id="267"/>
            </w:r>
            <w:bookmarkEnd w:id="264"/>
            <w:r>
              <w:t>) i OECDs retningslinjer for testing av kjemikalier(</w:t>
            </w:r>
            <w:bookmarkStart w:id="265" w:name="NOTE_267"/>
            <w:r>
              <w:rPr>
                <w:rStyle w:val="FootnoteReference"/>
                <w:sz w:val="18"/>
              </w:rPr>
              <w:footnoteReference w:id="268"/>
            </w:r>
            <w:bookmarkEnd w:id="265"/>
            <w:r>
              <w:t>) sammenlignet med persistenskriterier som definert i Det europeiske legemiddelbyrås retningslinjer om miljørisikovurdering av legemidler for mennesker.</w:t>
            </w:r>
          </w:p>
          <w:p w14:paraId="64041E85" w14:textId="77777777" w:rsidR="006561BA" w:rsidRDefault="005B4ED6">
            <w:pPr>
              <w:pStyle w:val="AnnexNumberedText"/>
              <w:tabs>
                <w:tab w:val="left" w:pos="396"/>
              </w:tabs>
              <w:ind w:left="0" w:firstLine="0"/>
            </w:pPr>
            <w:r>
              <w:t>1.2.</w:t>
            </w:r>
            <w:r>
              <w:tab/>
              <w:t>Den aktive legemiddelbestanddelen kan betraktes som en passende erstatning for en annen aktiv legemiddelbestanddel innenfor samme terapeutiske område eller stoffgruppe, som er tilgjengelig på markedet eller var tilgjengelig i løpet av de siste 5 årene, og som ikke oppfyller kravene i nr. 1.1.</w:t>
            </w:r>
          </w:p>
          <w:p w14:paraId="0D13C756" w14:textId="77777777" w:rsidR="006561BA" w:rsidRDefault="005B4ED6">
            <w:pPr>
              <w:pStyle w:val="AnnexTableCellLeft"/>
              <w:spacing w:after="120"/>
            </w:pPr>
            <w:r>
              <w:t>Overholdelse av dette kravet vises gjennom en offentlig tilgjengelig analyse som er verifisert av en uavhengig tredjepart.</w:t>
            </w:r>
          </w:p>
          <w:p w14:paraId="4AD2DAC0" w14:textId="77777777" w:rsidR="006561BA" w:rsidRDefault="005B4ED6">
            <w:pPr>
              <w:pStyle w:val="AnnexNumberedText"/>
              <w:tabs>
                <w:tab w:val="left" w:pos="396"/>
              </w:tabs>
              <w:ind w:left="0" w:firstLine="0"/>
            </w:pPr>
            <w:r>
              <w:t>1.3.</w:t>
            </w:r>
            <w:r>
              <w:tab/>
              <w:t>Produksjonsprosessen for den aktive legemiddelbestanddelen omfatter ikke bruk av stoffer, alene eller i stoffblandinger, som oppfyller kriteriene fastsatt i artikkel 57 i forordning (EF) nr. 1907/2006, med mindre det er vurdert og dokumentert av aktivitetsutøveren at ingen andre egnede alternative stoffer eller teknikker er tilgjengelige på markedet, og at de brukes under kontrollerte forhold(</w:t>
            </w:r>
            <w:bookmarkStart w:id="266" w:name="NOTE_268"/>
            <w:r>
              <w:rPr>
                <w:rStyle w:val="FootnoteReference"/>
                <w:sz w:val="18"/>
              </w:rPr>
              <w:footnoteReference w:id="269"/>
            </w:r>
            <w:bookmarkEnd w:id="266"/>
            <w:r>
              <w:t>).</w:t>
            </w:r>
          </w:p>
          <w:p w14:paraId="161ECD8C" w14:textId="77777777" w:rsidR="006561BA" w:rsidRDefault="005B4ED6">
            <w:pPr>
              <w:pStyle w:val="AnnexNumberedText"/>
              <w:tabs>
                <w:tab w:val="left" w:pos="315"/>
              </w:tabs>
              <w:ind w:left="0" w:firstLine="0"/>
            </w:pPr>
            <w:r>
              <w:t>2.</w:t>
            </w:r>
            <w:r>
              <w:tab/>
              <w:t>Aktiviteten oppfyller følgende krav til utslipp av forurensende stoffer:</w:t>
            </w:r>
          </w:p>
          <w:p w14:paraId="36C02683" w14:textId="2336F450" w:rsidR="006561BA" w:rsidRDefault="005B4ED6">
            <w:pPr>
              <w:pStyle w:val="AnnexNumberedText"/>
              <w:tabs>
                <w:tab w:val="left" w:pos="396"/>
              </w:tabs>
              <w:ind w:left="0" w:firstLine="0"/>
            </w:pPr>
            <w:r>
              <w:t>2.1.</w:t>
            </w:r>
            <w:r>
              <w:tab/>
              <w:t>Dersom aktiviteten er omfattet av dens virkeområde, skal utslippsgrenseverdiene være lavere enn midtpunktet for de utslippsnivåene som er forbundet med de beste tilgjengelige teknikke</w:t>
            </w:r>
            <w:r w:rsidR="004D30CD">
              <w:t>ne</w:t>
            </w:r>
            <w:r>
              <w:t xml:space="preserve"> (BAT-AEL)(</w:t>
            </w:r>
            <w:bookmarkStart w:id="267" w:name="NOTE_269"/>
            <w:r>
              <w:rPr>
                <w:rStyle w:val="FootnoteReference"/>
                <w:sz w:val="18"/>
              </w:rPr>
              <w:footnoteReference w:id="270"/>
            </w:r>
            <w:bookmarkEnd w:id="267"/>
            <w:r>
              <w:t>), og som er fastsatt i</w:t>
            </w:r>
            <w:r w:rsidR="0088203A">
              <w:t xml:space="preserve"> følgende:</w:t>
            </w:r>
          </w:p>
          <w:p w14:paraId="04924157" w14:textId="77777777" w:rsidR="006561BA" w:rsidRDefault="005B4ED6">
            <w:pPr>
              <w:pStyle w:val="AnnexNumberedText"/>
              <w:ind w:left="293" w:hanging="293"/>
            </w:pPr>
            <w:r>
              <w:t>a)</w:t>
            </w:r>
            <w:r>
              <w:tab/>
              <w:t>Konklusjoner om beste tilgjengelige teknikker (BAT) for felles systemer for håndtering og rensing av avgasser i kjemisk sektor for utslipp til luft fra nye anlegg (eller for eksisterende anlegg innen fire år etter offentliggjøring av BAT-konklusjonene) dersom relevante vilkår får anvendelse(</w:t>
            </w:r>
            <w:bookmarkStart w:id="268" w:name="NOTE_270"/>
            <w:r>
              <w:rPr>
                <w:rStyle w:val="FootnoteReference"/>
                <w:sz w:val="18"/>
              </w:rPr>
              <w:footnoteReference w:id="271"/>
            </w:r>
            <w:bookmarkEnd w:id="268"/>
            <w:r>
              <w:t>).</w:t>
            </w:r>
          </w:p>
          <w:p w14:paraId="79E16099" w14:textId="77777777" w:rsidR="006561BA" w:rsidRDefault="005B4ED6">
            <w:pPr>
              <w:pStyle w:val="AnnexNumberedText"/>
              <w:spacing w:after="0"/>
              <w:ind w:left="293" w:hanging="293"/>
            </w:pPr>
            <w:r>
              <w:t>b)</w:t>
            </w:r>
            <w:r>
              <w:tab/>
              <w:t>Referansedokumentet om beste tilgjengelige teknikker (BREF) for produksjon av organiske finkjemikalier (OFC)(</w:t>
            </w:r>
            <w:bookmarkStart w:id="269" w:name="NOTE_271"/>
            <w:r>
              <w:rPr>
                <w:rStyle w:val="FootnoteReference"/>
                <w:sz w:val="18"/>
              </w:rPr>
              <w:footnoteReference w:id="272"/>
            </w:r>
            <w:bookmarkEnd w:id="269"/>
            <w:r>
              <w:t>) for produksjonsaktiviteten på vilkår som ikke er omfattet av ovennevnte BAT-konklusjoner.</w:t>
            </w:r>
          </w:p>
        </w:tc>
      </w:tr>
      <w:tr w:rsidR="006561BA" w14:paraId="59C1A27E" w14:textId="77777777">
        <w:trPr>
          <w:trHeight w:val="240"/>
        </w:trPr>
        <w:tc>
          <w:tcPr>
            <w:tcW w:w="9228" w:type="dxa"/>
            <w:gridSpan w:val="2"/>
            <w:tcMar>
              <w:top w:w="200" w:type="dxa"/>
              <w:left w:w="0" w:type="dxa"/>
              <w:bottom w:w="200" w:type="dxa"/>
              <w:right w:w="0" w:type="dxa"/>
            </w:tcMar>
          </w:tcPr>
          <w:p w14:paraId="7FDEC4EC" w14:textId="77777777" w:rsidR="006561BA" w:rsidRDefault="005B4ED6">
            <w:pPr>
              <w:pStyle w:val="AnnexNumberedText"/>
              <w:pageBreakBefore/>
            </w:pPr>
            <w:r>
              <w:lastRenderedPageBreak/>
              <w:t>c)</w:t>
            </w:r>
            <w:r>
              <w:tab/>
              <w:t>Konklusjonene om beste tilgjengelige teknikker (BAT) for rensing/håndtering av spillvann og avgasser i kjemisk sektor(</w:t>
            </w:r>
            <w:bookmarkStart w:id="270" w:name="NOTE_272"/>
            <w:r>
              <w:rPr>
                <w:rStyle w:val="FootnoteReference"/>
                <w:sz w:val="18"/>
              </w:rPr>
              <w:footnoteReference w:id="273"/>
            </w:r>
            <w:bookmarkEnd w:id="270"/>
            <w:r>
              <w:t>).</w:t>
            </w:r>
          </w:p>
          <w:p w14:paraId="20358786" w14:textId="77777777" w:rsidR="006561BA" w:rsidRDefault="005B4ED6">
            <w:pPr>
              <w:pStyle w:val="AnnexNumberedText"/>
            </w:pPr>
            <w:r>
              <w:t>d)</w:t>
            </w:r>
            <w:r>
              <w:tab/>
              <w:t>Referansedokumentet om beste tilgjengelige teknikker (BREF) for uorganiske kjemikalier i storskalaproduksjon – faste stoffer og andre(</w:t>
            </w:r>
            <w:bookmarkStart w:id="271" w:name="NOTE_273"/>
            <w:r>
              <w:rPr>
                <w:rStyle w:val="FootnoteReference"/>
                <w:sz w:val="18"/>
              </w:rPr>
              <w:footnoteReference w:id="274"/>
            </w:r>
            <w:bookmarkEnd w:id="271"/>
            <w:r>
              <w:t>).</w:t>
            </w:r>
          </w:p>
          <w:p w14:paraId="409CE7D6" w14:textId="77777777" w:rsidR="006561BA" w:rsidRDefault="005B4ED6">
            <w:pPr>
              <w:pStyle w:val="AnnexNumberedText"/>
            </w:pPr>
            <w:r>
              <w:t>e)</w:t>
            </w:r>
            <w:r>
              <w:tab/>
              <w:t>Referansedokumentet om beste tilgjengelige teknikker (BREF) for uorganiske kjemikalier i storskalaproduksjon – ammoniakk, syre og gjødsel(</w:t>
            </w:r>
            <w:bookmarkStart w:id="272" w:name="NOTE_274"/>
            <w:r>
              <w:rPr>
                <w:rStyle w:val="FootnoteReference"/>
                <w:sz w:val="18"/>
              </w:rPr>
              <w:footnoteReference w:id="275"/>
            </w:r>
            <w:bookmarkEnd w:id="272"/>
            <w:r>
              <w:t>).</w:t>
            </w:r>
          </w:p>
          <w:p w14:paraId="5E76D382" w14:textId="77777777" w:rsidR="006561BA" w:rsidRDefault="005B4ED6">
            <w:pPr>
              <w:pStyle w:val="AnnexNumberedText"/>
            </w:pPr>
            <w:r>
              <w:t>f)</w:t>
            </w:r>
            <w:r>
              <w:tab/>
              <w:t>Referansedokumentet om beste tilgjengelige teknikker (BREF) for produksjon av uorganiske spesialkjemikalier (SIC)(</w:t>
            </w:r>
            <w:bookmarkStart w:id="273" w:name="NOTE_275"/>
            <w:r>
              <w:rPr>
                <w:rStyle w:val="FootnoteReference"/>
                <w:sz w:val="18"/>
              </w:rPr>
              <w:footnoteReference w:id="276"/>
            </w:r>
            <w:bookmarkEnd w:id="273"/>
            <w:r>
              <w:t>) for produksjonsaktiviteten på vilkår som ikke er omfattet av ovennevnte BAT-konklusjoner.</w:t>
            </w:r>
          </w:p>
          <w:p w14:paraId="0F9D091B" w14:textId="77777777" w:rsidR="006561BA" w:rsidRDefault="005B4ED6">
            <w:pPr>
              <w:pStyle w:val="AnnexTableCellLeft"/>
              <w:spacing w:after="120"/>
            </w:pPr>
            <w:r>
              <w:t xml:space="preserve">Anlegg som ligger innenfor de intervallene for utslippsnivåer som er forbundet med beste tilgjengelige teknikker (BAT-AEL), og som beveger seg mot </w:t>
            </w:r>
            <w:proofErr w:type="spellStart"/>
            <w:r>
              <w:t>midtpunktsambisjonen</w:t>
            </w:r>
            <w:proofErr w:type="spellEnd"/>
            <w:r>
              <w:t>, utløser ikke noen betydelige tverrgående miljøvirkninger. Anlegg som har fått unntak i samsvar med framgangsmåten fastsatt i artikkel 15 nr. 4 i direktiv 2010/75/EU, anses ikke å oppfylle de tekniske screeningkriteriene for unntaksperioden.</w:t>
            </w:r>
          </w:p>
          <w:p w14:paraId="16731359" w14:textId="77777777" w:rsidR="006561BA" w:rsidRDefault="005B4ED6">
            <w:pPr>
              <w:pStyle w:val="AnnexNumberedText"/>
              <w:tabs>
                <w:tab w:val="left" w:pos="396"/>
              </w:tabs>
              <w:ind w:left="0" w:firstLine="0"/>
            </w:pPr>
            <w:r>
              <w:t>2.2.</w:t>
            </w:r>
            <w:r>
              <w:tab/>
              <w:t>Dersom det finnes en metode for kontinuerlig måling av et bestemt forurensende stoff, bruker aktivitetsutøveren systemer for kontinuerlig overvåking av utslipp (CEMS), systemer for kontinuerlig kvalitetsovervåking av utslipp (CEQMS) og andre tiltak som sikrer regelmessig kontroll av at miljøet ikke forringes.</w:t>
            </w:r>
          </w:p>
          <w:p w14:paraId="57B9FC32" w14:textId="77777777" w:rsidR="006561BA" w:rsidRDefault="005B4ED6">
            <w:pPr>
              <w:pStyle w:val="AnnexNumberedText"/>
              <w:tabs>
                <w:tab w:val="left" w:pos="396"/>
              </w:tabs>
              <w:ind w:left="0" w:firstLine="0"/>
            </w:pPr>
            <w:r>
              <w:t>2.3.</w:t>
            </w:r>
            <w:r>
              <w:tab/>
              <w:t>Aktivitetsutøveren anvender separering av løsemiddelavfall for gjenvinning av løsemidler fra konsentrerte avfallsstrømmer, dersom det er teknisk mulig.</w:t>
            </w:r>
          </w:p>
          <w:p w14:paraId="150CF337" w14:textId="77777777" w:rsidR="006561BA" w:rsidRDefault="005B4ED6">
            <w:pPr>
              <w:pStyle w:val="AnnexTableCellLeft"/>
              <w:spacing w:after="120"/>
            </w:pPr>
            <w:r>
              <w:t>Løsemidler som inngår i tabell 1 i Det europeiske legemiddelbyrås retningslinjer Q3C (R8) om urenheter: retningslinjer for løsemiddelrester(</w:t>
            </w:r>
            <w:bookmarkStart w:id="274" w:name="NOTE_276"/>
            <w:r>
              <w:rPr>
                <w:rStyle w:val="FootnoteReference"/>
                <w:sz w:val="18"/>
              </w:rPr>
              <w:footnoteReference w:id="277"/>
            </w:r>
            <w:bookmarkEnd w:id="274"/>
            <w:r>
              <w:t>) unngås.</w:t>
            </w:r>
          </w:p>
          <w:p w14:paraId="2CDB51C9" w14:textId="77777777" w:rsidR="006561BA" w:rsidRDefault="005B4ED6">
            <w:pPr>
              <w:pStyle w:val="AnnexTableCellLeft"/>
              <w:spacing w:after="120"/>
            </w:pPr>
            <w:r>
              <w:t>Det høyeste tapet av løsemidler fra den samlede innsatsmengden skal ikke overstige et tap på 3 %. Den samlede gjenvinningsgraden for flyktige organiske forbindelser (VOC) er minst 99 %.</w:t>
            </w:r>
          </w:p>
          <w:p w14:paraId="74DD4676" w14:textId="77777777" w:rsidR="006561BA" w:rsidRDefault="005B4ED6">
            <w:pPr>
              <w:pStyle w:val="AnnexTableCellLeft"/>
              <w:spacing w:after="120"/>
            </w:pPr>
            <w:r>
              <w:t>Aktivitetsutøveren kontrollerer at det ikke forekommer diffuse utslipp av flyktige organiske forbindelser utover de kriteriene som er spesifisert nedenfor med hensyn til volumetriske terskelverdier (</w:t>
            </w:r>
            <w:proofErr w:type="spellStart"/>
            <w:r>
              <w:t>ppmv</w:t>
            </w:r>
            <w:proofErr w:type="spellEnd"/>
            <w:r>
              <w:t>) ved å utføre kampanjer for lekkasjedeteksjon og reparasjon (LDAR), minst hvert tredje år. Investeringer i bruk av utstyr med høy integritet anbefales, forutsatt at de installeres i eksisterende anlegg i de tilfellene som er nevnt i BAT 23 bokstav b) for konklusjonene om beste tilgjengelige teknikker (BAT-konklusjoner) for felles systemer for håndtering og rensing av avgasser i kjemisk sektor, mens trykkterskelen heves til 200 bar. Den minimale verifiseringsplanen kan reduseres i tilfeller der de samlede utslippene av flyktige organiske forbindelser (VOC) regelmessig kvantifiseres med sporstoffkorrelasjon (TC) eller med teknikker basert på optisk absorpsjon, som for eksempel DIAL («</w:t>
            </w:r>
            <w:proofErr w:type="spellStart"/>
            <w:r>
              <w:t>Differential</w:t>
            </w:r>
            <w:proofErr w:type="spellEnd"/>
            <w:r>
              <w:t xml:space="preserve"> </w:t>
            </w:r>
            <w:proofErr w:type="spellStart"/>
            <w:r>
              <w:t>Absorption</w:t>
            </w:r>
            <w:proofErr w:type="spellEnd"/>
            <w:r>
              <w:t xml:space="preserve"> </w:t>
            </w:r>
            <w:proofErr w:type="spellStart"/>
            <w:r>
              <w:t>Light</w:t>
            </w:r>
            <w:proofErr w:type="spellEnd"/>
            <w:r>
              <w:t xml:space="preserve"> </w:t>
            </w:r>
            <w:proofErr w:type="spellStart"/>
            <w:r>
              <w:t>Detection</w:t>
            </w:r>
            <w:proofErr w:type="spellEnd"/>
            <w:r>
              <w:t xml:space="preserve"> and Ranging») eller SOF («Solar </w:t>
            </w:r>
            <w:proofErr w:type="spellStart"/>
            <w:r>
              <w:t>Occultation</w:t>
            </w:r>
            <w:proofErr w:type="spellEnd"/>
            <w:r>
              <w:t xml:space="preserve"> </w:t>
            </w:r>
            <w:proofErr w:type="spellStart"/>
            <w:r>
              <w:t>Flux</w:t>
            </w:r>
            <w:proofErr w:type="spellEnd"/>
            <w:r>
              <w:t>») eller andre målinger med tilsvarende yteevne.</w:t>
            </w:r>
          </w:p>
          <w:p w14:paraId="67E510C7" w14:textId="77777777" w:rsidR="006561BA" w:rsidRDefault="005B4ED6">
            <w:pPr>
              <w:pStyle w:val="AnnexTableCellLeft"/>
            </w:pPr>
            <w:r>
              <w:t xml:space="preserve">Diffuse utslipp av stoffer eller stoffblandinger som er klassifisert som CMR 1A eller 1B, fra utett utstyr overstiger ikke en konsentrasjon på 100 </w:t>
            </w:r>
            <w:proofErr w:type="spellStart"/>
            <w:r>
              <w:t>ppmv</w:t>
            </w:r>
            <w:proofErr w:type="spellEnd"/>
            <w:r>
              <w:t>(</w:t>
            </w:r>
            <w:bookmarkStart w:id="275" w:name="NOTE_277"/>
            <w:r>
              <w:rPr>
                <w:rStyle w:val="FootnoteReference"/>
                <w:sz w:val="18"/>
              </w:rPr>
              <w:footnoteReference w:id="278"/>
            </w:r>
            <w:bookmarkEnd w:id="275"/>
            <w:r>
              <w:t>).</w:t>
            </w:r>
          </w:p>
        </w:tc>
      </w:tr>
      <w:tr w:rsidR="006561BA" w14:paraId="4095A028" w14:textId="77777777">
        <w:trPr>
          <w:trHeight w:val="360"/>
        </w:trPr>
        <w:tc>
          <w:tcPr>
            <w:tcW w:w="9228" w:type="dxa"/>
            <w:gridSpan w:val="2"/>
            <w:tcMar>
              <w:top w:w="300" w:type="dxa"/>
              <w:left w:w="0" w:type="dxa"/>
              <w:bottom w:w="300" w:type="dxa"/>
              <w:right w:w="0" w:type="dxa"/>
            </w:tcMar>
          </w:tcPr>
          <w:p w14:paraId="7483B3CE" w14:textId="77777777" w:rsidR="006561BA" w:rsidRDefault="005B4ED6">
            <w:pPr>
              <w:pStyle w:val="AnnexTableCellLeft"/>
              <w:pageBreakBefore/>
              <w:spacing w:after="120"/>
            </w:pPr>
            <w:r>
              <w:lastRenderedPageBreak/>
              <w:t xml:space="preserve">LDAR-kampanjene har de egenskapene som er beskrevet i BAT19 i konklusjonene om beste tilgjengelige teknikker (BAT-konklusjoner) for felles systemer for håndtering og rensing av avgasser i kjemisk sektor, blant annet deteksjon, reparasjon og vedlikehold av lekkasjer innen 30 dager etter deteksjon og en lekkasjeterskel som er lavere enn eller lik 5 000 </w:t>
            </w:r>
            <w:proofErr w:type="spellStart"/>
            <w:r>
              <w:t>ppmv</w:t>
            </w:r>
            <w:proofErr w:type="spellEnd"/>
            <w:r>
              <w:t xml:space="preserve"> for andre stoffer eller stoffblandinger enn de som er klassifisert som CMR 1A eller 1B, og som gjennomgås og oppdateres med henblikk på kontinuerlig forbedring av installasjonen. Tapet av løsemidler og gjenvinningsgraden for flyktig organisk forbindelse overvåkes på grunnlag av en plan for håndtering av løsemidler ved hjelp av en massebalanse for kontroll av samsvar, i henhold til kapittel V i direktiv 2010/75/EU.</w:t>
            </w:r>
          </w:p>
          <w:p w14:paraId="7B95E596" w14:textId="06016574" w:rsidR="006561BA" w:rsidRDefault="005B4ED6">
            <w:pPr>
              <w:pStyle w:val="AnnexNumberedText"/>
              <w:tabs>
                <w:tab w:val="left" w:pos="396"/>
              </w:tabs>
              <w:spacing w:after="0"/>
              <w:ind w:left="0" w:firstLine="0"/>
            </w:pPr>
            <w:r>
              <w:t>2.4.</w:t>
            </w:r>
            <w:r>
              <w:tab/>
              <w:t xml:space="preserve">Avløpsvann, </w:t>
            </w:r>
            <w:r w:rsidR="00F849F7">
              <w:t>søppel</w:t>
            </w:r>
            <w:r>
              <w:t xml:space="preserve"> og annet avfall (herunder faste stoffer, væsker eller gassformige biprodukter fra produksjonen) sluttbehandles på en sikker, rettidig og hygienisk måte. Beholdere eller rør for avfallsmaterialer er tydelig merket. Analysedata som viser omdanningen av disse stoffene og deres rester til ufarlige avfallsmaterialer, er tilgjengelige på anlegget og oppdater</w:t>
            </w:r>
            <w:r w:rsidR="00E12552">
              <w:t>es</w:t>
            </w:r>
            <w:r>
              <w:t>.</w:t>
            </w:r>
          </w:p>
        </w:tc>
      </w:tr>
      <w:tr w:rsidR="006561BA" w14:paraId="488FF257" w14:textId="77777777">
        <w:trPr>
          <w:trHeight w:val="240"/>
        </w:trPr>
        <w:tc>
          <w:tcPr>
            <w:tcW w:w="9228" w:type="dxa"/>
            <w:gridSpan w:val="2"/>
            <w:tcMar>
              <w:top w:w="300" w:type="dxa"/>
              <w:left w:w="0" w:type="dxa"/>
              <w:bottom w:w="300" w:type="dxa"/>
              <w:right w:w="0" w:type="dxa"/>
            </w:tcMar>
          </w:tcPr>
          <w:p w14:paraId="472DF154" w14:textId="77777777" w:rsidR="006561BA" w:rsidRDefault="005B4ED6">
            <w:pPr>
              <w:pStyle w:val="AnnexTableCellLeft"/>
            </w:pPr>
            <w:r>
              <w:t>Prinsippet om ikke å gjøre betydelig skade («DNSH»)</w:t>
            </w:r>
          </w:p>
        </w:tc>
      </w:tr>
      <w:tr w:rsidR="006561BA" w14:paraId="37195F6E" w14:textId="77777777">
        <w:tc>
          <w:tcPr>
            <w:tcW w:w="2484" w:type="dxa"/>
            <w:tcMar>
              <w:top w:w="300" w:type="dxa"/>
              <w:left w:w="0" w:type="dxa"/>
              <w:bottom w:w="300" w:type="dxa"/>
            </w:tcMar>
          </w:tcPr>
          <w:p w14:paraId="5550D0BE" w14:textId="77777777" w:rsidR="006561BA" w:rsidRDefault="005B4ED6">
            <w:pPr>
              <w:pStyle w:val="AnnexNumberedText"/>
              <w:spacing w:after="0"/>
              <w:ind w:left="293" w:hanging="293"/>
            </w:pPr>
            <w:r>
              <w:t>1)</w:t>
            </w:r>
            <w:r>
              <w:tab/>
              <w:t>Begrensning av klimaendringer</w:t>
            </w:r>
          </w:p>
        </w:tc>
        <w:tc>
          <w:tcPr>
            <w:tcW w:w="6744" w:type="dxa"/>
            <w:tcMar>
              <w:top w:w="300" w:type="dxa"/>
              <w:bottom w:w="300" w:type="dxa"/>
              <w:right w:w="0" w:type="dxa"/>
            </w:tcMar>
          </w:tcPr>
          <w:p w14:paraId="1864DA66" w14:textId="77777777" w:rsidR="006561BA" w:rsidRDefault="005B4ED6">
            <w:pPr>
              <w:pStyle w:val="AnnexTableCellLeft"/>
              <w:spacing w:after="120"/>
            </w:pPr>
            <w:r>
              <w:t>Dersom aktiviteten omfatter produksjon av varme/kjøling eller kraftvarmeproduksjon, herunder elektrisitet, er de direkte klimagassutslippene fra aktiviteten lavere enn 270 gCO</w:t>
            </w:r>
            <w:r>
              <w:rPr>
                <w:vertAlign w:val="subscript"/>
              </w:rPr>
              <w:t>2</w:t>
            </w:r>
            <w:r>
              <w:t>e/kWh.</w:t>
            </w:r>
          </w:p>
          <w:p w14:paraId="701B3891" w14:textId="77777777" w:rsidR="006561BA" w:rsidRDefault="005B4ED6">
            <w:pPr>
              <w:pStyle w:val="AnnexTableCellLeft"/>
              <w:spacing w:after="120"/>
            </w:pPr>
            <w:r>
              <w:t>Med hensyn til terskelverdien for kjølemiddel overstiger ikke potensialet for global oppvarming 150 ved avkjøling av stoffet.</w:t>
            </w:r>
          </w:p>
          <w:p w14:paraId="5F5617BF" w14:textId="77777777" w:rsidR="006561BA" w:rsidRDefault="005B4ED6">
            <w:pPr>
              <w:pStyle w:val="AnnexTableCellLeft"/>
              <w:spacing w:after="120"/>
            </w:pPr>
            <w:r>
              <w:t>Når aktive legemiddelbestanddeler eller aktive stoffer er produsert av stoffer oppført i avsnitt 3.10–3.16 i vedlegg II til delegert forordning (EU) 2021/2139, overskrider ikke klimagassutslippene de grensene som er fastsatt i deres respektive DNSH-kriterier for begrensning av klimaendringer.</w:t>
            </w:r>
          </w:p>
          <w:p w14:paraId="04D9EB02" w14:textId="77777777" w:rsidR="006561BA" w:rsidRDefault="005B4ED6">
            <w:pPr>
              <w:pStyle w:val="AnnexTableCellLeft"/>
            </w:pPr>
            <w:r>
              <w:t>Erstatningen fører ikke til en økning av livsløpsutslipp av klimagasser. Livsløpsutslipp av klimagasser beregnes ved hjelp av rekommandasjon 2013/179/EU eller alternativt ISO 14067:2018(</w:t>
            </w:r>
            <w:bookmarkStart w:id="276" w:name="NOTE_278"/>
            <w:r>
              <w:rPr>
                <w:rStyle w:val="FootnoteReference"/>
                <w:sz w:val="18"/>
              </w:rPr>
              <w:footnoteReference w:id="279"/>
            </w:r>
            <w:bookmarkEnd w:id="276"/>
            <w:r>
              <w:t>) eller ISO 14064-1:2018(</w:t>
            </w:r>
            <w:bookmarkStart w:id="277" w:name="NOTE_279"/>
            <w:r>
              <w:rPr>
                <w:rStyle w:val="FootnoteReference"/>
                <w:sz w:val="18"/>
              </w:rPr>
              <w:footnoteReference w:id="280"/>
            </w:r>
            <w:bookmarkEnd w:id="277"/>
            <w:r>
              <w:t>). Kvantifiserte livsløpsutslipp av klimagasser verifiseres av en uavhengig tredjepart.</w:t>
            </w:r>
          </w:p>
        </w:tc>
      </w:tr>
      <w:tr w:rsidR="006561BA" w14:paraId="2DCDA83A" w14:textId="77777777">
        <w:tc>
          <w:tcPr>
            <w:tcW w:w="2484" w:type="dxa"/>
            <w:tcMar>
              <w:top w:w="300" w:type="dxa"/>
              <w:left w:w="0" w:type="dxa"/>
              <w:bottom w:w="300" w:type="dxa"/>
            </w:tcMar>
          </w:tcPr>
          <w:p w14:paraId="636EBF2C" w14:textId="77777777" w:rsidR="006561BA" w:rsidRDefault="005B4ED6">
            <w:pPr>
              <w:pStyle w:val="AnnexNumberedText"/>
              <w:spacing w:after="0"/>
              <w:ind w:left="293" w:hanging="293"/>
            </w:pPr>
            <w:r>
              <w:t>2)</w:t>
            </w:r>
            <w:r>
              <w:tab/>
              <w:t>Tilpasning til klimaendringer</w:t>
            </w:r>
          </w:p>
        </w:tc>
        <w:tc>
          <w:tcPr>
            <w:tcW w:w="6744" w:type="dxa"/>
            <w:tcMar>
              <w:top w:w="300" w:type="dxa"/>
              <w:bottom w:w="300" w:type="dxa"/>
              <w:right w:w="0" w:type="dxa"/>
            </w:tcMar>
          </w:tcPr>
          <w:p w14:paraId="2AA8EE60" w14:textId="77777777" w:rsidR="006561BA" w:rsidRDefault="005B4ED6">
            <w:pPr>
              <w:pStyle w:val="AnnexTableCellLeft"/>
            </w:pPr>
            <w:r>
              <w:t>Aktiviteten oppfyller kriteriene fastsatt i tillegg A til dette vedlegget.</w:t>
            </w:r>
          </w:p>
        </w:tc>
      </w:tr>
      <w:tr w:rsidR="006561BA" w14:paraId="2B7E3586" w14:textId="77777777">
        <w:tc>
          <w:tcPr>
            <w:tcW w:w="2484" w:type="dxa"/>
            <w:tcMar>
              <w:top w:w="300" w:type="dxa"/>
              <w:left w:w="0" w:type="dxa"/>
              <w:bottom w:w="300" w:type="dxa"/>
            </w:tcMar>
          </w:tcPr>
          <w:p w14:paraId="45BB7A42" w14:textId="77777777" w:rsidR="006561BA" w:rsidRDefault="005B4ED6">
            <w:pPr>
              <w:pStyle w:val="AnnexNumberedText"/>
              <w:spacing w:after="0"/>
              <w:ind w:left="293" w:hanging="293"/>
            </w:pPr>
            <w:r>
              <w:t>3)</w:t>
            </w:r>
            <w:r>
              <w:tab/>
              <w:t>Bærekraftig bruk og beskyttelse av vann- og havressurser</w:t>
            </w:r>
          </w:p>
        </w:tc>
        <w:tc>
          <w:tcPr>
            <w:tcW w:w="6744" w:type="dxa"/>
            <w:tcMar>
              <w:top w:w="300" w:type="dxa"/>
              <w:bottom w:w="300" w:type="dxa"/>
              <w:right w:w="0" w:type="dxa"/>
            </w:tcMar>
          </w:tcPr>
          <w:p w14:paraId="444E10DD" w14:textId="77777777" w:rsidR="006561BA" w:rsidRDefault="005B4ED6">
            <w:pPr>
              <w:pStyle w:val="AnnexNumberedText"/>
              <w:ind w:left="279" w:hanging="279"/>
            </w:pPr>
            <w:r>
              <w:t>1.</w:t>
            </w:r>
            <w:r>
              <w:tab/>
              <w:t>Rensing av avløpsvann</w:t>
            </w:r>
          </w:p>
          <w:p w14:paraId="01E9D4CB" w14:textId="77777777" w:rsidR="006561BA" w:rsidRDefault="005B4ED6">
            <w:pPr>
              <w:pStyle w:val="AnnexTableCellLeft"/>
              <w:spacing w:after="120"/>
            </w:pPr>
            <w:r>
              <w:t>Utførelsen av prosesser for rensing av avløpsvann som er utført av eller på vegne av produksjonsanlegget, fører ikke til noen forringelse av vannforekomster og havressurser.</w:t>
            </w:r>
          </w:p>
          <w:p w14:paraId="02950F72" w14:textId="77777777" w:rsidR="006561BA" w:rsidRDefault="005B4ED6">
            <w:pPr>
              <w:pStyle w:val="AnnexTableCellLeft"/>
            </w:pPr>
            <w:r>
              <w:t>Når aktiviteter er omfattet av deres virkeområde, oppfyller de kravene i direktiv 91/271/EØF, 2008/105/EF, 2006/118/EF, 2010/75/EU, 2000/60/EF, (EU) 2020/2184, 76/160/EØF, 2008/56/EF og 2011/92/EU.</w:t>
            </w:r>
          </w:p>
        </w:tc>
      </w:tr>
      <w:tr w:rsidR="006561BA" w14:paraId="24FF7256" w14:textId="77777777">
        <w:tc>
          <w:tcPr>
            <w:tcW w:w="2484" w:type="dxa"/>
            <w:tcMar>
              <w:top w:w="200" w:type="dxa"/>
              <w:left w:w="0" w:type="dxa"/>
              <w:bottom w:w="200" w:type="dxa"/>
            </w:tcMar>
          </w:tcPr>
          <w:p w14:paraId="23D82D7E" w14:textId="77777777" w:rsidR="006561BA" w:rsidRDefault="006561BA">
            <w:pPr>
              <w:pStyle w:val="AnnexTableCellLeft"/>
              <w:pageBreakBefore/>
            </w:pPr>
          </w:p>
        </w:tc>
        <w:tc>
          <w:tcPr>
            <w:tcW w:w="6744" w:type="dxa"/>
            <w:tcMar>
              <w:top w:w="200" w:type="dxa"/>
              <w:bottom w:w="200" w:type="dxa"/>
              <w:right w:w="0" w:type="dxa"/>
            </w:tcMar>
          </w:tcPr>
          <w:p w14:paraId="3756087A" w14:textId="77777777" w:rsidR="006561BA" w:rsidRDefault="005B4ED6">
            <w:pPr>
              <w:pStyle w:val="AnnexTableCellLeft"/>
              <w:spacing w:after="120"/>
            </w:pPr>
            <w:r>
              <w:t xml:space="preserve">Aktiviteten gjennomfører beste praksis spesifisert i Det felles forskningssenters beste miljøstyringspraksis for sektoren for offentlig forvaltning («Best </w:t>
            </w:r>
            <w:proofErr w:type="spellStart"/>
            <w:r>
              <w:t>Environmental</w:t>
            </w:r>
            <w:proofErr w:type="spellEnd"/>
            <w:r>
              <w:t xml:space="preserve"> Management </w:t>
            </w:r>
            <w:proofErr w:type="spellStart"/>
            <w:r>
              <w:t>Practice</w:t>
            </w:r>
            <w:proofErr w:type="spellEnd"/>
            <w:r>
              <w:t xml:space="preserve"> for </w:t>
            </w:r>
            <w:proofErr w:type="spellStart"/>
            <w:r>
              <w:t>the</w:t>
            </w:r>
            <w:proofErr w:type="spellEnd"/>
            <w:r>
              <w:t xml:space="preserve"> Public Administration </w:t>
            </w:r>
            <w:proofErr w:type="spellStart"/>
            <w:r>
              <w:t>Sector</w:t>
            </w:r>
            <w:proofErr w:type="spellEnd"/>
            <w:r>
              <w:t>»)(</w:t>
            </w:r>
            <w:bookmarkStart w:id="278" w:name="NOTE_280"/>
            <w:r>
              <w:rPr>
                <w:rStyle w:val="FootnoteReference"/>
                <w:sz w:val="18"/>
              </w:rPr>
              <w:footnoteReference w:id="281"/>
            </w:r>
            <w:bookmarkEnd w:id="278"/>
            <w:r>
              <w:t>).</w:t>
            </w:r>
          </w:p>
          <w:p w14:paraId="7A8FF1A8" w14:textId="3791CA17" w:rsidR="006561BA" w:rsidRDefault="005B4ED6">
            <w:pPr>
              <w:pStyle w:val="AnnexTableCellLeft"/>
              <w:spacing w:after="120"/>
            </w:pPr>
            <w:r>
              <w:t xml:space="preserve">Dersom rensing av avløpsvann utføres av et renseanlegg for avløpsvann fra byområder på vegne av </w:t>
            </w:r>
            <w:r w:rsidR="00FB022D">
              <w:t>produksjonsanlegget</w:t>
            </w:r>
            <w:r>
              <w:t>, skal det sikres at</w:t>
            </w:r>
          </w:p>
          <w:p w14:paraId="7F36A2DA" w14:textId="77777777" w:rsidR="006561BA" w:rsidRDefault="005B4ED6">
            <w:pPr>
              <w:pStyle w:val="AnnexNumberedText"/>
              <w:ind w:left="293" w:hanging="293"/>
            </w:pPr>
            <w:r>
              <w:t>a)</w:t>
            </w:r>
            <w:r>
              <w:tab/>
              <w:t>mengden av forurensende stoffer som slippes ut av produksjonsanlegget, ikke har noen negativ innvirkning på renseprosessen i renseanlegget for avløpsvann fra byområder,</w:t>
            </w:r>
          </w:p>
          <w:p w14:paraId="6E1289E4" w14:textId="77777777" w:rsidR="006561BA" w:rsidRDefault="005B4ED6">
            <w:pPr>
              <w:pStyle w:val="AnnexNumberedText"/>
              <w:ind w:left="293" w:hanging="293"/>
            </w:pPr>
            <w:r>
              <w:t>b)</w:t>
            </w:r>
            <w:r>
              <w:tab/>
              <w:t>mengden av og egenskapene til forurensende stoffer ikke utgjør noen risiko for eller skade på helsen til det personalet som arbeider på renseanlegg,</w:t>
            </w:r>
          </w:p>
          <w:p w14:paraId="5840E40A" w14:textId="77777777" w:rsidR="006561BA" w:rsidRDefault="005B4ED6">
            <w:pPr>
              <w:pStyle w:val="AnnexNumberedText"/>
              <w:ind w:left="293" w:hanging="293"/>
            </w:pPr>
            <w:r>
              <w:t>c)</w:t>
            </w:r>
            <w:r>
              <w:tab/>
              <w:t>renseanlegget for avløpsvann fra byområder er konstruert og utstyrt på en slik måte at det kan redusere utslippet av de forurensende stoffene,</w:t>
            </w:r>
          </w:p>
          <w:p w14:paraId="4C794958" w14:textId="77777777" w:rsidR="006561BA" w:rsidRDefault="005B4ED6">
            <w:pPr>
              <w:pStyle w:val="AnnexNumberedText"/>
              <w:ind w:left="293" w:hanging="293"/>
            </w:pPr>
            <w:r>
              <w:t>d)</w:t>
            </w:r>
            <w:r>
              <w:tab/>
              <w:t>den samlede belastningen av de aktuelle forurensende stoffene som slippes ut til vannforekomsten, ikke økes sammenlignet med den situasjonen der utslippene fra det aktuelle anlegget fortsatt overholder de utslippsgrenseverdiene som er fastsatt for direkte utslipp,</w:t>
            </w:r>
          </w:p>
          <w:p w14:paraId="63FF9C85" w14:textId="77777777" w:rsidR="006561BA" w:rsidRDefault="005B4ED6">
            <w:pPr>
              <w:pStyle w:val="AnnexNumberedText"/>
              <w:ind w:left="293" w:hanging="293"/>
            </w:pPr>
            <w:r>
              <w:t>e)</w:t>
            </w:r>
            <w:r>
              <w:tab/>
              <w:t>anvendeligheten for avløpsslam med henblikk på gjenvinning av næringsstoffer ikke påvirkes.</w:t>
            </w:r>
          </w:p>
          <w:p w14:paraId="60247534" w14:textId="77777777" w:rsidR="006561BA" w:rsidRDefault="005B4ED6">
            <w:pPr>
              <w:pStyle w:val="AnnexTableCellLeft"/>
              <w:spacing w:after="120"/>
            </w:pPr>
            <w:r>
              <w:t>For anlegg der ytterligere grenseverdier for forurensende stoffer eller strengere vilkår inngår i deres miljøtillatelse sammenlignet med kravene i lovgivningen nevnt ovenfor, gjelder disse strengere vilkårene.</w:t>
            </w:r>
          </w:p>
          <w:p w14:paraId="71B13264" w14:textId="77777777" w:rsidR="006561BA" w:rsidRDefault="005B4ED6">
            <w:pPr>
              <w:pStyle w:val="AnnexNumberedText"/>
              <w:ind w:left="279" w:hanging="279"/>
            </w:pPr>
            <w:r>
              <w:t>2.</w:t>
            </w:r>
            <w:r>
              <w:tab/>
              <w:t>Beskyttelse av jord og grunnvann</w:t>
            </w:r>
          </w:p>
          <w:p w14:paraId="35E712C0" w14:textId="77777777" w:rsidR="006561BA" w:rsidRDefault="005B4ED6">
            <w:pPr>
              <w:pStyle w:val="AnnexTableCellLeft"/>
              <w:spacing w:after="120"/>
            </w:pPr>
            <w:r>
              <w:t>Det er truffet hensiktsmessige tiltak for å forebygge utslipp til jord, og det foretas regelmessig overvåking for å unngå lekkasjer, utslipp, hendelser eller ulykker som oppstår i forbindelse med bruken av utstyret og under lagring.</w:t>
            </w:r>
          </w:p>
          <w:p w14:paraId="7CC7234B" w14:textId="77777777" w:rsidR="006561BA" w:rsidRDefault="005B4ED6">
            <w:pPr>
              <w:pStyle w:val="AnnexNumberedText"/>
              <w:ind w:left="279" w:hanging="279"/>
            </w:pPr>
            <w:r>
              <w:t>3.</w:t>
            </w:r>
            <w:r>
              <w:tab/>
              <w:t>Vannforbruk</w:t>
            </w:r>
          </w:p>
          <w:p w14:paraId="7EA1E263" w14:textId="77777777" w:rsidR="006561BA" w:rsidRDefault="005B4ED6">
            <w:pPr>
              <w:pStyle w:val="AnnexTableCellLeft"/>
              <w:spacing w:after="120"/>
            </w:pPr>
            <w:r>
              <w:t>Aktivitetsutøvere vurderer de kjemiske produksjonsprosessenes vannavtrykk i henhold til ISO 14046:2014(</w:t>
            </w:r>
            <w:bookmarkStart w:id="279" w:name="NOTE_281"/>
            <w:r>
              <w:rPr>
                <w:rStyle w:val="FootnoteReference"/>
                <w:sz w:val="18"/>
              </w:rPr>
              <w:footnoteReference w:id="282"/>
            </w:r>
            <w:bookmarkEnd w:id="279"/>
            <w:r>
              <w:t>) og sikrer at de ikke bidrar til vannmangel. På grunnlag av denne vurderingen avgir aktivitetsutøverne en erklæring om at de ikke bidrar til vannmangel, hvilket verifiseres av en uavhengig tredjepart.</w:t>
            </w:r>
          </w:p>
          <w:p w14:paraId="2376F0C5" w14:textId="77777777" w:rsidR="006561BA" w:rsidRDefault="005B4ED6">
            <w:pPr>
              <w:pStyle w:val="AnnexNumberedText"/>
              <w:spacing w:after="0"/>
              <w:ind w:left="279" w:hanging="279"/>
            </w:pPr>
            <w:r>
              <w:t>4.</w:t>
            </w:r>
            <w:r>
              <w:tab/>
              <w:t>Aktiviteten oppfyller kriteriene fastsatt i tillegg B til dette vedlegget.</w:t>
            </w:r>
          </w:p>
        </w:tc>
      </w:tr>
      <w:tr w:rsidR="006561BA" w14:paraId="5F3FFA59" w14:textId="77777777">
        <w:tc>
          <w:tcPr>
            <w:tcW w:w="2484" w:type="dxa"/>
            <w:tcMar>
              <w:top w:w="200" w:type="dxa"/>
              <w:left w:w="0" w:type="dxa"/>
              <w:bottom w:w="200" w:type="dxa"/>
            </w:tcMar>
          </w:tcPr>
          <w:p w14:paraId="76D20CA1" w14:textId="77777777" w:rsidR="006561BA" w:rsidRDefault="005B4ED6">
            <w:pPr>
              <w:pStyle w:val="AnnexNumberedText"/>
              <w:spacing w:after="0"/>
              <w:ind w:left="293" w:hanging="293"/>
            </w:pPr>
            <w:r>
              <w:t>4)</w:t>
            </w:r>
            <w:r>
              <w:tab/>
              <w:t>Omstilling til en sirkulær økonomi</w:t>
            </w:r>
          </w:p>
        </w:tc>
        <w:tc>
          <w:tcPr>
            <w:tcW w:w="6744" w:type="dxa"/>
            <w:tcMar>
              <w:top w:w="200" w:type="dxa"/>
              <w:bottom w:w="200" w:type="dxa"/>
              <w:right w:w="0" w:type="dxa"/>
            </w:tcMar>
          </w:tcPr>
          <w:p w14:paraId="733B6FF3" w14:textId="77777777" w:rsidR="006561BA" w:rsidRDefault="005B4ED6">
            <w:pPr>
              <w:pStyle w:val="AnnexTableCellLeft"/>
              <w:spacing w:after="120"/>
            </w:pPr>
            <w:r>
              <w:t>I forbindelse med aktiviteten foretar man en vurdering av tilgjengeligheten av – og, når det er mulig, anvendes det – teknikker som støtter</w:t>
            </w:r>
          </w:p>
          <w:p w14:paraId="4A42BA08" w14:textId="4B582049" w:rsidR="006561BA" w:rsidRDefault="005B4ED6">
            <w:pPr>
              <w:pStyle w:val="AnnexNumberedText"/>
              <w:ind w:left="293" w:hanging="293"/>
            </w:pPr>
            <w:r>
              <w:t>a)</w:t>
            </w:r>
            <w:r>
              <w:tab/>
              <w:t xml:space="preserve">ombruk og bruk av </w:t>
            </w:r>
            <w:r w:rsidR="00D675A1" w:rsidRPr="00D675A1">
              <w:t xml:space="preserve">sekundære råvarer </w:t>
            </w:r>
            <w:r>
              <w:t xml:space="preserve">og </w:t>
            </w:r>
            <w:proofErr w:type="spellStart"/>
            <w:r>
              <w:t>ombrukte</w:t>
            </w:r>
            <w:proofErr w:type="spellEnd"/>
            <w:r>
              <w:t xml:space="preserve"> komponenter i framstilte produkter,</w:t>
            </w:r>
          </w:p>
          <w:p w14:paraId="7CE7AF60" w14:textId="77777777" w:rsidR="006561BA" w:rsidRDefault="005B4ED6">
            <w:pPr>
              <w:pStyle w:val="AnnexNumberedText"/>
              <w:spacing w:after="0"/>
              <w:ind w:left="293" w:hanging="293"/>
            </w:pPr>
            <w:r>
              <w:t>b)</w:t>
            </w:r>
            <w:r>
              <w:tab/>
              <w:t>utforming med tanke på høy holdbarhet, gjenvinnbarhet, lett demontering og tilpasningsevne hos framstilte produkter,</w:t>
            </w:r>
          </w:p>
        </w:tc>
      </w:tr>
      <w:tr w:rsidR="006561BA" w14:paraId="45DE350F" w14:textId="77777777">
        <w:tc>
          <w:tcPr>
            <w:tcW w:w="2484" w:type="dxa"/>
            <w:tcMar>
              <w:top w:w="200" w:type="dxa"/>
              <w:left w:w="0" w:type="dxa"/>
              <w:bottom w:w="200" w:type="dxa"/>
            </w:tcMar>
          </w:tcPr>
          <w:p w14:paraId="34740791" w14:textId="77777777" w:rsidR="006561BA" w:rsidRDefault="006561BA">
            <w:pPr>
              <w:pStyle w:val="AnnexTableCellLeft"/>
              <w:pageBreakBefore/>
            </w:pPr>
          </w:p>
        </w:tc>
        <w:tc>
          <w:tcPr>
            <w:tcW w:w="6744" w:type="dxa"/>
            <w:tcMar>
              <w:top w:w="200" w:type="dxa"/>
              <w:bottom w:w="200" w:type="dxa"/>
              <w:right w:w="0" w:type="dxa"/>
            </w:tcMar>
          </w:tcPr>
          <w:p w14:paraId="62531A58" w14:textId="77777777" w:rsidR="006561BA" w:rsidRDefault="005B4ED6">
            <w:pPr>
              <w:pStyle w:val="AnnexNumberedText"/>
              <w:ind w:left="293" w:hanging="293"/>
            </w:pPr>
            <w:r>
              <w:t>c)</w:t>
            </w:r>
            <w:r>
              <w:tab/>
              <w:t>avfallshåndtering som prioriterer materialgjenvinning framfor sluttbehandling, i produksjonsprosessen,</w:t>
            </w:r>
          </w:p>
          <w:p w14:paraId="2926858D" w14:textId="77777777" w:rsidR="006561BA" w:rsidRDefault="005B4ED6">
            <w:pPr>
              <w:pStyle w:val="AnnexNumberedText"/>
              <w:spacing w:after="0"/>
              <w:ind w:left="293" w:hanging="293"/>
            </w:pPr>
            <w:r>
              <w:t>d)</w:t>
            </w:r>
            <w:r>
              <w:tab/>
              <w:t>opplysninger om produktets bestanddeler i forsyningskjeden.</w:t>
            </w:r>
          </w:p>
        </w:tc>
      </w:tr>
      <w:tr w:rsidR="006561BA" w14:paraId="5B9D09D0" w14:textId="77777777">
        <w:tc>
          <w:tcPr>
            <w:tcW w:w="2484" w:type="dxa"/>
            <w:tcMar>
              <w:top w:w="200" w:type="dxa"/>
              <w:left w:w="0" w:type="dxa"/>
              <w:bottom w:w="200" w:type="dxa"/>
            </w:tcMar>
          </w:tcPr>
          <w:p w14:paraId="78A65B2F" w14:textId="77777777" w:rsidR="006561BA" w:rsidRDefault="005B4ED6">
            <w:pPr>
              <w:pStyle w:val="AnnexNumberedText"/>
              <w:spacing w:after="0"/>
              <w:ind w:left="293" w:hanging="293"/>
            </w:pPr>
            <w:r>
              <w:t>6)</w:t>
            </w:r>
            <w:r>
              <w:tab/>
              <w:t>Beskyttelse og restaurering av biologisk mangfold og økosystemer</w:t>
            </w:r>
          </w:p>
        </w:tc>
        <w:tc>
          <w:tcPr>
            <w:tcW w:w="6744" w:type="dxa"/>
            <w:tcMar>
              <w:top w:w="200" w:type="dxa"/>
              <w:bottom w:w="200" w:type="dxa"/>
              <w:right w:w="0" w:type="dxa"/>
            </w:tcMar>
          </w:tcPr>
          <w:p w14:paraId="21051901" w14:textId="77777777" w:rsidR="006561BA" w:rsidRDefault="005B4ED6">
            <w:pPr>
              <w:pStyle w:val="AnnexTableCellLeft"/>
            </w:pPr>
            <w:r>
              <w:t>Aktiviteten oppfyller kriteriene fastsatt i tillegg D til dette vedlegget.</w:t>
            </w:r>
          </w:p>
        </w:tc>
      </w:tr>
    </w:tbl>
    <w:p w14:paraId="328E5139" w14:textId="77777777" w:rsidR="006561BA" w:rsidRDefault="005B4ED6">
      <w:pPr>
        <w:pStyle w:val="AnnexNumberedText"/>
        <w:spacing w:before="600" w:after="600"/>
        <w:ind w:left="414" w:hanging="414"/>
      </w:pPr>
      <w:r>
        <w:t>1.2.</w:t>
      </w:r>
      <w:r>
        <w:rPr>
          <w:b/>
        </w:rPr>
        <w:tab/>
        <w:t>Produksjon av legemidler</w:t>
      </w:r>
    </w:p>
    <w:p w14:paraId="18CEB753" w14:textId="77777777" w:rsidR="006561BA" w:rsidRDefault="005B4ED6">
      <w:pPr>
        <w:pStyle w:val="AnnexGrSeq3"/>
        <w:jc w:val="both"/>
      </w:pPr>
      <w:r>
        <w:rPr>
          <w:i/>
        </w:rPr>
        <w:t>Beskrivelse av aktiviteten</w:t>
      </w:r>
    </w:p>
    <w:p w14:paraId="4D5BA6CB" w14:textId="77777777" w:rsidR="006561BA" w:rsidRDefault="005B4ED6">
      <w:pPr>
        <w:pStyle w:val="AnnexNormal"/>
      </w:pPr>
      <w:r>
        <w:t>Produksjon av legemidler.</w:t>
      </w:r>
    </w:p>
    <w:p w14:paraId="501AAA10" w14:textId="77777777" w:rsidR="006561BA" w:rsidRDefault="005B4ED6">
      <w:pPr>
        <w:pStyle w:val="AnnexNormal"/>
        <w:spacing w:after="600"/>
      </w:pPr>
      <w:r>
        <w:t>De økonomiske aktivitetene i denne kategorien kan knyttes til NACE-kode C21.2 i samsvar med standarden for næringsgruppering fastsatt ved forordning (EF) nr. 1893/2006.</w:t>
      </w:r>
    </w:p>
    <w:p w14:paraId="29FB0C5E" w14:textId="77777777" w:rsidR="006561BA" w:rsidRDefault="005B4ED6">
      <w:pPr>
        <w:pStyle w:val="AnnexGrSeq3"/>
        <w:jc w:val="both"/>
      </w:pPr>
      <w:r>
        <w:rPr>
          <w:i/>
        </w:rPr>
        <w:t>Tekniske screeningkriterier</w:t>
      </w:r>
    </w:p>
    <w:tbl>
      <w:tblPr>
        <w:tblStyle w:val="EFTATable"/>
        <w:tblW w:w="9228" w:type="dxa"/>
        <w:tblInd w:w="12" w:type="dxa"/>
        <w:tblLayout w:type="fixed"/>
        <w:tblLook w:val="04A0" w:firstRow="1" w:lastRow="0" w:firstColumn="1" w:lastColumn="0" w:noHBand="0" w:noVBand="1"/>
      </w:tblPr>
      <w:tblGrid>
        <w:gridCol w:w="2472"/>
        <w:gridCol w:w="6756"/>
      </w:tblGrid>
      <w:tr w:rsidR="006561BA" w14:paraId="340F4A5C" w14:textId="77777777">
        <w:trPr>
          <w:trHeight w:val="240"/>
        </w:trPr>
        <w:tc>
          <w:tcPr>
            <w:tcW w:w="9228" w:type="dxa"/>
            <w:gridSpan w:val="2"/>
            <w:tcMar>
              <w:top w:w="200" w:type="dxa"/>
              <w:left w:w="0" w:type="dxa"/>
              <w:bottom w:w="200" w:type="dxa"/>
              <w:right w:w="0" w:type="dxa"/>
            </w:tcMar>
          </w:tcPr>
          <w:p w14:paraId="1F1642D9" w14:textId="77777777" w:rsidR="006561BA" w:rsidRDefault="005B4ED6">
            <w:pPr>
              <w:pStyle w:val="AnnexTableCellLeft"/>
            </w:pPr>
            <w:r>
              <w:t>Vesentlig bidrag til forebygging og begrensning av forurensning</w:t>
            </w:r>
          </w:p>
        </w:tc>
      </w:tr>
      <w:tr w:rsidR="006561BA" w14:paraId="3CDD8334" w14:textId="77777777">
        <w:trPr>
          <w:trHeight w:val="360"/>
        </w:trPr>
        <w:tc>
          <w:tcPr>
            <w:tcW w:w="9228" w:type="dxa"/>
            <w:gridSpan w:val="2"/>
            <w:tcMar>
              <w:top w:w="200" w:type="dxa"/>
              <w:left w:w="0" w:type="dxa"/>
              <w:bottom w:w="200" w:type="dxa"/>
              <w:right w:w="0" w:type="dxa"/>
            </w:tcMar>
          </w:tcPr>
          <w:p w14:paraId="49A488DB" w14:textId="77777777" w:rsidR="006561BA" w:rsidRDefault="005B4ED6">
            <w:pPr>
              <w:pStyle w:val="AnnexNumberedText"/>
              <w:tabs>
                <w:tab w:val="left" w:pos="252"/>
              </w:tabs>
              <w:spacing w:after="200"/>
              <w:ind w:left="0" w:firstLine="0"/>
            </w:pPr>
            <w:r>
              <w:t>1.</w:t>
            </w:r>
            <w:r>
              <w:tab/>
              <w:t>Aktiviteten oppfyller et av følgende sett med krav fastsatt i nr. 1.1 eller 1.2 i forbindelse med erstatning av produkter. Under alle omstendigheter oppfyller aktiviteten kravene fastsatt i nr. 1.3.</w:t>
            </w:r>
          </w:p>
          <w:p w14:paraId="482326CE" w14:textId="77777777" w:rsidR="006561BA" w:rsidRDefault="005B4ED6">
            <w:pPr>
              <w:pStyle w:val="AnnexNumberedText"/>
              <w:tabs>
                <w:tab w:val="left" w:pos="381"/>
              </w:tabs>
              <w:spacing w:after="200"/>
              <w:ind w:left="0" w:firstLine="0"/>
            </w:pPr>
            <w:r>
              <w:t>1.1.</w:t>
            </w:r>
            <w:r>
              <w:tab/>
              <w:t>Legemiddelet oppfyller følgende krav som er fastsatt i nr. 1.1.1 og 1.1.2:</w:t>
            </w:r>
          </w:p>
          <w:p w14:paraId="0794803C" w14:textId="77777777" w:rsidR="006561BA" w:rsidRDefault="005B4ED6">
            <w:pPr>
              <w:pStyle w:val="AnnexNumberedText"/>
              <w:tabs>
                <w:tab w:val="left" w:pos="540"/>
              </w:tabs>
              <w:spacing w:after="200"/>
              <w:ind w:left="0" w:firstLine="0"/>
            </w:pPr>
            <w:r>
              <w:t>1.1.1.</w:t>
            </w:r>
            <w:r>
              <w:tab/>
              <w:t>Legemiddelet oppfyller et av følgende krav:</w:t>
            </w:r>
          </w:p>
          <w:p w14:paraId="670837A4" w14:textId="77777777" w:rsidR="006561BA" w:rsidRDefault="005B4ED6">
            <w:pPr>
              <w:pStyle w:val="AnnexNumberedText"/>
              <w:spacing w:after="200"/>
              <w:ind w:left="293" w:hanging="293"/>
            </w:pPr>
            <w:r>
              <w:t>a)</w:t>
            </w:r>
            <w:r>
              <w:tab/>
              <w:t>De bestanddelene som utgjør sammensetningen av legemiddelet, er naturlig forekommende stoffer som for eksempel vitaminer, elektrolytter, aminosyrer, peptider, proteiner, nukleotider, karbohydrater og lipider, og i henhold til Det europeiske legemiddelbyrås retningslinjer om miljørisikovurdering av legemidler for mennesker(</w:t>
            </w:r>
            <w:bookmarkStart w:id="280" w:name="NOTE_282"/>
            <w:r>
              <w:rPr>
                <w:rStyle w:val="FootnoteReference"/>
                <w:sz w:val="18"/>
              </w:rPr>
              <w:footnoteReference w:id="283"/>
            </w:r>
            <w:bookmarkEnd w:id="280"/>
            <w:r>
              <w:t>), anses de generelt for å være nedbrytbare i miljøet(</w:t>
            </w:r>
            <w:bookmarkStart w:id="281" w:name="NOTE_283"/>
            <w:r>
              <w:rPr>
                <w:rStyle w:val="FootnoteReference"/>
                <w:sz w:val="18"/>
              </w:rPr>
              <w:footnoteReference w:id="284"/>
            </w:r>
            <w:bookmarkEnd w:id="281"/>
            <w:r>
              <w:t>).</w:t>
            </w:r>
          </w:p>
          <w:p w14:paraId="414B711C" w14:textId="77777777" w:rsidR="006561BA" w:rsidRDefault="005B4ED6">
            <w:pPr>
              <w:pStyle w:val="AnnexNumberedText"/>
              <w:spacing w:after="200"/>
              <w:ind w:left="293" w:hanging="293"/>
            </w:pPr>
            <w:r>
              <w:t>b)</w:t>
            </w:r>
            <w:r>
              <w:tab/>
              <w:t>Dersom bestanddelene som utgjør sammensetningen av legemiddelet, ikke oppfyller kravene angitt i bokstav a), oppfyller disse bestanddelene, deres viktigste humane metabolitter og deres viktigste omdanningsprodukter i miljøet et av følgende:</w:t>
            </w:r>
          </w:p>
          <w:p w14:paraId="063F138C" w14:textId="77777777" w:rsidR="006561BA" w:rsidRDefault="005B4ED6">
            <w:pPr>
              <w:pStyle w:val="AnnexNumberedText"/>
              <w:spacing w:after="0"/>
              <w:ind w:left="546" w:hanging="253"/>
            </w:pPr>
            <w:r>
              <w:t>i)</w:t>
            </w:r>
            <w:r>
              <w:tab/>
              <w:t xml:space="preserve">De er klassifisert som lett biologisk nedbrytbare på grunnlag av minst én av testmetodene i OECDs retningslinjer for testing av kjemikalier, test 301 (A–F), lett biologisk </w:t>
            </w:r>
            <w:proofErr w:type="spellStart"/>
            <w:r>
              <w:t>nedbrytbarhet</w:t>
            </w:r>
            <w:proofErr w:type="spellEnd"/>
            <w:r>
              <w:t>(</w:t>
            </w:r>
            <w:bookmarkStart w:id="282" w:name="NOTE_284"/>
            <w:r>
              <w:rPr>
                <w:rStyle w:val="FootnoteReference"/>
                <w:sz w:val="18"/>
              </w:rPr>
              <w:footnoteReference w:id="285"/>
            </w:r>
            <w:bookmarkEnd w:id="282"/>
            <w:r>
              <w:t xml:space="preserve">), i samsvar med den godkjente verdien for lett biologisk </w:t>
            </w:r>
            <w:proofErr w:type="spellStart"/>
            <w:r>
              <w:t>nedbrytbarhet</w:t>
            </w:r>
            <w:proofErr w:type="spellEnd"/>
            <w:r>
              <w:t xml:space="preserve"> som definert i de nevnte retningslinjene.</w:t>
            </w:r>
          </w:p>
        </w:tc>
      </w:tr>
      <w:tr w:rsidR="006561BA" w14:paraId="6C5918F0" w14:textId="77777777">
        <w:trPr>
          <w:trHeight w:val="360"/>
        </w:trPr>
        <w:tc>
          <w:tcPr>
            <w:tcW w:w="9228" w:type="dxa"/>
            <w:gridSpan w:val="2"/>
            <w:tcMar>
              <w:top w:w="200" w:type="dxa"/>
              <w:left w:w="0" w:type="dxa"/>
              <w:bottom w:w="200" w:type="dxa"/>
              <w:right w:w="0" w:type="dxa"/>
            </w:tcMar>
          </w:tcPr>
          <w:p w14:paraId="18FF3537" w14:textId="77777777" w:rsidR="006561BA" w:rsidRDefault="005B4ED6">
            <w:pPr>
              <w:pStyle w:val="AnnexNumberedText"/>
              <w:pageBreakBefore/>
              <w:ind w:left="546" w:hanging="253"/>
            </w:pPr>
            <w:r>
              <w:lastRenderedPageBreak/>
              <w:t>ii)</w:t>
            </w:r>
            <w:r>
              <w:tab/>
              <w:t xml:space="preserve">Det kan konstateres at de er mineralisert på grunnlag av en spesifikk test nr. 308: Aerob og anaerob omdanning i akvatiske </w:t>
            </w:r>
            <w:proofErr w:type="spellStart"/>
            <w:r>
              <w:t>sedimentsystemer</w:t>
            </w:r>
            <w:proofErr w:type="spellEnd"/>
            <w:r>
              <w:t xml:space="preserve"> (OECD 308)(</w:t>
            </w:r>
            <w:bookmarkStart w:id="283" w:name="NOTE_285"/>
            <w:r w:rsidRPr="00E1397D">
              <w:rPr>
                <w:vertAlign w:val="superscript"/>
              </w:rPr>
              <w:footnoteReference w:id="286"/>
            </w:r>
            <w:bookmarkEnd w:id="283"/>
            <w:r>
              <w:t>) i OECDs retningslinjer for testing av kjemikalier(</w:t>
            </w:r>
            <w:bookmarkStart w:id="284" w:name="NOTE_286"/>
            <w:r w:rsidRPr="00E1397D">
              <w:rPr>
                <w:vertAlign w:val="superscript"/>
              </w:rPr>
              <w:footnoteReference w:id="287"/>
            </w:r>
            <w:bookmarkEnd w:id="284"/>
            <w:r>
              <w:t>) sammenlignet med persistenskriterier som definert i Det europeiske legemiddelbyrås retningslinjer om miljørisikovurdering av legemidler for mennesker.</w:t>
            </w:r>
          </w:p>
          <w:p w14:paraId="11A931DC" w14:textId="77777777" w:rsidR="006561BA" w:rsidRDefault="005B4ED6">
            <w:pPr>
              <w:pStyle w:val="AnnexNumberedText"/>
              <w:pageBreakBefore/>
              <w:tabs>
                <w:tab w:val="left" w:pos="540"/>
              </w:tabs>
              <w:ind w:left="0" w:firstLine="0"/>
            </w:pPr>
            <w:r>
              <w:t>1.1.2.</w:t>
            </w:r>
            <w:r>
              <w:tab/>
              <w:t>Legemiddelet kan betraktes som en passende erstatning for et annet legemiddel innenfor samme terapeutiske område eller stoffgruppe, som er tilgjengelig på markedet eller var tilgjengelig i løpet av de siste 5 årene, og som ikke oppfyller kravene i nr. 1.1.</w:t>
            </w:r>
          </w:p>
          <w:p w14:paraId="22EA8536" w14:textId="77777777" w:rsidR="006561BA" w:rsidRDefault="005B4ED6">
            <w:pPr>
              <w:pStyle w:val="AnnexTableCellLeft"/>
              <w:pageBreakBefore/>
              <w:tabs>
                <w:tab w:val="left" w:pos="252"/>
              </w:tabs>
              <w:spacing w:after="120"/>
            </w:pPr>
            <w:r>
              <w:t>Overholdelse av dette kravet vises gjennom en offentlig tilgjengelig analyse som er verifisert av en uavhengig tredjepart.</w:t>
            </w:r>
          </w:p>
          <w:p w14:paraId="1A053C9D" w14:textId="77777777" w:rsidR="006561BA" w:rsidRDefault="005B4ED6">
            <w:pPr>
              <w:pStyle w:val="AnnexNumberedText"/>
              <w:pageBreakBefore/>
              <w:tabs>
                <w:tab w:val="left" w:pos="381"/>
              </w:tabs>
              <w:ind w:left="0" w:firstLine="0"/>
            </w:pPr>
            <w:r>
              <w:t>1.2.</w:t>
            </w:r>
            <w:r>
              <w:tab/>
              <w:t>Produsenten godtgjør at det ikke finnes noen bestanddeler for å produsere et alternativt legemiddel som kan betraktes som en passende erstatning innenfor samme terapeutiske område eller stoffgruppe, og som oppfyller kravene i nr. 1.1.1. Aktiviteten oppfyller alle kravene i nr. 1.2.1–1.2.6.</w:t>
            </w:r>
          </w:p>
          <w:p w14:paraId="55F31E43" w14:textId="5FEA8912" w:rsidR="006561BA" w:rsidRDefault="005B4ED6">
            <w:pPr>
              <w:pStyle w:val="AnnexNumberedText"/>
              <w:pageBreakBefore/>
              <w:tabs>
                <w:tab w:val="left" w:pos="540"/>
              </w:tabs>
              <w:ind w:left="0" w:firstLine="0"/>
            </w:pPr>
            <w:r>
              <w:t>1.2.1.</w:t>
            </w:r>
            <w:r>
              <w:tab/>
              <w:t>Produsenten foretar en analyse som viser at det ikke finnes noen egnet erstatning for det produserte legemid</w:t>
            </w:r>
            <w:r w:rsidR="00716B58">
              <w:t>de</w:t>
            </w:r>
            <w:r>
              <w:t>let, offentliggjør de viktigste resultatene av denne analysen og viser at de har tatt initiativ til å utvikle dette alternativet.</w:t>
            </w:r>
          </w:p>
          <w:p w14:paraId="6ADCD843" w14:textId="77777777" w:rsidR="006561BA" w:rsidRDefault="005B4ED6">
            <w:pPr>
              <w:pStyle w:val="AnnexNumberedText"/>
              <w:pageBreakBefore/>
              <w:tabs>
                <w:tab w:val="left" w:pos="540"/>
              </w:tabs>
              <w:ind w:left="0" w:firstLine="0"/>
            </w:pPr>
            <w:r>
              <w:t>1.2.2.</w:t>
            </w:r>
            <w:r>
              <w:tab/>
              <w:t>I tråd med Det europeiske legemiddelbyrås retningslinjer om miljørisikovurdering av legemidler for mennesker ligger forholdet mellom den beregnede miljøkonsentrasjonen (PEC) og den beregnede konsentrasjonen uten virkning (PNEC) for legemiddelet, som er oppnådd i miljørisikovurderingen, under 1.</w:t>
            </w:r>
          </w:p>
          <w:p w14:paraId="35618012" w14:textId="77777777" w:rsidR="006561BA" w:rsidRDefault="005B4ED6">
            <w:pPr>
              <w:pStyle w:val="AnnexNumberedText"/>
              <w:pageBreakBefore/>
              <w:tabs>
                <w:tab w:val="left" w:pos="540"/>
              </w:tabs>
              <w:ind w:left="0" w:firstLine="0"/>
            </w:pPr>
            <w:r>
              <w:t>1.2.3.</w:t>
            </w:r>
            <w:r>
              <w:tab/>
              <w:t>Emballerings- og distribusjonssystemer gjør det mulig å tilpasse den solgte mengden til den mengden som kreves til behandlingen(e), idet det tas hensyn til gjeldende nasjonal lovgivning.</w:t>
            </w:r>
          </w:p>
          <w:p w14:paraId="787B0495" w14:textId="77777777" w:rsidR="006561BA" w:rsidRDefault="005B4ED6">
            <w:pPr>
              <w:pStyle w:val="AnnexNumberedText"/>
              <w:pageBreakBefore/>
              <w:tabs>
                <w:tab w:val="left" w:pos="540"/>
              </w:tabs>
              <w:ind w:left="0" w:firstLine="0"/>
            </w:pPr>
            <w:r>
              <w:t>1.2.4.</w:t>
            </w:r>
            <w:r>
              <w:tab/>
              <w:t>Det stilles offentlige opplysninger til rådighet, som for eksempel brosjyrer eller nettsteder, som er oppdatert i henhold til det nåværende utviklingstrinnet i teknikken, om dose og doseringsmetode for å minimere overskuddet av den doserte aktive legemiddelbestanddelen.</w:t>
            </w:r>
          </w:p>
          <w:p w14:paraId="226BC45D" w14:textId="4A812C37" w:rsidR="006561BA" w:rsidRDefault="005B4ED6">
            <w:pPr>
              <w:pStyle w:val="AnnexNumberedText"/>
              <w:pageBreakBefore/>
              <w:tabs>
                <w:tab w:val="left" w:pos="540"/>
              </w:tabs>
              <w:ind w:left="0" w:firstLine="0"/>
            </w:pPr>
            <w:r>
              <w:t>1.2.5.</w:t>
            </w:r>
            <w:r>
              <w:tab/>
              <w:t>Emballerings- og distribusjonssystemer gjør det mulig å bruke det mest effektive doseringssystemet som er tilgjengelig i henhold til det nåværende utviklingstrinnet i teknikken, og med tanke på type administrasjon, for eksempel av helsepersonell eller husholdninger. Produsenten offentliggjør de viktigste resultatene av denne analysen.</w:t>
            </w:r>
          </w:p>
          <w:p w14:paraId="1B58DD8F" w14:textId="77777777" w:rsidR="006561BA" w:rsidRDefault="005B4ED6">
            <w:pPr>
              <w:pStyle w:val="AnnexNumberedText"/>
              <w:pageBreakBefore/>
              <w:tabs>
                <w:tab w:val="left" w:pos="540"/>
              </w:tabs>
              <w:ind w:left="0" w:firstLine="0"/>
            </w:pPr>
            <w:r>
              <w:t>1.2.6.</w:t>
            </w:r>
            <w:r>
              <w:tab/>
              <w:t>Produsenten bidrar til å redusere miljøvirkningene av feilaktig sluttbehandling av ubrukte legemidler, blant annet ved å gi brukerne i de etterfølgende leddene relevante opplysninger om hensiktsmessig sluttbehandling av ubrukte legemidler.</w:t>
            </w:r>
          </w:p>
          <w:p w14:paraId="3B386C26" w14:textId="77777777" w:rsidR="006561BA" w:rsidRDefault="005B4ED6">
            <w:pPr>
              <w:pStyle w:val="AnnexNumberedText"/>
              <w:pageBreakBefore/>
              <w:tabs>
                <w:tab w:val="left" w:pos="381"/>
              </w:tabs>
              <w:ind w:left="0" w:firstLine="0"/>
            </w:pPr>
            <w:r>
              <w:t>1.3.</w:t>
            </w:r>
            <w:r>
              <w:tab/>
              <w:t>Produksjonsprosessen omfatter ikke bruk av stoffer, alene eller i stoffblandinger, som oppfyller kriteriene fastsatt i artikkel 57 i forordning (EF) nr. 1907/2006, med mindre det er vurdert og dokumentert av aktivitetsutøveren at det ikke finnes andre egnede alternative stoffer eller teknikker på markedet, og at de brukes under kontrollerte forhold(</w:t>
            </w:r>
            <w:bookmarkStart w:id="285" w:name="NOTE_287"/>
            <w:r>
              <w:footnoteReference w:id="288"/>
            </w:r>
            <w:bookmarkEnd w:id="285"/>
            <w:r>
              <w:t>).</w:t>
            </w:r>
          </w:p>
          <w:p w14:paraId="7E99C64B" w14:textId="77777777" w:rsidR="006561BA" w:rsidRDefault="005B4ED6">
            <w:pPr>
              <w:pStyle w:val="AnnexNumberedText"/>
              <w:pageBreakBefore/>
              <w:tabs>
                <w:tab w:val="left" w:pos="252"/>
              </w:tabs>
              <w:spacing w:after="0"/>
              <w:ind w:left="0" w:firstLine="0"/>
            </w:pPr>
            <w:r>
              <w:t>2.</w:t>
            </w:r>
            <w:r>
              <w:tab/>
              <w:t>Aktiviteten oppfyller følgende krav til utslipp av forurensende stoffer:</w:t>
            </w:r>
          </w:p>
        </w:tc>
      </w:tr>
      <w:tr w:rsidR="006561BA" w14:paraId="727AF605" w14:textId="77777777">
        <w:trPr>
          <w:trHeight w:val="240"/>
        </w:trPr>
        <w:tc>
          <w:tcPr>
            <w:tcW w:w="9228" w:type="dxa"/>
            <w:gridSpan w:val="2"/>
            <w:tcMar>
              <w:top w:w="200" w:type="dxa"/>
              <w:left w:w="0" w:type="dxa"/>
              <w:bottom w:w="200" w:type="dxa"/>
              <w:right w:w="0" w:type="dxa"/>
            </w:tcMar>
          </w:tcPr>
          <w:p w14:paraId="311EAC65" w14:textId="15BB421C" w:rsidR="006561BA" w:rsidRDefault="005B4ED6">
            <w:pPr>
              <w:pStyle w:val="AnnexNumberedText"/>
              <w:pageBreakBefore/>
              <w:tabs>
                <w:tab w:val="left" w:pos="381"/>
              </w:tabs>
              <w:ind w:left="0" w:firstLine="0"/>
            </w:pPr>
            <w:r>
              <w:lastRenderedPageBreak/>
              <w:t>2.1.</w:t>
            </w:r>
            <w:r>
              <w:tab/>
              <w:t>Dersom aktiviteten er omfattet av dens virkeområde, skal utslippsgrenseverdiene være lavere enn midtpunktet for de utslippsnivåene som er forbundet med de beste tilgjengelige teknikke</w:t>
            </w:r>
            <w:r w:rsidR="004D30CD">
              <w:t>ne</w:t>
            </w:r>
            <w:r>
              <w:t xml:space="preserve"> (BAT-AEL)(</w:t>
            </w:r>
            <w:bookmarkStart w:id="286" w:name="NOTE_288"/>
            <w:r>
              <w:rPr>
                <w:rStyle w:val="FootnoteReference"/>
                <w:sz w:val="18"/>
              </w:rPr>
              <w:footnoteReference w:id="289"/>
            </w:r>
            <w:bookmarkEnd w:id="286"/>
            <w:r>
              <w:t>), og som er fastsatt i:</w:t>
            </w:r>
          </w:p>
          <w:p w14:paraId="00C86641" w14:textId="77777777" w:rsidR="006561BA" w:rsidRDefault="005B4ED6">
            <w:pPr>
              <w:pStyle w:val="AnnexNumberedText"/>
              <w:pageBreakBefore/>
              <w:ind w:left="293" w:hanging="293"/>
            </w:pPr>
            <w:r>
              <w:t>a)</w:t>
            </w:r>
            <w:r>
              <w:tab/>
              <w:t>Konklusjoner om beste tilgjengelige teknikker (BAT-konklusjoner) for felles systemer for håndtering og rensing av avgasser i kjemisk sektor(</w:t>
            </w:r>
            <w:bookmarkStart w:id="287" w:name="NOTE_289"/>
            <w:r>
              <w:rPr>
                <w:rStyle w:val="FootnoteReference"/>
                <w:sz w:val="18"/>
              </w:rPr>
              <w:footnoteReference w:id="290"/>
            </w:r>
            <w:bookmarkEnd w:id="287"/>
            <w:r>
              <w:t>) for utslipp til luft fra nye anlegg (eller for eksisterende anlegg innen fire år etter offentliggjøring av BAT-konklusjonene) dersom relevante vilkår får anvendelse.</w:t>
            </w:r>
          </w:p>
          <w:p w14:paraId="23076AA3" w14:textId="77777777" w:rsidR="006561BA" w:rsidRDefault="005B4ED6">
            <w:pPr>
              <w:pStyle w:val="AnnexNumberedText"/>
              <w:pageBreakBefore/>
              <w:ind w:left="293" w:hanging="293"/>
            </w:pPr>
            <w:r>
              <w:t>b)</w:t>
            </w:r>
            <w:r>
              <w:tab/>
              <w:t>Referansedokumentet om beste tilgjengelige teknikker (BREF) for produksjon av organiske finkjemikalier (OFC)(</w:t>
            </w:r>
            <w:bookmarkStart w:id="288" w:name="NOTE_290"/>
            <w:r>
              <w:rPr>
                <w:rStyle w:val="FootnoteReference"/>
                <w:sz w:val="18"/>
              </w:rPr>
              <w:footnoteReference w:id="291"/>
            </w:r>
            <w:bookmarkEnd w:id="288"/>
            <w:r>
              <w:t>) for produksjonsaktiviteten på vilkår som ikke er omfattet av ovennevnte BAT-konklusjoner.</w:t>
            </w:r>
          </w:p>
          <w:p w14:paraId="6E92AA55" w14:textId="77777777" w:rsidR="006561BA" w:rsidRDefault="005B4ED6">
            <w:pPr>
              <w:pStyle w:val="AnnexNumberedText"/>
              <w:pageBreakBefore/>
              <w:ind w:left="293" w:hanging="293"/>
            </w:pPr>
            <w:r>
              <w:t>c)</w:t>
            </w:r>
            <w:r>
              <w:tab/>
              <w:t>Konklusjonene om beste tilgjengelige teknikker (BAT) for rensing/håndtering av spillvann og avgasser i kjemisk sektor(</w:t>
            </w:r>
            <w:bookmarkStart w:id="289" w:name="NOTE_291"/>
            <w:r>
              <w:rPr>
                <w:rStyle w:val="FootnoteReference"/>
                <w:sz w:val="18"/>
              </w:rPr>
              <w:footnoteReference w:id="292"/>
            </w:r>
            <w:bookmarkEnd w:id="289"/>
            <w:r>
              <w:t>).</w:t>
            </w:r>
          </w:p>
          <w:p w14:paraId="0B9D7049" w14:textId="77777777" w:rsidR="006561BA" w:rsidRDefault="005B4ED6">
            <w:pPr>
              <w:pStyle w:val="AnnexNumberedText"/>
              <w:pageBreakBefore/>
              <w:ind w:left="293" w:hanging="293"/>
            </w:pPr>
            <w:r>
              <w:t>d)</w:t>
            </w:r>
            <w:r>
              <w:tab/>
              <w:t>Referansedokumentet om beste tilgjengelige teknikker (BREF) for uorganiske kjemikalier i storskalaproduksjon – faste stoffer og andre(</w:t>
            </w:r>
            <w:bookmarkStart w:id="290" w:name="NOTE_292"/>
            <w:r>
              <w:rPr>
                <w:rStyle w:val="FootnoteReference"/>
                <w:sz w:val="18"/>
              </w:rPr>
              <w:footnoteReference w:id="293"/>
            </w:r>
            <w:bookmarkEnd w:id="290"/>
            <w:r>
              <w:t>).</w:t>
            </w:r>
          </w:p>
          <w:p w14:paraId="31E963E2" w14:textId="77777777" w:rsidR="006561BA" w:rsidRDefault="005B4ED6">
            <w:pPr>
              <w:pStyle w:val="AnnexNumberedText"/>
              <w:pageBreakBefore/>
              <w:ind w:left="293" w:hanging="293"/>
            </w:pPr>
            <w:r>
              <w:t>e)</w:t>
            </w:r>
            <w:r>
              <w:tab/>
              <w:t>Referansedokumentet om beste tilgjengelige teknikker (BREF) for uorganiske kjemikalier i storskalaproduksjon – ammoniakk, syre og gjødsel(</w:t>
            </w:r>
            <w:bookmarkStart w:id="291" w:name="NOTE_293"/>
            <w:r>
              <w:rPr>
                <w:rStyle w:val="FootnoteReference"/>
                <w:sz w:val="18"/>
              </w:rPr>
              <w:footnoteReference w:id="294"/>
            </w:r>
            <w:bookmarkEnd w:id="291"/>
            <w:r>
              <w:t>).</w:t>
            </w:r>
          </w:p>
          <w:p w14:paraId="61A993E4" w14:textId="77777777" w:rsidR="006561BA" w:rsidRDefault="005B4ED6">
            <w:pPr>
              <w:pStyle w:val="AnnexNumberedText"/>
              <w:pageBreakBefore/>
              <w:ind w:left="293" w:hanging="293"/>
            </w:pPr>
            <w:r>
              <w:t>f)</w:t>
            </w:r>
            <w:r>
              <w:tab/>
              <w:t>Referansedokumentet om beste tilgjengelige teknikker (BREF) for produksjon av uorganiske spesialkjemikalier (SIC) for produksjonsaktiviteten på vilkår som ikke er omfattet av ovennevnte BAT-konklusjoner(</w:t>
            </w:r>
            <w:bookmarkStart w:id="292" w:name="NOTE_294"/>
            <w:r>
              <w:rPr>
                <w:rStyle w:val="FootnoteReference"/>
                <w:sz w:val="18"/>
              </w:rPr>
              <w:footnoteReference w:id="295"/>
            </w:r>
            <w:bookmarkEnd w:id="292"/>
            <w:r>
              <w:t>).</w:t>
            </w:r>
          </w:p>
          <w:p w14:paraId="419B73E9" w14:textId="77777777" w:rsidR="006561BA" w:rsidRDefault="005B4ED6">
            <w:pPr>
              <w:pStyle w:val="AnnexTableCellLeft"/>
              <w:pageBreakBefore/>
              <w:spacing w:after="120"/>
            </w:pPr>
            <w:r>
              <w:t xml:space="preserve">Anlegg som ligger innenfor de intervallene for utslippsnivåer som er forbundet med beste tilgjengelige teknikker (BAT-AEL), og som beveger seg mot </w:t>
            </w:r>
            <w:proofErr w:type="spellStart"/>
            <w:r>
              <w:t>midtpunktsambisjonen</w:t>
            </w:r>
            <w:proofErr w:type="spellEnd"/>
            <w:r>
              <w:t>, utløser ikke noen betydelige tverrgående miljøvirkninger.</w:t>
            </w:r>
          </w:p>
          <w:p w14:paraId="03BA8292" w14:textId="77777777" w:rsidR="006561BA" w:rsidRDefault="005B4ED6">
            <w:pPr>
              <w:pStyle w:val="AnnexTableCellLeft"/>
              <w:pageBreakBefore/>
              <w:spacing w:after="120"/>
            </w:pPr>
            <w:r>
              <w:t>Anlegg som har fått unntak i samsvar med framgangsmåten fastsatt i artikkel 15 nr. 4 i direktiv 2010/75/EU, anses ikke å oppfylle de tekniske screeningkriteriene for unntaksperioden.</w:t>
            </w:r>
          </w:p>
          <w:p w14:paraId="252FD51C" w14:textId="77777777" w:rsidR="006561BA" w:rsidRDefault="005B4ED6">
            <w:pPr>
              <w:pStyle w:val="AnnexNumberedText"/>
              <w:pageBreakBefore/>
              <w:tabs>
                <w:tab w:val="left" w:pos="381"/>
              </w:tabs>
              <w:ind w:left="0" w:firstLine="0"/>
            </w:pPr>
            <w:r>
              <w:t>2.2.</w:t>
            </w:r>
            <w:r>
              <w:tab/>
              <w:t>Dersom det finnes en metode for kontinuerlig måling av et bestemt forurensende stoff, bruker aktivitetsutøveren systemer for kontinuerlig overvåking av utslipp (CEMS), systemer for kontinuerlig kvalitetsovervåking av utslipp (CEQMS) og andre tiltak som sikrer regelmessig kontroll av at miljøet ikke forringes.</w:t>
            </w:r>
          </w:p>
          <w:p w14:paraId="370F643F" w14:textId="77777777" w:rsidR="006561BA" w:rsidRDefault="005B4ED6">
            <w:pPr>
              <w:pStyle w:val="AnnexNumberedText"/>
              <w:pageBreakBefore/>
              <w:tabs>
                <w:tab w:val="left" w:pos="381"/>
              </w:tabs>
              <w:ind w:left="0" w:firstLine="0"/>
            </w:pPr>
            <w:r>
              <w:t>2.3.</w:t>
            </w:r>
            <w:r>
              <w:tab/>
              <w:t>Aktivitetsutøveren anvender separering av løsemiddelavfall for gjenvinning av løsemidler fra konsentrerte avfallsstrømmer, dersom det er teknisk mulig.</w:t>
            </w:r>
          </w:p>
          <w:p w14:paraId="64858CE4" w14:textId="77777777" w:rsidR="006561BA" w:rsidRDefault="005B4ED6">
            <w:pPr>
              <w:pStyle w:val="AnnexTableCellLeft"/>
              <w:pageBreakBefore/>
            </w:pPr>
            <w:r>
              <w:t>Løsemidler som er oppført i tabell 1 i Det europeiske legemiddelbyrås retningslinjer for Q3C (R8) om urenheter, som angitt i retningslinjene for løsemiddelrester(</w:t>
            </w:r>
            <w:bookmarkStart w:id="293" w:name="NOTE_295"/>
            <w:r>
              <w:rPr>
                <w:rStyle w:val="FootnoteReference"/>
                <w:sz w:val="18"/>
              </w:rPr>
              <w:footnoteReference w:id="296"/>
            </w:r>
            <w:bookmarkEnd w:id="293"/>
            <w:r>
              <w:t>), skal unngås i legemidler.</w:t>
            </w:r>
          </w:p>
        </w:tc>
      </w:tr>
      <w:tr w:rsidR="006561BA" w14:paraId="3D41BC47" w14:textId="77777777">
        <w:trPr>
          <w:trHeight w:val="360"/>
        </w:trPr>
        <w:tc>
          <w:tcPr>
            <w:tcW w:w="9228" w:type="dxa"/>
            <w:gridSpan w:val="2"/>
            <w:tcMar>
              <w:top w:w="200" w:type="dxa"/>
              <w:left w:w="0" w:type="dxa"/>
              <w:bottom w:w="200" w:type="dxa"/>
              <w:right w:w="0" w:type="dxa"/>
            </w:tcMar>
          </w:tcPr>
          <w:p w14:paraId="723D0CEF" w14:textId="77777777" w:rsidR="006561BA" w:rsidRDefault="005B4ED6">
            <w:pPr>
              <w:pStyle w:val="AnnexTableCellLeft"/>
              <w:pageBreakBefore/>
              <w:spacing w:after="120"/>
            </w:pPr>
            <w:r>
              <w:lastRenderedPageBreak/>
              <w:t>Det høyeste tapet av løsemidler fra den samlede innsatsmengden skal ikke overstige et tap på 3 %. Den samlede gjenvinningsgraden for flyktige organiske forbindelser (VOC) er minst 99 %.</w:t>
            </w:r>
          </w:p>
          <w:p w14:paraId="2B26150D" w14:textId="77777777" w:rsidR="006561BA" w:rsidRDefault="005B4ED6">
            <w:pPr>
              <w:pStyle w:val="AnnexTableCellLeft"/>
              <w:spacing w:after="120"/>
            </w:pPr>
            <w:r>
              <w:t>Aktivitetsutøveren kontrollerer at det ikke forekommer diffuse utslipp av flyktige organiske forbindelser utover de kriteriene som er spesifisert nedenfor med hensyn til volumetriske terskelverdier (</w:t>
            </w:r>
            <w:proofErr w:type="spellStart"/>
            <w:r>
              <w:t>ppmv</w:t>
            </w:r>
            <w:proofErr w:type="spellEnd"/>
            <w:r>
              <w:t>) ved å utføre kampanjer for lekkasjedeteksjon og reparasjon (LDAR), minst hvert tredje år. Investeringer i bruk av utstyr med høy integritet anbefales, forutsatt at de installeres i eksisterende anlegg i de tilfellene som er nevnt i BAT 23 bokstav b) for konklusjonene om beste tilgjengelige teknikker (BAT) for felles systemer for håndtering og rensing av avgasser i kjemisk sektor, mens trykkterskelen heves til 200 bar. Den minimale verifiseringsplanen kan reduseres i tilfeller der de samlede utslippene av flyktige organiske forbindelser (VOC) regelmessig kvantifiseres med sporstoffkorrelasjon (TC) eller med teknikker basert på optisk absorpsjon, som for eksempel DIAL («</w:t>
            </w:r>
            <w:proofErr w:type="spellStart"/>
            <w:r>
              <w:t>Differential</w:t>
            </w:r>
            <w:proofErr w:type="spellEnd"/>
            <w:r>
              <w:t xml:space="preserve"> </w:t>
            </w:r>
            <w:proofErr w:type="spellStart"/>
            <w:r>
              <w:t>Absorption</w:t>
            </w:r>
            <w:proofErr w:type="spellEnd"/>
            <w:r>
              <w:t xml:space="preserve"> </w:t>
            </w:r>
            <w:proofErr w:type="spellStart"/>
            <w:r>
              <w:t>Light</w:t>
            </w:r>
            <w:proofErr w:type="spellEnd"/>
            <w:r>
              <w:t xml:space="preserve"> </w:t>
            </w:r>
            <w:proofErr w:type="spellStart"/>
            <w:r>
              <w:t>Detection</w:t>
            </w:r>
            <w:proofErr w:type="spellEnd"/>
            <w:r>
              <w:t xml:space="preserve"> and Ranging») eller SOF («Solar </w:t>
            </w:r>
            <w:proofErr w:type="spellStart"/>
            <w:r>
              <w:t>Occultation</w:t>
            </w:r>
            <w:proofErr w:type="spellEnd"/>
            <w:r>
              <w:t xml:space="preserve"> </w:t>
            </w:r>
            <w:proofErr w:type="spellStart"/>
            <w:r>
              <w:t>Flux</w:t>
            </w:r>
            <w:proofErr w:type="spellEnd"/>
            <w:r>
              <w:t>») eller andre målinger med tilsvarende yteevne.</w:t>
            </w:r>
          </w:p>
          <w:p w14:paraId="6F0260AC" w14:textId="77777777" w:rsidR="006561BA" w:rsidRDefault="005B4ED6">
            <w:pPr>
              <w:pStyle w:val="AnnexTableCellLeft"/>
              <w:spacing w:after="120"/>
            </w:pPr>
            <w:r>
              <w:t xml:space="preserve">Diffuse utslipp av stoffer eller stoffblandinger som er klassifisert som CMR 1A eller 1B, fra utett utstyr overstiger ikke en konsentrasjon på 100 </w:t>
            </w:r>
            <w:proofErr w:type="spellStart"/>
            <w:r>
              <w:t>ppmv</w:t>
            </w:r>
            <w:proofErr w:type="spellEnd"/>
            <w:r>
              <w:t>(</w:t>
            </w:r>
            <w:bookmarkStart w:id="294" w:name="NOTE_296"/>
            <w:r>
              <w:rPr>
                <w:rStyle w:val="FootnoteReference"/>
                <w:sz w:val="18"/>
              </w:rPr>
              <w:footnoteReference w:id="297"/>
            </w:r>
            <w:bookmarkEnd w:id="294"/>
            <w:r>
              <w:t>).</w:t>
            </w:r>
          </w:p>
          <w:p w14:paraId="4943953A" w14:textId="77777777" w:rsidR="006561BA" w:rsidRDefault="005B4ED6">
            <w:pPr>
              <w:pStyle w:val="AnnexTableCellLeft"/>
              <w:spacing w:after="120"/>
            </w:pPr>
            <w:r>
              <w:t xml:space="preserve">LDAR-kampanjene har de egenskapene som er beskrevet i BAT19 i konklusjonene om beste tilgjengelige teknikker (BAT-konklusjoner) for felles systemer for håndtering og rensing av avgasser i kjemisk sektor, blant annet deteksjon, reparasjon og vedlikehold av lekkasjer innen 30 dager etter deteksjon og en lekkasjeterskel som er lavere enn eller lik 5 000 </w:t>
            </w:r>
            <w:proofErr w:type="spellStart"/>
            <w:r>
              <w:t>ppmv</w:t>
            </w:r>
            <w:proofErr w:type="spellEnd"/>
            <w:r>
              <w:t xml:space="preserve"> for andre stoffer eller stoffblandinger enn de som er klassifisert som CMR 1A eller 1B, og som gjennomgås og oppdateres med henblikk på kontinuerlig forbedring av installasjonen. Tapet av løsemidler og gjenvinningsgraden for flyktig organisk forbindelse overvåkes på grunnlag av en plan for håndtering av løsemidler ved hjelp av en massebalanse for kontroll av samsvar, i henhold til kapittel V i direktiv 2010/75/EU.</w:t>
            </w:r>
          </w:p>
          <w:p w14:paraId="40C0BDE4" w14:textId="73D1E518" w:rsidR="006561BA" w:rsidRDefault="005B4ED6">
            <w:pPr>
              <w:pStyle w:val="AnnexNumberedText"/>
              <w:tabs>
                <w:tab w:val="left" w:pos="381"/>
              </w:tabs>
              <w:spacing w:after="0"/>
              <w:ind w:left="0" w:firstLine="0"/>
            </w:pPr>
            <w:r>
              <w:t>2.4.</w:t>
            </w:r>
            <w:r>
              <w:tab/>
              <w:t xml:space="preserve">Avløpsvann, </w:t>
            </w:r>
            <w:r w:rsidR="000C6D4A">
              <w:t>søppel</w:t>
            </w:r>
            <w:r>
              <w:t xml:space="preserve"> og annet avfall (herunder faste stoffer, væsker eller gassformige biprodukter fra produksjonen) sluttbehandles på en sikker, rettidig og hygienisk måte. Beholdere eller rør for avfallsmaterialer er tydelig merket. Analysedata som viser omdanningen av disse stoffene og deres rester til ufarlige avfallsmaterialer, er tilgjengelige på anlegget og oppdater</w:t>
            </w:r>
            <w:r w:rsidR="00E12552">
              <w:t>es</w:t>
            </w:r>
            <w:r>
              <w:t>.</w:t>
            </w:r>
          </w:p>
        </w:tc>
      </w:tr>
      <w:tr w:rsidR="006561BA" w14:paraId="54D4CFD0" w14:textId="77777777">
        <w:trPr>
          <w:trHeight w:val="240"/>
        </w:trPr>
        <w:tc>
          <w:tcPr>
            <w:tcW w:w="9228" w:type="dxa"/>
            <w:gridSpan w:val="2"/>
            <w:tcMar>
              <w:top w:w="200" w:type="dxa"/>
              <w:left w:w="0" w:type="dxa"/>
              <w:bottom w:w="200" w:type="dxa"/>
              <w:right w:w="0" w:type="dxa"/>
            </w:tcMar>
          </w:tcPr>
          <w:p w14:paraId="1DE0D194" w14:textId="77777777" w:rsidR="006561BA" w:rsidRDefault="005B4ED6">
            <w:pPr>
              <w:pStyle w:val="AnnexTableCellLeft"/>
            </w:pPr>
            <w:r>
              <w:t>Prinsippet om ikke å gjøre betydelig skade («DNSH»)</w:t>
            </w:r>
          </w:p>
        </w:tc>
      </w:tr>
      <w:tr w:rsidR="006561BA" w14:paraId="41884BFA" w14:textId="77777777">
        <w:trPr>
          <w:trHeight w:val="360"/>
        </w:trPr>
        <w:tc>
          <w:tcPr>
            <w:tcW w:w="2472" w:type="dxa"/>
            <w:tcMar>
              <w:top w:w="200" w:type="dxa"/>
              <w:left w:w="0" w:type="dxa"/>
              <w:bottom w:w="200" w:type="dxa"/>
            </w:tcMar>
          </w:tcPr>
          <w:p w14:paraId="03354F7C" w14:textId="77777777" w:rsidR="006561BA" w:rsidRDefault="005B4ED6">
            <w:pPr>
              <w:pStyle w:val="AnnexNumberedText"/>
              <w:ind w:left="293" w:hanging="293"/>
            </w:pPr>
            <w:r>
              <w:t>1)</w:t>
            </w:r>
            <w:r>
              <w:tab/>
              <w:t>Begrensning av klimaendringer</w:t>
            </w:r>
          </w:p>
        </w:tc>
        <w:tc>
          <w:tcPr>
            <w:tcW w:w="6756" w:type="dxa"/>
            <w:tcMar>
              <w:top w:w="200" w:type="dxa"/>
              <w:bottom w:w="200" w:type="dxa"/>
            </w:tcMar>
          </w:tcPr>
          <w:p w14:paraId="2F36F142" w14:textId="77777777" w:rsidR="006561BA" w:rsidRDefault="005B4ED6">
            <w:pPr>
              <w:pStyle w:val="AnnexTableCellLeft"/>
              <w:spacing w:after="120"/>
            </w:pPr>
            <w:r>
              <w:t>Dersom aktiviteten omfatter produksjon av varme/kjøling eller kraftvarmeproduksjon, herunder elektrisitet, er de direkte klimagassutslippene fra aktiviteten lavere enn 270 gCO</w:t>
            </w:r>
            <w:r>
              <w:rPr>
                <w:vertAlign w:val="subscript"/>
              </w:rPr>
              <w:t>2</w:t>
            </w:r>
            <w:r>
              <w:t>e/kWh.</w:t>
            </w:r>
          </w:p>
          <w:p w14:paraId="69D24712" w14:textId="77777777" w:rsidR="006561BA" w:rsidRDefault="005B4ED6">
            <w:pPr>
              <w:pStyle w:val="AnnexTableCellLeft"/>
              <w:spacing w:after="120"/>
            </w:pPr>
            <w:r>
              <w:t>Med hensyn til terskelverdien for kjølemiddel overstiger ikke potensialet for global oppvarming 150 ved avkjøling av stoffet.</w:t>
            </w:r>
          </w:p>
          <w:p w14:paraId="42FD6311" w14:textId="77777777" w:rsidR="006561BA" w:rsidRDefault="005B4ED6">
            <w:pPr>
              <w:pStyle w:val="AnnexTableCellLeft"/>
              <w:spacing w:after="120"/>
            </w:pPr>
            <w:r>
              <w:t>Dersom legemidler er produsert av stoffer oppført i avsnitt 3.10–3.16 i vedlegg II til delegert forordning (EU) 2021/2139, overskrider ikke klimagassutslippene de grensene som er fastsatt i deres respektive tekniske screeningkriterier for ikke å gjøre betydelig skade for begrensning av klimaendringer.</w:t>
            </w:r>
          </w:p>
          <w:p w14:paraId="0DCE61BD" w14:textId="77777777" w:rsidR="006561BA" w:rsidRDefault="005B4ED6">
            <w:pPr>
              <w:pStyle w:val="AnnexTableCellLeft"/>
            </w:pPr>
            <w:r>
              <w:t>Erstatningen fører ikke til en økning av livsløpsutslipp av klimagasser. Livsløpsutslipp av klimagasser beregnes ved hjelp av rekommandasjon 2013/179/EU eller alternativt ISO 14067:2018(</w:t>
            </w:r>
            <w:bookmarkStart w:id="295" w:name="NOTE_297"/>
            <w:r>
              <w:rPr>
                <w:rStyle w:val="FootnoteReference"/>
                <w:sz w:val="18"/>
              </w:rPr>
              <w:footnoteReference w:id="298"/>
            </w:r>
            <w:bookmarkEnd w:id="295"/>
            <w:r>
              <w:t>) eller ISO 14064-1:2018(</w:t>
            </w:r>
            <w:bookmarkStart w:id="296" w:name="NOTE_298"/>
            <w:r>
              <w:rPr>
                <w:rStyle w:val="FootnoteReference"/>
                <w:sz w:val="18"/>
              </w:rPr>
              <w:footnoteReference w:id="299"/>
            </w:r>
            <w:bookmarkEnd w:id="296"/>
            <w:r>
              <w:t>). Kvantifiserte livsløpsutslipp av klimagasser verifiseres av en uavhengig tredjepart.</w:t>
            </w:r>
          </w:p>
        </w:tc>
      </w:tr>
      <w:tr w:rsidR="006561BA" w14:paraId="114FDB37" w14:textId="77777777">
        <w:tc>
          <w:tcPr>
            <w:tcW w:w="2472" w:type="dxa"/>
            <w:tcMar>
              <w:top w:w="200" w:type="dxa"/>
              <w:left w:w="0" w:type="dxa"/>
              <w:bottom w:w="200" w:type="dxa"/>
            </w:tcMar>
          </w:tcPr>
          <w:p w14:paraId="24D79821" w14:textId="77777777" w:rsidR="006561BA" w:rsidRDefault="005B4ED6">
            <w:pPr>
              <w:pStyle w:val="AnnexNumberedText"/>
              <w:pageBreakBefore/>
              <w:spacing w:after="0"/>
              <w:ind w:left="293" w:hanging="293"/>
            </w:pPr>
            <w:r>
              <w:lastRenderedPageBreak/>
              <w:t>2)</w:t>
            </w:r>
            <w:r>
              <w:tab/>
              <w:t>Tilpasning til klimaendringer</w:t>
            </w:r>
          </w:p>
        </w:tc>
        <w:tc>
          <w:tcPr>
            <w:tcW w:w="6756" w:type="dxa"/>
            <w:tcMar>
              <w:top w:w="200" w:type="dxa"/>
              <w:bottom w:w="200" w:type="dxa"/>
            </w:tcMar>
          </w:tcPr>
          <w:p w14:paraId="7DF3E973" w14:textId="77777777" w:rsidR="006561BA" w:rsidRDefault="005B4ED6">
            <w:pPr>
              <w:pStyle w:val="AnnexTableCellLeft"/>
            </w:pPr>
            <w:r>
              <w:t>Aktiviteten oppfyller kriteriene fastsatt i tillegg A til dette vedlegget.</w:t>
            </w:r>
          </w:p>
        </w:tc>
      </w:tr>
      <w:tr w:rsidR="006561BA" w14:paraId="61AB25A8" w14:textId="77777777">
        <w:trPr>
          <w:trHeight w:val="360"/>
        </w:trPr>
        <w:tc>
          <w:tcPr>
            <w:tcW w:w="2472" w:type="dxa"/>
            <w:tcMar>
              <w:top w:w="200" w:type="dxa"/>
              <w:left w:w="0" w:type="dxa"/>
              <w:bottom w:w="200" w:type="dxa"/>
            </w:tcMar>
          </w:tcPr>
          <w:p w14:paraId="3F9978F7" w14:textId="77777777" w:rsidR="006561BA" w:rsidRDefault="005B4ED6">
            <w:pPr>
              <w:pStyle w:val="AnnexNumberedText"/>
              <w:ind w:left="293" w:hanging="293"/>
            </w:pPr>
            <w:r>
              <w:t>3)</w:t>
            </w:r>
            <w:r>
              <w:tab/>
              <w:t>Bærekraftig bruk og beskyttelse av vann- og havressurser</w:t>
            </w:r>
          </w:p>
        </w:tc>
        <w:tc>
          <w:tcPr>
            <w:tcW w:w="6756" w:type="dxa"/>
            <w:tcMar>
              <w:top w:w="200" w:type="dxa"/>
              <w:bottom w:w="200" w:type="dxa"/>
            </w:tcMar>
          </w:tcPr>
          <w:p w14:paraId="7DC2671B" w14:textId="77777777" w:rsidR="006561BA" w:rsidRDefault="005B4ED6">
            <w:pPr>
              <w:pStyle w:val="AnnexNumberedText"/>
              <w:ind w:left="279" w:hanging="279"/>
            </w:pPr>
            <w:r>
              <w:t>1.</w:t>
            </w:r>
            <w:r>
              <w:tab/>
              <w:t>Rensing av avløpsvann</w:t>
            </w:r>
          </w:p>
          <w:p w14:paraId="25FA6CAC" w14:textId="77777777" w:rsidR="006561BA" w:rsidRDefault="005B4ED6">
            <w:pPr>
              <w:pStyle w:val="AnnexTableCellLeft"/>
              <w:spacing w:after="120"/>
            </w:pPr>
            <w:r>
              <w:t>Utførelsen av prosesser for rensing av avløpsvann som er utført av eller på vegne av produksjonsanlegget, fører ikke til noen forringelse av vannforekomster og havressurser.</w:t>
            </w:r>
          </w:p>
          <w:p w14:paraId="1327D1B0" w14:textId="77777777" w:rsidR="006561BA" w:rsidRDefault="005B4ED6">
            <w:pPr>
              <w:pStyle w:val="AnnexTableCellLeft"/>
              <w:spacing w:after="120"/>
            </w:pPr>
            <w:r>
              <w:t>Når aktiviteter er omfattet av deres virkeområde, oppfyller de kravene i direktiv 91/271/EØF, 2008/105/EF, 2006/118/EF, 2010/75/EU, 2000/60/EF, (EU) 2020/2184, 76/160/EØF, 2008/56/EF og 2011/92/EU.</w:t>
            </w:r>
          </w:p>
          <w:p w14:paraId="79A4002F" w14:textId="77777777" w:rsidR="006561BA" w:rsidRDefault="005B4ED6">
            <w:pPr>
              <w:pStyle w:val="AnnexTableCellLeft"/>
              <w:spacing w:after="120"/>
            </w:pPr>
            <w:r>
              <w:t xml:space="preserve">Aktiviteten gjennomfører beste praksis spesifisert i Det felles forskningssenters beste miljøstyringspraksis for sektoren for offentlig forvaltning («Best </w:t>
            </w:r>
            <w:proofErr w:type="spellStart"/>
            <w:r>
              <w:t>Environmental</w:t>
            </w:r>
            <w:proofErr w:type="spellEnd"/>
            <w:r>
              <w:t xml:space="preserve"> Management </w:t>
            </w:r>
            <w:proofErr w:type="spellStart"/>
            <w:r>
              <w:t>Practice</w:t>
            </w:r>
            <w:proofErr w:type="spellEnd"/>
            <w:r>
              <w:t xml:space="preserve"> for </w:t>
            </w:r>
            <w:proofErr w:type="spellStart"/>
            <w:r>
              <w:t>the</w:t>
            </w:r>
            <w:proofErr w:type="spellEnd"/>
            <w:r>
              <w:t xml:space="preserve"> Public Administration </w:t>
            </w:r>
            <w:proofErr w:type="spellStart"/>
            <w:r>
              <w:t>Sector</w:t>
            </w:r>
            <w:proofErr w:type="spellEnd"/>
            <w:r>
              <w:t>»)(</w:t>
            </w:r>
            <w:bookmarkStart w:id="297" w:name="NOTE_299"/>
            <w:r>
              <w:rPr>
                <w:rStyle w:val="FootnoteReference"/>
                <w:sz w:val="18"/>
              </w:rPr>
              <w:footnoteReference w:id="300"/>
            </w:r>
            <w:bookmarkEnd w:id="297"/>
            <w:r>
              <w:t>).</w:t>
            </w:r>
          </w:p>
          <w:p w14:paraId="23A81492" w14:textId="62B4B39E" w:rsidR="006561BA" w:rsidRDefault="005B4ED6">
            <w:pPr>
              <w:pStyle w:val="AnnexTableCellLeft"/>
              <w:spacing w:after="120"/>
            </w:pPr>
            <w:r>
              <w:t xml:space="preserve">Dersom rensing av avløpsvann utføres av et renseanlegg for avløpsvann fra byområder på vegne av </w:t>
            </w:r>
            <w:r w:rsidR="00DC7827">
              <w:t>produksjonsanlegget</w:t>
            </w:r>
            <w:r>
              <w:t>, skal det sikres at</w:t>
            </w:r>
          </w:p>
          <w:p w14:paraId="0229E482" w14:textId="77777777" w:rsidR="006561BA" w:rsidRDefault="005B4ED6">
            <w:pPr>
              <w:pStyle w:val="AnnexNumberedText"/>
              <w:ind w:left="293" w:hanging="293"/>
            </w:pPr>
            <w:r>
              <w:t>a)</w:t>
            </w:r>
            <w:r>
              <w:tab/>
              <w:t>mengden av forurensende stoffer som slippes ut av produksjonsanlegget, ikke har noen negativ innvirkning på renseprosessen i renseanlegget for avløpsvann fra byområder,</w:t>
            </w:r>
          </w:p>
          <w:p w14:paraId="1C2FFCEF" w14:textId="77777777" w:rsidR="006561BA" w:rsidRDefault="005B4ED6">
            <w:pPr>
              <w:pStyle w:val="AnnexNumberedText"/>
              <w:ind w:left="293" w:hanging="293"/>
            </w:pPr>
            <w:r>
              <w:t>b)</w:t>
            </w:r>
            <w:r>
              <w:tab/>
              <w:t>mengden av og egenskapene til forurensende stoffer ikke utgjør noen risiko for eller skade på helsen til det personalet som arbeider på renseanlegg,</w:t>
            </w:r>
          </w:p>
          <w:p w14:paraId="78072F05" w14:textId="77777777" w:rsidR="006561BA" w:rsidRDefault="005B4ED6">
            <w:pPr>
              <w:pStyle w:val="AnnexNumberedText"/>
              <w:ind w:left="293" w:hanging="293"/>
            </w:pPr>
            <w:r>
              <w:t>c)</w:t>
            </w:r>
            <w:r>
              <w:tab/>
              <w:t>renseanlegget for avløpsvann fra byområder er konstruert og utstyrt på en slik måte at det kan redusere utslippet av de forurensende stoffene,</w:t>
            </w:r>
          </w:p>
          <w:p w14:paraId="46A3CDA0" w14:textId="77777777" w:rsidR="006561BA" w:rsidRDefault="005B4ED6">
            <w:pPr>
              <w:pStyle w:val="AnnexNumberedText"/>
              <w:ind w:left="293" w:hanging="293"/>
            </w:pPr>
            <w:r>
              <w:t>d)</w:t>
            </w:r>
            <w:r>
              <w:tab/>
              <w:t>den samlede belastningen av de aktuelle forurensende stoffene som slippes ut til vannforekomsten, ikke økes sammenlignet med den situasjonen der utslippene fra det aktuelle anlegget fortsatt overholder de utslippsgrenseverdiene som er fastsatt for direkte utslipp,</w:t>
            </w:r>
          </w:p>
          <w:p w14:paraId="151441E1" w14:textId="77777777" w:rsidR="006561BA" w:rsidRDefault="005B4ED6">
            <w:pPr>
              <w:pStyle w:val="AnnexNumberedText"/>
              <w:ind w:left="293" w:hanging="293"/>
            </w:pPr>
            <w:r>
              <w:t>e)</w:t>
            </w:r>
            <w:r>
              <w:tab/>
              <w:t>anvendeligheten for avløpsslam med henblikk på gjenvinning av næringsstoffer ikke påvirkes.</w:t>
            </w:r>
          </w:p>
          <w:p w14:paraId="4530048B" w14:textId="77777777" w:rsidR="006561BA" w:rsidRDefault="005B4ED6">
            <w:pPr>
              <w:pStyle w:val="AnnexTableCellLeft"/>
              <w:spacing w:after="120"/>
            </w:pPr>
            <w:r>
              <w:t>For anlegg der ytterligere grenseverdier for forurensende stoffer eller strengere vilkår inngår i deres miljøtillatelse sammenlignet med kravene i lovgivningen nevnt ovenfor, gjelder disse strengere vilkårene.</w:t>
            </w:r>
          </w:p>
          <w:p w14:paraId="5E2B1DFD" w14:textId="77777777" w:rsidR="006561BA" w:rsidRDefault="005B4ED6">
            <w:pPr>
              <w:pStyle w:val="AnnexNumberedText"/>
              <w:ind w:left="279" w:hanging="279"/>
            </w:pPr>
            <w:r>
              <w:t>2.</w:t>
            </w:r>
            <w:r>
              <w:tab/>
              <w:t>Beskyttelse av jord og grunnvann</w:t>
            </w:r>
          </w:p>
          <w:p w14:paraId="372A566A" w14:textId="77777777" w:rsidR="006561BA" w:rsidRDefault="005B4ED6">
            <w:pPr>
              <w:pStyle w:val="AnnexTableCellLeft"/>
              <w:spacing w:after="120"/>
            </w:pPr>
            <w:r>
              <w:t>Det er truffet hensiktsmessige tiltak for å forebygge utslipp til jord, og det foretas regelmessig overvåking for å unngå lekkasjer, utslipp, hendelser eller ulykker som oppstår i forbindelse med bruken av utstyret og under lagring.</w:t>
            </w:r>
          </w:p>
          <w:p w14:paraId="6E4202BC" w14:textId="77777777" w:rsidR="006561BA" w:rsidRDefault="005B4ED6">
            <w:pPr>
              <w:pStyle w:val="AnnexNumberedText"/>
              <w:ind w:left="279" w:hanging="279"/>
            </w:pPr>
            <w:r>
              <w:t>3.</w:t>
            </w:r>
            <w:r>
              <w:tab/>
              <w:t>Vannforbruk</w:t>
            </w:r>
          </w:p>
          <w:p w14:paraId="756FEB84" w14:textId="77777777" w:rsidR="006561BA" w:rsidRDefault="005B4ED6">
            <w:pPr>
              <w:pStyle w:val="AnnexTableCellLeft"/>
            </w:pPr>
            <w:r>
              <w:t>Aktivitetsutøvere vurderer de kjemiske produksjonsprosessenes vannavtrykk i henhold til ISO 14046:2014(</w:t>
            </w:r>
            <w:bookmarkStart w:id="298" w:name="NOTE_300"/>
            <w:r>
              <w:rPr>
                <w:rStyle w:val="FootnoteReference"/>
                <w:sz w:val="18"/>
              </w:rPr>
              <w:footnoteReference w:id="301"/>
            </w:r>
            <w:bookmarkEnd w:id="298"/>
            <w:r>
              <w:t>) og sikrer at de ikke bidrar til vannmangel. På grunnlag av denne vurderingen avgir aktivitetsutøverne en erklæring om at de ikke bidrar til vannmangel, hvilket verifiseres av en uavhengig tredjepart.</w:t>
            </w:r>
          </w:p>
        </w:tc>
      </w:tr>
      <w:tr w:rsidR="006561BA" w14:paraId="4764655E" w14:textId="77777777">
        <w:trPr>
          <w:trHeight w:val="240"/>
        </w:trPr>
        <w:tc>
          <w:tcPr>
            <w:tcW w:w="2472" w:type="dxa"/>
            <w:tcMar>
              <w:top w:w="200" w:type="dxa"/>
              <w:left w:w="0" w:type="dxa"/>
              <w:bottom w:w="200" w:type="dxa"/>
            </w:tcMar>
          </w:tcPr>
          <w:p w14:paraId="7DD07DDC" w14:textId="77777777" w:rsidR="006561BA" w:rsidRDefault="006561BA">
            <w:pPr>
              <w:pStyle w:val="AnnexTableCellLeft"/>
              <w:pageBreakBefore/>
            </w:pPr>
          </w:p>
        </w:tc>
        <w:tc>
          <w:tcPr>
            <w:tcW w:w="6756" w:type="dxa"/>
            <w:tcMar>
              <w:top w:w="200" w:type="dxa"/>
              <w:bottom w:w="200" w:type="dxa"/>
            </w:tcMar>
          </w:tcPr>
          <w:p w14:paraId="42796D56" w14:textId="77777777" w:rsidR="006561BA" w:rsidRDefault="005B4ED6">
            <w:pPr>
              <w:pStyle w:val="AnnexNumberedText"/>
              <w:spacing w:after="0"/>
              <w:ind w:left="279" w:hanging="279"/>
            </w:pPr>
            <w:r>
              <w:t>4.</w:t>
            </w:r>
            <w:r>
              <w:tab/>
              <w:t>Aktiviteten oppfyller kriteriene fastsatt i tillegg B til dette vedlegget.</w:t>
            </w:r>
          </w:p>
        </w:tc>
      </w:tr>
      <w:tr w:rsidR="006561BA" w14:paraId="6DA6AC03" w14:textId="77777777">
        <w:trPr>
          <w:trHeight w:val="360"/>
        </w:trPr>
        <w:tc>
          <w:tcPr>
            <w:tcW w:w="2472" w:type="dxa"/>
            <w:tcMar>
              <w:top w:w="200" w:type="dxa"/>
              <w:left w:w="0" w:type="dxa"/>
              <w:bottom w:w="200" w:type="dxa"/>
            </w:tcMar>
          </w:tcPr>
          <w:p w14:paraId="71919AEA" w14:textId="77777777" w:rsidR="006561BA" w:rsidRDefault="005B4ED6">
            <w:pPr>
              <w:pStyle w:val="AnnexNumberedText"/>
              <w:ind w:left="293" w:hanging="293"/>
            </w:pPr>
            <w:r>
              <w:t>4)</w:t>
            </w:r>
            <w:r>
              <w:tab/>
              <w:t>Omstilling til en sirkulær økonomi</w:t>
            </w:r>
          </w:p>
        </w:tc>
        <w:tc>
          <w:tcPr>
            <w:tcW w:w="6756" w:type="dxa"/>
            <w:tcMar>
              <w:top w:w="200" w:type="dxa"/>
              <w:bottom w:w="200" w:type="dxa"/>
            </w:tcMar>
          </w:tcPr>
          <w:p w14:paraId="79F1060E" w14:textId="77777777" w:rsidR="006561BA" w:rsidRDefault="005B4ED6">
            <w:pPr>
              <w:pStyle w:val="AnnexTableCellLeft"/>
              <w:spacing w:after="120"/>
            </w:pPr>
            <w:r>
              <w:t>I forbindelse med aktiviteten foretar man en vurdering av tilgjengeligheten av – og, når det er mulig, anvendes det – teknikker som støtter</w:t>
            </w:r>
          </w:p>
          <w:p w14:paraId="2E823B73" w14:textId="0E044D1E" w:rsidR="006561BA" w:rsidRDefault="005B4ED6">
            <w:pPr>
              <w:pStyle w:val="AnnexNumberedText"/>
              <w:ind w:left="293" w:hanging="293"/>
            </w:pPr>
            <w:r>
              <w:t>a)</w:t>
            </w:r>
            <w:r>
              <w:tab/>
              <w:t xml:space="preserve">ombruk og bruk av </w:t>
            </w:r>
            <w:r w:rsidR="00605160" w:rsidRPr="00605160">
              <w:t xml:space="preserve">sekundære råvarer </w:t>
            </w:r>
            <w:r>
              <w:t xml:space="preserve">og </w:t>
            </w:r>
            <w:proofErr w:type="spellStart"/>
            <w:r>
              <w:t>ombrukte</w:t>
            </w:r>
            <w:proofErr w:type="spellEnd"/>
            <w:r>
              <w:t xml:space="preserve"> komponenter i framstilte produkter,</w:t>
            </w:r>
          </w:p>
          <w:p w14:paraId="552F8810" w14:textId="77777777" w:rsidR="006561BA" w:rsidRDefault="005B4ED6">
            <w:pPr>
              <w:pStyle w:val="AnnexNumberedText"/>
              <w:ind w:left="293" w:hanging="293"/>
            </w:pPr>
            <w:r>
              <w:t>b)</w:t>
            </w:r>
            <w:r>
              <w:tab/>
              <w:t>utforming med tanke på høy holdbarhet, gjenvinnbarhet, lett demontering og tilpasningsevne hos framstilte produkter,</w:t>
            </w:r>
          </w:p>
          <w:p w14:paraId="1B83AD20" w14:textId="77777777" w:rsidR="006561BA" w:rsidRDefault="005B4ED6">
            <w:pPr>
              <w:pStyle w:val="AnnexNumberedText"/>
              <w:ind w:left="293" w:hanging="293"/>
            </w:pPr>
            <w:r>
              <w:t>c)</w:t>
            </w:r>
            <w:r>
              <w:tab/>
              <w:t>avfallshåndtering som prioriterer materialgjenvinning framfor sluttbehandling, i produksjonsprosessen,</w:t>
            </w:r>
          </w:p>
          <w:p w14:paraId="259559E7" w14:textId="77777777" w:rsidR="006561BA" w:rsidRDefault="005B4ED6">
            <w:pPr>
              <w:pStyle w:val="AnnexNumberedText"/>
              <w:spacing w:after="0"/>
              <w:ind w:left="293" w:hanging="293"/>
            </w:pPr>
            <w:r>
              <w:t>d)</w:t>
            </w:r>
            <w:r>
              <w:tab/>
              <w:t>opplysninger om produktets bestanddeler i forsyningskjeden.</w:t>
            </w:r>
          </w:p>
        </w:tc>
      </w:tr>
      <w:tr w:rsidR="006561BA" w14:paraId="050AC2A8" w14:textId="77777777">
        <w:trPr>
          <w:trHeight w:val="360"/>
        </w:trPr>
        <w:tc>
          <w:tcPr>
            <w:tcW w:w="2472" w:type="dxa"/>
            <w:tcMar>
              <w:top w:w="200" w:type="dxa"/>
              <w:left w:w="0" w:type="dxa"/>
              <w:bottom w:w="200" w:type="dxa"/>
            </w:tcMar>
          </w:tcPr>
          <w:p w14:paraId="2E21D8AA" w14:textId="77777777" w:rsidR="006561BA" w:rsidRDefault="005B4ED6">
            <w:pPr>
              <w:pStyle w:val="AnnexNumberedText"/>
              <w:spacing w:after="0"/>
              <w:ind w:left="293" w:hanging="293"/>
            </w:pPr>
            <w:r>
              <w:t>6)</w:t>
            </w:r>
            <w:r>
              <w:tab/>
              <w:t>Beskyttelse og restaurering av biologisk mangfold og økosystemer</w:t>
            </w:r>
          </w:p>
        </w:tc>
        <w:tc>
          <w:tcPr>
            <w:tcW w:w="6756" w:type="dxa"/>
            <w:tcMar>
              <w:top w:w="200" w:type="dxa"/>
              <w:bottom w:w="200" w:type="dxa"/>
            </w:tcMar>
          </w:tcPr>
          <w:p w14:paraId="6381C90C" w14:textId="77777777" w:rsidR="006561BA" w:rsidRDefault="005B4ED6">
            <w:pPr>
              <w:pStyle w:val="AnnexTableCellLeft"/>
            </w:pPr>
            <w:r>
              <w:t>Aktiviteten oppfyller kriteriene fastsatt i tillegg D til dette vedlegget.</w:t>
            </w:r>
          </w:p>
        </w:tc>
      </w:tr>
    </w:tbl>
    <w:p w14:paraId="08DA4CB9" w14:textId="544DAE0A" w:rsidR="006561BA" w:rsidRDefault="005B4ED6">
      <w:pPr>
        <w:pStyle w:val="AnnexNumberedText"/>
        <w:spacing w:before="400" w:after="300"/>
        <w:ind w:left="414" w:hanging="414"/>
      </w:pPr>
      <w:r>
        <w:t>2.</w:t>
      </w:r>
      <w:r>
        <w:rPr>
          <w:b/>
          <w:i/>
        </w:rPr>
        <w:tab/>
        <w:t xml:space="preserve">Vannforsyning, </w:t>
      </w:r>
      <w:r w:rsidR="00BD4A4E" w:rsidRPr="00BD4A4E">
        <w:rPr>
          <w:b/>
          <w:i/>
        </w:rPr>
        <w:t>rensing av avløpsvann</w:t>
      </w:r>
      <w:r>
        <w:rPr>
          <w:b/>
          <w:i/>
        </w:rPr>
        <w:t>, avfallshåndtering og oppryddingsaktiviteter</w:t>
      </w:r>
    </w:p>
    <w:p w14:paraId="39BE16B2" w14:textId="77777777" w:rsidR="006561BA" w:rsidRDefault="005B4ED6">
      <w:pPr>
        <w:pStyle w:val="AnnexNumberedText"/>
        <w:spacing w:after="300"/>
        <w:ind w:left="414" w:hanging="414"/>
      </w:pPr>
      <w:r>
        <w:t>2.1.</w:t>
      </w:r>
      <w:r>
        <w:rPr>
          <w:b/>
        </w:rPr>
        <w:tab/>
        <w:t>Innsamling og transport av farlig avfall</w:t>
      </w:r>
    </w:p>
    <w:p w14:paraId="4C797B10" w14:textId="77777777" w:rsidR="006561BA" w:rsidRDefault="005B4ED6">
      <w:pPr>
        <w:pStyle w:val="AnnexGrSeq3"/>
        <w:jc w:val="both"/>
      </w:pPr>
      <w:r>
        <w:rPr>
          <w:i/>
        </w:rPr>
        <w:t>Beskrivelse av aktiviteten</w:t>
      </w:r>
    </w:p>
    <w:p w14:paraId="6B72EAD4" w14:textId="77777777" w:rsidR="006561BA" w:rsidRDefault="005B4ED6">
      <w:pPr>
        <w:pStyle w:val="AnnexNormal"/>
      </w:pPr>
      <w:r>
        <w:t>Separat innsamling og transport av farlig avfall(</w:t>
      </w:r>
      <w:bookmarkStart w:id="299" w:name="NOTE_301"/>
      <w:r>
        <w:rPr>
          <w:rStyle w:val="FootnoteReference"/>
          <w:sz w:val="18"/>
        </w:rPr>
        <w:footnoteReference w:id="302"/>
      </w:r>
      <w:bookmarkEnd w:id="299"/>
      <w:r>
        <w:t>) før behandling, materialutnytting eller sluttbehandling, herunder bygging, drift og oppgradering av anlegg for innsamling og transport av slikt avfall, som for eksempel stasjoner for overføring av farlig avfall, som et middel for å utføre en korrekt behandling.</w:t>
      </w:r>
    </w:p>
    <w:p w14:paraId="32A7B4F0" w14:textId="2B47183E" w:rsidR="006561BA" w:rsidRDefault="005B4ED6">
      <w:pPr>
        <w:pStyle w:val="AnnexNormal"/>
        <w:spacing w:after="400"/>
      </w:pPr>
      <w:r>
        <w:t>De økonomiske aktivitetene i denne kategorien kan knyttes til flere NACE-koder, særlig E38.12 og F42.9</w:t>
      </w:r>
      <w:r w:rsidR="009B20D8">
        <w:t>,</w:t>
      </w:r>
      <w:r>
        <w:t xml:space="preserve"> i samsvar med standarden for næringsgruppering fastsatt ved forordning (EF) nr. 1893/2006.</w:t>
      </w:r>
    </w:p>
    <w:p w14:paraId="66D520A5" w14:textId="77777777" w:rsidR="006561BA" w:rsidRDefault="005B4ED6">
      <w:pPr>
        <w:pStyle w:val="AnnexGrSeq3"/>
        <w:spacing w:after="300"/>
        <w:jc w:val="both"/>
      </w:pPr>
      <w:r>
        <w:rPr>
          <w:i/>
        </w:rPr>
        <w:t>Tekniske screeningkriterier</w:t>
      </w:r>
    </w:p>
    <w:tbl>
      <w:tblPr>
        <w:tblStyle w:val="EFTATable"/>
        <w:tblW w:w="9228" w:type="dxa"/>
        <w:tblInd w:w="12" w:type="dxa"/>
        <w:tblLayout w:type="fixed"/>
        <w:tblLook w:val="04A0" w:firstRow="1" w:lastRow="0" w:firstColumn="1" w:lastColumn="0" w:noHBand="0" w:noVBand="1"/>
      </w:tblPr>
      <w:tblGrid>
        <w:gridCol w:w="2484"/>
        <w:gridCol w:w="6744"/>
      </w:tblGrid>
      <w:tr w:rsidR="006561BA" w14:paraId="03C9D81D" w14:textId="77777777">
        <w:trPr>
          <w:trHeight w:val="240"/>
        </w:trPr>
        <w:tc>
          <w:tcPr>
            <w:tcW w:w="9228" w:type="dxa"/>
            <w:gridSpan w:val="2"/>
            <w:tcMar>
              <w:top w:w="200" w:type="dxa"/>
              <w:left w:w="0" w:type="dxa"/>
              <w:bottom w:w="200" w:type="dxa"/>
              <w:right w:w="0" w:type="dxa"/>
            </w:tcMar>
          </w:tcPr>
          <w:p w14:paraId="19524265" w14:textId="77777777" w:rsidR="006561BA" w:rsidRDefault="005B4ED6">
            <w:pPr>
              <w:pStyle w:val="AnnexTableCellLeft"/>
            </w:pPr>
            <w:r>
              <w:t>Vesentlig bidrag til forebygging og begrensning av forurensning</w:t>
            </w:r>
          </w:p>
        </w:tc>
      </w:tr>
      <w:tr w:rsidR="006561BA" w14:paraId="4C549BC9" w14:textId="77777777">
        <w:trPr>
          <w:trHeight w:val="360"/>
        </w:trPr>
        <w:tc>
          <w:tcPr>
            <w:tcW w:w="9228" w:type="dxa"/>
            <w:gridSpan w:val="2"/>
            <w:tcMar>
              <w:top w:w="200" w:type="dxa"/>
              <w:left w:w="0" w:type="dxa"/>
              <w:bottom w:w="200" w:type="dxa"/>
              <w:right w:w="0" w:type="dxa"/>
            </w:tcMar>
          </w:tcPr>
          <w:p w14:paraId="71748595" w14:textId="77777777" w:rsidR="006561BA" w:rsidRDefault="005B4ED6">
            <w:pPr>
              <w:pStyle w:val="AnnexNumberedText"/>
              <w:tabs>
                <w:tab w:val="left" w:pos="276"/>
              </w:tabs>
              <w:ind w:left="0" w:firstLine="0"/>
            </w:pPr>
            <w:r>
              <w:t>1.</w:t>
            </w:r>
            <w:r>
              <w:tab/>
              <w:t>Farlig avfall kildesorteres og samles inn separat fra ikke-farlig avfall for å forhindre krysskontaminering. Det skal treffes hensiktsmessige tiltak for å sikre at farlig avfall i forbindelse med separat innsamling og transport ikke blir blandet eller fortynnet med andre kategorier av farlig avfall, eller med annet avfall, andre stoffer eller andre materialer.</w:t>
            </w:r>
          </w:p>
          <w:p w14:paraId="1E35960C" w14:textId="77777777" w:rsidR="006561BA" w:rsidRDefault="005B4ED6">
            <w:pPr>
              <w:pStyle w:val="AnnexNumberedText"/>
              <w:tabs>
                <w:tab w:val="left" w:pos="276"/>
              </w:tabs>
              <w:ind w:left="0" w:firstLine="0"/>
            </w:pPr>
            <w:r>
              <w:t>2.</w:t>
            </w:r>
            <w:r>
              <w:tab/>
              <w:t>Korrekt innsamling og håndtering forhindrer lekkasje av farlig avfall under innsamling, transport, lagring og levering til det behandlingsanlegget som i henhold til nasjonal lovgivning har tillatelse til å behandle farlig avfall.</w:t>
            </w:r>
          </w:p>
          <w:p w14:paraId="08CA1A03" w14:textId="77777777" w:rsidR="006561BA" w:rsidRDefault="005B4ED6">
            <w:pPr>
              <w:pStyle w:val="AnnexNumberedText"/>
              <w:tabs>
                <w:tab w:val="left" w:pos="276"/>
              </w:tabs>
              <w:spacing w:after="0"/>
              <w:ind w:left="0" w:firstLine="0"/>
            </w:pPr>
            <w:r>
              <w:t>3.</w:t>
            </w:r>
            <w:r>
              <w:tab/>
              <w:t>Dersom en bestemt type avfall som er klassifisert som farlig, også i forbindelse med transport har status som farlig gods i henhold til Den europeiske avtale om internasjonal veitransport av farlig gods (ADR)</w:t>
            </w:r>
            <w:bookmarkStart w:id="300" w:name="NOTE_302"/>
            <w:r>
              <w:rPr>
                <w:rStyle w:val="FootnoteReference"/>
                <w:sz w:val="18"/>
              </w:rPr>
              <w:footnoteReference w:id="303"/>
            </w:r>
            <w:bookmarkEnd w:id="300"/>
            <w:r>
              <w:t>), oppfyller transporten de relevante kravene fastsatt i ADR.</w:t>
            </w:r>
          </w:p>
        </w:tc>
      </w:tr>
      <w:tr w:rsidR="006561BA" w14:paraId="4ADF7493" w14:textId="77777777">
        <w:trPr>
          <w:trHeight w:val="360"/>
        </w:trPr>
        <w:tc>
          <w:tcPr>
            <w:tcW w:w="9228" w:type="dxa"/>
            <w:gridSpan w:val="2"/>
            <w:tcMar>
              <w:top w:w="200" w:type="dxa"/>
              <w:left w:w="0" w:type="dxa"/>
              <w:bottom w:w="200" w:type="dxa"/>
              <w:right w:w="0" w:type="dxa"/>
            </w:tcMar>
          </w:tcPr>
          <w:p w14:paraId="64E95EC9" w14:textId="77777777" w:rsidR="006561BA" w:rsidRDefault="005B4ED6">
            <w:pPr>
              <w:pStyle w:val="AnnexNumberedText"/>
              <w:pageBreakBefore/>
              <w:tabs>
                <w:tab w:val="left" w:pos="276"/>
              </w:tabs>
              <w:ind w:left="0" w:firstLine="0"/>
            </w:pPr>
            <w:r>
              <w:lastRenderedPageBreak/>
              <w:t>4.</w:t>
            </w:r>
            <w:r>
              <w:tab/>
              <w:t>Aktiviteten innebærer anvendelse av søppelbiler som minst oppfyller Euro V-standarder(</w:t>
            </w:r>
            <w:bookmarkStart w:id="301" w:name="NOTE_303"/>
            <w:r>
              <w:rPr>
                <w:rStyle w:val="FootnoteReference"/>
                <w:sz w:val="18"/>
              </w:rPr>
              <w:footnoteReference w:id="304"/>
            </w:r>
            <w:bookmarkEnd w:id="301"/>
            <w:r>
              <w:t>).</w:t>
            </w:r>
          </w:p>
          <w:p w14:paraId="67E62D05" w14:textId="77777777" w:rsidR="006561BA" w:rsidRDefault="005B4ED6">
            <w:pPr>
              <w:pStyle w:val="AnnexNumberedText"/>
              <w:pageBreakBefore/>
              <w:tabs>
                <w:tab w:val="left" w:pos="276"/>
              </w:tabs>
              <w:ind w:left="0" w:firstLine="0"/>
            </w:pPr>
            <w:r>
              <w:t>5.</w:t>
            </w:r>
            <w:r>
              <w:tab/>
              <w:t>I forbindelse med innsamling og transport emballeres og merkes farlig avfall i samsvar med gjeldende internasjonale standarder og EU-standarder.</w:t>
            </w:r>
          </w:p>
          <w:p w14:paraId="0459F728" w14:textId="77777777" w:rsidR="006561BA" w:rsidRDefault="005B4ED6">
            <w:pPr>
              <w:pStyle w:val="AnnexNumberedText"/>
              <w:pageBreakBefore/>
              <w:tabs>
                <w:tab w:val="left" w:pos="276"/>
              </w:tabs>
              <w:ind w:left="0" w:firstLine="0"/>
            </w:pPr>
            <w:r>
              <w:t>6.</w:t>
            </w:r>
            <w:r>
              <w:tab/>
              <w:t>Den aktivitetsutøveren som samler inn farlig avfall, oppfyller dokumentasjonskravene, herunder med hensyn til mengde, art, opprinnelse, destinasjon, innsamlingshyppighet, transportmåte og behandlingsmetode, som fastsatt i gjeldende EU-lovgivning og nasjonal lovgivning.</w:t>
            </w:r>
          </w:p>
          <w:p w14:paraId="0A6B60F2" w14:textId="77777777" w:rsidR="006561BA" w:rsidRDefault="005B4ED6">
            <w:pPr>
              <w:pStyle w:val="AnnexNumberedText"/>
              <w:pageBreakBefore/>
              <w:tabs>
                <w:tab w:val="left" w:pos="276"/>
              </w:tabs>
              <w:ind w:left="0" w:firstLine="0"/>
            </w:pPr>
            <w:r>
              <w:t>7.</w:t>
            </w:r>
            <w:r>
              <w:tab/>
              <w:t>For avfall fra elektrisk og elektronisk utstyr (WEEE):</w:t>
            </w:r>
          </w:p>
          <w:p w14:paraId="5472EC38" w14:textId="77777777" w:rsidR="006561BA" w:rsidRDefault="005B4ED6">
            <w:pPr>
              <w:pStyle w:val="AnnexNumberedText"/>
              <w:pageBreakBefore/>
              <w:ind w:left="293" w:hanging="293"/>
            </w:pPr>
            <w:r>
              <w:t>a)</w:t>
            </w:r>
            <w:r>
              <w:tab/>
              <w:t>Hovedkategoriene av avfall fra elektrisk og elektronisk utstyr angitt i vedlegg III til direktiv 2012/19/EU samles inn separat.</w:t>
            </w:r>
          </w:p>
          <w:p w14:paraId="57DD050C" w14:textId="77777777" w:rsidR="006561BA" w:rsidRDefault="005B4ED6">
            <w:pPr>
              <w:pStyle w:val="AnnexNumberedText"/>
              <w:pageBreakBefore/>
              <w:ind w:left="293" w:hanging="293"/>
            </w:pPr>
            <w:r>
              <w:t>b)</w:t>
            </w:r>
            <w:r>
              <w:tab/>
              <w:t>Innsamling og transport sikrer at integriteten hos avfall fra elektrisk og elektronisk utstyr bevares, og forhindrer lekkasje av farlige stoffer, som for eksempel stoffer som bryter ned ozonlaget, fluorholdige klimagasser eller kvikksølv i lysstoffrør.</w:t>
            </w:r>
          </w:p>
          <w:p w14:paraId="55177BFE" w14:textId="77777777" w:rsidR="006561BA" w:rsidRDefault="005B4ED6">
            <w:pPr>
              <w:pStyle w:val="AnnexNumberedText"/>
              <w:pageBreakBefore/>
              <w:ind w:left="293" w:hanging="293"/>
            </w:pPr>
            <w:r>
              <w:t>c)</w:t>
            </w:r>
            <w:r>
              <w:tab/>
              <w:t>Innsamlings- og logistikkoperatøren oppretter et ledelsessystem for å håndtere miljø-, helse- og sikkerhetsrisikoer.</w:t>
            </w:r>
          </w:p>
          <w:p w14:paraId="00FCA8ED" w14:textId="77777777" w:rsidR="006561BA" w:rsidRDefault="005B4ED6">
            <w:pPr>
              <w:pStyle w:val="AnnexTableCellLeft"/>
              <w:pageBreakBefore/>
              <w:spacing w:after="120"/>
            </w:pPr>
            <w:r>
              <w:t>Overholdelse av normative krav for innsamling og logistikk som er fastsatt i CLC/EN 50625-1:2014(</w:t>
            </w:r>
            <w:bookmarkStart w:id="302" w:name="NOTE_304"/>
            <w:r>
              <w:rPr>
                <w:rStyle w:val="FootnoteReference"/>
                <w:sz w:val="18"/>
              </w:rPr>
              <w:footnoteReference w:id="305"/>
            </w:r>
            <w:bookmarkEnd w:id="302"/>
            <w:r>
              <w:t>) og CLC/TS 50625-4:2017(</w:t>
            </w:r>
            <w:bookmarkStart w:id="303" w:name="NOTE_305"/>
            <w:r>
              <w:rPr>
                <w:rStyle w:val="FootnoteReference"/>
                <w:sz w:val="18"/>
              </w:rPr>
              <w:footnoteReference w:id="306"/>
            </w:r>
            <w:bookmarkEnd w:id="303"/>
            <w:r>
              <w:t>) eller av lovgivningsmessige krav som tilsvarer de som er fastsatt i CLC/EN 50625-1 og CLC/TS 50625-4, er et bevis på overholdelse av kravet om at innsamling og transport bevarer integriteten til WEEE og batterier og forhindrer lekkasje av farlige stoffer.</w:t>
            </w:r>
          </w:p>
          <w:p w14:paraId="77E943EB" w14:textId="77777777" w:rsidR="006561BA" w:rsidRDefault="005B4ED6">
            <w:pPr>
              <w:pStyle w:val="AnnexNumberedText"/>
              <w:pageBreakBefore/>
              <w:tabs>
                <w:tab w:val="left" w:pos="276"/>
              </w:tabs>
              <w:spacing w:after="0"/>
              <w:ind w:left="0" w:firstLine="0"/>
            </w:pPr>
            <w:r>
              <w:t>8.</w:t>
            </w:r>
            <w:r>
              <w:tab/>
              <w:t>Når avfallet lagres, oppfyller aktiviteten kravene i BAT 4 av konklusjonene om beste tilgjengelige teknikker (BAT-konklusjoner) for avfallsbehandling(</w:t>
            </w:r>
            <w:bookmarkStart w:id="304" w:name="NOTE_306"/>
            <w:r>
              <w:rPr>
                <w:rStyle w:val="FootnoteReference"/>
                <w:sz w:val="18"/>
              </w:rPr>
              <w:footnoteReference w:id="307"/>
            </w:r>
            <w:bookmarkEnd w:id="304"/>
            <w:r>
              <w:t>).</w:t>
            </w:r>
          </w:p>
        </w:tc>
      </w:tr>
      <w:tr w:rsidR="006561BA" w14:paraId="72942950" w14:textId="77777777">
        <w:trPr>
          <w:trHeight w:val="240"/>
        </w:trPr>
        <w:tc>
          <w:tcPr>
            <w:tcW w:w="9228" w:type="dxa"/>
            <w:gridSpan w:val="2"/>
            <w:tcMar>
              <w:top w:w="200" w:type="dxa"/>
              <w:left w:w="0" w:type="dxa"/>
              <w:bottom w:w="200" w:type="dxa"/>
              <w:right w:w="0" w:type="dxa"/>
            </w:tcMar>
          </w:tcPr>
          <w:p w14:paraId="7988077C" w14:textId="77777777" w:rsidR="006561BA" w:rsidRDefault="005B4ED6">
            <w:pPr>
              <w:pStyle w:val="AnnexTableCellLeft"/>
            </w:pPr>
            <w:r>
              <w:t>Prinsippet om ikke å gjøre betydelig skade («DNSH»)</w:t>
            </w:r>
          </w:p>
        </w:tc>
      </w:tr>
      <w:tr w:rsidR="006561BA" w14:paraId="7018A541" w14:textId="77777777">
        <w:tc>
          <w:tcPr>
            <w:tcW w:w="2484" w:type="dxa"/>
            <w:tcMar>
              <w:top w:w="200" w:type="dxa"/>
              <w:left w:w="0" w:type="dxa"/>
              <w:bottom w:w="200" w:type="dxa"/>
            </w:tcMar>
          </w:tcPr>
          <w:p w14:paraId="3901D946" w14:textId="77777777" w:rsidR="006561BA" w:rsidRDefault="005B4ED6">
            <w:pPr>
              <w:pStyle w:val="AnnexNumberedText"/>
              <w:spacing w:after="0"/>
              <w:ind w:left="293" w:hanging="293"/>
            </w:pPr>
            <w:r>
              <w:t>1)</w:t>
            </w:r>
            <w:r>
              <w:tab/>
              <w:t>Begrensning av klimaendringer</w:t>
            </w:r>
          </w:p>
        </w:tc>
        <w:tc>
          <w:tcPr>
            <w:tcW w:w="6744" w:type="dxa"/>
            <w:tcMar>
              <w:top w:w="200" w:type="dxa"/>
              <w:bottom w:w="200" w:type="dxa"/>
            </w:tcMar>
          </w:tcPr>
          <w:p w14:paraId="16F92BF9" w14:textId="77777777" w:rsidR="006561BA" w:rsidRDefault="005B4ED6">
            <w:pPr>
              <w:pStyle w:val="AnnexTableCellLeft"/>
            </w:pPr>
            <w:r>
              <w:t>Ikke relevant</w:t>
            </w:r>
          </w:p>
        </w:tc>
      </w:tr>
      <w:tr w:rsidR="006561BA" w14:paraId="2B30B880" w14:textId="77777777">
        <w:tc>
          <w:tcPr>
            <w:tcW w:w="2484" w:type="dxa"/>
            <w:tcMar>
              <w:top w:w="200" w:type="dxa"/>
              <w:left w:w="0" w:type="dxa"/>
              <w:bottom w:w="200" w:type="dxa"/>
            </w:tcMar>
          </w:tcPr>
          <w:p w14:paraId="7C88987C" w14:textId="77777777" w:rsidR="006561BA" w:rsidRDefault="005B4ED6">
            <w:pPr>
              <w:pStyle w:val="AnnexNumberedText"/>
              <w:spacing w:after="0"/>
              <w:ind w:left="293" w:hanging="293"/>
            </w:pPr>
            <w:r>
              <w:t>2)</w:t>
            </w:r>
            <w:r>
              <w:tab/>
              <w:t>Tilpasning til klimaendringer</w:t>
            </w:r>
          </w:p>
        </w:tc>
        <w:tc>
          <w:tcPr>
            <w:tcW w:w="6744" w:type="dxa"/>
            <w:tcMar>
              <w:top w:w="200" w:type="dxa"/>
              <w:bottom w:w="200" w:type="dxa"/>
            </w:tcMar>
          </w:tcPr>
          <w:p w14:paraId="1F4EC037" w14:textId="77777777" w:rsidR="006561BA" w:rsidRDefault="005B4ED6">
            <w:pPr>
              <w:pStyle w:val="AnnexTableCellLeft"/>
            </w:pPr>
            <w:r>
              <w:t>Aktiviteten oppfyller kriteriene fastsatt i tillegg A til dette vedlegget.</w:t>
            </w:r>
          </w:p>
        </w:tc>
      </w:tr>
      <w:tr w:rsidR="006561BA" w14:paraId="2E388DF2" w14:textId="77777777">
        <w:tc>
          <w:tcPr>
            <w:tcW w:w="2484" w:type="dxa"/>
            <w:tcMar>
              <w:top w:w="200" w:type="dxa"/>
              <w:left w:w="0" w:type="dxa"/>
              <w:bottom w:w="200" w:type="dxa"/>
            </w:tcMar>
          </w:tcPr>
          <w:p w14:paraId="0722DB06" w14:textId="77777777" w:rsidR="006561BA" w:rsidRDefault="005B4ED6">
            <w:pPr>
              <w:pStyle w:val="AnnexNumberedText"/>
              <w:spacing w:after="0"/>
              <w:ind w:left="293" w:hanging="293"/>
            </w:pPr>
            <w:r>
              <w:t>3)</w:t>
            </w:r>
            <w:r>
              <w:tab/>
              <w:t>Bærekraftig bruk og beskyttelse av vann- og havressurser</w:t>
            </w:r>
          </w:p>
        </w:tc>
        <w:tc>
          <w:tcPr>
            <w:tcW w:w="6744" w:type="dxa"/>
            <w:tcMar>
              <w:top w:w="200" w:type="dxa"/>
              <w:bottom w:w="200" w:type="dxa"/>
            </w:tcMar>
          </w:tcPr>
          <w:p w14:paraId="5F392475" w14:textId="77777777" w:rsidR="006561BA" w:rsidRDefault="005B4ED6">
            <w:pPr>
              <w:pStyle w:val="AnnexTableCellLeft"/>
            </w:pPr>
            <w:r>
              <w:t>Aktiviteten oppfyller kriteriene fastsatt i tillegg B til dette vedlegget.</w:t>
            </w:r>
          </w:p>
        </w:tc>
      </w:tr>
      <w:tr w:rsidR="006561BA" w14:paraId="72F355C6" w14:textId="77777777">
        <w:tc>
          <w:tcPr>
            <w:tcW w:w="2484" w:type="dxa"/>
            <w:tcMar>
              <w:top w:w="200" w:type="dxa"/>
              <w:left w:w="0" w:type="dxa"/>
              <w:bottom w:w="200" w:type="dxa"/>
            </w:tcMar>
          </w:tcPr>
          <w:p w14:paraId="4AAA56E7" w14:textId="77777777" w:rsidR="006561BA" w:rsidRDefault="005B4ED6">
            <w:pPr>
              <w:pStyle w:val="AnnexNumberedText"/>
              <w:spacing w:after="0"/>
              <w:ind w:left="293" w:hanging="293"/>
            </w:pPr>
            <w:r>
              <w:t>4)</w:t>
            </w:r>
            <w:r>
              <w:tab/>
              <w:t>Omstilling til en sirkulær økonomi</w:t>
            </w:r>
          </w:p>
        </w:tc>
        <w:tc>
          <w:tcPr>
            <w:tcW w:w="6744" w:type="dxa"/>
            <w:tcMar>
              <w:top w:w="200" w:type="dxa"/>
              <w:bottom w:w="200" w:type="dxa"/>
            </w:tcMar>
          </w:tcPr>
          <w:p w14:paraId="03D4BB88" w14:textId="77777777" w:rsidR="006561BA" w:rsidRDefault="005B4ED6">
            <w:pPr>
              <w:pStyle w:val="AnnexTableCellLeft"/>
              <w:spacing w:after="120"/>
            </w:pPr>
            <w:r>
              <w:t>I anlegg for lagring og omlasting av avfall blandes ikke separat innsamlet avfall med annet avfall eller andre materialer med ulike egenskaper.</w:t>
            </w:r>
          </w:p>
          <w:p w14:paraId="132AFB32" w14:textId="77777777" w:rsidR="006561BA" w:rsidRDefault="005B4ED6">
            <w:pPr>
              <w:pStyle w:val="AnnexTableCellLeft"/>
            </w:pPr>
            <w:r>
              <w:t>Gjenvinnbart(</w:t>
            </w:r>
            <w:bookmarkStart w:id="305" w:name="NOTE_307"/>
            <w:r>
              <w:rPr>
                <w:rStyle w:val="FootnoteReference"/>
                <w:sz w:val="18"/>
              </w:rPr>
              <w:footnoteReference w:id="308"/>
            </w:r>
            <w:bookmarkEnd w:id="305"/>
            <w:r>
              <w:t>) avfall verken sluttbehandles, forbrennes eller samforbrennes.</w:t>
            </w:r>
          </w:p>
        </w:tc>
      </w:tr>
      <w:tr w:rsidR="006561BA" w14:paraId="3163B159" w14:textId="77777777">
        <w:tc>
          <w:tcPr>
            <w:tcW w:w="2484" w:type="dxa"/>
            <w:tcMar>
              <w:top w:w="200" w:type="dxa"/>
              <w:left w:w="0" w:type="dxa"/>
              <w:bottom w:w="200" w:type="dxa"/>
            </w:tcMar>
          </w:tcPr>
          <w:p w14:paraId="7C2E7800" w14:textId="77777777" w:rsidR="006561BA" w:rsidRDefault="005B4ED6">
            <w:pPr>
              <w:pStyle w:val="AnnexNumberedText"/>
              <w:spacing w:after="0"/>
              <w:ind w:left="293" w:hanging="293"/>
            </w:pPr>
            <w:r>
              <w:t>6)</w:t>
            </w:r>
            <w:r>
              <w:tab/>
              <w:t>Beskyttelse og restaurering av biologisk mangfold og økosystemer</w:t>
            </w:r>
          </w:p>
        </w:tc>
        <w:tc>
          <w:tcPr>
            <w:tcW w:w="6744" w:type="dxa"/>
            <w:tcMar>
              <w:top w:w="200" w:type="dxa"/>
              <w:bottom w:w="200" w:type="dxa"/>
            </w:tcMar>
          </w:tcPr>
          <w:p w14:paraId="1DBE8792" w14:textId="77777777" w:rsidR="006561BA" w:rsidRDefault="005B4ED6">
            <w:pPr>
              <w:pStyle w:val="AnnexTableCellLeft"/>
            </w:pPr>
            <w:r>
              <w:t>Aktiviteten oppfyller kriteriene fastsatt i tillegg D til dette vedlegget.</w:t>
            </w:r>
          </w:p>
        </w:tc>
      </w:tr>
    </w:tbl>
    <w:p w14:paraId="58977DD8" w14:textId="77777777" w:rsidR="006561BA" w:rsidRDefault="005B4ED6">
      <w:pPr>
        <w:shd w:val="clear" w:color="auto" w:fill="auto"/>
        <w:spacing w:line="0" w:lineRule="auto"/>
        <w:jc w:val="left"/>
        <w:rPr>
          <w:color w:val="auto"/>
          <w14:ligatures w14:val="standard"/>
        </w:rPr>
      </w:pPr>
      <w:r>
        <w:br w:type="page"/>
      </w:r>
    </w:p>
    <w:p w14:paraId="46C3B17E" w14:textId="77777777" w:rsidR="006561BA" w:rsidRDefault="005B4ED6">
      <w:pPr>
        <w:pStyle w:val="AnnexNumberedText"/>
        <w:spacing w:after="500"/>
        <w:ind w:left="414" w:hanging="414"/>
      </w:pPr>
      <w:r>
        <w:lastRenderedPageBreak/>
        <w:t>2.2.</w:t>
      </w:r>
      <w:r>
        <w:rPr>
          <w:b/>
        </w:rPr>
        <w:tab/>
        <w:t>Behandling av farlig avfall</w:t>
      </w:r>
    </w:p>
    <w:p w14:paraId="5C7D096F" w14:textId="77777777" w:rsidR="006561BA" w:rsidRDefault="005B4ED6">
      <w:pPr>
        <w:pStyle w:val="AnnexGrSeq3"/>
        <w:jc w:val="both"/>
      </w:pPr>
      <w:r>
        <w:rPr>
          <w:i/>
        </w:rPr>
        <w:t>Beskrivelse av aktiviteten</w:t>
      </w:r>
    </w:p>
    <w:p w14:paraId="43DFDF49" w14:textId="0A7E61D4" w:rsidR="006561BA" w:rsidRDefault="005B4ED6">
      <w:pPr>
        <w:pStyle w:val="AnnexNormal"/>
      </w:pPr>
      <w:r>
        <w:t>Bygging, endring av bruksområde, oppgradering og drift av særlige anlegg for behandling av farlig avfall, herunder forbrenning av ikke-gjenvinnbart farlig avfall(</w:t>
      </w:r>
      <w:bookmarkStart w:id="306" w:name="NOTE_308"/>
      <w:r>
        <w:rPr>
          <w:rStyle w:val="FootnoteReference"/>
          <w:sz w:val="18"/>
        </w:rPr>
        <w:footnoteReference w:id="309"/>
      </w:r>
      <w:bookmarkEnd w:id="306"/>
      <w:r>
        <w:t>) (metode D10), biologisk behandling av farlig avfall (metode D8) og fysisk-kjemisk behandling (metode D9)</w:t>
      </w:r>
      <w:bookmarkStart w:id="307" w:name="NOTE_309"/>
      <w:r w:rsidR="00432B91">
        <w:t>(</w:t>
      </w:r>
      <w:r>
        <w:rPr>
          <w:rStyle w:val="FootnoteReference"/>
          <w:sz w:val="18"/>
        </w:rPr>
        <w:footnoteReference w:id="310"/>
      </w:r>
      <w:bookmarkEnd w:id="307"/>
      <w:r>
        <w:t>).</w:t>
      </w:r>
    </w:p>
    <w:p w14:paraId="7E85C5F0" w14:textId="77777777" w:rsidR="006561BA" w:rsidRDefault="005B4ED6">
      <w:pPr>
        <w:pStyle w:val="AnnexNormal"/>
      </w:pPr>
      <w:r>
        <w:t>Aktiviteten omfatter ikke</w:t>
      </w:r>
    </w:p>
    <w:p w14:paraId="6D0780E5" w14:textId="77777777" w:rsidR="006561BA" w:rsidRDefault="005B4ED6">
      <w:pPr>
        <w:pStyle w:val="AnnexNumberedText"/>
        <w:spacing w:after="200"/>
        <w:ind w:left="293" w:hanging="293"/>
      </w:pPr>
      <w:r>
        <w:t>a)</w:t>
      </w:r>
      <w:r>
        <w:tab/>
        <w:t>sluttbehandling (som fastsatt i vedlegg I til direktiv 2008/98/EF) av farlig avfall som for eksempel deponering eller permanent lagring,</w:t>
      </w:r>
    </w:p>
    <w:p w14:paraId="53E8C302" w14:textId="77777777" w:rsidR="006561BA" w:rsidRDefault="005B4ED6">
      <w:pPr>
        <w:pStyle w:val="AnnexNumberedText"/>
        <w:spacing w:after="200"/>
        <w:ind w:left="293" w:hanging="293"/>
      </w:pPr>
      <w:r>
        <w:t>b)</w:t>
      </w:r>
      <w:r>
        <w:tab/>
        <w:t>forbrenning av gjenvinnbart farlig avfall og forbrenning av ikke-farlig avfall,</w:t>
      </w:r>
    </w:p>
    <w:p w14:paraId="238DFA45" w14:textId="77777777" w:rsidR="006561BA" w:rsidRDefault="005B4ED6">
      <w:pPr>
        <w:pStyle w:val="AnnexNumberedText"/>
        <w:spacing w:after="200"/>
        <w:ind w:left="293" w:hanging="293"/>
      </w:pPr>
      <w:r>
        <w:t>c)</w:t>
      </w:r>
      <w:r>
        <w:tab/>
        <w:t>behandling og sluttbehandling av giftige levende eller døde dyr og annet forurenset avfall,</w:t>
      </w:r>
    </w:p>
    <w:p w14:paraId="18C6FB0A" w14:textId="77777777" w:rsidR="006561BA" w:rsidRDefault="005B4ED6">
      <w:pPr>
        <w:pStyle w:val="AnnexNumberedText"/>
        <w:spacing w:after="200"/>
        <w:ind w:left="293" w:hanging="293"/>
      </w:pPr>
      <w:r>
        <w:t>d)</w:t>
      </w:r>
      <w:r>
        <w:tab/>
        <w:t>behandling og sluttbehandling av radioaktivt atomavfall.</w:t>
      </w:r>
    </w:p>
    <w:p w14:paraId="24997D89" w14:textId="5A62E811" w:rsidR="006561BA" w:rsidRDefault="005B4ED6">
      <w:pPr>
        <w:pStyle w:val="AnnexNormal"/>
        <w:spacing w:after="600"/>
      </w:pPr>
      <w:r>
        <w:t>De økonomiske aktivitetene i denne kategorien kan knyttes til flere NACE-koder, særlig E38.22</w:t>
      </w:r>
      <w:r w:rsidR="000C53E6">
        <w:t>,</w:t>
      </w:r>
      <w:r>
        <w:t xml:space="preserve"> i samsvar med standarden for næringsgruppering fastsatt ved forordning (EF) nr. 1893/2006.</w:t>
      </w:r>
    </w:p>
    <w:p w14:paraId="2F71AE83" w14:textId="77777777" w:rsidR="006561BA" w:rsidRDefault="005B4ED6">
      <w:pPr>
        <w:pStyle w:val="AnnexGrSeq3"/>
        <w:spacing w:after="300"/>
        <w:jc w:val="both"/>
      </w:pPr>
      <w:r>
        <w:rPr>
          <w:i/>
        </w:rPr>
        <w:t>Tekniske screeningkriterier</w:t>
      </w:r>
    </w:p>
    <w:tbl>
      <w:tblPr>
        <w:tblStyle w:val="EFTATable"/>
        <w:tblW w:w="9228" w:type="dxa"/>
        <w:tblInd w:w="12" w:type="dxa"/>
        <w:tblLayout w:type="fixed"/>
        <w:tblLook w:val="04A0" w:firstRow="1" w:lastRow="0" w:firstColumn="1" w:lastColumn="0" w:noHBand="0" w:noVBand="1"/>
      </w:tblPr>
      <w:tblGrid>
        <w:gridCol w:w="2484"/>
        <w:gridCol w:w="6744"/>
      </w:tblGrid>
      <w:tr w:rsidR="006561BA" w14:paraId="4600B05C" w14:textId="77777777">
        <w:trPr>
          <w:trHeight w:val="240"/>
        </w:trPr>
        <w:tc>
          <w:tcPr>
            <w:tcW w:w="9228" w:type="dxa"/>
            <w:gridSpan w:val="2"/>
            <w:tcMar>
              <w:top w:w="200" w:type="dxa"/>
              <w:left w:w="0" w:type="dxa"/>
              <w:bottom w:w="200" w:type="dxa"/>
              <w:right w:w="0" w:type="dxa"/>
            </w:tcMar>
          </w:tcPr>
          <w:p w14:paraId="3740A4D7" w14:textId="77777777" w:rsidR="006561BA" w:rsidRDefault="005B4ED6">
            <w:pPr>
              <w:pStyle w:val="AnnexTableCellLeft"/>
            </w:pPr>
            <w:r>
              <w:t>Vesentlig bidrag til forebygging og begrensning av forurensning</w:t>
            </w:r>
          </w:p>
        </w:tc>
      </w:tr>
      <w:tr w:rsidR="006561BA" w14:paraId="5D62DCA1" w14:textId="77777777">
        <w:trPr>
          <w:trHeight w:val="360"/>
        </w:trPr>
        <w:tc>
          <w:tcPr>
            <w:tcW w:w="9228" w:type="dxa"/>
            <w:gridSpan w:val="2"/>
            <w:tcMar>
              <w:top w:w="200" w:type="dxa"/>
              <w:left w:w="0" w:type="dxa"/>
              <w:bottom w:w="200" w:type="dxa"/>
              <w:right w:w="0" w:type="dxa"/>
            </w:tcMar>
          </w:tcPr>
          <w:p w14:paraId="237A949D" w14:textId="77777777" w:rsidR="006561BA" w:rsidRDefault="005B4ED6">
            <w:pPr>
              <w:pStyle w:val="AnnexNumberedText"/>
              <w:tabs>
                <w:tab w:val="left" w:pos="228"/>
              </w:tabs>
              <w:ind w:left="0" w:firstLine="0"/>
            </w:pPr>
            <w:r>
              <w:t>1.</w:t>
            </w:r>
            <w:r>
              <w:tab/>
              <w:t>For alle avfallsbehandlingsprosesser oppfyller aktiviteten følgende kriterier:</w:t>
            </w:r>
          </w:p>
          <w:p w14:paraId="30A400AF" w14:textId="77777777" w:rsidR="006561BA" w:rsidRDefault="005B4ED6">
            <w:pPr>
              <w:pStyle w:val="AnnexNumberedText"/>
              <w:tabs>
                <w:tab w:val="left" w:pos="396"/>
              </w:tabs>
              <w:ind w:left="0" w:firstLine="0"/>
            </w:pPr>
            <w:r>
              <w:t>1.1.</w:t>
            </w:r>
            <w:r>
              <w:tab/>
              <w:t>Avhengig av typen aktivitet oppfyller aktiviteten kravene i enten konklusjonene om beste tilgjengelige teknikker (BAT-konklusjoner) for avfallsbehandling(</w:t>
            </w:r>
            <w:bookmarkStart w:id="308" w:name="NOTE_310"/>
            <w:r>
              <w:rPr>
                <w:rStyle w:val="FootnoteReference"/>
                <w:sz w:val="18"/>
              </w:rPr>
              <w:footnoteReference w:id="311"/>
            </w:r>
            <w:bookmarkEnd w:id="308"/>
            <w:r>
              <w:t>) eller konklusjonene om beste tilgjengelige teknikker (BAT-konklusjoner) for avfallsforbrenning(</w:t>
            </w:r>
            <w:bookmarkStart w:id="309" w:name="NOTE_311"/>
            <w:r>
              <w:rPr>
                <w:rStyle w:val="FootnoteReference"/>
                <w:sz w:val="18"/>
              </w:rPr>
              <w:footnoteReference w:id="312"/>
            </w:r>
            <w:bookmarkEnd w:id="309"/>
            <w:r>
              <w:t>).</w:t>
            </w:r>
          </w:p>
          <w:p w14:paraId="1EBB1583" w14:textId="77777777" w:rsidR="006561BA" w:rsidRDefault="005B4ED6">
            <w:pPr>
              <w:pStyle w:val="AnnexTableCellLeft"/>
              <w:spacing w:after="120"/>
            </w:pPr>
            <w:r>
              <w:t>Anlegg som har fått unntak i samsvar med framgangsmåten fastsatt i artikkel 15 nr. 4 i direktiv 2010/75/EU, anses ikke å oppfylle de tekniske screeningkriteriene.</w:t>
            </w:r>
          </w:p>
          <w:p w14:paraId="0A351790" w14:textId="77777777" w:rsidR="006561BA" w:rsidRDefault="005B4ED6">
            <w:pPr>
              <w:pStyle w:val="AnnexNumberedText"/>
              <w:tabs>
                <w:tab w:val="left" w:pos="396"/>
              </w:tabs>
              <w:ind w:left="0" w:firstLine="0"/>
            </w:pPr>
            <w:r>
              <w:t>1.2.</w:t>
            </w:r>
            <w:r>
              <w:tab/>
              <w:t>I forbindelse med prosedyrene for forhåndsgodkjenning skal minst følgende opplysninger innhentes:</w:t>
            </w:r>
          </w:p>
          <w:p w14:paraId="31D5A20A" w14:textId="77777777" w:rsidR="006561BA" w:rsidRDefault="005B4ED6">
            <w:pPr>
              <w:pStyle w:val="AnnexNumberedText"/>
              <w:ind w:left="293" w:hanging="293"/>
            </w:pPr>
            <w:r>
              <w:t>a)</w:t>
            </w:r>
            <w:r>
              <w:tab/>
              <w:t>Forventet ankomstdato til renseanlegget.</w:t>
            </w:r>
          </w:p>
          <w:p w14:paraId="6BB63258" w14:textId="77777777" w:rsidR="006561BA" w:rsidRDefault="005B4ED6">
            <w:pPr>
              <w:pStyle w:val="AnnexNumberedText"/>
              <w:ind w:left="293" w:hanging="293"/>
            </w:pPr>
            <w:r>
              <w:t>b)</w:t>
            </w:r>
            <w:r>
              <w:tab/>
              <w:t>Kontaktopplysninger om avfallsprodusenten, den sektoren som avfallet stammer fra, og arten av den prosessen som genererer avfallet, herunder prosessens variasjoner.</w:t>
            </w:r>
          </w:p>
          <w:p w14:paraId="47B65C92" w14:textId="77777777" w:rsidR="006561BA" w:rsidRDefault="005B4ED6">
            <w:pPr>
              <w:pStyle w:val="AnnexNumberedText"/>
              <w:ind w:left="293" w:hanging="293"/>
            </w:pPr>
            <w:r>
              <w:t>c)</w:t>
            </w:r>
            <w:r>
              <w:tab/>
              <w:t>Den anslåtte mengden som forventes levert til aktivitetsutøveren per leveranse og per år.</w:t>
            </w:r>
          </w:p>
          <w:p w14:paraId="3A0A1798" w14:textId="77777777" w:rsidR="006561BA" w:rsidRDefault="005B4ED6">
            <w:pPr>
              <w:pStyle w:val="AnnexNumberedText"/>
              <w:ind w:left="293" w:hanging="293"/>
            </w:pPr>
            <w:r>
              <w:t>d)</w:t>
            </w:r>
            <w:r>
              <w:tab/>
              <w:t>Beskrivelse av avfallet, herunder sammensetning, avfallets farlige egenskaper, avfallskode og egnet behandlingsforløp.</w:t>
            </w:r>
          </w:p>
          <w:p w14:paraId="3037F1CB" w14:textId="77777777" w:rsidR="006561BA" w:rsidRDefault="005B4ED6">
            <w:pPr>
              <w:pStyle w:val="AnnexNumberedText"/>
              <w:tabs>
                <w:tab w:val="left" w:pos="396"/>
              </w:tabs>
              <w:ind w:left="0" w:firstLine="0"/>
            </w:pPr>
            <w:r>
              <w:t>1.3.</w:t>
            </w:r>
            <w:r>
              <w:tab/>
              <w:t>I forbindelse med godkjenningsprosedyrene er følgende elementer innført:</w:t>
            </w:r>
          </w:p>
          <w:p w14:paraId="6D43CED6" w14:textId="77777777" w:rsidR="006561BA" w:rsidRDefault="005B4ED6">
            <w:pPr>
              <w:pStyle w:val="AnnexNumberedText"/>
              <w:spacing w:after="0"/>
              <w:ind w:left="283" w:hanging="283"/>
            </w:pPr>
            <w:r>
              <w:t>a)</w:t>
            </w:r>
            <w:r>
              <w:tab/>
              <w:t xml:space="preserve">Et mottaksanlegg utstyrt med et laboratorium for å analysere prøver på stedet og dokumenterte analytiske standardprosedyrer, med mulighet for å legge ut analyser til godkjente eksterne </w:t>
            </w:r>
            <w:proofErr w:type="spellStart"/>
            <w:r>
              <w:t>kontraktslaboratorier</w:t>
            </w:r>
            <w:proofErr w:type="spellEnd"/>
            <w:r>
              <w:t>.</w:t>
            </w:r>
          </w:p>
        </w:tc>
      </w:tr>
      <w:tr w:rsidR="006561BA" w14:paraId="0A12DCC8" w14:textId="77777777">
        <w:trPr>
          <w:trHeight w:val="360"/>
        </w:trPr>
        <w:tc>
          <w:tcPr>
            <w:tcW w:w="9228" w:type="dxa"/>
            <w:gridSpan w:val="2"/>
            <w:tcMar>
              <w:top w:w="200" w:type="dxa"/>
              <w:left w:w="0" w:type="dxa"/>
              <w:bottom w:w="200" w:type="dxa"/>
              <w:right w:w="0" w:type="dxa"/>
            </w:tcMar>
          </w:tcPr>
          <w:p w14:paraId="34B6F41D" w14:textId="77777777" w:rsidR="006561BA" w:rsidRDefault="005B4ED6">
            <w:pPr>
              <w:pStyle w:val="AnnexNumberedText"/>
              <w:pageBreakBefore/>
            </w:pPr>
            <w:r>
              <w:lastRenderedPageBreak/>
              <w:t>b)</w:t>
            </w:r>
            <w:r>
              <w:tab/>
              <w:t>Dokumentert prøvetakingsprosedyre i samsvar med relevante standarder, som for eksempel EN 14899:2005(</w:t>
            </w:r>
            <w:bookmarkStart w:id="310" w:name="NOTE_312"/>
            <w:r>
              <w:rPr>
                <w:rStyle w:val="FootnoteReference"/>
                <w:sz w:val="18"/>
              </w:rPr>
              <w:footnoteReference w:id="313"/>
            </w:r>
            <w:bookmarkEnd w:id="310"/>
            <w:r>
              <w:t>).</w:t>
            </w:r>
          </w:p>
          <w:p w14:paraId="69BFDE64" w14:textId="77777777" w:rsidR="006561BA" w:rsidRDefault="005B4ED6">
            <w:pPr>
              <w:pStyle w:val="AnnexNumberedText"/>
            </w:pPr>
            <w:r>
              <w:t>c)</w:t>
            </w:r>
            <w:r>
              <w:tab/>
              <w:t xml:space="preserve">Dokumentert analyse av de relevante fysisk-kjemiske </w:t>
            </w:r>
            <w:proofErr w:type="spellStart"/>
            <w:r>
              <w:t>parametrene</w:t>
            </w:r>
            <w:proofErr w:type="spellEnd"/>
            <w:r>
              <w:t xml:space="preserve"> for behandlingen.</w:t>
            </w:r>
          </w:p>
          <w:p w14:paraId="00C384B7" w14:textId="77777777" w:rsidR="006561BA" w:rsidRDefault="005B4ED6">
            <w:pPr>
              <w:pStyle w:val="AnnexNumberedText"/>
            </w:pPr>
            <w:r>
              <w:t>d)</w:t>
            </w:r>
            <w:r>
              <w:tab/>
              <w:t>Et eget lagringsområde for karanteneavfall, samt skriftlige prosedyrer for håndtering av ikke-godkjent avfall.</w:t>
            </w:r>
          </w:p>
          <w:p w14:paraId="67C7008C" w14:textId="77777777" w:rsidR="006561BA" w:rsidRDefault="005B4ED6">
            <w:pPr>
              <w:pStyle w:val="AnnexTableCellLeft"/>
              <w:spacing w:after="120"/>
            </w:pPr>
            <w:r>
              <w:t>Det personalet som arbeider med prosedyrene for forhåndsgodkjenning og mottak kan på grunn av sitt yrke eller sin erfaring håndtere alle nødvendige spørsmål som er relevante for behandlingen av avfallet på avfallsbehandlingsanlegget. Prosedyrene er beregnet på forhåndsgodkjenning og mottak av avfall på renseanlegget så fremt det finnes et egnet behandlingsforløp og sluttbehandlings- eller gjenvinningsforløpet for resultatet av behandlingen er fastsatt.</w:t>
            </w:r>
          </w:p>
          <w:p w14:paraId="586CF12C" w14:textId="77777777" w:rsidR="006561BA" w:rsidRDefault="005B4ED6">
            <w:pPr>
              <w:pStyle w:val="AnnexTableCellLeft"/>
              <w:spacing w:after="120"/>
            </w:pPr>
            <w:r>
              <w:t>For «blandingsaktiviteter» (som fastsatt i avsnitt 5.1 bokstav c) i vedlegg I til direktiv 2010/75/EU) anvender ikke aktivitetsutøveren fortynning for å minske konsentrasjonen av et eller flere farlige stoffer i avfallet, med sikte på at den resulterende avfallsblandingen skal nedgraderes og få status som «ikke-farlig avfall», og deretter behandles på anlegg som ikke er beregnet på behandling av farlig avfall. Fortynning anvendes ikke som en «erstatning» for en egnet behandling av avfallet.</w:t>
            </w:r>
          </w:p>
          <w:p w14:paraId="666D0304" w14:textId="77777777" w:rsidR="006561BA" w:rsidRDefault="005B4ED6">
            <w:pPr>
              <w:pStyle w:val="AnnexNumberedText"/>
              <w:tabs>
                <w:tab w:val="left" w:pos="240"/>
              </w:tabs>
              <w:ind w:left="0" w:firstLine="0"/>
            </w:pPr>
            <w:r>
              <w:t>2.</w:t>
            </w:r>
            <w:r>
              <w:tab/>
              <w:t>For fysisk-kjemisk behandling av fast eller tyktflytende avfall er all behandling med henblikk på behandling av avfall før sluttbehandling, som for eksempel på deponier for farlig avfall, utformet for å oppfylle følgende krav:</w:t>
            </w:r>
          </w:p>
          <w:p w14:paraId="7F19AF14" w14:textId="77777777" w:rsidR="006561BA" w:rsidRDefault="005B4ED6">
            <w:pPr>
              <w:pStyle w:val="AnnexNumberedText"/>
              <w:ind w:left="293" w:hanging="293"/>
            </w:pPr>
            <w:r>
              <w:t>a)</w:t>
            </w:r>
            <w:r>
              <w:tab/>
              <w:t>Den høyeste konsentrasjonen av totalt organisk karbon (TOC) i hvert enkelt avfall som tilføres deponiet, begrenses til 6 %.</w:t>
            </w:r>
          </w:p>
          <w:p w14:paraId="175E916C" w14:textId="77777777" w:rsidR="006561BA" w:rsidRDefault="005B4ED6">
            <w:pPr>
              <w:pStyle w:val="AnnexNumberedText"/>
              <w:ind w:left="293" w:hanging="293"/>
            </w:pPr>
            <w:r>
              <w:t>b)</w:t>
            </w:r>
            <w:r>
              <w:tab/>
              <w:t>Grenseverdi på 1 000 mg/kg oppløst organisk karbon (DOC) som tørrstoff i utgående avfall etter en utlekkingstest med L/S = 10 l/kg basert på EU-standard EN 12457-2:2002(</w:t>
            </w:r>
            <w:bookmarkStart w:id="311" w:name="NOTE_313"/>
            <w:r>
              <w:rPr>
                <w:rStyle w:val="FootnoteReference"/>
                <w:sz w:val="18"/>
              </w:rPr>
              <w:footnoteReference w:id="314"/>
            </w:r>
            <w:bookmarkEnd w:id="311"/>
            <w:r>
              <w:t>).</w:t>
            </w:r>
          </w:p>
          <w:p w14:paraId="21FD9927" w14:textId="77777777" w:rsidR="006561BA" w:rsidRDefault="005B4ED6">
            <w:pPr>
              <w:pStyle w:val="AnnexNumberedText"/>
              <w:tabs>
                <w:tab w:val="left" w:pos="240"/>
              </w:tabs>
              <w:ind w:left="0" w:firstLine="0"/>
            </w:pPr>
            <w:r>
              <w:t>3.</w:t>
            </w:r>
            <w:r>
              <w:tab/>
              <w:t>For fysisk-kjemisk behandling av avfall med brennverdi treffes tiltak for å unngå fortynning og spredning av farlige stoffer, og for å unngå eventuelle høye belastninger som slippes ut i luften på grunn av uegnet sluttbehandling av avfall med brennverdi. Ethvert behandlingsanlegg skal forut for den endelige varmebehandlingen (forbrenning eller samforbrenning) utformes med det formål å begrense innholdet av farlige stoffer (og oppfylle andre relaterte kriterier) for hvert enkelt tilført avfall som behandles på det fysisk-kjemiske behandlingsanlegget, slik at det overholder mottaksnivåene ved innføring til de endelige varmebehandlingsanleggene.</w:t>
            </w:r>
          </w:p>
          <w:p w14:paraId="18E93A7F" w14:textId="77777777" w:rsidR="006561BA" w:rsidRDefault="005B4ED6">
            <w:pPr>
              <w:pStyle w:val="AnnexNumberedText"/>
              <w:tabs>
                <w:tab w:val="left" w:pos="240"/>
              </w:tabs>
              <w:ind w:left="0" w:firstLine="0"/>
            </w:pPr>
            <w:r>
              <w:t>4.</w:t>
            </w:r>
            <w:r>
              <w:tab/>
              <w:t>For behandling av vannholdig flytende avfall vurderes den biologiske rensingen av avløpsvannet som følge av behandlingen av det vannbaserte flytende avfallet i et biologisk renseanlegg på grunnlag av følgende kriterium:</w:t>
            </w:r>
          </w:p>
          <w:p w14:paraId="4675DEFF" w14:textId="77777777" w:rsidR="006561BA" w:rsidRDefault="005B4ED6">
            <w:pPr>
              <w:pStyle w:val="AnnexTableCellLeft"/>
              <w:spacing w:after="120"/>
            </w:pPr>
            <w:r>
              <w:t xml:space="preserve">Nedbryting av oppløst organisk karbon (DOC) på &gt; 70 % på 7 dager (&gt; 80 % når det anvendes et tilpasset </w:t>
            </w:r>
            <w:proofErr w:type="spellStart"/>
            <w:r>
              <w:t>inokulum</w:t>
            </w:r>
            <w:proofErr w:type="spellEnd"/>
            <w:r>
              <w:t>) i samsvar med EN ISO 9888(</w:t>
            </w:r>
            <w:bookmarkStart w:id="312" w:name="NOTE_314"/>
            <w:r>
              <w:rPr>
                <w:rStyle w:val="FootnoteReference"/>
                <w:sz w:val="18"/>
              </w:rPr>
              <w:footnoteReference w:id="315"/>
            </w:r>
            <w:bookmarkEnd w:id="312"/>
            <w:r>
              <w:t xml:space="preserve">) (Zahn </w:t>
            </w:r>
            <w:proofErr w:type="spellStart"/>
            <w:r>
              <w:t>Wellens</w:t>
            </w:r>
            <w:proofErr w:type="spellEnd"/>
            <w:r>
              <w:t>), eller andre allment aksepterte, likeverdige industristandarder og metoder som anvendes til å vurdere bionedbryting og relaterte egenskaper.</w:t>
            </w:r>
          </w:p>
          <w:p w14:paraId="32F8B3B4" w14:textId="31C0617D" w:rsidR="006561BA" w:rsidRDefault="005B4ED6">
            <w:pPr>
              <w:pStyle w:val="AnnexNumberedText"/>
              <w:tabs>
                <w:tab w:val="left" w:pos="240"/>
              </w:tabs>
              <w:spacing w:after="0"/>
              <w:ind w:left="0" w:firstLine="0"/>
            </w:pPr>
            <w:r>
              <w:t>5.</w:t>
            </w:r>
            <w:r>
              <w:tab/>
              <w:t>For behandling av avfall som inneholder persistente organiske forurensende stoffer (POP), kontrolleres og spores alt avfall som inneholder POP-stoffer</w:t>
            </w:r>
            <w:r w:rsidR="005B2626">
              <w:t>,</w:t>
            </w:r>
            <w:r>
              <w:t xml:space="preserve"> som oppført i vedlegg IV til forordning (EU) 2019/1021</w:t>
            </w:r>
            <w:r w:rsidR="000E648C">
              <w:t>,</w:t>
            </w:r>
            <w:r>
              <w:t xml:space="preserve"> som farlig avfall i samsvar med artikkel 17 i direktiv 2008/98/EF. Spesifikke krav i artikkel 7 nr. 4, artikkel 17, 18 og 19 i direktiv 2008/98/EF får anvendelse. Ved grensekryssende transport får kravene i kapittel I </w:t>
            </w:r>
            <w:proofErr w:type="spellStart"/>
            <w:r>
              <w:t>i</w:t>
            </w:r>
            <w:proofErr w:type="spellEnd"/>
            <w:r>
              <w:t xml:space="preserve"> europaparlaments- og rådsforordning (EF) nr. 1013/2006(</w:t>
            </w:r>
            <w:bookmarkStart w:id="313" w:name="NOTE_315"/>
            <w:r>
              <w:rPr>
                <w:rStyle w:val="FootnoteReference"/>
                <w:sz w:val="18"/>
              </w:rPr>
              <w:footnoteReference w:id="316"/>
            </w:r>
            <w:bookmarkEnd w:id="313"/>
            <w:r>
              <w:t>) anvendelse.</w:t>
            </w:r>
          </w:p>
        </w:tc>
      </w:tr>
      <w:tr w:rsidR="006561BA" w14:paraId="14141A09" w14:textId="77777777">
        <w:trPr>
          <w:trHeight w:val="240"/>
        </w:trPr>
        <w:tc>
          <w:tcPr>
            <w:tcW w:w="9228" w:type="dxa"/>
            <w:gridSpan w:val="2"/>
            <w:tcMar>
              <w:top w:w="240" w:type="dxa"/>
              <w:left w:w="0" w:type="dxa"/>
              <w:bottom w:w="240" w:type="dxa"/>
              <w:right w:w="0" w:type="dxa"/>
            </w:tcMar>
          </w:tcPr>
          <w:p w14:paraId="10AC96B6" w14:textId="77F880F5" w:rsidR="006561BA" w:rsidRDefault="005B4ED6">
            <w:pPr>
              <w:pStyle w:val="AnnexTableCellLeft"/>
              <w:pageBreakBefore/>
              <w:spacing w:after="120"/>
            </w:pPr>
            <w:r>
              <w:lastRenderedPageBreak/>
              <w:t>Det sporingssystemet som finnes på anleggene på grunnlag av ovennevnte beste praksis, gjør det mulig å overvåke</w:t>
            </w:r>
          </w:p>
          <w:p w14:paraId="481E847B" w14:textId="77777777" w:rsidR="006561BA" w:rsidRDefault="005B4ED6">
            <w:pPr>
              <w:pStyle w:val="AnnexNumberedText"/>
            </w:pPr>
            <w:r>
              <w:t>a)</w:t>
            </w:r>
            <w:r>
              <w:tab/>
              <w:t>effektiv separasjon av hver del av et produkt eller avfall, som for eksempel avfallsutstyr, som inneholder eller er forurenset med POP over de nivåene som er fastsatt i vedlegg IV til forordning (EU) 2019/1021,</w:t>
            </w:r>
          </w:p>
          <w:p w14:paraId="55CD3DA5" w14:textId="77777777" w:rsidR="006561BA" w:rsidRDefault="005B4ED6">
            <w:pPr>
              <w:pStyle w:val="AnnexNumberedText"/>
            </w:pPr>
            <w:r>
              <w:t>b)</w:t>
            </w:r>
            <w:r>
              <w:tab/>
              <w:t>effektiv destruksjon eller irreversibel omdanning av POP-avfallet i samsvar med artikkel 7 nr. 2–4 og vedlegg V til forordning (EU) 2019/1021.</w:t>
            </w:r>
          </w:p>
          <w:p w14:paraId="3DC2D069" w14:textId="0E9823F8" w:rsidR="006561BA" w:rsidRDefault="005B4ED6">
            <w:pPr>
              <w:pStyle w:val="AnnexNumberedText"/>
              <w:tabs>
                <w:tab w:val="left" w:pos="240"/>
              </w:tabs>
              <w:ind w:left="0" w:firstLine="0"/>
            </w:pPr>
            <w:r>
              <w:t>6.</w:t>
            </w:r>
            <w:r>
              <w:tab/>
              <w:t>For behandling av kvikksølvholdig avfall(</w:t>
            </w:r>
            <w:bookmarkStart w:id="314" w:name="NOTE_316"/>
            <w:r>
              <w:rPr>
                <w:rStyle w:val="FootnoteReference"/>
                <w:sz w:val="18"/>
              </w:rPr>
              <w:footnoteReference w:id="317"/>
            </w:r>
            <w:bookmarkEnd w:id="314"/>
            <w:r>
              <w:t xml:space="preserve">) skal alle anlegg som sannsynligvis vil behandle avfall som består av, inneholder eller er forurenset med kvikksølv eller kvikksølvforbindelser (som definert i artikkel 11 i </w:t>
            </w:r>
            <w:proofErr w:type="spellStart"/>
            <w:r>
              <w:t>Minamata</w:t>
            </w:r>
            <w:proofErr w:type="spellEnd"/>
            <w:r w:rsidR="00AC428B">
              <w:t>-</w:t>
            </w:r>
            <w:r>
              <w:t>konvensjonen), gjennomføre sporbarhetssystemet fastsatt i artikkel 14 i forordning (EU) 2017/852 eller et lignende sporbarhetssystem. Basert på dette sporingssystemet overvåker anleggene som behandler kvikksølvholdig avfall den effektive og sikre håndteringen av kvikksølv og kvikksølvforbindelser på egnet sluttdestinasjon.</w:t>
            </w:r>
          </w:p>
          <w:p w14:paraId="75C23471" w14:textId="77777777" w:rsidR="006561BA" w:rsidRDefault="005B4ED6">
            <w:pPr>
              <w:pStyle w:val="AnnexNumberedText"/>
              <w:tabs>
                <w:tab w:val="left" w:pos="240"/>
              </w:tabs>
              <w:ind w:left="0" w:firstLine="0"/>
            </w:pPr>
            <w:r>
              <w:t>7.</w:t>
            </w:r>
            <w:r>
              <w:tab/>
              <w:t xml:space="preserve">For behandling (forbrenningsfri) av avfall fra helsesektoren gjennomfører anlegget beste praksis som fastsatt i </w:t>
            </w:r>
            <w:proofErr w:type="spellStart"/>
            <w:r>
              <w:t>WHOs</w:t>
            </w:r>
            <w:proofErr w:type="spellEnd"/>
            <w:r>
              <w:t xml:space="preserve"> håndbok om sikker håndtering av avfall fra helsesektoren(</w:t>
            </w:r>
            <w:bookmarkStart w:id="315" w:name="NOTE_317"/>
            <w:r>
              <w:rPr>
                <w:rStyle w:val="FootnoteReference"/>
                <w:sz w:val="18"/>
              </w:rPr>
              <w:footnoteReference w:id="318"/>
            </w:r>
            <w:bookmarkEnd w:id="315"/>
            <w:r>
              <w:t>).</w:t>
            </w:r>
          </w:p>
          <w:p w14:paraId="3662CD42" w14:textId="77777777" w:rsidR="006561BA" w:rsidRDefault="005B4ED6">
            <w:pPr>
              <w:pStyle w:val="AnnexTableCellLeft"/>
              <w:spacing w:after="120"/>
            </w:pPr>
            <w:r>
              <w:t>Et anlegg for avfall fra helsesektoren som ikke kan forbrennes, har en særskilt mottaksprosedyre, og det overvåker og kan bevise at følgende typer avfall fra helsesektoren ikke godtas for behandling:</w:t>
            </w:r>
          </w:p>
          <w:p w14:paraId="076940B6" w14:textId="77777777" w:rsidR="006561BA" w:rsidRDefault="005B4ED6">
            <w:pPr>
              <w:pStyle w:val="AnnexNumberedText"/>
              <w:ind w:left="293" w:hanging="293"/>
            </w:pPr>
            <w:r>
              <w:t>a)</w:t>
            </w:r>
            <w:r>
              <w:tab/>
              <w:t>Cytotoksisk avfall.</w:t>
            </w:r>
          </w:p>
          <w:p w14:paraId="6BE43086" w14:textId="19DB6624" w:rsidR="006561BA" w:rsidRDefault="005B4ED6">
            <w:pPr>
              <w:pStyle w:val="AnnexNumberedText"/>
              <w:ind w:left="293" w:hanging="293"/>
            </w:pPr>
            <w:r>
              <w:t>b)</w:t>
            </w:r>
            <w:r>
              <w:tab/>
              <w:t>Medisin</w:t>
            </w:r>
            <w:r w:rsidR="00AE12EF">
              <w:t xml:space="preserve">sk </w:t>
            </w:r>
            <w:r>
              <w:t>avfall.</w:t>
            </w:r>
          </w:p>
          <w:p w14:paraId="2C267D8A" w14:textId="77777777" w:rsidR="006561BA" w:rsidRDefault="005B4ED6">
            <w:pPr>
              <w:pStyle w:val="AnnexNumberedText"/>
              <w:ind w:left="293" w:hanging="293"/>
            </w:pPr>
            <w:r>
              <w:t>c)</w:t>
            </w:r>
            <w:r>
              <w:tab/>
              <w:t>Kjemisk avfall.</w:t>
            </w:r>
          </w:p>
          <w:p w14:paraId="5BAAF085" w14:textId="77777777" w:rsidR="006561BA" w:rsidRDefault="005B4ED6">
            <w:pPr>
              <w:pStyle w:val="AnnexNumberedText"/>
              <w:ind w:left="293" w:hanging="293"/>
            </w:pPr>
            <w:r>
              <w:t>d)</w:t>
            </w:r>
            <w:r>
              <w:tab/>
              <w:t>Radioaktivt avfall.</w:t>
            </w:r>
          </w:p>
          <w:p w14:paraId="47DA12E8" w14:textId="77777777" w:rsidR="006561BA" w:rsidRDefault="005B4ED6">
            <w:pPr>
              <w:pStyle w:val="AnnexTableCellLeft"/>
            </w:pPr>
            <w:r>
              <w:t>De teknikkene som brukes, er sertifisert av et uavhengig sertifiseringsorgan.</w:t>
            </w:r>
          </w:p>
        </w:tc>
      </w:tr>
      <w:tr w:rsidR="006561BA" w14:paraId="09B22CC6" w14:textId="77777777">
        <w:trPr>
          <w:trHeight w:val="240"/>
        </w:trPr>
        <w:tc>
          <w:tcPr>
            <w:tcW w:w="9228" w:type="dxa"/>
            <w:gridSpan w:val="2"/>
            <w:tcMar>
              <w:top w:w="240" w:type="dxa"/>
              <w:left w:w="0" w:type="dxa"/>
              <w:bottom w:w="240" w:type="dxa"/>
              <w:right w:w="0" w:type="dxa"/>
            </w:tcMar>
          </w:tcPr>
          <w:p w14:paraId="6237973F" w14:textId="77777777" w:rsidR="006561BA" w:rsidRDefault="005B4ED6">
            <w:pPr>
              <w:pStyle w:val="AnnexTableCellLeft"/>
            </w:pPr>
            <w:r>
              <w:t>Prinsippet om ikke å gjøre betydelig skade («DNSH»)</w:t>
            </w:r>
          </w:p>
        </w:tc>
      </w:tr>
      <w:tr w:rsidR="006561BA" w14:paraId="3A74BB4B" w14:textId="77777777">
        <w:tc>
          <w:tcPr>
            <w:tcW w:w="2484" w:type="dxa"/>
            <w:tcMar>
              <w:top w:w="240" w:type="dxa"/>
              <w:left w:w="0" w:type="dxa"/>
              <w:bottom w:w="240" w:type="dxa"/>
            </w:tcMar>
          </w:tcPr>
          <w:p w14:paraId="136C5617" w14:textId="77777777" w:rsidR="006561BA" w:rsidRDefault="005B4ED6">
            <w:pPr>
              <w:pStyle w:val="AnnexNumberedText"/>
              <w:spacing w:after="0"/>
              <w:ind w:left="293" w:hanging="293"/>
            </w:pPr>
            <w:r>
              <w:t>1)</w:t>
            </w:r>
            <w:r>
              <w:tab/>
              <w:t>Begrensning av klimaendringer</w:t>
            </w:r>
          </w:p>
        </w:tc>
        <w:tc>
          <w:tcPr>
            <w:tcW w:w="6744" w:type="dxa"/>
            <w:tcMar>
              <w:top w:w="240" w:type="dxa"/>
              <w:bottom w:w="240" w:type="dxa"/>
              <w:right w:w="0" w:type="dxa"/>
            </w:tcMar>
          </w:tcPr>
          <w:p w14:paraId="3E2F5FA3" w14:textId="77777777" w:rsidR="006561BA" w:rsidRDefault="005B4ED6">
            <w:pPr>
              <w:pStyle w:val="AnnexTableCellLeft"/>
            </w:pPr>
            <w:r>
              <w:t>Ikke relevant</w:t>
            </w:r>
          </w:p>
        </w:tc>
      </w:tr>
      <w:tr w:rsidR="006561BA" w14:paraId="602065ED" w14:textId="77777777">
        <w:tc>
          <w:tcPr>
            <w:tcW w:w="2484" w:type="dxa"/>
            <w:tcMar>
              <w:top w:w="240" w:type="dxa"/>
              <w:left w:w="0" w:type="dxa"/>
              <w:bottom w:w="240" w:type="dxa"/>
            </w:tcMar>
          </w:tcPr>
          <w:p w14:paraId="2B42063D" w14:textId="77777777" w:rsidR="006561BA" w:rsidRDefault="005B4ED6">
            <w:pPr>
              <w:pStyle w:val="AnnexNumberedText"/>
              <w:spacing w:after="0"/>
              <w:ind w:left="293" w:hanging="293"/>
            </w:pPr>
            <w:r>
              <w:t>2)</w:t>
            </w:r>
            <w:r>
              <w:tab/>
              <w:t>Tilpasning til klimaendringer</w:t>
            </w:r>
          </w:p>
        </w:tc>
        <w:tc>
          <w:tcPr>
            <w:tcW w:w="6744" w:type="dxa"/>
            <w:tcMar>
              <w:top w:w="240" w:type="dxa"/>
              <w:bottom w:w="240" w:type="dxa"/>
              <w:right w:w="0" w:type="dxa"/>
            </w:tcMar>
          </w:tcPr>
          <w:p w14:paraId="1EF60B68" w14:textId="77777777" w:rsidR="006561BA" w:rsidRDefault="005B4ED6">
            <w:pPr>
              <w:pStyle w:val="AnnexTableCellLeft"/>
            </w:pPr>
            <w:r>
              <w:t>Aktiviteten oppfyller kriteriene fastsatt i tillegg A til dette vedlegget.</w:t>
            </w:r>
          </w:p>
        </w:tc>
      </w:tr>
      <w:tr w:rsidR="006561BA" w14:paraId="31CF00B4" w14:textId="77777777">
        <w:tc>
          <w:tcPr>
            <w:tcW w:w="2484" w:type="dxa"/>
            <w:tcMar>
              <w:top w:w="240" w:type="dxa"/>
              <w:left w:w="0" w:type="dxa"/>
              <w:bottom w:w="240" w:type="dxa"/>
            </w:tcMar>
          </w:tcPr>
          <w:p w14:paraId="55F32A6F" w14:textId="77777777" w:rsidR="006561BA" w:rsidRDefault="005B4ED6">
            <w:pPr>
              <w:pStyle w:val="AnnexNumberedText"/>
              <w:spacing w:after="0"/>
              <w:ind w:left="293" w:hanging="293"/>
            </w:pPr>
            <w:r>
              <w:t>3)</w:t>
            </w:r>
            <w:r>
              <w:tab/>
              <w:t>Bærekraftig bruk og beskyttelse av vann- og havressurser</w:t>
            </w:r>
          </w:p>
        </w:tc>
        <w:tc>
          <w:tcPr>
            <w:tcW w:w="6744" w:type="dxa"/>
            <w:tcMar>
              <w:top w:w="240" w:type="dxa"/>
              <w:bottom w:w="240" w:type="dxa"/>
              <w:right w:w="0" w:type="dxa"/>
            </w:tcMar>
          </w:tcPr>
          <w:p w14:paraId="6CAFCF65" w14:textId="77777777" w:rsidR="006561BA" w:rsidRDefault="005B4ED6">
            <w:pPr>
              <w:pStyle w:val="AnnexTableCellLeft"/>
              <w:spacing w:after="120"/>
            </w:pPr>
            <w:r>
              <w:t>Aktiviteten oppfyller kriteriene fastsatt i tillegg B til dette vedlegget.</w:t>
            </w:r>
          </w:p>
          <w:p w14:paraId="2FB44530" w14:textId="77777777" w:rsidR="006561BA" w:rsidRDefault="005B4ED6">
            <w:pPr>
              <w:pStyle w:val="AnnexTableCellLeft"/>
            </w:pPr>
            <w:r>
              <w:t>Relevante teknikker brukes for å beskytte vann- og havressurser, som fastsatt i konklusjonene om beste tilgjengelige teknikker (BAT-konklusjoner) for avfallsbehandling(</w:t>
            </w:r>
            <w:bookmarkStart w:id="316" w:name="NOTE_318"/>
            <w:r>
              <w:rPr>
                <w:rStyle w:val="FootnoteReference"/>
                <w:sz w:val="18"/>
              </w:rPr>
              <w:footnoteReference w:id="319"/>
            </w:r>
            <w:bookmarkEnd w:id="316"/>
            <w:r>
              <w:t>).</w:t>
            </w:r>
          </w:p>
        </w:tc>
      </w:tr>
      <w:tr w:rsidR="006561BA" w14:paraId="0221F673" w14:textId="77777777">
        <w:tc>
          <w:tcPr>
            <w:tcW w:w="2484" w:type="dxa"/>
            <w:tcMar>
              <w:top w:w="240" w:type="dxa"/>
              <w:left w:w="0" w:type="dxa"/>
              <w:bottom w:w="240" w:type="dxa"/>
            </w:tcMar>
          </w:tcPr>
          <w:p w14:paraId="6D5AD10E" w14:textId="77777777" w:rsidR="006561BA" w:rsidRDefault="005B4ED6">
            <w:pPr>
              <w:pStyle w:val="AnnexNumberedText"/>
              <w:spacing w:after="0"/>
              <w:ind w:left="293" w:hanging="293"/>
            </w:pPr>
            <w:r>
              <w:t>4)</w:t>
            </w:r>
            <w:r>
              <w:tab/>
              <w:t>Omstilling til en sirkulær økonomi</w:t>
            </w:r>
          </w:p>
        </w:tc>
        <w:tc>
          <w:tcPr>
            <w:tcW w:w="6744" w:type="dxa"/>
            <w:tcMar>
              <w:top w:w="240" w:type="dxa"/>
              <w:bottom w:w="240" w:type="dxa"/>
              <w:right w:w="0" w:type="dxa"/>
            </w:tcMar>
          </w:tcPr>
          <w:p w14:paraId="5012F3DB" w14:textId="77777777" w:rsidR="006561BA" w:rsidRDefault="005B4ED6">
            <w:pPr>
              <w:pStyle w:val="AnnexTableCellLeft"/>
            </w:pPr>
            <w:r>
              <w:t>Ikke relevant</w:t>
            </w:r>
          </w:p>
        </w:tc>
      </w:tr>
      <w:tr w:rsidR="006561BA" w14:paraId="2A61A98C" w14:textId="77777777">
        <w:tc>
          <w:tcPr>
            <w:tcW w:w="2484" w:type="dxa"/>
            <w:tcMar>
              <w:top w:w="240" w:type="dxa"/>
              <w:left w:w="0" w:type="dxa"/>
              <w:bottom w:w="240" w:type="dxa"/>
            </w:tcMar>
          </w:tcPr>
          <w:p w14:paraId="6BF83DBE" w14:textId="77777777" w:rsidR="006561BA" w:rsidRDefault="005B4ED6">
            <w:pPr>
              <w:pStyle w:val="AnnexNumberedText"/>
              <w:spacing w:after="0"/>
              <w:ind w:left="293" w:hanging="293"/>
            </w:pPr>
            <w:r>
              <w:t>6)</w:t>
            </w:r>
            <w:r>
              <w:tab/>
              <w:t>Beskyttelse og restaurering av biologisk mangfold og økosystemer</w:t>
            </w:r>
          </w:p>
        </w:tc>
        <w:tc>
          <w:tcPr>
            <w:tcW w:w="6744" w:type="dxa"/>
            <w:tcMar>
              <w:top w:w="240" w:type="dxa"/>
              <w:bottom w:w="240" w:type="dxa"/>
              <w:right w:w="0" w:type="dxa"/>
            </w:tcMar>
          </w:tcPr>
          <w:p w14:paraId="2D65830F" w14:textId="77777777" w:rsidR="006561BA" w:rsidRDefault="005B4ED6">
            <w:pPr>
              <w:pStyle w:val="AnnexTableCellLeft"/>
            </w:pPr>
            <w:r>
              <w:t>Aktiviteten oppfyller kriteriene fastsatt i tillegg D til dette vedlegget.</w:t>
            </w:r>
          </w:p>
        </w:tc>
      </w:tr>
    </w:tbl>
    <w:p w14:paraId="7FB22431" w14:textId="77777777" w:rsidR="006561BA" w:rsidRDefault="005B4ED6">
      <w:pPr>
        <w:shd w:val="clear" w:color="auto" w:fill="auto"/>
        <w:spacing w:line="0" w:lineRule="auto"/>
        <w:jc w:val="left"/>
        <w:rPr>
          <w:color w:val="auto"/>
          <w14:ligatures w14:val="standard"/>
        </w:rPr>
      </w:pPr>
      <w:r>
        <w:br w:type="page"/>
      </w:r>
    </w:p>
    <w:p w14:paraId="70235ED0" w14:textId="77777777" w:rsidR="006561BA" w:rsidRDefault="005B4ED6">
      <w:pPr>
        <w:pStyle w:val="AnnexNumberedText"/>
        <w:spacing w:after="600"/>
        <w:ind w:left="414" w:hanging="414"/>
      </w:pPr>
      <w:r>
        <w:lastRenderedPageBreak/>
        <w:t>2.3.</w:t>
      </w:r>
      <w:r>
        <w:rPr>
          <w:b/>
        </w:rPr>
        <w:tab/>
        <w:t>Opprydding av deponier som ikke overholder de rettslige kravene, og forlatte eller ulovlige avfallsdeponier</w:t>
      </w:r>
    </w:p>
    <w:p w14:paraId="17F94AE0" w14:textId="77777777" w:rsidR="006561BA" w:rsidRDefault="005B4ED6">
      <w:pPr>
        <w:pStyle w:val="AnnexGrSeq3"/>
        <w:jc w:val="both"/>
      </w:pPr>
      <w:r>
        <w:rPr>
          <w:i/>
        </w:rPr>
        <w:t>Beskrivelse av aktiviteten</w:t>
      </w:r>
    </w:p>
    <w:p w14:paraId="51BA29D9" w14:textId="77777777" w:rsidR="006561BA" w:rsidRDefault="005B4ED6">
      <w:pPr>
        <w:pStyle w:val="AnnexNormal"/>
        <w:spacing w:after="240"/>
      </w:pPr>
      <w:r>
        <w:t>Opprydding av deponier som ikke overholder de rettslige kravene(</w:t>
      </w:r>
      <w:bookmarkStart w:id="317" w:name="NOTE_319"/>
      <w:r>
        <w:rPr>
          <w:rStyle w:val="FootnoteReference"/>
          <w:sz w:val="18"/>
        </w:rPr>
        <w:footnoteReference w:id="320"/>
      </w:r>
      <w:bookmarkEnd w:id="317"/>
      <w:r>
        <w:t>), og av forlatte eller ulovlige avfallsdeponier(</w:t>
      </w:r>
      <w:bookmarkStart w:id="318" w:name="NOTE_320"/>
      <w:r>
        <w:rPr>
          <w:rStyle w:val="FootnoteReference"/>
          <w:sz w:val="18"/>
        </w:rPr>
        <w:footnoteReference w:id="321"/>
      </w:r>
      <w:bookmarkEnd w:id="318"/>
      <w:r>
        <w:t>) som er stengt, og som ikke tar imot annet avfall enn eventuelt inert eller biostabilisert avfall, som skal brukes som dekkmateriale i deponier (i den grad det er tillatt i henhold til oppryddingsprosjektets miljøtillatelse).</w:t>
      </w:r>
    </w:p>
    <w:p w14:paraId="6DE445B1" w14:textId="77777777" w:rsidR="006561BA" w:rsidRDefault="005B4ED6">
      <w:pPr>
        <w:pStyle w:val="AnnexNormal"/>
        <w:spacing w:after="240"/>
      </w:pPr>
      <w:r>
        <w:t>Aktiviteten kan omfatte følgende oppryddingsstrategier og delaktiviteter som vanligvis gjennomføres som en del av prosjekter, som tar sikte på å fjerne, kontrollere, begrense eller redusere forurensende utslipp(</w:t>
      </w:r>
      <w:bookmarkStart w:id="319" w:name="NOTE_321"/>
      <w:r>
        <w:rPr>
          <w:rStyle w:val="FootnoteReference"/>
          <w:sz w:val="18"/>
        </w:rPr>
        <w:footnoteReference w:id="322"/>
      </w:r>
      <w:bookmarkEnd w:id="319"/>
      <w:r>
        <w:t>) fra deponier som ikke overholder kravene, og forlatte eller ulovlige deponier:</w:t>
      </w:r>
    </w:p>
    <w:p w14:paraId="69528BAA" w14:textId="77777777" w:rsidR="006561BA" w:rsidRDefault="005B4ED6">
      <w:pPr>
        <w:pStyle w:val="AnnexNumberedText"/>
        <w:spacing w:after="240"/>
        <w:ind w:left="293" w:hanging="293"/>
      </w:pPr>
      <w:r>
        <w:t>a)</w:t>
      </w:r>
      <w:r>
        <w:tab/>
        <w:t>Opprydding gjennom miljømessig isolering av deponier eller søppelplasser som ikke oppfyller kravene, eller som er ulovlige, på det aktuelle området, herunder</w:t>
      </w:r>
    </w:p>
    <w:p w14:paraId="1EC4D60C" w14:textId="77777777" w:rsidR="006561BA" w:rsidRDefault="005B4ED6">
      <w:pPr>
        <w:pStyle w:val="AnnexNumberedText"/>
        <w:spacing w:after="240"/>
        <w:ind w:left="647" w:hanging="353"/>
      </w:pPr>
      <w:r>
        <w:t>i)</w:t>
      </w:r>
      <w:r>
        <w:tab/>
        <w:t>fysisk isolering, konsentrasjon, strukturell stabilisering og beskyttelse av det deponiet eller den søppelplassen som ikke oppfyller kravene, eller som er ulovlig, herunder anvendelse av hydrauliske barrierer, forsegling, drenering og dekklag,</w:t>
      </w:r>
    </w:p>
    <w:p w14:paraId="0054434F" w14:textId="77777777" w:rsidR="006561BA" w:rsidRDefault="005B4ED6">
      <w:pPr>
        <w:pStyle w:val="AnnexNumberedText"/>
        <w:spacing w:after="240"/>
        <w:ind w:left="647" w:hanging="353"/>
      </w:pPr>
      <w:r>
        <w:t>ii)</w:t>
      </w:r>
      <w:r>
        <w:tab/>
        <w:t>installering, drift og vedlikehold av dreneringssystemer samt separate oppsamlings- og behandlingssystemer for sigevann og avrenningsvann før utslipp,</w:t>
      </w:r>
    </w:p>
    <w:p w14:paraId="3BA6E2F9" w14:textId="77777777" w:rsidR="006561BA" w:rsidRDefault="005B4ED6">
      <w:pPr>
        <w:pStyle w:val="AnnexNumberedText"/>
        <w:spacing w:after="240"/>
        <w:ind w:left="647" w:hanging="353"/>
      </w:pPr>
      <w:r>
        <w:t>iii)</w:t>
      </w:r>
      <w:r>
        <w:tab/>
        <w:t xml:space="preserve">installering, drift og vedlikehold av systemer for oppsamling, bekjempelse og kontroll av gass fra deponier, herunder brønner, rørledninger og </w:t>
      </w:r>
      <w:proofErr w:type="spellStart"/>
      <w:r>
        <w:t>faklingsystemer</w:t>
      </w:r>
      <w:proofErr w:type="spellEnd"/>
      <w:r>
        <w:t>,</w:t>
      </w:r>
    </w:p>
    <w:p w14:paraId="0C5E49EC" w14:textId="77777777" w:rsidR="006561BA" w:rsidRDefault="005B4ED6">
      <w:pPr>
        <w:pStyle w:val="AnnexNumberedText"/>
        <w:spacing w:after="240"/>
        <w:ind w:left="647" w:hanging="353"/>
      </w:pPr>
      <w:r>
        <w:t>iv)</w:t>
      </w:r>
      <w:r>
        <w:tab/>
        <w:t xml:space="preserve">anvendelse av et dekklag av jord og plantedekke for </w:t>
      </w:r>
      <w:proofErr w:type="spellStart"/>
      <w:r>
        <w:t>renatureringsformål</w:t>
      </w:r>
      <w:proofErr w:type="spellEnd"/>
      <w:r>
        <w:t>.</w:t>
      </w:r>
    </w:p>
    <w:p w14:paraId="18468DF9" w14:textId="77777777" w:rsidR="006561BA" w:rsidRDefault="005B4ED6">
      <w:pPr>
        <w:pStyle w:val="AnnexNumberedText"/>
        <w:spacing w:after="240"/>
        <w:ind w:left="293" w:hanging="293"/>
      </w:pPr>
      <w:r>
        <w:t>b)</w:t>
      </w:r>
      <w:r>
        <w:tab/>
        <w:t>Opprydding gjennom utgraving og fjerning av deponier eller søppelplasser som ikke oppfyller kravene, og som er ulovlige, med etterfølgende behandling, gjenvinning eller sluttbehandling av utgravd avfall, herunder</w:t>
      </w:r>
    </w:p>
    <w:p w14:paraId="65C13583" w14:textId="77777777" w:rsidR="006561BA" w:rsidRDefault="005B4ED6">
      <w:pPr>
        <w:pStyle w:val="AnnexNumberedText"/>
        <w:spacing w:after="240"/>
        <w:ind w:left="597" w:hanging="303"/>
      </w:pPr>
      <w:r>
        <w:t>i)</w:t>
      </w:r>
      <w:r>
        <w:tab/>
        <w:t>selektiv utgraving av det avfallet som deponeres på anlegget, lasting og transport til eksisterende godkjente anlegg for behandling, gjenvinning eller sluttbehandling med separat håndtering av ikke-farlig og farlig avfall,</w:t>
      </w:r>
    </w:p>
    <w:p w14:paraId="402EDB4D" w14:textId="77777777" w:rsidR="006561BA" w:rsidRDefault="005B4ED6">
      <w:pPr>
        <w:pStyle w:val="AnnexNumberedText"/>
        <w:spacing w:after="240"/>
        <w:ind w:left="597" w:hanging="303"/>
      </w:pPr>
      <w:r>
        <w:t>ii)</w:t>
      </w:r>
      <w:r>
        <w:tab/>
        <w:t>sortering og gjenvinning av materialer og brensler fra utgravd ikke-farlig avfall, herunder installering, drift og vedlikehold av særlige anlegg og særlig utstyr så lenge oppryddingsprosjektet pågår.</w:t>
      </w:r>
    </w:p>
    <w:p w14:paraId="609FE459" w14:textId="77777777" w:rsidR="006561BA" w:rsidRDefault="005B4ED6">
      <w:pPr>
        <w:pStyle w:val="AnnexNumberedText"/>
        <w:spacing w:after="240"/>
        <w:ind w:left="293" w:hanging="293"/>
      </w:pPr>
      <w:r>
        <w:t>c)</w:t>
      </w:r>
      <w:r>
        <w:tab/>
        <w:t>Opprydding gjennom dekontaminering av jordbunn, overflate og grunnvann på forurensningsstedet, herunder følgende:</w:t>
      </w:r>
    </w:p>
    <w:p w14:paraId="71082031" w14:textId="77777777" w:rsidR="006561BA" w:rsidRDefault="005B4ED6">
      <w:pPr>
        <w:pStyle w:val="AnnexNumberedText"/>
        <w:spacing w:after="240"/>
        <w:ind w:left="647" w:hanging="353"/>
      </w:pPr>
      <w:r>
        <w:t>i)</w:t>
      </w:r>
      <w:r>
        <w:tab/>
        <w:t>Selektiv utgraving, lasting, transport, midlertidig lagring, oppfylling av jord, med separat håndtering av ikke-forurenset og forurenset jordbunn.</w:t>
      </w:r>
    </w:p>
    <w:p w14:paraId="5FC7ED49" w14:textId="77777777" w:rsidR="006561BA" w:rsidRDefault="005B4ED6">
      <w:pPr>
        <w:pStyle w:val="AnnexNumberedText"/>
        <w:spacing w:after="240"/>
        <w:ind w:left="647" w:hanging="353"/>
      </w:pPr>
      <w:r>
        <w:t>ii)</w:t>
      </w:r>
      <w:r>
        <w:tab/>
        <w:t xml:space="preserve">Behandling av forurenset jord eller forurenset vann, enten </w:t>
      </w:r>
      <w:r>
        <w:rPr>
          <w:i/>
        </w:rPr>
        <w:t xml:space="preserve">in </w:t>
      </w:r>
      <w:proofErr w:type="spellStart"/>
      <w:r>
        <w:rPr>
          <w:i/>
        </w:rPr>
        <w:t>situ</w:t>
      </w:r>
      <w:proofErr w:type="spellEnd"/>
      <w:r>
        <w:t xml:space="preserve"> eller </w:t>
      </w:r>
      <w:r>
        <w:rPr>
          <w:i/>
        </w:rPr>
        <w:t xml:space="preserve">ex </w:t>
      </w:r>
      <w:proofErr w:type="spellStart"/>
      <w:r>
        <w:rPr>
          <w:i/>
        </w:rPr>
        <w:t>situ</w:t>
      </w:r>
      <w:proofErr w:type="spellEnd"/>
      <w:r>
        <w:t>, særlig ved bruk av fysiske, kjemiske eller biologiske metoder, herunder installering, drift og vedlikehold av særlige anlegg så lenge oppryddingsprosjektet pågår.</w:t>
      </w:r>
    </w:p>
    <w:p w14:paraId="13E70288" w14:textId="77777777" w:rsidR="006561BA" w:rsidRDefault="005B4ED6">
      <w:pPr>
        <w:pStyle w:val="AnnexNumberedText"/>
        <w:spacing w:after="0"/>
        <w:ind w:left="647" w:hanging="353"/>
      </w:pPr>
      <w:r>
        <w:t>iii)</w:t>
      </w:r>
      <w:r>
        <w:tab/>
        <w:t>Anvendelse av hydrauliske barrierer, aktive og passive barrierer beregnet på å begrense/forhindre spredning av forurensende stoffer.</w:t>
      </w:r>
      <w:r>
        <w:br w:type="page"/>
      </w:r>
    </w:p>
    <w:p w14:paraId="2058DC4C" w14:textId="77777777" w:rsidR="006561BA" w:rsidRDefault="005B4ED6">
      <w:pPr>
        <w:pStyle w:val="AnnexNormal"/>
      </w:pPr>
      <w:r>
        <w:lastRenderedPageBreak/>
        <w:t>Aktiviteten omfatter også alle følgende delaktiviteter som er nødvendige for å utarbeide, planlegge, overvåke og følge opp de ovennevnte oppryddingstiltakene:</w:t>
      </w:r>
    </w:p>
    <w:p w14:paraId="0C080EA1" w14:textId="77777777" w:rsidR="006561BA" w:rsidRDefault="005B4ED6">
      <w:pPr>
        <w:pStyle w:val="AnnexNumberedText"/>
        <w:spacing w:after="200"/>
        <w:ind w:left="293" w:hanging="293"/>
      </w:pPr>
      <w:r>
        <w:t>a)</w:t>
      </w:r>
      <w:r>
        <w:tab/>
        <w:t>Forberedende undersøkelser, herunder datainnsamlings- og overvåkingsaktiviteter (særlig geologiske eller hydrologiske), tekniske gjennomførbarhets- og miljøkonsekvensundersøkelser som er nødvendige for å definere oppryddingsprosjektet.</w:t>
      </w:r>
    </w:p>
    <w:p w14:paraId="2C25E0C0" w14:textId="77777777" w:rsidR="006561BA" w:rsidRDefault="005B4ED6">
      <w:pPr>
        <w:pStyle w:val="AnnexNumberedText"/>
        <w:spacing w:after="200"/>
        <w:ind w:left="293" w:hanging="293"/>
      </w:pPr>
      <w:r>
        <w:t>b)</w:t>
      </w:r>
      <w:r>
        <w:tab/>
        <w:t xml:space="preserve">Forberedelse av anleggsområdet, herunder grunnarbeid og planering, oppføring eller forsterking av perimetermurer eller gjerder, hovedadkomstvei og interne veier, </w:t>
      </w:r>
      <w:proofErr w:type="spellStart"/>
      <w:r>
        <w:t>riving</w:t>
      </w:r>
      <w:proofErr w:type="spellEnd"/>
      <w:r>
        <w:t xml:space="preserve"> av bygninger eller andre konstruksjoner på deponiet.</w:t>
      </w:r>
    </w:p>
    <w:p w14:paraId="442BEA4F" w14:textId="77777777" w:rsidR="006561BA" w:rsidRDefault="005B4ED6">
      <w:pPr>
        <w:pStyle w:val="AnnexNumberedText"/>
        <w:spacing w:after="200"/>
        <w:ind w:left="293" w:hanging="293"/>
      </w:pPr>
      <w:r>
        <w:t>c)</w:t>
      </w:r>
      <w:r>
        <w:tab/>
        <w:t>Overvåking og kontroll av oppryddingstiltakene, herunder</w:t>
      </w:r>
    </w:p>
    <w:p w14:paraId="63C8BA41" w14:textId="77777777" w:rsidR="006561BA" w:rsidRDefault="005B4ED6">
      <w:pPr>
        <w:pStyle w:val="AnnexNumberedText"/>
        <w:spacing w:after="200"/>
        <w:ind w:left="647" w:hanging="353"/>
      </w:pPr>
      <w:r>
        <w:t>i)</w:t>
      </w:r>
      <w:r>
        <w:tab/>
        <w:t>prøvetaking av jord, vann, sediment, biota eller andre materialer,</w:t>
      </w:r>
    </w:p>
    <w:p w14:paraId="269E3C7C" w14:textId="77777777" w:rsidR="006561BA" w:rsidRDefault="005B4ED6">
      <w:pPr>
        <w:pStyle w:val="AnnexNumberedText"/>
        <w:spacing w:after="200"/>
        <w:ind w:left="647" w:hanging="353"/>
      </w:pPr>
      <w:r>
        <w:t>ii)</w:t>
      </w:r>
      <w:r>
        <w:tab/>
        <w:t>laboratorieanalyse av prøver for å identifisere arten og konsentrasjonen av forurensende stoffer,</w:t>
      </w:r>
    </w:p>
    <w:p w14:paraId="1F8337F7" w14:textId="77777777" w:rsidR="006561BA" w:rsidRDefault="005B4ED6">
      <w:pPr>
        <w:pStyle w:val="AnnexNumberedText"/>
        <w:spacing w:after="200"/>
        <w:ind w:left="647" w:hanging="353"/>
      </w:pPr>
      <w:r>
        <w:t>iii)</w:t>
      </w:r>
      <w:r>
        <w:tab/>
        <w:t>installering, drift og vedlikehold av overvåkingsanlegg og -utstyr som for eksempel observasjonsbrønner i og utenfor deponiområdet,</w:t>
      </w:r>
    </w:p>
    <w:p w14:paraId="0806CD2F" w14:textId="77777777" w:rsidR="006561BA" w:rsidRDefault="005B4ED6">
      <w:pPr>
        <w:pStyle w:val="AnnexNumberedText"/>
        <w:spacing w:after="200"/>
        <w:ind w:left="293" w:hanging="293"/>
      </w:pPr>
      <w:r>
        <w:t>d)</w:t>
      </w:r>
      <w:r>
        <w:tab/>
        <w:t xml:space="preserve">gjennomføring av andre miljøverntiltak og tiltak for forebygging og begrensning av forurensning for å oppfylle vilkårene i oppryddingsprosjektets miljøtillatelse, herunder tiltak for å ivareta driftssikkerheten på stedet og arbeidstakernes helse, som for eksempel brannbekjempelse, </w:t>
      </w:r>
      <w:proofErr w:type="spellStart"/>
      <w:r>
        <w:t>flomsikring</w:t>
      </w:r>
      <w:proofErr w:type="spellEnd"/>
      <w:r>
        <w:t xml:space="preserve"> og håndtering av farlig avfall.</w:t>
      </w:r>
    </w:p>
    <w:p w14:paraId="07FA3E5F" w14:textId="77777777" w:rsidR="006561BA" w:rsidRDefault="005B4ED6">
      <w:pPr>
        <w:pStyle w:val="AnnexNormal"/>
      </w:pPr>
      <w:r>
        <w:t>Aktiviteten omfatter ikke</w:t>
      </w:r>
    </w:p>
    <w:p w14:paraId="26378221" w14:textId="77777777" w:rsidR="006561BA" w:rsidRDefault="005B4ED6">
      <w:pPr>
        <w:pStyle w:val="AnnexNumberedText"/>
        <w:spacing w:after="200"/>
        <w:ind w:left="293" w:hanging="293"/>
      </w:pPr>
      <w:r>
        <w:t>a)</w:t>
      </w:r>
      <w:r>
        <w:tab/>
        <w:t>permanent stenging, rehabilitering og etterbehandling av eksisterende eller nye deponier som er i samsvar med rådsdirektiv 1999/31/EF(</w:t>
      </w:r>
      <w:bookmarkStart w:id="320" w:name="NOTE_322"/>
      <w:r>
        <w:rPr>
          <w:rStyle w:val="FootnoteReference"/>
          <w:sz w:val="18"/>
        </w:rPr>
        <w:footnoteReference w:id="323"/>
      </w:r>
      <w:bookmarkEnd w:id="320"/>
      <w:r>
        <w:t>), eller aktiviteter i tredjeland med tilsvarende nasjonal lovgivning, eller som på annen måte er tilpasset anerkjente internasjonale industristandarder(</w:t>
      </w:r>
      <w:bookmarkStart w:id="321" w:name="NOTE_323"/>
      <w:r>
        <w:rPr>
          <w:rStyle w:val="FootnoteReference"/>
          <w:sz w:val="18"/>
        </w:rPr>
        <w:footnoteReference w:id="324"/>
      </w:r>
      <w:bookmarkEnd w:id="321"/>
      <w:r>
        <w:t>),</w:t>
      </w:r>
    </w:p>
    <w:p w14:paraId="3A87E7A2" w14:textId="77777777" w:rsidR="006561BA" w:rsidRDefault="005B4ED6">
      <w:pPr>
        <w:pStyle w:val="AnnexNumberedText"/>
        <w:spacing w:after="200"/>
        <w:ind w:left="293" w:hanging="293"/>
      </w:pPr>
      <w:r>
        <w:t>b)</w:t>
      </w:r>
      <w:r>
        <w:tab/>
        <w:t>omdanning av gass fra deponier til bruk som energibærer eller industriråstoff,</w:t>
      </w:r>
    </w:p>
    <w:p w14:paraId="0ACDFBCF" w14:textId="77777777" w:rsidR="006561BA" w:rsidRDefault="005B4ED6">
      <w:pPr>
        <w:pStyle w:val="AnnexNumberedText"/>
        <w:spacing w:after="200"/>
        <w:ind w:left="293" w:hanging="293"/>
      </w:pPr>
      <w:r>
        <w:t>c)</w:t>
      </w:r>
      <w:r>
        <w:tab/>
        <w:t>ombygging av det området som er ryddet, til annen økonomisk bruk, som for eksempel fritids-, bolig- eller næringsområder, installering av solcellepaneler,</w:t>
      </w:r>
    </w:p>
    <w:p w14:paraId="1B41F264" w14:textId="77777777" w:rsidR="006561BA" w:rsidRDefault="005B4ED6">
      <w:pPr>
        <w:pStyle w:val="AnnexNumberedText"/>
        <w:spacing w:after="200"/>
        <w:ind w:left="293" w:hanging="293"/>
      </w:pPr>
      <w:r>
        <w:t>d)</w:t>
      </w:r>
      <w:r>
        <w:tab/>
        <w:t>kompenserende tiltak for forurensning som er forårsaket av deponiet eller søppelplassen, som for eksempel utvikling og drift av alternative vannforsyningssystemer for den berørte befolkningen som bor i nærområdet.</w:t>
      </w:r>
    </w:p>
    <w:p w14:paraId="4BFCB707" w14:textId="1E06792D" w:rsidR="006561BA" w:rsidRDefault="005B4ED6">
      <w:pPr>
        <w:pStyle w:val="AnnexNormal"/>
        <w:spacing w:after="400"/>
      </w:pPr>
      <w:r>
        <w:t>De økonomiske aktivitetene i denne kategorien kan knyttes til flere NACE-koder, særlig E39, E38.2, E38.32 og F42.9</w:t>
      </w:r>
      <w:r w:rsidR="00DE3ECA">
        <w:t>,</w:t>
      </w:r>
      <w:r>
        <w:t xml:space="preserve"> i samsvar med standarden for næringsgruppering fastsatt ved forordning (EF) nr. 1893/2006.</w:t>
      </w:r>
    </w:p>
    <w:p w14:paraId="39065312" w14:textId="77777777" w:rsidR="006561BA" w:rsidRDefault="005B4ED6">
      <w:pPr>
        <w:pStyle w:val="AnnexGrSeq3"/>
        <w:spacing w:after="300"/>
        <w:jc w:val="both"/>
      </w:pPr>
      <w:r>
        <w:rPr>
          <w:i/>
        </w:rPr>
        <w:t>Tekniske screeningkriterier</w:t>
      </w:r>
    </w:p>
    <w:tbl>
      <w:tblPr>
        <w:tblStyle w:val="EFTATable"/>
        <w:tblW w:w="9228" w:type="dxa"/>
        <w:tblInd w:w="12" w:type="dxa"/>
        <w:tblLayout w:type="fixed"/>
        <w:tblLook w:val="04A0" w:firstRow="1" w:lastRow="0" w:firstColumn="1" w:lastColumn="0" w:noHBand="0" w:noVBand="1"/>
      </w:tblPr>
      <w:tblGrid>
        <w:gridCol w:w="2484"/>
        <w:gridCol w:w="6744"/>
      </w:tblGrid>
      <w:tr w:rsidR="006561BA" w14:paraId="1D515BB4" w14:textId="77777777">
        <w:trPr>
          <w:trHeight w:val="240"/>
        </w:trPr>
        <w:tc>
          <w:tcPr>
            <w:tcW w:w="9228" w:type="dxa"/>
            <w:gridSpan w:val="2"/>
            <w:tcMar>
              <w:top w:w="200" w:type="dxa"/>
              <w:left w:w="0" w:type="dxa"/>
              <w:bottom w:w="200" w:type="dxa"/>
              <w:right w:w="0" w:type="dxa"/>
            </w:tcMar>
          </w:tcPr>
          <w:p w14:paraId="42ADB6FA" w14:textId="77777777" w:rsidR="006561BA" w:rsidRDefault="005B4ED6">
            <w:pPr>
              <w:pStyle w:val="AnnexTableCellLeft"/>
            </w:pPr>
            <w:r>
              <w:t>Vesentlig bidrag til forebygging og begrensning av forurensning</w:t>
            </w:r>
          </w:p>
        </w:tc>
      </w:tr>
      <w:tr w:rsidR="006561BA" w14:paraId="66182999" w14:textId="77777777">
        <w:trPr>
          <w:trHeight w:val="360"/>
        </w:trPr>
        <w:tc>
          <w:tcPr>
            <w:tcW w:w="9228" w:type="dxa"/>
            <w:gridSpan w:val="2"/>
            <w:tcMar>
              <w:top w:w="200" w:type="dxa"/>
              <w:left w:w="0" w:type="dxa"/>
              <w:bottom w:w="200" w:type="dxa"/>
              <w:right w:w="0" w:type="dxa"/>
            </w:tcMar>
          </w:tcPr>
          <w:p w14:paraId="5537DBC9" w14:textId="77777777" w:rsidR="006561BA" w:rsidRDefault="005B4ED6">
            <w:pPr>
              <w:pStyle w:val="AnnexNumberedText"/>
              <w:tabs>
                <w:tab w:val="left" w:pos="276"/>
              </w:tabs>
              <w:ind w:left="0" w:firstLine="0"/>
            </w:pPr>
            <w:r>
              <w:t>1.</w:t>
            </w:r>
            <w:r>
              <w:tab/>
              <w:t>Aktiviteten oppfyller alle følgende kriterier:</w:t>
            </w:r>
          </w:p>
          <w:p w14:paraId="5AF78E3A" w14:textId="77777777" w:rsidR="006561BA" w:rsidRDefault="005B4ED6">
            <w:pPr>
              <w:pStyle w:val="AnnexNumberedText"/>
              <w:spacing w:after="0"/>
              <w:ind w:left="283" w:hanging="283"/>
            </w:pPr>
            <w:r>
              <w:t>a)</w:t>
            </w:r>
            <w:r>
              <w:tab/>
              <w:t>Oppryddingsaktiviteten utøves ikke av den aktivitetsutøveren(</w:t>
            </w:r>
            <w:bookmarkStart w:id="322" w:name="NOTE_324"/>
            <w:r>
              <w:rPr>
                <w:rStyle w:val="FootnoteReference"/>
                <w:sz w:val="18"/>
              </w:rPr>
              <w:footnoteReference w:id="325"/>
            </w:r>
            <w:bookmarkEnd w:id="322"/>
            <w:r>
              <w:t>) som forårsaket forurensningen, en avfallsprodusent eller en person som opptrer på vegne av aktivitetsutøveren eller produsenten for å oppfylle kravene i europaparlaments- og rådsdirektiv 2004/35/EF(</w:t>
            </w:r>
            <w:bookmarkStart w:id="323" w:name="NOTE_325"/>
            <w:r>
              <w:rPr>
                <w:rStyle w:val="FootnoteReference"/>
                <w:sz w:val="18"/>
              </w:rPr>
              <w:footnoteReference w:id="326"/>
            </w:r>
            <w:bookmarkEnd w:id="323"/>
            <w:r>
              <w:t>), eller, når det gjelder aktiviteter i tredjeland, en tilsvarende nasjonal lovgivning eller internasjonale standarder som anvender prinsippet om at det er forurenseren som betaler, på opprydding av miljøforurensning forårsaket av økonomiske aktiviteter.</w:t>
            </w:r>
          </w:p>
        </w:tc>
      </w:tr>
      <w:tr w:rsidR="006561BA" w14:paraId="1A9C5F20" w14:textId="77777777">
        <w:trPr>
          <w:trHeight w:val="360"/>
        </w:trPr>
        <w:tc>
          <w:tcPr>
            <w:tcW w:w="9228" w:type="dxa"/>
            <w:gridSpan w:val="2"/>
            <w:tcMar>
              <w:top w:w="200" w:type="dxa"/>
              <w:left w:w="0" w:type="dxa"/>
              <w:bottom w:w="200" w:type="dxa"/>
              <w:right w:w="0" w:type="dxa"/>
            </w:tcMar>
          </w:tcPr>
          <w:p w14:paraId="4800CD50" w14:textId="77777777" w:rsidR="006561BA" w:rsidRDefault="005B4ED6">
            <w:pPr>
              <w:pStyle w:val="AnnexNumberedText"/>
              <w:pageBreakBefore/>
            </w:pPr>
            <w:r>
              <w:lastRenderedPageBreak/>
              <w:t>b)</w:t>
            </w:r>
            <w:r>
              <w:tab/>
              <w:t>Relevante forurensende stoffer fjernes, kontrolleres, innesluttes eller reduseres ved hjelp av fysiske, kjemiske, biologiske eller andre metoder for å sikre at deponiet og det forurensede området (grunn, vannforekomst eller annet), idet det tas hensyn til dets bruk på tidspunktet for skaden eller godkjent framtidig bruk av området, ikke lenger utgjør en betydelig risiko for at menneskers helse og miljøet påvirkes negativt, slik det er spesifisert i nasjonale reguleringsstandarder eller, dersom slike standarder ikke er tilgjengelige, i en intern risikovurdering som tar hensyn til det berørte områdets karakter og størrelse (grunn, vannforekomst eller annet), typen, egenskapene (persistens, mobilitet og toksisitet) og konsentrasjonen av stoffene, preparatene, organismene eller mikroorganismene, eventuelle migrasjonsveier og sannsynligheten for spredning(</w:t>
            </w:r>
            <w:bookmarkStart w:id="324" w:name="NOTE_326"/>
            <w:r>
              <w:rPr>
                <w:rStyle w:val="FootnoteReference"/>
                <w:sz w:val="18"/>
              </w:rPr>
              <w:footnoteReference w:id="327"/>
            </w:r>
            <w:bookmarkEnd w:id="324"/>
            <w:r>
              <w:t>).</w:t>
            </w:r>
          </w:p>
          <w:p w14:paraId="61D16421" w14:textId="77777777" w:rsidR="006561BA" w:rsidRDefault="005B4ED6">
            <w:pPr>
              <w:pStyle w:val="AnnexNumberedText"/>
              <w:tabs>
                <w:tab w:val="left" w:pos="276"/>
              </w:tabs>
              <w:ind w:left="0" w:firstLine="0"/>
            </w:pPr>
            <w:r>
              <w:t>2.</w:t>
            </w:r>
            <w:r>
              <w:tab/>
              <w:t>Aktiviteten forberedes og gjennomføres i samsvar med beste praksis i industrien og omfatter alle følgende elementer:</w:t>
            </w:r>
          </w:p>
          <w:p w14:paraId="38FB3FAC" w14:textId="77777777" w:rsidR="006561BA" w:rsidRDefault="005B4ED6">
            <w:pPr>
              <w:pStyle w:val="AnnexNumberedText"/>
              <w:ind w:left="293" w:hanging="293"/>
            </w:pPr>
            <w:r>
              <w:t>a)</w:t>
            </w:r>
            <w:r>
              <w:tab/>
              <w:t>Det deponiet eller den søppelplassen som ikke oppfyller kravene, eller som er ulovlig, og som skal ryddes, er blitt stengt og mottar ikke annet avfall enn eventuelt inert eller biostabilisert avfall som skal brukes som dekkmateriale i deponier (i den grad det er tillatt i oppryddingsprosjektets miljøtillatelse).</w:t>
            </w:r>
          </w:p>
          <w:p w14:paraId="19C682BA" w14:textId="77777777" w:rsidR="006561BA" w:rsidRDefault="005B4ED6">
            <w:pPr>
              <w:pStyle w:val="AnnexNumberedText"/>
              <w:ind w:left="293" w:hanging="293"/>
            </w:pPr>
            <w:r>
              <w:t>b)</w:t>
            </w:r>
            <w:r>
              <w:tab/>
              <w:t>Forberedende undersøkelser, herunder stedsspesifikke undersøkelser og innsamling av fysiske, kjemiske eller mikrobiologiske data, foretas i samsvar med beste praksis i industrien og beste tilgjengelige teknikker for å fastslå</w:t>
            </w:r>
          </w:p>
          <w:p w14:paraId="6F91D9DB" w14:textId="77777777" w:rsidR="006561BA" w:rsidRDefault="005B4ED6">
            <w:pPr>
              <w:pStyle w:val="AnnexNumberedText"/>
              <w:ind w:left="646" w:hanging="353"/>
            </w:pPr>
            <w:r>
              <w:t>i)</w:t>
            </w:r>
            <w:r>
              <w:tab/>
              <w:t>beliggenhet, egenskaper og størrelse for deponiet og det forurensede området,</w:t>
            </w:r>
          </w:p>
          <w:p w14:paraId="495FA0EB" w14:textId="77777777" w:rsidR="006561BA" w:rsidRDefault="005B4ED6">
            <w:pPr>
              <w:pStyle w:val="AnnexNumberedText"/>
              <w:ind w:left="646" w:hanging="353"/>
            </w:pPr>
            <w:r>
              <w:t>ii)</w:t>
            </w:r>
            <w:r>
              <w:tab/>
              <w:t>de underliggende geologiske og hydrologiske forholdene,</w:t>
            </w:r>
          </w:p>
          <w:p w14:paraId="74AD22AC" w14:textId="77777777" w:rsidR="006561BA" w:rsidRDefault="005B4ED6">
            <w:pPr>
              <w:pStyle w:val="AnnexNumberedText"/>
              <w:ind w:left="646" w:hanging="353"/>
            </w:pPr>
            <w:r>
              <w:t>iii)</w:t>
            </w:r>
            <w:r>
              <w:tab/>
              <w:t>den sannsynlige mengden av, sammensetningen av og kildene til det deponerte avfallet,</w:t>
            </w:r>
          </w:p>
          <w:p w14:paraId="31180F61" w14:textId="77777777" w:rsidR="006561BA" w:rsidRDefault="005B4ED6">
            <w:pPr>
              <w:pStyle w:val="AnnexNumberedText"/>
              <w:ind w:left="646" w:hanging="353"/>
            </w:pPr>
            <w:r>
              <w:t>iv)</w:t>
            </w:r>
            <w:r>
              <w:tab/>
              <w:t>jord- og vannforurensning som følge av dette samt risikoene for menneskers helse og miljøet.</w:t>
            </w:r>
          </w:p>
          <w:p w14:paraId="0312CF7D" w14:textId="77777777" w:rsidR="006561BA" w:rsidRDefault="005B4ED6">
            <w:pPr>
              <w:pStyle w:val="AnnexNumberedText"/>
              <w:ind w:left="293" w:hanging="293"/>
            </w:pPr>
            <w:r>
              <w:t>c)</w:t>
            </w:r>
            <w:r>
              <w:tab/>
              <w:t>Resultatene av slike utbedringsundersøkelser utgjør innspill til en forundersøkelse som definerer målene og omfanget av oppryddingen og evaluerer eventuelle utbedringsløsninger.</w:t>
            </w:r>
          </w:p>
          <w:p w14:paraId="03AE9A52" w14:textId="77777777" w:rsidR="006561BA" w:rsidRDefault="005B4ED6">
            <w:pPr>
              <w:pStyle w:val="AnnexNumberedText"/>
              <w:ind w:left="293" w:hanging="293"/>
            </w:pPr>
            <w:r>
              <w:t>d)</w:t>
            </w:r>
            <w:r>
              <w:tab/>
              <w:t>De utbedringsløsningene analyseres i samsvar med kravene i vedlegg II til direktiv 2004/35/EF og i vedlegg I og III til direktiv 1999/31/EF, eller for aktiviteter beliggende i tredjeland, i henhold til tilsvarende nasjonal rett eller allment aksepterte internasjonale standarder(</w:t>
            </w:r>
            <w:bookmarkStart w:id="325" w:name="NOTE_327"/>
            <w:r>
              <w:rPr>
                <w:rStyle w:val="FootnoteReference"/>
                <w:sz w:val="18"/>
              </w:rPr>
              <w:footnoteReference w:id="328"/>
            </w:r>
            <w:bookmarkEnd w:id="325"/>
            <w:r>
              <w:t>), og beskrives i en forundersøkelse som er utarbeidet for oppryddingsprosjektet for deponiet, og som på en overbevisende måte viser hvordan den valgte utbedringsløsningen samlet sett er den beste løsningen for å oppfylle de definerte målene for opprydding.</w:t>
            </w:r>
          </w:p>
          <w:p w14:paraId="5C630033" w14:textId="77777777" w:rsidR="006561BA" w:rsidRDefault="005B4ED6">
            <w:pPr>
              <w:pStyle w:val="AnnexNumberedText"/>
              <w:ind w:left="293" w:hanging="293"/>
            </w:pPr>
            <w:r>
              <w:t>e)</w:t>
            </w:r>
            <w:r>
              <w:tab/>
              <w:t>Oppryddingsprosjektet for deponiet, herunder tilhørende overvåkings- og kontrollplan, godkjennes av den vedkommende myndigheten og utarbeides sammen med lokale berørte parter i samsvar med nasjonale rettslige krav.</w:t>
            </w:r>
          </w:p>
          <w:p w14:paraId="5D0B8F24" w14:textId="77777777" w:rsidR="006561BA" w:rsidRDefault="005B4ED6">
            <w:pPr>
              <w:pStyle w:val="AnnexNumberedText"/>
              <w:ind w:left="293" w:hanging="293"/>
            </w:pPr>
            <w:r>
              <w:t>f)</w:t>
            </w:r>
            <w:r>
              <w:tab/>
              <w:t>Alle materialer og brensler som gjenvinnes fra deponert avfall, oppfyller relevante kvalitetsstandarder eller brukerspesifikasjoner for de tiltenkte gjenvinningsoperasjonene og utgjør ingen risiko for miljøet eller menneskers helse.</w:t>
            </w:r>
          </w:p>
          <w:p w14:paraId="1F7F34D7" w14:textId="77777777" w:rsidR="006561BA" w:rsidRDefault="005B4ED6">
            <w:pPr>
              <w:pStyle w:val="AnnexNumberedText"/>
              <w:ind w:left="293" w:hanging="293"/>
            </w:pPr>
            <w:r>
              <w:t>g)</w:t>
            </w:r>
            <w:r>
              <w:tab/>
              <w:t>Alt farlig avfall som utvinnes eller på annen måte genereres av oppryddingsaktiviteten, skal samles inn, transporteres, behandles, gjenvinnes eller sluttbehandles på en egnet måte av en godkjent aktivitetsutøver i samsvar med nasjonale rettslige krav.</w:t>
            </w:r>
          </w:p>
          <w:p w14:paraId="6E1AF0FF" w14:textId="77777777" w:rsidR="006561BA" w:rsidRDefault="005B4ED6">
            <w:pPr>
              <w:pStyle w:val="AnnexNumberedText"/>
              <w:spacing w:after="0"/>
              <w:ind w:left="293" w:hanging="293"/>
            </w:pPr>
            <w:r>
              <w:t>h)</w:t>
            </w:r>
            <w:r>
              <w:tab/>
              <w:t>Metoder for rensing av jordbunn og grunnvann som utelukkende er basert på å redusere konsentrasjonen av forurensende stoffer gjennom fortynning eller utvanning, brukes ikke.</w:t>
            </w:r>
          </w:p>
        </w:tc>
      </w:tr>
      <w:tr w:rsidR="006561BA" w14:paraId="41A26BF2" w14:textId="77777777">
        <w:trPr>
          <w:trHeight w:val="360"/>
        </w:trPr>
        <w:tc>
          <w:tcPr>
            <w:tcW w:w="9228" w:type="dxa"/>
            <w:gridSpan w:val="2"/>
            <w:tcMar>
              <w:top w:w="200" w:type="dxa"/>
              <w:left w:w="0" w:type="dxa"/>
              <w:bottom w:w="200" w:type="dxa"/>
              <w:right w:w="0" w:type="dxa"/>
            </w:tcMar>
          </w:tcPr>
          <w:p w14:paraId="7BFA0518" w14:textId="77777777" w:rsidR="006561BA" w:rsidRDefault="005B4ED6">
            <w:pPr>
              <w:pStyle w:val="AnnexNumberedText"/>
              <w:pageBreakBefore/>
              <w:spacing w:after="0"/>
            </w:pPr>
            <w:r>
              <w:lastRenderedPageBreak/>
              <w:t>i)</w:t>
            </w:r>
            <w:r>
              <w:tab/>
              <w:t>Det gjennomføres en kontroll- og overvåkingsplan, herunder tiltak for å kontrollere virkningene av oppryddingsaktivitetene og at oppryddingsmålene er oppfylt, i minst ti år ved utgraving og fjerning av deponiet eller søppelplassen og i minst 30 år ved miljømessig isolering av deponiet eller søppelplassen, med mindre det er fastsatt en annen varighet som er tilstrekkelig til å sikre risikokontroll på lang sikt, i nasjonal lovgivning eller av den vedkommende tilsynsmyndigheten for det spesifikke oppryddingsprosjektet.</w:t>
            </w:r>
          </w:p>
        </w:tc>
      </w:tr>
      <w:tr w:rsidR="006561BA" w14:paraId="0B13DDF7" w14:textId="77777777">
        <w:trPr>
          <w:trHeight w:val="240"/>
        </w:trPr>
        <w:tc>
          <w:tcPr>
            <w:tcW w:w="9228" w:type="dxa"/>
            <w:gridSpan w:val="2"/>
            <w:tcMar>
              <w:top w:w="200" w:type="dxa"/>
              <w:left w:w="0" w:type="dxa"/>
              <w:bottom w:w="200" w:type="dxa"/>
              <w:right w:w="0" w:type="dxa"/>
            </w:tcMar>
          </w:tcPr>
          <w:p w14:paraId="0F13F111" w14:textId="77777777" w:rsidR="006561BA" w:rsidRDefault="005B4ED6">
            <w:pPr>
              <w:pStyle w:val="AnnexTableCellLeft"/>
            </w:pPr>
            <w:r>
              <w:t>Prinsippet om ikke å gjøre betydelig skade («DNSH»)</w:t>
            </w:r>
          </w:p>
        </w:tc>
      </w:tr>
      <w:tr w:rsidR="006561BA" w14:paraId="00F411B4" w14:textId="77777777">
        <w:tc>
          <w:tcPr>
            <w:tcW w:w="2484" w:type="dxa"/>
            <w:tcMar>
              <w:top w:w="200" w:type="dxa"/>
              <w:left w:w="0" w:type="dxa"/>
              <w:bottom w:w="200" w:type="dxa"/>
            </w:tcMar>
          </w:tcPr>
          <w:p w14:paraId="1436F678" w14:textId="77777777" w:rsidR="006561BA" w:rsidRDefault="005B4ED6">
            <w:pPr>
              <w:pStyle w:val="AnnexNumberedText"/>
              <w:spacing w:after="0"/>
              <w:ind w:left="293" w:hanging="293"/>
            </w:pPr>
            <w:r>
              <w:t>1)</w:t>
            </w:r>
            <w:r>
              <w:tab/>
              <w:t>Begrensning av klimaendringer</w:t>
            </w:r>
          </w:p>
        </w:tc>
        <w:tc>
          <w:tcPr>
            <w:tcW w:w="6744" w:type="dxa"/>
            <w:tcMar>
              <w:top w:w="200" w:type="dxa"/>
              <w:bottom w:w="200" w:type="dxa"/>
              <w:right w:w="0" w:type="dxa"/>
            </w:tcMar>
          </w:tcPr>
          <w:p w14:paraId="1B9A13BE" w14:textId="77777777" w:rsidR="006561BA" w:rsidRDefault="005B4ED6">
            <w:pPr>
              <w:pStyle w:val="AnnexTableCellLeft"/>
            </w:pPr>
            <w:r>
              <w:t>Dersom det deponerte avfallet inneholder betydelige mengder biologisk nedbrytbart avfall, er det innført et system for oppsamling og rensing av gass fra deponier og en overvåkingsplan for lekkasje av gass fra deponier i samsvar med driftsmessige og tekniske krav i direktiv 1999/31/EF, eller når det gjelder aktiviteter i tredjeland, i samsvar med tilsvarende nasjonal rett eller allment aksepterte internasjonale industristandarder(</w:t>
            </w:r>
            <w:bookmarkStart w:id="326" w:name="NOTE_328"/>
            <w:r>
              <w:rPr>
                <w:rStyle w:val="FootnoteReference"/>
                <w:sz w:val="18"/>
              </w:rPr>
              <w:footnoteReference w:id="329"/>
            </w:r>
            <w:bookmarkEnd w:id="326"/>
            <w:r>
              <w:t>).</w:t>
            </w:r>
          </w:p>
        </w:tc>
      </w:tr>
      <w:tr w:rsidR="006561BA" w14:paraId="4D8623BC" w14:textId="77777777">
        <w:tc>
          <w:tcPr>
            <w:tcW w:w="2484" w:type="dxa"/>
            <w:tcMar>
              <w:top w:w="200" w:type="dxa"/>
              <w:left w:w="0" w:type="dxa"/>
              <w:bottom w:w="200" w:type="dxa"/>
            </w:tcMar>
          </w:tcPr>
          <w:p w14:paraId="2E57EA47" w14:textId="77777777" w:rsidR="006561BA" w:rsidRDefault="005B4ED6">
            <w:pPr>
              <w:pStyle w:val="AnnexNumberedText"/>
              <w:spacing w:after="0"/>
              <w:ind w:left="293" w:hanging="293"/>
            </w:pPr>
            <w:r>
              <w:t>2)</w:t>
            </w:r>
            <w:r>
              <w:tab/>
              <w:t>Tilpasning til klimaendringer</w:t>
            </w:r>
          </w:p>
        </w:tc>
        <w:tc>
          <w:tcPr>
            <w:tcW w:w="6744" w:type="dxa"/>
            <w:tcMar>
              <w:top w:w="200" w:type="dxa"/>
              <w:bottom w:w="200" w:type="dxa"/>
              <w:right w:w="0" w:type="dxa"/>
            </w:tcMar>
          </w:tcPr>
          <w:p w14:paraId="7DC36EFF" w14:textId="77777777" w:rsidR="006561BA" w:rsidRDefault="005B4ED6">
            <w:pPr>
              <w:pStyle w:val="AnnexTableCellLeft"/>
            </w:pPr>
            <w:r>
              <w:t>Aktiviteten oppfyller kriteriene fastsatt i tillegg A til dette vedlegget.</w:t>
            </w:r>
          </w:p>
        </w:tc>
      </w:tr>
      <w:tr w:rsidR="006561BA" w14:paraId="5A7225AA" w14:textId="77777777">
        <w:tc>
          <w:tcPr>
            <w:tcW w:w="2484" w:type="dxa"/>
            <w:tcMar>
              <w:top w:w="200" w:type="dxa"/>
              <w:left w:w="0" w:type="dxa"/>
              <w:bottom w:w="200" w:type="dxa"/>
            </w:tcMar>
          </w:tcPr>
          <w:p w14:paraId="2E15C587" w14:textId="77777777" w:rsidR="006561BA" w:rsidRDefault="005B4ED6">
            <w:pPr>
              <w:pStyle w:val="AnnexNumberedText"/>
              <w:spacing w:after="0"/>
              <w:ind w:left="293" w:hanging="293"/>
            </w:pPr>
            <w:r>
              <w:t>3)</w:t>
            </w:r>
            <w:r>
              <w:tab/>
              <w:t>Bærekraftig bruk og beskyttelse av vann- og havressurser</w:t>
            </w:r>
          </w:p>
        </w:tc>
        <w:tc>
          <w:tcPr>
            <w:tcW w:w="6744" w:type="dxa"/>
            <w:tcMar>
              <w:top w:w="200" w:type="dxa"/>
              <w:bottom w:w="200" w:type="dxa"/>
              <w:right w:w="0" w:type="dxa"/>
            </w:tcMar>
          </w:tcPr>
          <w:p w14:paraId="1447AAE8" w14:textId="77777777" w:rsidR="006561BA" w:rsidRDefault="005B4ED6">
            <w:pPr>
              <w:pStyle w:val="AnnexTableCellLeft"/>
              <w:spacing w:after="120"/>
            </w:pPr>
            <w:r>
              <w:t>Aktiviteten oppfyller kriteriene fastsatt i tillegg B til dette vedlegget.</w:t>
            </w:r>
          </w:p>
          <w:p w14:paraId="1C74381C" w14:textId="77777777" w:rsidR="006561BA" w:rsidRDefault="005B4ED6">
            <w:pPr>
              <w:pStyle w:val="AnnexTableCellLeft"/>
              <w:spacing w:after="120"/>
            </w:pPr>
            <w:r>
              <w:t>Utbedringstiltak innebærer beskyttelse av vann- og havressurser og anvender beste praksis og teknikk i industrien(</w:t>
            </w:r>
            <w:bookmarkStart w:id="327" w:name="NOTE_329"/>
            <w:r>
              <w:rPr>
                <w:rStyle w:val="FootnoteReference"/>
                <w:sz w:val="18"/>
              </w:rPr>
              <w:footnoteReference w:id="330"/>
            </w:r>
            <w:bookmarkEnd w:id="327"/>
            <w:r>
              <w:t>) med henblikk på å</w:t>
            </w:r>
          </w:p>
          <w:p w14:paraId="31995BFF" w14:textId="77777777" w:rsidR="006561BA" w:rsidRDefault="005B4ED6">
            <w:pPr>
              <w:pStyle w:val="AnnexNumberedText"/>
              <w:ind w:left="293" w:hanging="293"/>
            </w:pPr>
            <w:r>
              <w:t>a)</w:t>
            </w:r>
            <w:r>
              <w:tab/>
              <w:t>redusere genereringen av sigevann fra deponiet og unngå at sigevann strømmer ut eller infiltreres i omgivende jord, og enhver potensiell fare for grunnvann og overflatevann,</w:t>
            </w:r>
          </w:p>
          <w:p w14:paraId="636B0699" w14:textId="77777777" w:rsidR="006561BA" w:rsidRDefault="005B4ED6">
            <w:pPr>
              <w:pStyle w:val="AnnexNumberedText"/>
              <w:ind w:left="293" w:hanging="293"/>
            </w:pPr>
            <w:r>
              <w:t>b)</w:t>
            </w:r>
            <w:r>
              <w:tab/>
              <w:t>separat samle opp og på en korrekt måte behandle avrenningsvann og sigevann før utslipp,</w:t>
            </w:r>
          </w:p>
          <w:p w14:paraId="1BE907EE" w14:textId="77777777" w:rsidR="006561BA" w:rsidRDefault="005B4ED6">
            <w:pPr>
              <w:pStyle w:val="AnnexNumberedText"/>
              <w:ind w:left="293" w:hanging="293"/>
            </w:pPr>
            <w:r>
              <w:t>c)</w:t>
            </w:r>
            <w:r>
              <w:tab/>
              <w:t>spore og analysere genereringshastigheten for sigevann samt konsentrasjonen og sammensetningen av sigevann i etterfølgende tilsynsperiode ved hjelp av hensiktsmessige systemer og prosesser for kontroll og overvåking,</w:t>
            </w:r>
          </w:p>
          <w:p w14:paraId="55E201F6" w14:textId="77777777" w:rsidR="006561BA" w:rsidRDefault="005B4ED6">
            <w:pPr>
              <w:pStyle w:val="AnnexNumberedText"/>
              <w:spacing w:after="0"/>
              <w:ind w:left="293" w:hanging="293"/>
            </w:pPr>
            <w:r>
              <w:t>d)</w:t>
            </w:r>
            <w:r>
              <w:tab/>
              <w:t>separat samle opp og på en korrekt måte behandle forurenset jord i og omkring deponiet for å blokkere veien fra deponiet til vannforekomster gjennom kraftig bløtlagt jordbunn.</w:t>
            </w:r>
          </w:p>
        </w:tc>
      </w:tr>
      <w:tr w:rsidR="006561BA" w14:paraId="5E5507E1" w14:textId="77777777">
        <w:tc>
          <w:tcPr>
            <w:tcW w:w="2484" w:type="dxa"/>
            <w:tcMar>
              <w:top w:w="200" w:type="dxa"/>
              <w:left w:w="0" w:type="dxa"/>
              <w:bottom w:w="200" w:type="dxa"/>
            </w:tcMar>
          </w:tcPr>
          <w:p w14:paraId="681BC8CA" w14:textId="77777777" w:rsidR="006561BA" w:rsidRDefault="005B4ED6">
            <w:pPr>
              <w:pStyle w:val="AnnexNumberedText"/>
              <w:spacing w:after="0"/>
              <w:ind w:left="293" w:hanging="293"/>
            </w:pPr>
            <w:r>
              <w:t>4)</w:t>
            </w:r>
            <w:r>
              <w:tab/>
              <w:t>Omstilling til en sirkulær økonomi</w:t>
            </w:r>
          </w:p>
        </w:tc>
        <w:tc>
          <w:tcPr>
            <w:tcW w:w="6744" w:type="dxa"/>
            <w:tcMar>
              <w:top w:w="200" w:type="dxa"/>
              <w:bottom w:w="200" w:type="dxa"/>
              <w:right w:w="0" w:type="dxa"/>
            </w:tcMar>
          </w:tcPr>
          <w:p w14:paraId="0CF2EC04" w14:textId="77777777" w:rsidR="006561BA" w:rsidRDefault="005B4ED6">
            <w:pPr>
              <w:pStyle w:val="AnnexTableCellLeft"/>
            </w:pPr>
            <w:r>
              <w:t>Dersom oppryddingsprosjektet omfatter utgraving og fjerning av eksisterende deponi eller søppelplass, håndteres det utgravde avfallet i samsvar med prinsippet om avfallshierarki, der gjenvinning prioriteres framfor andre typer materialutnytting, framfor forbrenning og sluttbehandling, i den grad dette er teknisk mulig og ikke øker risikoen for miljøet eller menneskers helse.</w:t>
            </w:r>
          </w:p>
        </w:tc>
      </w:tr>
      <w:tr w:rsidR="006561BA" w14:paraId="624F73C8" w14:textId="77777777">
        <w:tc>
          <w:tcPr>
            <w:tcW w:w="2484" w:type="dxa"/>
            <w:tcMar>
              <w:top w:w="200" w:type="dxa"/>
              <w:left w:w="0" w:type="dxa"/>
              <w:bottom w:w="200" w:type="dxa"/>
            </w:tcMar>
          </w:tcPr>
          <w:p w14:paraId="7F1C25F1" w14:textId="77777777" w:rsidR="006561BA" w:rsidRDefault="005B4ED6">
            <w:pPr>
              <w:pStyle w:val="AnnexNumberedText"/>
              <w:pageBreakBefore/>
              <w:spacing w:after="0"/>
              <w:ind w:left="293" w:hanging="293"/>
            </w:pPr>
            <w:r>
              <w:lastRenderedPageBreak/>
              <w:t>6)</w:t>
            </w:r>
            <w:r>
              <w:tab/>
              <w:t>Beskyttelse og restaurering av biologisk mangfold og økosystemer</w:t>
            </w:r>
          </w:p>
        </w:tc>
        <w:tc>
          <w:tcPr>
            <w:tcW w:w="6744" w:type="dxa"/>
            <w:tcMar>
              <w:top w:w="200" w:type="dxa"/>
              <w:bottom w:w="200" w:type="dxa"/>
              <w:right w:w="0" w:type="dxa"/>
            </w:tcMar>
          </w:tcPr>
          <w:p w14:paraId="75E87B45" w14:textId="77777777" w:rsidR="006561BA" w:rsidRDefault="005B4ED6" w:rsidP="00EA6C4A">
            <w:pPr>
              <w:pStyle w:val="AnnexTableCellLeft"/>
              <w:spacing w:after="240"/>
            </w:pPr>
            <w:r>
              <w:t>Aktiviteten oppfyller kriteriene fastsatt i tillegg D til dette vedlegget.</w:t>
            </w:r>
          </w:p>
          <w:p w14:paraId="72CDF57B" w14:textId="77777777" w:rsidR="006561BA" w:rsidRDefault="005B4ED6">
            <w:pPr>
              <w:pStyle w:val="AnnexTableCellLeft"/>
            </w:pPr>
            <w:r>
              <w:t>Dersom det er relevant, forhindres innføringen av fremmede skadelige arter eller så håndteres spredningen av dem i samsvar med forordning (EU) nr. 1143/2014.</w:t>
            </w:r>
          </w:p>
        </w:tc>
      </w:tr>
    </w:tbl>
    <w:p w14:paraId="1D19A27D" w14:textId="77777777" w:rsidR="006561BA" w:rsidRDefault="005B4ED6">
      <w:pPr>
        <w:pStyle w:val="AnnexNumberedText"/>
        <w:spacing w:before="400" w:after="300"/>
        <w:ind w:left="414" w:hanging="414"/>
      </w:pPr>
      <w:r>
        <w:t>2.4.</w:t>
      </w:r>
      <w:r>
        <w:rPr>
          <w:b/>
        </w:rPr>
        <w:tab/>
        <w:t>Opprydding av forurensede områder og arealer</w:t>
      </w:r>
    </w:p>
    <w:p w14:paraId="7B7B5F49" w14:textId="77777777" w:rsidR="006561BA" w:rsidRDefault="005B4ED6">
      <w:pPr>
        <w:pStyle w:val="AnnexGrSeq3"/>
        <w:jc w:val="both"/>
      </w:pPr>
      <w:r>
        <w:rPr>
          <w:i/>
        </w:rPr>
        <w:t>Beskrivelse av aktiviteten</w:t>
      </w:r>
    </w:p>
    <w:p w14:paraId="47037778" w14:textId="77777777" w:rsidR="006561BA" w:rsidRDefault="005B4ED6">
      <w:pPr>
        <w:pStyle w:val="AnnexNormal"/>
      </w:pPr>
      <w:r>
        <w:t>Den økonomiske aktiviteten omfatter følgende:</w:t>
      </w:r>
    </w:p>
    <w:p w14:paraId="6B0B0B7C" w14:textId="77777777" w:rsidR="006561BA" w:rsidRDefault="005B4ED6">
      <w:pPr>
        <w:pStyle w:val="AnnexNumberedText"/>
        <w:spacing w:after="200"/>
        <w:ind w:left="293" w:hanging="293"/>
      </w:pPr>
      <w:r>
        <w:t>a)</w:t>
      </w:r>
      <w:r>
        <w:tab/>
        <w:t xml:space="preserve">Dekontaminering eller opprensing av jordbunn og grunnvann i det forurensede området, enten </w:t>
      </w:r>
      <w:r>
        <w:rPr>
          <w:i/>
        </w:rPr>
        <w:t xml:space="preserve">in </w:t>
      </w:r>
      <w:proofErr w:type="spellStart"/>
      <w:r>
        <w:rPr>
          <w:i/>
        </w:rPr>
        <w:t>situ</w:t>
      </w:r>
      <w:proofErr w:type="spellEnd"/>
      <w:r>
        <w:t xml:space="preserve"> eller </w:t>
      </w:r>
      <w:r>
        <w:rPr>
          <w:i/>
        </w:rPr>
        <w:t xml:space="preserve">ex </w:t>
      </w:r>
      <w:proofErr w:type="spellStart"/>
      <w:r>
        <w:rPr>
          <w:i/>
        </w:rPr>
        <w:t>situ</w:t>
      </w:r>
      <w:proofErr w:type="spellEnd"/>
      <w:r>
        <w:t>, særlig ved bruk av fysiske, kjemiske eller biologiske metoder.</w:t>
      </w:r>
    </w:p>
    <w:p w14:paraId="21C48C89" w14:textId="77777777" w:rsidR="006561BA" w:rsidRDefault="005B4ED6">
      <w:pPr>
        <w:pStyle w:val="AnnexNumberedText"/>
        <w:spacing w:after="200"/>
        <w:ind w:left="293" w:hanging="293"/>
      </w:pPr>
      <w:r>
        <w:t>b)</w:t>
      </w:r>
      <w:r>
        <w:tab/>
        <w:t>Dekontaminering eller opprydding av forurensede industrianlegg eller -steder.</w:t>
      </w:r>
    </w:p>
    <w:p w14:paraId="0C501A3F" w14:textId="77777777" w:rsidR="006561BA" w:rsidRDefault="005B4ED6">
      <w:pPr>
        <w:pStyle w:val="AnnexNumberedText"/>
        <w:spacing w:after="200"/>
        <w:ind w:left="293" w:hanging="293"/>
      </w:pPr>
      <w:r>
        <w:t>c)</w:t>
      </w:r>
      <w:r>
        <w:tab/>
        <w:t>Dekontaminering eller opprensing av overflatevann og dets bredder som følge av utilsiktet forurensning, som for eksempel gjennom oppsamling av forurensende stoffer eller gjennom fysiske, kjemiske eller biologiske metoder.</w:t>
      </w:r>
    </w:p>
    <w:p w14:paraId="780B9862" w14:textId="77777777" w:rsidR="006561BA" w:rsidRDefault="005B4ED6">
      <w:pPr>
        <w:pStyle w:val="AnnexNumberedText"/>
        <w:spacing w:after="200"/>
        <w:ind w:left="293" w:hanging="293"/>
      </w:pPr>
      <w:r>
        <w:t>d)</w:t>
      </w:r>
      <w:r>
        <w:tab/>
        <w:t>Opprensing etter utslipp av olje og andre typer forurensende stoffer på eller i</w:t>
      </w:r>
    </w:p>
    <w:p w14:paraId="6FE1DBF6" w14:textId="77777777" w:rsidR="006561BA" w:rsidRDefault="005B4ED6">
      <w:pPr>
        <w:pStyle w:val="AnnexNumberedText"/>
        <w:spacing w:after="200"/>
        <w:ind w:left="737" w:hanging="443"/>
      </w:pPr>
      <w:r>
        <w:t>i)</w:t>
      </w:r>
      <w:r>
        <w:tab/>
        <w:t>overflatevann, herunder elver, innsjøer, kystfarvann eller brakkvann,</w:t>
      </w:r>
    </w:p>
    <w:p w14:paraId="46C07004" w14:textId="77777777" w:rsidR="006561BA" w:rsidRDefault="005B4ED6">
      <w:pPr>
        <w:pStyle w:val="AnnexNumberedText"/>
        <w:spacing w:after="200"/>
        <w:ind w:left="737" w:hanging="443"/>
      </w:pPr>
      <w:r>
        <w:t>ii)</w:t>
      </w:r>
      <w:r>
        <w:tab/>
        <w:t>grunnvann som definert i direktiv 2000/60/EF,</w:t>
      </w:r>
    </w:p>
    <w:p w14:paraId="5F9628D6" w14:textId="77777777" w:rsidR="006561BA" w:rsidRDefault="005B4ED6">
      <w:pPr>
        <w:pStyle w:val="AnnexNumberedText"/>
        <w:spacing w:after="200"/>
        <w:ind w:left="737" w:hanging="443"/>
      </w:pPr>
      <w:r>
        <w:t>iii)</w:t>
      </w:r>
      <w:r>
        <w:tab/>
        <w:t>havområder som definert i direktiv 2008/56/EF, eller</w:t>
      </w:r>
    </w:p>
    <w:p w14:paraId="1EA97C5A" w14:textId="77777777" w:rsidR="006561BA" w:rsidRDefault="005B4ED6">
      <w:pPr>
        <w:pStyle w:val="AnnexNumberedText"/>
        <w:spacing w:after="200"/>
        <w:ind w:left="737" w:hanging="443"/>
      </w:pPr>
      <w:r>
        <w:t>iv)</w:t>
      </w:r>
      <w:r>
        <w:tab/>
        <w:t>sedimenter (for alle typer overflatevann),</w:t>
      </w:r>
    </w:p>
    <w:p w14:paraId="67143DAB" w14:textId="7B86BA58" w:rsidR="006561BA" w:rsidRDefault="005B4ED6">
      <w:pPr>
        <w:pStyle w:val="AnnexNumberedText"/>
        <w:spacing w:after="200"/>
        <w:ind w:left="737" w:hanging="443"/>
      </w:pPr>
      <w:r>
        <w:t>v)</w:t>
      </w:r>
      <w:r>
        <w:tab/>
      </w:r>
      <w:r w:rsidR="00423FA7">
        <w:t xml:space="preserve">akvatiske </w:t>
      </w:r>
      <w:r>
        <w:t>økosystemer,</w:t>
      </w:r>
    </w:p>
    <w:p w14:paraId="0E8EB313" w14:textId="77777777" w:rsidR="006561BA" w:rsidRDefault="005B4ED6">
      <w:pPr>
        <w:pStyle w:val="AnnexNumberedText"/>
        <w:spacing w:after="200"/>
        <w:ind w:left="737" w:hanging="443"/>
      </w:pPr>
      <w:r>
        <w:t>vi)</w:t>
      </w:r>
      <w:r>
        <w:tab/>
        <w:t>bygninger,</w:t>
      </w:r>
    </w:p>
    <w:p w14:paraId="13788D3D" w14:textId="77777777" w:rsidR="006561BA" w:rsidRDefault="005B4ED6">
      <w:pPr>
        <w:pStyle w:val="AnnexNumberedText"/>
        <w:spacing w:after="200"/>
        <w:ind w:left="737" w:hanging="443"/>
      </w:pPr>
      <w:r>
        <w:t>vii)</w:t>
      </w:r>
      <w:r>
        <w:tab/>
        <w:t>jord,</w:t>
      </w:r>
    </w:p>
    <w:p w14:paraId="12CF0C85" w14:textId="77777777" w:rsidR="006561BA" w:rsidRDefault="005B4ED6">
      <w:pPr>
        <w:pStyle w:val="AnnexNumberedText"/>
        <w:spacing w:after="200"/>
        <w:ind w:left="737" w:hanging="443"/>
      </w:pPr>
      <w:r>
        <w:t>viii)</w:t>
      </w:r>
      <w:r>
        <w:tab/>
        <w:t>økosystemer på land,</w:t>
      </w:r>
    </w:p>
    <w:p w14:paraId="2C1FF600" w14:textId="77777777" w:rsidR="006561BA" w:rsidRDefault="005B4ED6">
      <w:pPr>
        <w:pStyle w:val="AnnexNumberedText"/>
        <w:spacing w:after="200"/>
        <w:ind w:left="293" w:hanging="293"/>
      </w:pPr>
      <w:r>
        <w:t>e)</w:t>
      </w:r>
      <w:r>
        <w:tab/>
        <w:t xml:space="preserve">fjerning av farlige stoffer, stoffblandinger eller produkter, som for eksempel asbest eller </w:t>
      </w:r>
      <w:proofErr w:type="spellStart"/>
      <w:r>
        <w:t>blybasert</w:t>
      </w:r>
      <w:proofErr w:type="spellEnd"/>
      <w:r>
        <w:t xml:space="preserve"> maling,</w:t>
      </w:r>
    </w:p>
    <w:p w14:paraId="612D33DE" w14:textId="77777777" w:rsidR="006561BA" w:rsidRDefault="005B4ED6">
      <w:pPr>
        <w:pStyle w:val="AnnexNumberedText"/>
        <w:spacing w:after="200"/>
        <w:ind w:left="293" w:hanging="293"/>
      </w:pPr>
      <w:r>
        <w:t>f)</w:t>
      </w:r>
      <w:r>
        <w:tab/>
        <w:t>andre spesialiserte aktiviteter for begrensning av forurensning,</w:t>
      </w:r>
    </w:p>
    <w:p w14:paraId="1E2BABA2" w14:textId="10F01F10" w:rsidR="006561BA" w:rsidRDefault="005B4ED6">
      <w:pPr>
        <w:pStyle w:val="AnnexNumberedText"/>
        <w:spacing w:after="200"/>
        <w:ind w:left="293" w:hanging="293"/>
      </w:pPr>
      <w:r>
        <w:t>g)</w:t>
      </w:r>
      <w:r>
        <w:tab/>
        <w:t>opprydding etter katastrofer som følge av naturkatastrofer</w:t>
      </w:r>
      <w:r w:rsidR="002F30F4">
        <w:t>,</w:t>
      </w:r>
      <w:r>
        <w:t xml:space="preserve"> som for eksempel oversvømmelser eller jordskjelv,</w:t>
      </w:r>
    </w:p>
    <w:p w14:paraId="0C64337B" w14:textId="77777777" w:rsidR="006561BA" w:rsidRDefault="005B4ED6">
      <w:pPr>
        <w:pStyle w:val="AnnexNumberedText"/>
        <w:spacing w:after="200"/>
        <w:ind w:left="293" w:hanging="293"/>
      </w:pPr>
      <w:r>
        <w:t>h)</w:t>
      </w:r>
      <w:r>
        <w:tab/>
        <w:t>opprydding av nedlagte gruveanlegg eller tidligere anlegg som ikke er forbundet med utvinningsinntekter,</w:t>
      </w:r>
    </w:p>
    <w:p w14:paraId="7B17B00D" w14:textId="77777777" w:rsidR="006561BA" w:rsidRDefault="005B4ED6">
      <w:pPr>
        <w:pStyle w:val="AnnexNumberedText"/>
        <w:spacing w:after="200"/>
        <w:ind w:left="293" w:hanging="293"/>
      </w:pPr>
      <w:r>
        <w:t>i)</w:t>
      </w:r>
      <w:r>
        <w:tab/>
      </w:r>
      <w:proofErr w:type="spellStart"/>
      <w:r>
        <w:t>innesluttingsaktiviteter</w:t>
      </w:r>
      <w:proofErr w:type="spellEnd"/>
      <w:r>
        <w:t>, hydrauliske barrierer, aktive og passive barrierer som har til formål å begrense eller forhindre spredning av forurensende stoffer.</w:t>
      </w:r>
    </w:p>
    <w:p w14:paraId="56C9CFAB" w14:textId="77777777" w:rsidR="006561BA" w:rsidRDefault="005B4ED6">
      <w:pPr>
        <w:pStyle w:val="AnnexNormal"/>
      </w:pPr>
      <w:r>
        <w:t xml:space="preserve">Aktiviteten omfatter også alle aktiviteter som er nødvendige for å forberede, planlegge, overvåke og følge opp selve dekontaminerings- eller </w:t>
      </w:r>
      <w:proofErr w:type="spellStart"/>
      <w:r>
        <w:t>oppryddingaktiviteten</w:t>
      </w:r>
      <w:proofErr w:type="spellEnd"/>
      <w:r>
        <w:t>, som for eksempel følgende:</w:t>
      </w:r>
    </w:p>
    <w:p w14:paraId="1730B129" w14:textId="77777777" w:rsidR="006561BA" w:rsidRDefault="005B4ED6">
      <w:pPr>
        <w:pStyle w:val="AnnexNumberedText"/>
        <w:spacing w:after="200"/>
        <w:ind w:left="293" w:hanging="293"/>
      </w:pPr>
      <w:r>
        <w:t>a)</w:t>
      </w:r>
      <w:r>
        <w:tab/>
        <w:t>Forberedende undersøkelser, herunder datainnsamlings- og overvåkingsaktiviteter (særlig geologiske eller hydrologiske), tekniske gjennomførbarhets- og miljøkonsekvensundersøkelser som er nødvendige for å definere oppryddingsprosjektet.</w:t>
      </w:r>
    </w:p>
    <w:p w14:paraId="420923CC" w14:textId="77777777" w:rsidR="006561BA" w:rsidRDefault="005B4ED6">
      <w:pPr>
        <w:pStyle w:val="AnnexNumberedText"/>
        <w:spacing w:after="200"/>
        <w:ind w:left="293" w:hanging="293"/>
      </w:pPr>
      <w:r>
        <w:t>b)</w:t>
      </w:r>
      <w:r>
        <w:tab/>
        <w:t>Overvåking og kontroll av oppryddingstiltakene, herunder</w:t>
      </w:r>
    </w:p>
    <w:p w14:paraId="73AF21E6" w14:textId="77777777" w:rsidR="006561BA" w:rsidRDefault="005B4ED6">
      <w:pPr>
        <w:pStyle w:val="AnnexNumberedText"/>
        <w:spacing w:after="200"/>
        <w:ind w:left="647" w:hanging="353"/>
      </w:pPr>
      <w:r>
        <w:t>i)</w:t>
      </w:r>
      <w:r>
        <w:tab/>
        <w:t>prøvetaking av jord, vann, sediment, biota eller andre materialer,</w:t>
      </w:r>
    </w:p>
    <w:p w14:paraId="20B457C3" w14:textId="77777777" w:rsidR="006561BA" w:rsidRDefault="005B4ED6">
      <w:pPr>
        <w:pStyle w:val="AnnexNumberedText"/>
        <w:ind w:left="647" w:hanging="353"/>
      </w:pPr>
      <w:r>
        <w:t>ii)</w:t>
      </w:r>
      <w:r>
        <w:tab/>
        <w:t>laboratorieanalyse av prøver for å identifisere arten og konsentrasjonen av forurensende stoffer,</w:t>
      </w:r>
      <w:r>
        <w:br w:type="page"/>
      </w:r>
    </w:p>
    <w:p w14:paraId="41979A33" w14:textId="4ADC842C" w:rsidR="006561BA" w:rsidRDefault="005B4ED6">
      <w:pPr>
        <w:pStyle w:val="AnnexNumberedText"/>
        <w:spacing w:after="200"/>
        <w:ind w:left="647" w:hanging="353"/>
      </w:pPr>
      <w:r>
        <w:lastRenderedPageBreak/>
        <w:t>iii)</w:t>
      </w:r>
      <w:r>
        <w:tab/>
        <w:t>installering, drift og vedlikehold av overvåkingsanlegg og -utstyr</w:t>
      </w:r>
      <w:r w:rsidR="002E3EBE">
        <w:t>,</w:t>
      </w:r>
      <w:r>
        <w:t xml:space="preserve"> som for eksempel observasjonsbrønner i og utenfor området som er under opprydding.</w:t>
      </w:r>
    </w:p>
    <w:p w14:paraId="70035F81" w14:textId="77777777" w:rsidR="006561BA" w:rsidRDefault="005B4ED6">
      <w:pPr>
        <w:pStyle w:val="AnnexNumberedText"/>
        <w:spacing w:after="200"/>
        <w:ind w:left="293" w:hanging="293"/>
      </w:pPr>
      <w:r>
        <w:t>c)</w:t>
      </w:r>
      <w:r>
        <w:tab/>
      </w:r>
      <w:proofErr w:type="spellStart"/>
      <w:r>
        <w:t>Riving</w:t>
      </w:r>
      <w:proofErr w:type="spellEnd"/>
      <w:r>
        <w:t xml:space="preserve"> av forurensede bygninger eller andre konstruksjoner, demontering av store maskiner og stort utstyr (det vil si nedlegging) og fjerning av overflateforsegling og betong.</w:t>
      </w:r>
    </w:p>
    <w:p w14:paraId="4C73D4EB" w14:textId="77777777" w:rsidR="006561BA" w:rsidRDefault="005B4ED6">
      <w:pPr>
        <w:pStyle w:val="AnnexNumberedText"/>
        <w:spacing w:after="200"/>
        <w:ind w:left="293" w:hanging="293"/>
      </w:pPr>
      <w:r>
        <w:t>d)</w:t>
      </w:r>
      <w:r>
        <w:tab/>
        <w:t>Grunnarbeid eller mudring, herunder utgraving, deponering, planering, oppføring eller forsterking av perimetermurer eller gjerder, hovedadkomstvei og interne veier og andre aktiviteter som er nødvendige for å utføre dekontamineringen.</w:t>
      </w:r>
    </w:p>
    <w:p w14:paraId="12BC1B5B" w14:textId="77777777" w:rsidR="006561BA" w:rsidRDefault="005B4ED6">
      <w:pPr>
        <w:pStyle w:val="AnnexNumberedText"/>
        <w:spacing w:after="200"/>
        <w:ind w:left="293" w:hanging="293"/>
      </w:pPr>
      <w:r>
        <w:t>e)</w:t>
      </w:r>
      <w:r>
        <w:tab/>
        <w:t xml:space="preserve">Gjennomføring av andre miljøverntiltak og tiltak for forebygging og begrensning av forurensning for å oppfylle vilkårene i oppryddingsprosjektets miljøtillatelse, herunder tiltak for å ivareta driftssikkerheten på stedet og arbeidstakernes helse (som for eksempel brannbekjempelse, </w:t>
      </w:r>
      <w:proofErr w:type="spellStart"/>
      <w:r>
        <w:t>flomsikring</w:t>
      </w:r>
      <w:proofErr w:type="spellEnd"/>
      <w:r>
        <w:t>, håndtering av farlig avfall), vern av arbeidstakere, område med adgangskontroll, håndtering av skadelige arter før eller under dekontaminering eller opprydding, forsterkning som utføres før eller under dekontaminering.</w:t>
      </w:r>
    </w:p>
    <w:p w14:paraId="55723FAF" w14:textId="77777777" w:rsidR="006561BA" w:rsidRDefault="005B4ED6">
      <w:pPr>
        <w:pStyle w:val="AnnexNormal"/>
      </w:pPr>
      <w:r>
        <w:t>Denne økonomiske aktiviteten omfatter ikke</w:t>
      </w:r>
    </w:p>
    <w:p w14:paraId="1B01FD4F" w14:textId="77777777" w:rsidR="006561BA" w:rsidRDefault="005B4ED6">
      <w:pPr>
        <w:pStyle w:val="AnnexNumberedText"/>
        <w:spacing w:after="200"/>
        <w:ind w:left="293" w:hanging="293"/>
      </w:pPr>
      <w:r>
        <w:t>a)</w:t>
      </w:r>
      <w:r>
        <w:tab/>
        <w:t>skadedyrbekjempelse i landbruket,</w:t>
      </w:r>
    </w:p>
    <w:p w14:paraId="365F8648" w14:textId="77777777" w:rsidR="006561BA" w:rsidRDefault="005B4ED6">
      <w:pPr>
        <w:pStyle w:val="AnnexNumberedText"/>
        <w:spacing w:after="200"/>
        <w:ind w:left="293" w:hanging="293"/>
      </w:pPr>
      <w:r>
        <w:t>b)</w:t>
      </w:r>
      <w:r>
        <w:tab/>
        <w:t>rensing av vann til vannforsyningsformål,</w:t>
      </w:r>
    </w:p>
    <w:p w14:paraId="09AF560C" w14:textId="77777777" w:rsidR="006561BA" w:rsidRDefault="005B4ED6">
      <w:pPr>
        <w:pStyle w:val="AnnexNumberedText"/>
        <w:spacing w:after="200"/>
        <w:ind w:left="293" w:hanging="293"/>
      </w:pPr>
      <w:r>
        <w:t>c)</w:t>
      </w:r>
      <w:r>
        <w:tab/>
        <w:t>dekontaminering eller opprydding av kjernekraftverk og -anlegg,</w:t>
      </w:r>
    </w:p>
    <w:p w14:paraId="2684AE54" w14:textId="77777777" w:rsidR="006561BA" w:rsidRDefault="005B4ED6">
      <w:pPr>
        <w:pStyle w:val="AnnexNumberedText"/>
        <w:spacing w:after="200"/>
        <w:ind w:left="293" w:hanging="293"/>
      </w:pPr>
      <w:r>
        <w:t>d)</w:t>
      </w:r>
      <w:r>
        <w:tab/>
        <w:t>behandling og sluttbehandling av farlig eller ikke-farlig avfall som ikke er forbundet med forurensningsproblemet på anlegget,</w:t>
      </w:r>
    </w:p>
    <w:p w14:paraId="4B20872F" w14:textId="77777777" w:rsidR="006561BA" w:rsidRDefault="005B4ED6">
      <w:pPr>
        <w:pStyle w:val="AnnexNumberedText"/>
        <w:spacing w:after="200"/>
        <w:ind w:left="293" w:hanging="293"/>
      </w:pPr>
      <w:r>
        <w:t>e)</w:t>
      </w:r>
      <w:r>
        <w:tab/>
        <w:t>morfologisk gjenoppretting,</w:t>
      </w:r>
    </w:p>
    <w:p w14:paraId="39EEF888" w14:textId="77777777" w:rsidR="006561BA" w:rsidRDefault="005B4ED6">
      <w:pPr>
        <w:pStyle w:val="AnnexNumberedText"/>
        <w:spacing w:after="200"/>
        <w:ind w:left="293" w:hanging="293"/>
      </w:pPr>
      <w:r>
        <w:t>f)</w:t>
      </w:r>
      <w:r>
        <w:tab/>
        <w:t>opprydding av deponier som ikke oppfyller de rettslige kravene, og forlatte eller ulovlige avfallsdeponier som ikke har noen forbindelse med det anlegget som er under opprydding (se avsnitt 2.3 i dette vedlegget),</w:t>
      </w:r>
    </w:p>
    <w:p w14:paraId="1FC146CF" w14:textId="77777777" w:rsidR="006561BA" w:rsidRDefault="005B4ED6">
      <w:pPr>
        <w:pStyle w:val="AnnexNumberedText"/>
        <w:spacing w:after="200"/>
        <w:ind w:left="293" w:hanging="293"/>
      </w:pPr>
      <w:r>
        <w:t>g)</w:t>
      </w:r>
      <w:r>
        <w:tab/>
        <w:t>beredskapstjenester (se avsnitt 14.1 i vedlegg II til delegert forordning (EU) 2021/2139),</w:t>
      </w:r>
    </w:p>
    <w:p w14:paraId="54C63F07" w14:textId="77777777" w:rsidR="006561BA" w:rsidRDefault="005B4ED6">
      <w:pPr>
        <w:pStyle w:val="AnnexNumberedText"/>
        <w:spacing w:after="200"/>
        <w:ind w:left="293" w:hanging="293"/>
      </w:pPr>
      <w:r>
        <w:t>h)</w:t>
      </w:r>
      <w:r>
        <w:tab/>
        <w:t>utendørs feiing og vanning av gater.</w:t>
      </w:r>
    </w:p>
    <w:p w14:paraId="546CC27D" w14:textId="79636818" w:rsidR="006561BA" w:rsidRDefault="005B4ED6">
      <w:pPr>
        <w:pStyle w:val="AnnexNormal"/>
        <w:spacing w:after="600"/>
      </w:pPr>
      <w:r>
        <w:t>De økonomiske aktivitetene i denne kategorien kan knyttes til flere NACE-koder, særlig 39, 33.20, 43.11, 43.12, 71.12, 71.20, 74.90 og 81.30</w:t>
      </w:r>
      <w:r w:rsidR="00DE3ECA">
        <w:t>,</w:t>
      </w:r>
      <w:r>
        <w:t xml:space="preserve"> i samsvar med standarden for næringsgruppering fastsatt ved forordning (EF) nr. 1893/2006.</w:t>
      </w:r>
    </w:p>
    <w:p w14:paraId="6B6E122B" w14:textId="77777777" w:rsidR="006561BA" w:rsidRDefault="005B4ED6">
      <w:pPr>
        <w:pStyle w:val="AnnexGrSeq3"/>
        <w:spacing w:after="300"/>
        <w:jc w:val="both"/>
      </w:pPr>
      <w:r>
        <w:rPr>
          <w:i/>
        </w:rPr>
        <w:t>Tekniske screeningkriterier</w:t>
      </w:r>
    </w:p>
    <w:tbl>
      <w:tblPr>
        <w:tblStyle w:val="EFTATable"/>
        <w:tblW w:w="9228" w:type="dxa"/>
        <w:tblInd w:w="12" w:type="dxa"/>
        <w:tblLayout w:type="fixed"/>
        <w:tblLook w:val="04A0" w:firstRow="1" w:lastRow="0" w:firstColumn="1" w:lastColumn="0" w:noHBand="0" w:noVBand="1"/>
      </w:tblPr>
      <w:tblGrid>
        <w:gridCol w:w="2508"/>
        <w:gridCol w:w="6720"/>
      </w:tblGrid>
      <w:tr w:rsidR="006561BA" w14:paraId="5DFAE7EF" w14:textId="77777777">
        <w:trPr>
          <w:trHeight w:val="240"/>
        </w:trPr>
        <w:tc>
          <w:tcPr>
            <w:tcW w:w="9228" w:type="dxa"/>
            <w:gridSpan w:val="2"/>
            <w:tcMar>
              <w:left w:w="0" w:type="dxa"/>
              <w:right w:w="0" w:type="dxa"/>
            </w:tcMar>
          </w:tcPr>
          <w:p w14:paraId="78BBF6E0" w14:textId="77777777" w:rsidR="006561BA" w:rsidRDefault="005B4ED6">
            <w:pPr>
              <w:pStyle w:val="AnnexTableCellLeft"/>
            </w:pPr>
            <w:r>
              <w:t>Vesentlig bidrag til forebygging og begrensning av forurensning</w:t>
            </w:r>
          </w:p>
        </w:tc>
      </w:tr>
      <w:tr w:rsidR="006561BA" w14:paraId="3C19FEB3" w14:textId="77777777">
        <w:trPr>
          <w:trHeight w:val="360"/>
        </w:trPr>
        <w:tc>
          <w:tcPr>
            <w:tcW w:w="9228" w:type="dxa"/>
            <w:gridSpan w:val="2"/>
            <w:tcMar>
              <w:left w:w="0" w:type="dxa"/>
              <w:right w:w="0" w:type="dxa"/>
            </w:tcMar>
          </w:tcPr>
          <w:p w14:paraId="7DA09FB3" w14:textId="77777777" w:rsidR="006561BA" w:rsidRDefault="005B4ED6">
            <w:pPr>
              <w:pStyle w:val="AnnexNumberedText"/>
              <w:tabs>
                <w:tab w:val="left" w:pos="276"/>
              </w:tabs>
              <w:ind w:left="0" w:firstLine="0"/>
            </w:pPr>
            <w:r>
              <w:t>1.</w:t>
            </w:r>
            <w:r>
              <w:tab/>
              <w:t>Oppryddingsaktiviteter utøves ikke av den aktivitetsutøveren(</w:t>
            </w:r>
            <w:bookmarkStart w:id="328" w:name="NOTE_330"/>
            <w:r>
              <w:rPr>
                <w:rStyle w:val="FootnoteReference"/>
                <w:sz w:val="18"/>
              </w:rPr>
              <w:footnoteReference w:id="331"/>
            </w:r>
            <w:bookmarkEnd w:id="328"/>
            <w:r>
              <w:t>) som forårsaket forurensningen, eller av en person som opptrer på vegne av denne aktivitetsutøveren, med henblikk på å oppfylle kravene i direktiv 2004/35/EF eller, når det gjelder aktiviteter i tredjeland, bestemmelser om miljøansvar basert på prinsippet om at det er forurenseren som betaler, i henhold til nasjonal rett.</w:t>
            </w:r>
          </w:p>
          <w:p w14:paraId="161B9B1A" w14:textId="77777777" w:rsidR="006561BA" w:rsidRDefault="005B4ED6">
            <w:pPr>
              <w:pStyle w:val="AnnexNumberedText"/>
              <w:tabs>
                <w:tab w:val="left" w:pos="276"/>
              </w:tabs>
              <w:spacing w:after="0"/>
              <w:ind w:left="0" w:firstLine="0"/>
            </w:pPr>
            <w:r>
              <w:t>2.</w:t>
            </w:r>
            <w:r>
              <w:tab/>
              <w:t>De relevante forurensende stoffene fjernes, kontrolleres, innesluttes eller reduseres ved hjelp av mekaniske, kjemiske, biologiske eller andre metoder slik at det forurensede området (grunn, vannforekomst eller annet), idet det tas hensyn til bruken på tidspunktet for skaden eller godkjent framtidig bruk av området, ikke lenger utgjør en betydelig risiko for at menneskers helse og miljøet påvirkes negativt(</w:t>
            </w:r>
            <w:bookmarkStart w:id="329" w:name="NOTE_331"/>
            <w:r>
              <w:rPr>
                <w:rStyle w:val="FootnoteReference"/>
                <w:sz w:val="18"/>
              </w:rPr>
              <w:footnoteReference w:id="332"/>
            </w:r>
            <w:bookmarkEnd w:id="329"/>
            <w:r>
              <w:t>), som angitt i et av følgende:</w:t>
            </w:r>
          </w:p>
        </w:tc>
      </w:tr>
      <w:tr w:rsidR="006561BA" w14:paraId="4D21E79A" w14:textId="77777777">
        <w:trPr>
          <w:trHeight w:val="360"/>
        </w:trPr>
        <w:tc>
          <w:tcPr>
            <w:tcW w:w="9228" w:type="dxa"/>
            <w:gridSpan w:val="2"/>
            <w:tcMar>
              <w:top w:w="200" w:type="dxa"/>
              <w:left w:w="0" w:type="dxa"/>
              <w:bottom w:w="200" w:type="dxa"/>
              <w:right w:w="0" w:type="dxa"/>
            </w:tcMar>
          </w:tcPr>
          <w:p w14:paraId="4C4CF317" w14:textId="77777777" w:rsidR="006561BA" w:rsidRDefault="005B4ED6">
            <w:pPr>
              <w:pStyle w:val="AnnexNumberedText"/>
              <w:pageBreakBefore/>
            </w:pPr>
            <w:r>
              <w:lastRenderedPageBreak/>
              <w:t>a)</w:t>
            </w:r>
            <w:r>
              <w:tab/>
              <w:t>Nasjonale reguleringsstandarder.</w:t>
            </w:r>
          </w:p>
          <w:p w14:paraId="3F169FEF" w14:textId="40FB6974" w:rsidR="006561BA" w:rsidRDefault="005B4ED6">
            <w:pPr>
              <w:pStyle w:val="AnnexNumberedText"/>
            </w:pPr>
            <w:r>
              <w:t>b)</w:t>
            </w:r>
            <w:r>
              <w:tab/>
              <w:t xml:space="preserve">Dersom disse standardene ikke er tilgjengelige, en intern stedsspesifikk risikovurdering der det tas hensyn til det berørte områdets karakter og størrelse (grunn, vannforekomst eller annet), typen, egenskapene (persistens, mobilitet og toksisitet) og konsentrasjonen </w:t>
            </w:r>
            <w:r w:rsidR="000960DE">
              <w:t xml:space="preserve">av </w:t>
            </w:r>
            <w:r>
              <w:t>stoffene, preparatene, organismene eller mikroorganismene, eventuelle migrasjonsveier og sannsynligheten for spredning(</w:t>
            </w:r>
            <w:bookmarkStart w:id="330" w:name="NOTE_332"/>
            <w:r>
              <w:rPr>
                <w:rStyle w:val="FootnoteReference"/>
                <w:sz w:val="18"/>
              </w:rPr>
              <w:footnoteReference w:id="333"/>
            </w:r>
            <w:bookmarkEnd w:id="330"/>
            <w:r>
              <w:t>).</w:t>
            </w:r>
          </w:p>
          <w:p w14:paraId="620260D9" w14:textId="77777777" w:rsidR="006561BA" w:rsidRDefault="005B4ED6">
            <w:pPr>
              <w:pStyle w:val="AnnexNumberedText"/>
              <w:tabs>
                <w:tab w:val="left" w:pos="276"/>
              </w:tabs>
              <w:ind w:left="0" w:firstLine="0"/>
            </w:pPr>
            <w:r>
              <w:t>3.</w:t>
            </w:r>
            <w:r>
              <w:tab/>
              <w:t>Oppryddingsaktiviteten utføres i tråd med beste praksis i industrien og omfatter alle følgende elementer:</w:t>
            </w:r>
          </w:p>
          <w:p w14:paraId="104A5A8C" w14:textId="77777777" w:rsidR="006561BA" w:rsidRDefault="005B4ED6">
            <w:pPr>
              <w:pStyle w:val="AnnexNumberedText"/>
              <w:ind w:left="293" w:hanging="293"/>
            </w:pPr>
            <w:r>
              <w:t>a)</w:t>
            </w:r>
            <w:r>
              <w:tab/>
              <w:t>Den opprinnelige driftsaktiviteten eller det defekte anlegget og tilhørende utstyr som førte til forurensningen, har opphørt eller er håndtert slik at den/det ikke utgjør en risiko for ytterligere forurensning før det foretas en vurdering eller oppryddingsaktivitet (unntatt ved grenseoverskridende luftforurensning over store avstander eller andre uidentifiserbare diffuse kilder).</w:t>
            </w:r>
          </w:p>
          <w:p w14:paraId="0F806E0D" w14:textId="77777777" w:rsidR="006561BA" w:rsidRDefault="005B4ED6">
            <w:pPr>
              <w:pStyle w:val="AnnexNumberedText"/>
              <w:ind w:left="293" w:hanging="293"/>
            </w:pPr>
            <w:r>
              <w:t>b)</w:t>
            </w:r>
            <w:r>
              <w:tab/>
              <w:t>Forberedende undersøkelser, herunder stedsspesifikke undersøkelser og innsamling av fysiske, kjemiske eller mikrobiologiske data, gjennomføres i samsvar med beste praksis i industrien og beste tilgjengelige teknikker med henblikk på å fastsette følgende elementer, som brukes til å definere miljømålene for oppryddingen og evaluere utbedringsløsningene:</w:t>
            </w:r>
          </w:p>
          <w:p w14:paraId="4D0A9D3F" w14:textId="77777777" w:rsidR="006561BA" w:rsidRDefault="005B4ED6">
            <w:pPr>
              <w:pStyle w:val="AnnexNumberedText"/>
              <w:ind w:left="646" w:hanging="353"/>
            </w:pPr>
            <w:r>
              <w:t>i)</w:t>
            </w:r>
            <w:r>
              <w:tab/>
              <w:t>Det forurensede områdets beliggenhet, egenskaper og størrelse.</w:t>
            </w:r>
          </w:p>
          <w:p w14:paraId="2B3F6064" w14:textId="1C7AEF7C" w:rsidR="006561BA" w:rsidRDefault="005B4ED6">
            <w:pPr>
              <w:pStyle w:val="AnnexNumberedText"/>
              <w:ind w:left="646" w:hanging="353"/>
            </w:pPr>
            <w:r>
              <w:t>ii)</w:t>
            </w:r>
            <w:r>
              <w:tab/>
            </w:r>
            <w:r w:rsidR="00BE034F">
              <w:t>D</w:t>
            </w:r>
            <w:r>
              <w:t>e underliggende geologiske og hydrologiske forholdene</w:t>
            </w:r>
            <w:r w:rsidR="00BE034F">
              <w:t>.</w:t>
            </w:r>
          </w:p>
          <w:p w14:paraId="3961A263" w14:textId="77777777" w:rsidR="006561BA" w:rsidRDefault="005B4ED6">
            <w:pPr>
              <w:pStyle w:val="AnnexNumberedText"/>
              <w:ind w:left="646" w:hanging="353"/>
            </w:pPr>
            <w:r>
              <w:t>iii)</w:t>
            </w:r>
            <w:r>
              <w:tab/>
              <w:t>Den sannsynlige mengden av, sammensetningen av og kildene til forurensningen.</w:t>
            </w:r>
          </w:p>
          <w:p w14:paraId="719F836F" w14:textId="77777777" w:rsidR="006561BA" w:rsidRDefault="005B4ED6">
            <w:pPr>
              <w:pStyle w:val="AnnexNumberedText"/>
              <w:ind w:left="646" w:hanging="353"/>
            </w:pPr>
            <w:r>
              <w:t>iv)</w:t>
            </w:r>
            <w:r>
              <w:tab/>
              <w:t>Jord- og vannforurensning som følge av dette samt risikoene for menneskers helse og miljøet.</w:t>
            </w:r>
          </w:p>
          <w:p w14:paraId="0F822081" w14:textId="77777777" w:rsidR="006561BA" w:rsidRDefault="005B4ED6">
            <w:pPr>
              <w:pStyle w:val="AnnexNumberedText"/>
              <w:ind w:left="293" w:hanging="293"/>
            </w:pPr>
            <w:r>
              <w:t>c)</w:t>
            </w:r>
            <w:r>
              <w:tab/>
              <w:t>Utbedringsløsningene analyseres i samsvar med vedlegg II til direktiv 2004/35/EF(</w:t>
            </w:r>
            <w:bookmarkStart w:id="331" w:name="NOTE_333"/>
            <w:r>
              <w:rPr>
                <w:rStyle w:val="FootnoteReference"/>
                <w:sz w:val="18"/>
              </w:rPr>
              <w:footnoteReference w:id="334"/>
            </w:r>
            <w:bookmarkEnd w:id="331"/>
            <w:r>
              <w:t>), og de mest hensiktsmessige utbedringstiltakene er beskrevet i en egen oppryddingsplan, herunder overvåkingskravene og -planen.</w:t>
            </w:r>
          </w:p>
          <w:p w14:paraId="0E25ACFD" w14:textId="77777777" w:rsidR="006561BA" w:rsidRDefault="005B4ED6">
            <w:pPr>
              <w:pStyle w:val="AnnexNumberedText"/>
              <w:ind w:left="293" w:hanging="293"/>
            </w:pPr>
            <w:r>
              <w:t>d)</w:t>
            </w:r>
            <w:r>
              <w:tab/>
              <w:t>Farlig eller ikke-farlig avfall eller forurenset jordbunn som utvinnes eller på annen måte genereres av oppryddingsaktiviteten, skal samles inn, transporteres, behandles, gjenvinnes eller sluttbehandles av en godkjent aktivitetsutøver i samsvar med rettslige krav, og det skal sikres at enhver blanding av utgravd forurenset jord og ikke-forurenset jord forhindres.</w:t>
            </w:r>
          </w:p>
          <w:p w14:paraId="566A1B42" w14:textId="77777777" w:rsidR="006561BA" w:rsidRDefault="005B4ED6">
            <w:pPr>
              <w:pStyle w:val="AnnexNumberedText"/>
              <w:ind w:left="293" w:hanging="293"/>
            </w:pPr>
            <w:r>
              <w:t>e)</w:t>
            </w:r>
            <w:r>
              <w:tab/>
              <w:t>Oppryddingsmetoder omfatter ikke reduksjon av konsentrasjonen av forurensende stoffer gjennom fortynning eller utvanning, med mindre oppryddingsplanen av andre årsaker enn kostnadshensyn, inneholder en fullstendig begrunnelse av dette.</w:t>
            </w:r>
          </w:p>
          <w:p w14:paraId="3FA49967" w14:textId="77777777" w:rsidR="006561BA" w:rsidRDefault="005B4ED6">
            <w:pPr>
              <w:pStyle w:val="AnnexNumberedText"/>
              <w:ind w:left="293" w:hanging="293"/>
            </w:pPr>
            <w:r>
              <w:t>f)</w:t>
            </w:r>
            <w:r>
              <w:tab/>
              <w:t xml:space="preserve">Kontroll-, overvåkings- eller </w:t>
            </w:r>
            <w:proofErr w:type="spellStart"/>
            <w:r>
              <w:t>vedlikeholdsaktiviteter</w:t>
            </w:r>
            <w:proofErr w:type="spellEnd"/>
            <w:r>
              <w:t xml:space="preserve"> utøves i etterfølgende tilsynsfase, som varer i minst 10 år, med mindre det er fastsatt en annen varighet som er tilstrekkelig til å sikre risikokontroll på lang sikt, i nasjonal rett eller i oppryddings- og overvåkingsplanen (se nr. 4).</w:t>
            </w:r>
          </w:p>
          <w:p w14:paraId="289DE9DF" w14:textId="77777777" w:rsidR="006561BA" w:rsidRDefault="005B4ED6">
            <w:pPr>
              <w:pStyle w:val="AnnexNumberedText"/>
              <w:tabs>
                <w:tab w:val="left" w:pos="276"/>
              </w:tabs>
              <w:spacing w:after="0"/>
              <w:ind w:left="0" w:firstLine="0"/>
            </w:pPr>
            <w:r>
              <w:t>4.</w:t>
            </w:r>
            <w:r>
              <w:tab/>
              <w:t>Den særlige oppryddings- og overvåkingsplanen godkjennes av den vedkommende myndigheten i samsvar med nasjonale rettslige krav, etter samråd med lokale berørte parter.</w:t>
            </w:r>
          </w:p>
        </w:tc>
      </w:tr>
      <w:tr w:rsidR="006561BA" w14:paraId="3E80B252" w14:textId="77777777">
        <w:trPr>
          <w:trHeight w:val="240"/>
        </w:trPr>
        <w:tc>
          <w:tcPr>
            <w:tcW w:w="9228" w:type="dxa"/>
            <w:gridSpan w:val="2"/>
            <w:tcMar>
              <w:top w:w="200" w:type="dxa"/>
              <w:left w:w="0" w:type="dxa"/>
              <w:bottom w:w="200" w:type="dxa"/>
              <w:right w:w="0" w:type="dxa"/>
            </w:tcMar>
          </w:tcPr>
          <w:p w14:paraId="28BEE5C0" w14:textId="77777777" w:rsidR="006561BA" w:rsidRDefault="005B4ED6">
            <w:pPr>
              <w:pStyle w:val="AnnexTableCellLeft"/>
              <w:pageBreakBefore/>
            </w:pPr>
            <w:r>
              <w:lastRenderedPageBreak/>
              <w:t>Prinsippet om ikke å gjøre betydelig skade («DNSH»)</w:t>
            </w:r>
          </w:p>
        </w:tc>
      </w:tr>
      <w:tr w:rsidR="006561BA" w14:paraId="0BF779E8" w14:textId="77777777">
        <w:tc>
          <w:tcPr>
            <w:tcW w:w="2508" w:type="dxa"/>
            <w:tcMar>
              <w:top w:w="200" w:type="dxa"/>
              <w:left w:w="0" w:type="dxa"/>
              <w:bottom w:w="200" w:type="dxa"/>
            </w:tcMar>
          </w:tcPr>
          <w:p w14:paraId="6A45B6C6" w14:textId="77777777" w:rsidR="006561BA" w:rsidRDefault="005B4ED6">
            <w:pPr>
              <w:pStyle w:val="AnnexNumberedText"/>
              <w:spacing w:after="0"/>
              <w:ind w:left="293" w:hanging="293"/>
            </w:pPr>
            <w:r>
              <w:t>1)</w:t>
            </w:r>
            <w:r>
              <w:tab/>
              <w:t>Begrensning av klimaendringer</w:t>
            </w:r>
          </w:p>
        </w:tc>
        <w:tc>
          <w:tcPr>
            <w:tcW w:w="6720" w:type="dxa"/>
            <w:tcMar>
              <w:top w:w="200" w:type="dxa"/>
              <w:bottom w:w="200" w:type="dxa"/>
              <w:right w:w="0" w:type="dxa"/>
            </w:tcMar>
          </w:tcPr>
          <w:p w14:paraId="0F81B29C" w14:textId="77777777" w:rsidR="006561BA" w:rsidRDefault="005B4ED6">
            <w:pPr>
              <w:pStyle w:val="AnnexTableCellLeft"/>
              <w:spacing w:after="120"/>
            </w:pPr>
            <w:r>
              <w:t>Aktiviteten omfatter ikke forringelse av areal med stort karbonlager(</w:t>
            </w:r>
            <w:bookmarkStart w:id="332" w:name="NOTE_334"/>
            <w:r>
              <w:rPr>
                <w:rStyle w:val="FootnoteReference"/>
                <w:sz w:val="18"/>
              </w:rPr>
              <w:footnoteReference w:id="335"/>
            </w:r>
            <w:bookmarkEnd w:id="332"/>
            <w:r>
              <w:t>).</w:t>
            </w:r>
          </w:p>
          <w:p w14:paraId="7DADB4A1" w14:textId="77777777" w:rsidR="006561BA" w:rsidRDefault="005B4ED6">
            <w:pPr>
              <w:pStyle w:val="AnnexTableCellLeft"/>
            </w:pPr>
            <w:r>
              <w:t>Tiltak for å redusere klimagassutslippene innenfor anvendelsesområde 1 og 2(</w:t>
            </w:r>
            <w:bookmarkStart w:id="333" w:name="NOTE_335"/>
            <w:r>
              <w:rPr>
                <w:rStyle w:val="FootnoteReference"/>
                <w:sz w:val="18"/>
              </w:rPr>
              <w:footnoteReference w:id="336"/>
            </w:r>
            <w:bookmarkEnd w:id="333"/>
            <w:r>
              <w:t>) i hele prosessen for fjerning eller behandling inngår i oppryddingsplanen.</w:t>
            </w:r>
          </w:p>
        </w:tc>
      </w:tr>
      <w:tr w:rsidR="006561BA" w14:paraId="2EE967C0" w14:textId="77777777">
        <w:tc>
          <w:tcPr>
            <w:tcW w:w="2508" w:type="dxa"/>
            <w:tcMar>
              <w:top w:w="200" w:type="dxa"/>
              <w:left w:w="0" w:type="dxa"/>
              <w:bottom w:w="200" w:type="dxa"/>
            </w:tcMar>
          </w:tcPr>
          <w:p w14:paraId="300C5EAC" w14:textId="77777777" w:rsidR="006561BA" w:rsidRDefault="005B4ED6">
            <w:pPr>
              <w:pStyle w:val="AnnexNumberedText"/>
              <w:spacing w:after="0"/>
              <w:ind w:left="293" w:hanging="293"/>
            </w:pPr>
            <w:r>
              <w:t>2)</w:t>
            </w:r>
            <w:r>
              <w:tab/>
              <w:t>Tilpasning til klimaendringer</w:t>
            </w:r>
          </w:p>
        </w:tc>
        <w:tc>
          <w:tcPr>
            <w:tcW w:w="6720" w:type="dxa"/>
            <w:tcMar>
              <w:top w:w="200" w:type="dxa"/>
              <w:bottom w:w="200" w:type="dxa"/>
              <w:right w:w="0" w:type="dxa"/>
            </w:tcMar>
          </w:tcPr>
          <w:p w14:paraId="6598B876" w14:textId="77777777" w:rsidR="006561BA" w:rsidRDefault="005B4ED6">
            <w:pPr>
              <w:pStyle w:val="AnnexTableCellLeft"/>
            </w:pPr>
            <w:r>
              <w:t>Aktiviteten oppfyller kriteriene fastsatt i tillegg A til dette vedlegget.</w:t>
            </w:r>
          </w:p>
        </w:tc>
      </w:tr>
      <w:tr w:rsidR="006561BA" w14:paraId="7B7DFA31" w14:textId="77777777">
        <w:tc>
          <w:tcPr>
            <w:tcW w:w="2508" w:type="dxa"/>
            <w:tcMar>
              <w:top w:w="200" w:type="dxa"/>
              <w:left w:w="0" w:type="dxa"/>
              <w:bottom w:w="200" w:type="dxa"/>
            </w:tcMar>
          </w:tcPr>
          <w:p w14:paraId="4B3E0545" w14:textId="77777777" w:rsidR="006561BA" w:rsidRDefault="005B4ED6">
            <w:pPr>
              <w:pStyle w:val="AnnexNumberedText"/>
              <w:spacing w:after="0"/>
              <w:ind w:left="293" w:hanging="293"/>
            </w:pPr>
            <w:r>
              <w:t>3)</w:t>
            </w:r>
            <w:r>
              <w:tab/>
              <w:t>Bærekraftig bruk og beskyttelse av vann- og havressurser</w:t>
            </w:r>
          </w:p>
        </w:tc>
        <w:tc>
          <w:tcPr>
            <w:tcW w:w="6720" w:type="dxa"/>
            <w:tcMar>
              <w:top w:w="200" w:type="dxa"/>
              <w:bottom w:w="200" w:type="dxa"/>
              <w:right w:w="0" w:type="dxa"/>
            </w:tcMar>
          </w:tcPr>
          <w:p w14:paraId="255CFDB6" w14:textId="77777777" w:rsidR="006561BA" w:rsidRDefault="005B4ED6">
            <w:pPr>
              <w:pStyle w:val="AnnexTableCellLeft"/>
            </w:pPr>
            <w:r>
              <w:t>Aktiviteten oppfyller kriteriene fastsatt i tillegg B til dette vedlegget.</w:t>
            </w:r>
          </w:p>
        </w:tc>
      </w:tr>
      <w:tr w:rsidR="006561BA" w14:paraId="0ADAF851" w14:textId="77777777">
        <w:tc>
          <w:tcPr>
            <w:tcW w:w="2508" w:type="dxa"/>
            <w:tcMar>
              <w:top w:w="200" w:type="dxa"/>
              <w:left w:w="0" w:type="dxa"/>
              <w:bottom w:w="200" w:type="dxa"/>
            </w:tcMar>
          </w:tcPr>
          <w:p w14:paraId="2AF42A28" w14:textId="77777777" w:rsidR="006561BA" w:rsidRDefault="005B4ED6">
            <w:pPr>
              <w:pStyle w:val="AnnexNumberedText"/>
              <w:spacing w:after="0"/>
              <w:ind w:left="293" w:hanging="293"/>
            </w:pPr>
            <w:r>
              <w:t>4)</w:t>
            </w:r>
            <w:r>
              <w:tab/>
              <w:t>Omstilling til en sirkulær økonomi</w:t>
            </w:r>
          </w:p>
        </w:tc>
        <w:tc>
          <w:tcPr>
            <w:tcW w:w="6720" w:type="dxa"/>
            <w:tcMar>
              <w:top w:w="200" w:type="dxa"/>
              <w:bottom w:w="200" w:type="dxa"/>
              <w:right w:w="0" w:type="dxa"/>
            </w:tcMar>
          </w:tcPr>
          <w:p w14:paraId="7401F9D9" w14:textId="77777777" w:rsidR="006561BA" w:rsidRDefault="005B4ED6">
            <w:pPr>
              <w:pStyle w:val="AnnexTableCellLeft"/>
            </w:pPr>
            <w:r>
              <w:t xml:space="preserve">Minst 70 % (i vektprosent) av det ikke-farlige bygge- og </w:t>
            </w:r>
            <w:proofErr w:type="spellStart"/>
            <w:r>
              <w:t>rivingsavfallet</w:t>
            </w:r>
            <w:proofErr w:type="spellEnd"/>
            <w:r>
              <w:t xml:space="preserve"> (unntatt naturlig forekommende materiale som definert i kategori 17 05 04 i den europeiske listen over avfall opprettet ved vedtak 2000/532/EF) som genereres på den grunnen som er under opprydding, forberedes til ombruk, materialgjenvinning og annen materialutnytting, herunder utfylling dersom det benyttes avfall for å erstatte andre materialer, i samsvar med avfallshierarkiet og EUs protokoll om håndtering av bygge- og </w:t>
            </w:r>
            <w:proofErr w:type="spellStart"/>
            <w:r>
              <w:t>rivingsavfall</w:t>
            </w:r>
            <w:proofErr w:type="spellEnd"/>
            <w:r>
              <w:t>(</w:t>
            </w:r>
            <w:bookmarkStart w:id="334" w:name="NOTE_336"/>
            <w:r>
              <w:rPr>
                <w:rStyle w:val="FootnoteReference"/>
                <w:sz w:val="18"/>
              </w:rPr>
              <w:footnoteReference w:id="337"/>
            </w:r>
            <w:bookmarkEnd w:id="334"/>
            <w:r>
              <w:t>), med mindre det i den godkjente oppryddingsplanen av tekniske årsaker eller miljøhensyn, som ikke er kostnadshensyn, gis en klar begrunnelse av dette.</w:t>
            </w:r>
          </w:p>
        </w:tc>
      </w:tr>
      <w:tr w:rsidR="006561BA" w14:paraId="0826EE11" w14:textId="77777777">
        <w:tc>
          <w:tcPr>
            <w:tcW w:w="2508" w:type="dxa"/>
            <w:tcMar>
              <w:top w:w="200" w:type="dxa"/>
              <w:left w:w="0" w:type="dxa"/>
              <w:bottom w:w="200" w:type="dxa"/>
            </w:tcMar>
          </w:tcPr>
          <w:p w14:paraId="0D74DFEB" w14:textId="77777777" w:rsidR="006561BA" w:rsidRDefault="005B4ED6">
            <w:pPr>
              <w:pStyle w:val="AnnexNumberedText"/>
              <w:spacing w:after="0"/>
              <w:ind w:left="293" w:hanging="293"/>
            </w:pPr>
            <w:r>
              <w:t>6)</w:t>
            </w:r>
            <w:r>
              <w:tab/>
              <w:t>Beskyttelse og restaurering av biologisk mangfold og økosystemer</w:t>
            </w:r>
          </w:p>
        </w:tc>
        <w:tc>
          <w:tcPr>
            <w:tcW w:w="6720" w:type="dxa"/>
            <w:tcMar>
              <w:top w:w="200" w:type="dxa"/>
              <w:bottom w:w="200" w:type="dxa"/>
              <w:right w:w="0" w:type="dxa"/>
            </w:tcMar>
          </w:tcPr>
          <w:p w14:paraId="57BEFF74" w14:textId="77777777" w:rsidR="006561BA" w:rsidRDefault="005B4ED6">
            <w:pPr>
              <w:pStyle w:val="AnnexTableCellLeft"/>
              <w:spacing w:after="120"/>
            </w:pPr>
            <w:r>
              <w:t>Aktiviteten oppfyller kriteriene fastsatt i tillegg D til dette vedlegget.</w:t>
            </w:r>
          </w:p>
          <w:p w14:paraId="555AF11C" w14:textId="77777777" w:rsidR="006561BA" w:rsidRDefault="005B4ED6">
            <w:pPr>
              <w:pStyle w:val="AnnexTableCellLeft"/>
              <w:spacing w:after="120"/>
            </w:pPr>
            <w:r>
              <w:t>Følgende skal sikres:</w:t>
            </w:r>
          </w:p>
          <w:p w14:paraId="1CE0B590" w14:textId="77777777" w:rsidR="006561BA" w:rsidRDefault="005B4ED6">
            <w:pPr>
              <w:pStyle w:val="AnnexNumberedText"/>
              <w:ind w:left="293" w:hanging="293"/>
            </w:pPr>
            <w:r>
              <w:t>a)</w:t>
            </w:r>
            <w:r>
              <w:tab/>
              <w:t>I Unionen, når det gjelder Natura 2000-områder: Aktiviteten har ingen vesentlig innvirkning på Natura 2000-områder med tanke på deres bevaringsmål på grunnlag av en hensiktsmessig vurdering foretatt i samsvar med artikkel 6 nr. 3 i direktiv 92/43/EØF.</w:t>
            </w:r>
          </w:p>
          <w:p w14:paraId="73A2087C" w14:textId="77777777" w:rsidR="006561BA" w:rsidRDefault="005B4ED6">
            <w:pPr>
              <w:pStyle w:val="AnnexNumberedText"/>
              <w:ind w:left="293" w:hanging="293"/>
            </w:pPr>
            <w:r>
              <w:t>b)</w:t>
            </w:r>
            <w:r>
              <w:tab/>
              <w:t>I Unionen, i alle områder: Aktiviteten er ikke til skade for gjenoppretting eller opprettholdelse av en gunstig bevaringsstatus for de populasjonene av arter som er beskyttet i henhold til direktiv 92/43/EØF og direktiv 2009/147/EF. Aktiviteten er heller ikke til skade for gjenoppretting eller opprettholdelse av en gunstig bevaringsstatus for de aktuelle habitattypene som er beskyttet i henhold til direktiv 92/43/EØF.</w:t>
            </w:r>
          </w:p>
          <w:p w14:paraId="2A2C7F93" w14:textId="77777777" w:rsidR="006561BA" w:rsidRDefault="005B4ED6">
            <w:pPr>
              <w:pStyle w:val="AnnexNumberedText"/>
              <w:spacing w:after="0"/>
              <w:ind w:left="293" w:hanging="293"/>
            </w:pPr>
            <w:r>
              <w:t>c)</w:t>
            </w:r>
            <w:r>
              <w:tab/>
              <w:t>Innføringen av fremmede skadelige arter forhindres eller spredningen av dem håndteres i samsvar med forordning (EU) nr. 1143/2014.</w:t>
            </w:r>
          </w:p>
        </w:tc>
      </w:tr>
    </w:tbl>
    <w:p w14:paraId="5887B679" w14:textId="77777777" w:rsidR="006561BA" w:rsidRDefault="006561BA">
      <w:pPr>
        <w:pStyle w:val="AnnexTI"/>
        <w:jc w:val="both"/>
        <w:rPr>
          <w:i w:val="0"/>
          <w:sz w:val="18"/>
        </w:rPr>
      </w:pPr>
    </w:p>
    <w:p w14:paraId="697037EA" w14:textId="77777777" w:rsidR="006561BA" w:rsidRDefault="006561BA">
      <w:pPr>
        <w:pStyle w:val="AnnexTI"/>
        <w:sectPr w:rsidR="006561BA" w:rsidSect="000D3D55">
          <w:footnotePr>
            <w:pos w:val="beneathText"/>
            <w:numRestart w:val="eachPage"/>
          </w:footnotePr>
          <w:pgSz w:w="11906" w:h="16838" w:code="9"/>
          <w:pgMar w:top="1680" w:right="1333" w:bottom="840" w:left="1333" w:header="920" w:footer="280" w:gutter="0"/>
          <w:cols w:space="708"/>
          <w:docGrid w:linePitch="360"/>
        </w:sectPr>
      </w:pPr>
    </w:p>
    <w:p w14:paraId="111E04CC" w14:textId="77777777" w:rsidR="006561BA" w:rsidRDefault="005B4ED6">
      <w:pPr>
        <w:pStyle w:val="AnnexTI"/>
      </w:pPr>
      <w:r>
        <w:lastRenderedPageBreak/>
        <w:t>Tillegg A</w:t>
      </w:r>
    </w:p>
    <w:p w14:paraId="47AAB218" w14:textId="77777777" w:rsidR="006561BA" w:rsidRDefault="005B4ED6">
      <w:pPr>
        <w:pStyle w:val="AnnexSTI"/>
        <w:spacing w:after="200"/>
      </w:pPr>
      <w:r>
        <w:t>Generiske kriterier for anvendelse av prinsippet om ikke å gjøre betydelig skade (DNSH-kriterier) for tilpasning til klimaendringer</w:t>
      </w:r>
    </w:p>
    <w:p w14:paraId="7A7F0E18" w14:textId="77777777" w:rsidR="006561BA" w:rsidRDefault="005B4ED6">
      <w:pPr>
        <w:pStyle w:val="AnnexNumberedText"/>
        <w:ind w:left="308" w:hanging="308"/>
      </w:pPr>
      <w:r>
        <w:t>I.</w:t>
      </w:r>
      <w:r>
        <w:rPr>
          <w:b/>
        </w:rPr>
        <w:tab/>
        <w:t>Kriterier</w:t>
      </w:r>
    </w:p>
    <w:tbl>
      <w:tblPr>
        <w:tblStyle w:val="EFTATable"/>
        <w:tblW w:w="9228" w:type="dxa"/>
        <w:tblInd w:w="112" w:type="dxa"/>
        <w:tblLayout w:type="fixed"/>
        <w:tblLook w:val="04A0" w:firstRow="1" w:lastRow="0" w:firstColumn="1" w:lastColumn="0" w:noHBand="0" w:noVBand="1"/>
      </w:tblPr>
      <w:tblGrid>
        <w:gridCol w:w="9228"/>
      </w:tblGrid>
      <w:tr w:rsidR="006561BA" w14:paraId="0FAA1E0E" w14:textId="77777777">
        <w:tc>
          <w:tcPr>
            <w:tcW w:w="9228" w:type="dxa"/>
            <w:tcBorders>
              <w:left w:val="single" w:sz="4" w:space="0" w:color="auto"/>
              <w:right w:val="single" w:sz="4" w:space="0" w:color="auto"/>
            </w:tcBorders>
            <w:shd w:val="clear" w:color="auto" w:fill="F2F2F2"/>
            <w:tcMar>
              <w:top w:w="100" w:type="dxa"/>
              <w:left w:w="100" w:type="dxa"/>
              <w:bottom w:w="100" w:type="dxa"/>
              <w:right w:w="100" w:type="dxa"/>
            </w:tcMar>
          </w:tcPr>
          <w:p w14:paraId="774CA494" w14:textId="77777777" w:rsidR="006561BA" w:rsidRDefault="005B4ED6">
            <w:pPr>
              <w:pStyle w:val="AnnexNormal"/>
              <w:spacing w:after="120"/>
            </w:pPr>
            <w:r>
              <w:t>De fysiske klimarisikoene som er vesentlige for aktiviteten, er identifisert ut fra dem som er oppført i tabellen i avsnitt II i dette tillegget, ved å utføre en robust klimarisiko- og sårbarhetsvurdering med følgende trinn:</w:t>
            </w:r>
          </w:p>
          <w:p w14:paraId="5252B754" w14:textId="77777777" w:rsidR="006561BA" w:rsidRDefault="005B4ED6">
            <w:pPr>
              <w:pStyle w:val="AnnexNumberedText"/>
              <w:ind w:left="293" w:hanging="293"/>
            </w:pPr>
            <w:r>
              <w:t>a)</w:t>
            </w:r>
            <w:r>
              <w:tab/>
              <w:t>Screening av aktiviteten for å identifisere hvilke fysiske klimarisikoer fra listen i avsnitt II i dette tillegget som kan påvirke den økonomiske aktivitetens prestasjon i dens forventede levetid.</w:t>
            </w:r>
          </w:p>
          <w:p w14:paraId="4A4FEB34" w14:textId="77777777" w:rsidR="006561BA" w:rsidRDefault="005B4ED6">
            <w:pPr>
              <w:pStyle w:val="AnnexNumberedText"/>
              <w:ind w:left="293" w:hanging="293"/>
            </w:pPr>
            <w:r>
              <w:t>b)</w:t>
            </w:r>
            <w:r>
              <w:tab/>
              <w:t>Dersom aktiviteten vurderes å være utsatt for en eller flere av de fysiske klimarisikoene som er oppført i avsnitt II i dette tillegget, en klimarisiko- og sårbarhetsvurdering for å vurdere hvor vesentlige de fysiske klimarisikoene er for den økonomiske aktiviteten.</w:t>
            </w:r>
          </w:p>
          <w:p w14:paraId="76FF13FC" w14:textId="77777777" w:rsidR="006561BA" w:rsidRDefault="005B4ED6">
            <w:pPr>
              <w:pStyle w:val="AnnexNumberedText"/>
              <w:ind w:left="293" w:hanging="293"/>
            </w:pPr>
            <w:r>
              <w:t>c)</w:t>
            </w:r>
            <w:r>
              <w:tab/>
              <w:t>En vurdering av tilpasningsløsninger som kan redusere den identifiserte fysiske klimarisikoen.</w:t>
            </w:r>
          </w:p>
          <w:p w14:paraId="32AEB28B" w14:textId="77777777" w:rsidR="006561BA" w:rsidRDefault="005B4ED6">
            <w:pPr>
              <w:pStyle w:val="AnnexNormal"/>
              <w:spacing w:after="120"/>
            </w:pPr>
            <w:r>
              <w:t>Klimarisiko- og sårbarhetsvurderingen står i forhold til aktivitetens omfang og forventede levetid, slik at</w:t>
            </w:r>
          </w:p>
          <w:p w14:paraId="73044C0B" w14:textId="77777777" w:rsidR="006561BA" w:rsidRDefault="005B4ED6">
            <w:pPr>
              <w:pStyle w:val="AnnexNumberedText"/>
              <w:ind w:left="293" w:hanging="293"/>
            </w:pPr>
            <w:r>
              <w:t>a)</w:t>
            </w:r>
            <w:r>
              <w:tab/>
              <w:t>vurderingen av aktiviteter med en forventet levetid på mindre enn ti år som et minimum utføres ved å bruke klimaframskrivninger i minste hensiktsmessige skala,</w:t>
            </w:r>
          </w:p>
          <w:p w14:paraId="06E64221" w14:textId="77777777" w:rsidR="006561BA" w:rsidRDefault="005B4ED6">
            <w:pPr>
              <w:pStyle w:val="AnnexNumberedText"/>
              <w:ind w:left="293" w:hanging="293"/>
            </w:pPr>
            <w:r>
              <w:t>b)</w:t>
            </w:r>
            <w:r>
              <w:tab/>
              <w:t>vurderingen av alle andre aktiviteter utføres ved hjelp av avanserte klimaframskrivninger med høyest tilgjengelig oppløsning på tvers av alle eksisterende framtidige scenarioer(</w:t>
            </w:r>
            <w:bookmarkStart w:id="335" w:name="NOTE_337"/>
            <w:r>
              <w:rPr>
                <w:rStyle w:val="FootnoteReference"/>
                <w:sz w:val="18"/>
              </w:rPr>
              <w:footnoteReference w:id="338"/>
            </w:r>
            <w:bookmarkEnd w:id="335"/>
            <w:r>
              <w:t>), som er i samsvar med aktivitetens forventede levetid, herunder klimaframskrivningsscenarioer på minst 10–30 år for større investeringer.</w:t>
            </w:r>
          </w:p>
          <w:p w14:paraId="4A83907A" w14:textId="77777777" w:rsidR="006561BA" w:rsidRDefault="005B4ED6">
            <w:pPr>
              <w:pStyle w:val="AnnexNormal"/>
              <w:spacing w:after="120"/>
            </w:pPr>
            <w:r>
              <w:t>Klimaframskrivningene og vurderingen av virkninger er basert på beste praksis og tilgjengelig veiledning og tar hensyn til den nyeste vitenskapen for sårbarhets- og risikoanalyser og relaterte metoder i tråd med de nyeste rapportene fra FNs klimapanel(</w:t>
            </w:r>
            <w:bookmarkStart w:id="336" w:name="NOTE_338"/>
            <w:r>
              <w:rPr>
                <w:rStyle w:val="FootnoteReference"/>
                <w:sz w:val="18"/>
              </w:rPr>
              <w:footnoteReference w:id="339"/>
            </w:r>
            <w:bookmarkEnd w:id="336"/>
            <w:r>
              <w:t>), fagfellevurderte vitenskapelige publikasjoner og modeller som bruker åpen kildekode(</w:t>
            </w:r>
            <w:bookmarkStart w:id="337" w:name="NOTE_339"/>
            <w:r>
              <w:rPr>
                <w:rStyle w:val="FootnoteReference"/>
                <w:sz w:val="18"/>
              </w:rPr>
              <w:footnoteReference w:id="340"/>
            </w:r>
            <w:bookmarkEnd w:id="337"/>
            <w:r>
              <w:t>), eller betalingsmodeller.</w:t>
            </w:r>
          </w:p>
          <w:p w14:paraId="344A83C5" w14:textId="77777777" w:rsidR="006561BA" w:rsidRDefault="005B4ED6">
            <w:pPr>
              <w:pStyle w:val="AnnexNormal"/>
              <w:spacing w:after="120"/>
            </w:pPr>
            <w:r>
              <w:t>For eksisterende aktiviteter og nye aktiviteter som bruker eksisterende fysiske eiendeler, gjennomfører markedsdeltakeren fysiske og ikke-fysiske løsninger («tilpasningsløsninger») over et tidsrom på inntil fem år, som reduserer de viktigste identifiserte fysiske klimarisikoene som er vesentlige for denne aktiviteten. En tilpasningsplan for gjennomføringen av disse løsningene utarbeides i samsvar med dette.</w:t>
            </w:r>
          </w:p>
          <w:p w14:paraId="29ADE22D" w14:textId="77777777" w:rsidR="006561BA" w:rsidRDefault="005B4ED6">
            <w:pPr>
              <w:pStyle w:val="AnnexNormal"/>
              <w:spacing w:after="120"/>
            </w:pPr>
            <w:r>
              <w:t>For nye aktiviteter og eksisterende aktiviteter som bruker nybygde fysiske eiendeler, integrerer markedsdeltakeren tilpasningsløsningene som reduserer de viktigste identifiserte fysiske klimarisikoene som er vesentlige for denne aktiviteten, på tidspunktet for utforming og bygging, og har gjennomført dem før driften igangsettes.</w:t>
            </w:r>
          </w:p>
          <w:p w14:paraId="0ECAA860" w14:textId="77777777" w:rsidR="006561BA" w:rsidRDefault="005B4ED6">
            <w:pPr>
              <w:pStyle w:val="AnnexNormal"/>
            </w:pPr>
            <w:r>
              <w:t>De gjennomførte tilpasningsløsningene har ingen negativ innvirkning på tilpasningstiltakene eller motstandsdyktigheten mot fysiske klimarisikoer hos andre mennesker, naturen, kulturarv, eiendeler og andre økonomiske aktiviteter, er i samsvar med lokale, sektorielle, regionale eller nasjonale tilpasningsstrategier og -planer, og vurderer bruken av naturbaserte løsninger(</w:t>
            </w:r>
            <w:bookmarkStart w:id="338" w:name="NOTE_340"/>
            <w:r>
              <w:rPr>
                <w:rStyle w:val="FootnoteReference"/>
                <w:sz w:val="18"/>
              </w:rPr>
              <w:footnoteReference w:id="341"/>
            </w:r>
            <w:bookmarkEnd w:id="338"/>
            <w:r>
              <w:t>) eller støtter seg på blå eller grønn infrastruktur(</w:t>
            </w:r>
            <w:bookmarkStart w:id="339" w:name="NOTE_341"/>
            <w:r>
              <w:rPr>
                <w:rStyle w:val="FootnoteReference"/>
                <w:sz w:val="18"/>
              </w:rPr>
              <w:footnoteReference w:id="342"/>
            </w:r>
            <w:bookmarkEnd w:id="339"/>
            <w:r>
              <w:t>) i den grad det er mulig.</w:t>
            </w:r>
          </w:p>
        </w:tc>
      </w:tr>
    </w:tbl>
    <w:p w14:paraId="0C4FB4E3" w14:textId="77777777" w:rsidR="006561BA" w:rsidRDefault="005B4ED6">
      <w:pPr>
        <w:pStyle w:val="AnnexNormal"/>
      </w:pPr>
      <w:r>
        <w:br w:type="page"/>
      </w:r>
    </w:p>
    <w:p w14:paraId="68DB2BF9" w14:textId="77777777" w:rsidR="006561BA" w:rsidRDefault="005B4ED6">
      <w:pPr>
        <w:pStyle w:val="AnnexNumberedText"/>
        <w:spacing w:after="300"/>
        <w:ind w:left="308" w:hanging="308"/>
      </w:pPr>
      <w:r>
        <w:lastRenderedPageBreak/>
        <w:t>II.</w:t>
      </w:r>
      <w:r>
        <w:rPr>
          <w:b/>
        </w:rPr>
        <w:tab/>
        <w:t>Klassifisering av klimarelaterte farer</w:t>
      </w:r>
      <w:r>
        <w:t>(</w:t>
      </w:r>
      <w:bookmarkStart w:id="340" w:name="NOTE_342"/>
      <w:r>
        <w:rPr>
          <w:rStyle w:val="FootnoteReference"/>
          <w:sz w:val="18"/>
        </w:rPr>
        <w:footnoteReference w:id="343"/>
      </w:r>
      <w:bookmarkEnd w:id="340"/>
      <w:r>
        <w:t>)</w:t>
      </w:r>
    </w:p>
    <w:tbl>
      <w:tblPr>
        <w:tblStyle w:val="EFTATable"/>
        <w:tblW w:w="9228" w:type="dxa"/>
        <w:tblInd w:w="12" w:type="dxa"/>
        <w:shd w:val="clear" w:color="auto" w:fill="F2F2F2"/>
        <w:tblLayout w:type="fixed"/>
        <w:tblLook w:val="04A0" w:firstRow="1" w:lastRow="0" w:firstColumn="1" w:lastColumn="0" w:noHBand="0" w:noVBand="1"/>
      </w:tblPr>
      <w:tblGrid>
        <w:gridCol w:w="876"/>
        <w:gridCol w:w="2088"/>
        <w:gridCol w:w="2088"/>
        <w:gridCol w:w="2088"/>
        <w:gridCol w:w="2088"/>
      </w:tblGrid>
      <w:tr w:rsidR="006561BA" w14:paraId="637A33D5" w14:textId="77777777">
        <w:trPr>
          <w:cantSplit/>
          <w:tblHeader/>
        </w:trPr>
        <w:tc>
          <w:tcPr>
            <w:tcW w:w="876" w:type="dxa"/>
            <w:shd w:val="clear" w:color="auto" w:fill="F2F2F2"/>
            <w:tcMar>
              <w:top w:w="60" w:type="dxa"/>
              <w:left w:w="0" w:type="dxa"/>
              <w:bottom w:w="60" w:type="dxa"/>
            </w:tcMar>
            <w:vAlign w:val="center"/>
          </w:tcPr>
          <w:p w14:paraId="3B32E28C" w14:textId="77777777" w:rsidR="006561BA" w:rsidRDefault="006561BA">
            <w:pPr>
              <w:pStyle w:val="AnnexTableHeader"/>
              <w:spacing w:line="200" w:lineRule="exact"/>
            </w:pPr>
          </w:p>
        </w:tc>
        <w:tc>
          <w:tcPr>
            <w:tcW w:w="2088" w:type="dxa"/>
            <w:shd w:val="clear" w:color="auto" w:fill="F2F2F2"/>
            <w:tcMar>
              <w:top w:w="60" w:type="dxa"/>
              <w:bottom w:w="60" w:type="dxa"/>
            </w:tcMar>
            <w:vAlign w:val="center"/>
          </w:tcPr>
          <w:p w14:paraId="2A29EEB3" w14:textId="77777777" w:rsidR="006561BA" w:rsidRDefault="005B4ED6">
            <w:pPr>
              <w:pStyle w:val="AnnexTableHeader"/>
              <w:spacing w:line="200" w:lineRule="exact"/>
            </w:pPr>
            <w:r>
              <w:rPr>
                <w:b/>
              </w:rPr>
              <w:t>Temperaturrelatert</w:t>
            </w:r>
          </w:p>
        </w:tc>
        <w:tc>
          <w:tcPr>
            <w:tcW w:w="2088" w:type="dxa"/>
            <w:shd w:val="clear" w:color="auto" w:fill="F2F2F2"/>
            <w:tcMar>
              <w:top w:w="60" w:type="dxa"/>
              <w:bottom w:w="60" w:type="dxa"/>
            </w:tcMar>
            <w:vAlign w:val="center"/>
          </w:tcPr>
          <w:p w14:paraId="25B71AB3" w14:textId="77777777" w:rsidR="006561BA" w:rsidRDefault="005B4ED6">
            <w:pPr>
              <w:pStyle w:val="AnnexTableHeader"/>
              <w:spacing w:line="200" w:lineRule="exact"/>
            </w:pPr>
            <w:r>
              <w:rPr>
                <w:b/>
              </w:rPr>
              <w:t>Vindrelatert</w:t>
            </w:r>
          </w:p>
        </w:tc>
        <w:tc>
          <w:tcPr>
            <w:tcW w:w="2088" w:type="dxa"/>
            <w:shd w:val="clear" w:color="auto" w:fill="F2F2F2"/>
            <w:tcMar>
              <w:top w:w="60" w:type="dxa"/>
              <w:bottom w:w="60" w:type="dxa"/>
            </w:tcMar>
            <w:vAlign w:val="center"/>
          </w:tcPr>
          <w:p w14:paraId="7C881E6A" w14:textId="77777777" w:rsidR="006561BA" w:rsidRDefault="005B4ED6">
            <w:pPr>
              <w:pStyle w:val="AnnexTableHeader"/>
              <w:spacing w:line="200" w:lineRule="exact"/>
            </w:pPr>
            <w:r>
              <w:rPr>
                <w:b/>
              </w:rPr>
              <w:t>Vannrelatert</w:t>
            </w:r>
          </w:p>
        </w:tc>
        <w:tc>
          <w:tcPr>
            <w:tcW w:w="2088" w:type="dxa"/>
            <w:shd w:val="clear" w:color="auto" w:fill="F2F2F2"/>
            <w:tcMar>
              <w:top w:w="60" w:type="dxa"/>
              <w:bottom w:w="60" w:type="dxa"/>
              <w:right w:w="0" w:type="dxa"/>
            </w:tcMar>
            <w:vAlign w:val="center"/>
          </w:tcPr>
          <w:p w14:paraId="0D03BD1A" w14:textId="77777777" w:rsidR="006561BA" w:rsidRDefault="005B4ED6">
            <w:pPr>
              <w:pStyle w:val="AnnexTableHeader"/>
              <w:spacing w:line="200" w:lineRule="exact"/>
            </w:pPr>
            <w:r>
              <w:rPr>
                <w:b/>
              </w:rPr>
              <w:t>Relatert til fast masse</w:t>
            </w:r>
          </w:p>
        </w:tc>
      </w:tr>
      <w:tr w:rsidR="006561BA" w14:paraId="282493A1" w14:textId="77777777">
        <w:tc>
          <w:tcPr>
            <w:tcW w:w="876" w:type="dxa"/>
            <w:vMerge w:val="restart"/>
            <w:shd w:val="clear" w:color="auto" w:fill="F2F2F2"/>
            <w:tcMar>
              <w:top w:w="60" w:type="dxa"/>
              <w:left w:w="0" w:type="dxa"/>
              <w:bottom w:w="60" w:type="dxa"/>
            </w:tcMar>
            <w:textDirection w:val="btLr"/>
            <w:vAlign w:val="center"/>
          </w:tcPr>
          <w:p w14:paraId="622364B8" w14:textId="77777777" w:rsidR="006561BA" w:rsidRDefault="005B4ED6">
            <w:pPr>
              <w:pStyle w:val="AnnexTableCellLeft"/>
              <w:ind w:left="113" w:right="113"/>
              <w:jc w:val="center"/>
            </w:pPr>
            <w:r>
              <w:rPr>
                <w:b/>
              </w:rPr>
              <w:t>Kronisk</w:t>
            </w:r>
          </w:p>
        </w:tc>
        <w:tc>
          <w:tcPr>
            <w:tcW w:w="2088" w:type="dxa"/>
            <w:shd w:val="clear" w:color="auto" w:fill="F2F2F2"/>
            <w:tcMar>
              <w:top w:w="60" w:type="dxa"/>
              <w:bottom w:w="60" w:type="dxa"/>
            </w:tcMar>
          </w:tcPr>
          <w:p w14:paraId="02DBC7BB" w14:textId="77777777" w:rsidR="006561BA" w:rsidRDefault="005B4ED6">
            <w:pPr>
              <w:pStyle w:val="AnnexTableCellLeft"/>
            </w:pPr>
            <w:r>
              <w:t>Endringer i temperatur (luft, ferskvann, sjøvann)</w:t>
            </w:r>
          </w:p>
        </w:tc>
        <w:tc>
          <w:tcPr>
            <w:tcW w:w="2088" w:type="dxa"/>
            <w:shd w:val="clear" w:color="auto" w:fill="F2F2F2"/>
            <w:tcMar>
              <w:top w:w="60" w:type="dxa"/>
              <w:bottom w:w="60" w:type="dxa"/>
            </w:tcMar>
          </w:tcPr>
          <w:p w14:paraId="4489FF17" w14:textId="77777777" w:rsidR="006561BA" w:rsidRDefault="005B4ED6">
            <w:pPr>
              <w:pStyle w:val="AnnexTableCellLeft"/>
            </w:pPr>
            <w:r>
              <w:t>Endringer i vindmønstre</w:t>
            </w:r>
          </w:p>
        </w:tc>
        <w:tc>
          <w:tcPr>
            <w:tcW w:w="2088" w:type="dxa"/>
            <w:shd w:val="clear" w:color="auto" w:fill="F2F2F2"/>
            <w:tcMar>
              <w:top w:w="60" w:type="dxa"/>
              <w:bottom w:w="60" w:type="dxa"/>
            </w:tcMar>
          </w:tcPr>
          <w:p w14:paraId="7D0BEAFF" w14:textId="77777777" w:rsidR="006561BA" w:rsidRDefault="005B4ED6">
            <w:pPr>
              <w:pStyle w:val="AnnexTableCellLeft"/>
            </w:pPr>
            <w:r>
              <w:t>Endringer i nedbørsmønstre og -typer (regn, hagl, snø/is)</w:t>
            </w:r>
          </w:p>
        </w:tc>
        <w:tc>
          <w:tcPr>
            <w:tcW w:w="2088" w:type="dxa"/>
            <w:shd w:val="clear" w:color="auto" w:fill="F2F2F2"/>
            <w:tcMar>
              <w:top w:w="60" w:type="dxa"/>
              <w:bottom w:w="60" w:type="dxa"/>
              <w:right w:w="0" w:type="dxa"/>
            </w:tcMar>
          </w:tcPr>
          <w:p w14:paraId="4D434115" w14:textId="77777777" w:rsidR="006561BA" w:rsidRDefault="005B4ED6">
            <w:pPr>
              <w:pStyle w:val="AnnexTableCellLeft"/>
            </w:pPr>
            <w:r>
              <w:t>Kysterosjon</w:t>
            </w:r>
          </w:p>
        </w:tc>
      </w:tr>
      <w:tr w:rsidR="006561BA" w14:paraId="054F3DBE" w14:textId="77777777">
        <w:tc>
          <w:tcPr>
            <w:tcW w:w="876" w:type="dxa"/>
            <w:vMerge/>
            <w:shd w:val="clear" w:color="auto" w:fill="F2F2F2"/>
            <w:tcMar>
              <w:top w:w="60" w:type="dxa"/>
              <w:left w:w="0" w:type="dxa"/>
              <w:bottom w:w="60" w:type="dxa"/>
            </w:tcMar>
            <w:textDirection w:val="btLr"/>
            <w:vAlign w:val="center"/>
          </w:tcPr>
          <w:p w14:paraId="1E404887" w14:textId="77777777" w:rsidR="006561BA" w:rsidRDefault="006561BA">
            <w:pPr>
              <w:pStyle w:val="Para"/>
              <w:ind w:left="113" w:right="113"/>
              <w:jc w:val="center"/>
            </w:pPr>
          </w:p>
        </w:tc>
        <w:tc>
          <w:tcPr>
            <w:tcW w:w="2088" w:type="dxa"/>
            <w:shd w:val="clear" w:color="auto" w:fill="F2F2F2"/>
            <w:tcMar>
              <w:top w:w="60" w:type="dxa"/>
              <w:bottom w:w="60" w:type="dxa"/>
            </w:tcMar>
          </w:tcPr>
          <w:p w14:paraId="232B2FFF" w14:textId="77777777" w:rsidR="006561BA" w:rsidRDefault="005B4ED6">
            <w:pPr>
              <w:pStyle w:val="AnnexTableCellLeft"/>
            </w:pPr>
            <w:r>
              <w:t>Varmestress</w:t>
            </w:r>
          </w:p>
        </w:tc>
        <w:tc>
          <w:tcPr>
            <w:tcW w:w="2088" w:type="dxa"/>
            <w:shd w:val="clear" w:color="auto" w:fill="F2F2F2"/>
            <w:tcMar>
              <w:top w:w="60" w:type="dxa"/>
              <w:bottom w:w="60" w:type="dxa"/>
            </w:tcMar>
          </w:tcPr>
          <w:p w14:paraId="4ADD1204" w14:textId="77777777" w:rsidR="006561BA" w:rsidRDefault="006561BA">
            <w:pPr>
              <w:pStyle w:val="AnnexTableCellLeft"/>
            </w:pPr>
          </w:p>
        </w:tc>
        <w:tc>
          <w:tcPr>
            <w:tcW w:w="2088" w:type="dxa"/>
            <w:shd w:val="clear" w:color="auto" w:fill="F2F2F2"/>
            <w:tcMar>
              <w:top w:w="60" w:type="dxa"/>
              <w:bottom w:w="60" w:type="dxa"/>
            </w:tcMar>
          </w:tcPr>
          <w:p w14:paraId="1E090F21" w14:textId="77777777" w:rsidR="006561BA" w:rsidRDefault="005B4ED6">
            <w:pPr>
              <w:pStyle w:val="AnnexTableCellLeft"/>
            </w:pPr>
            <w:proofErr w:type="spellStart"/>
            <w:r>
              <w:t>Nedbørsmessige</w:t>
            </w:r>
            <w:proofErr w:type="spellEnd"/>
            <w:r>
              <w:t xml:space="preserve"> eller hydrologiske variasjoner</w:t>
            </w:r>
          </w:p>
        </w:tc>
        <w:tc>
          <w:tcPr>
            <w:tcW w:w="2088" w:type="dxa"/>
            <w:shd w:val="clear" w:color="auto" w:fill="F2F2F2"/>
            <w:tcMar>
              <w:top w:w="60" w:type="dxa"/>
              <w:bottom w:w="60" w:type="dxa"/>
              <w:right w:w="0" w:type="dxa"/>
            </w:tcMar>
          </w:tcPr>
          <w:p w14:paraId="5C961923" w14:textId="77777777" w:rsidR="006561BA" w:rsidRDefault="005B4ED6">
            <w:pPr>
              <w:pStyle w:val="AnnexTableCellLeft"/>
            </w:pPr>
            <w:r>
              <w:t>Jordforringelse</w:t>
            </w:r>
          </w:p>
        </w:tc>
      </w:tr>
      <w:tr w:rsidR="006561BA" w14:paraId="31D9FC7A" w14:textId="77777777">
        <w:tc>
          <w:tcPr>
            <w:tcW w:w="876" w:type="dxa"/>
            <w:vMerge/>
            <w:shd w:val="clear" w:color="auto" w:fill="F2F2F2"/>
            <w:tcMar>
              <w:top w:w="60" w:type="dxa"/>
              <w:left w:w="0" w:type="dxa"/>
              <w:bottom w:w="60" w:type="dxa"/>
            </w:tcMar>
            <w:textDirection w:val="btLr"/>
            <w:vAlign w:val="center"/>
          </w:tcPr>
          <w:p w14:paraId="4C005653" w14:textId="77777777" w:rsidR="006561BA" w:rsidRDefault="006561BA">
            <w:pPr>
              <w:pStyle w:val="Para"/>
              <w:ind w:left="113" w:right="113"/>
              <w:jc w:val="center"/>
            </w:pPr>
          </w:p>
        </w:tc>
        <w:tc>
          <w:tcPr>
            <w:tcW w:w="2088" w:type="dxa"/>
            <w:shd w:val="clear" w:color="auto" w:fill="F2F2F2"/>
            <w:tcMar>
              <w:top w:w="60" w:type="dxa"/>
              <w:bottom w:w="60" w:type="dxa"/>
            </w:tcMar>
          </w:tcPr>
          <w:p w14:paraId="43FC7FC0" w14:textId="77777777" w:rsidR="006561BA" w:rsidRDefault="005B4ED6">
            <w:pPr>
              <w:pStyle w:val="AnnexTableCellLeft"/>
            </w:pPr>
            <w:r>
              <w:t>Temperaturvariasjoner</w:t>
            </w:r>
          </w:p>
        </w:tc>
        <w:tc>
          <w:tcPr>
            <w:tcW w:w="2088" w:type="dxa"/>
            <w:shd w:val="clear" w:color="auto" w:fill="F2F2F2"/>
            <w:tcMar>
              <w:top w:w="60" w:type="dxa"/>
              <w:bottom w:w="60" w:type="dxa"/>
            </w:tcMar>
          </w:tcPr>
          <w:p w14:paraId="48BDBB2C" w14:textId="77777777" w:rsidR="006561BA" w:rsidRDefault="006561BA">
            <w:pPr>
              <w:pStyle w:val="AnnexTableCellLeft"/>
            </w:pPr>
          </w:p>
        </w:tc>
        <w:tc>
          <w:tcPr>
            <w:tcW w:w="2088" w:type="dxa"/>
            <w:shd w:val="clear" w:color="auto" w:fill="F2F2F2"/>
            <w:tcMar>
              <w:top w:w="60" w:type="dxa"/>
              <w:bottom w:w="60" w:type="dxa"/>
            </w:tcMar>
          </w:tcPr>
          <w:p w14:paraId="31C25955" w14:textId="77777777" w:rsidR="006561BA" w:rsidRDefault="005B4ED6">
            <w:pPr>
              <w:pStyle w:val="AnnexTableCellLeft"/>
            </w:pPr>
            <w:r>
              <w:t>Havforsuring</w:t>
            </w:r>
          </w:p>
        </w:tc>
        <w:tc>
          <w:tcPr>
            <w:tcW w:w="2088" w:type="dxa"/>
            <w:shd w:val="clear" w:color="auto" w:fill="F2F2F2"/>
            <w:tcMar>
              <w:top w:w="60" w:type="dxa"/>
              <w:bottom w:w="60" w:type="dxa"/>
              <w:right w:w="0" w:type="dxa"/>
            </w:tcMar>
          </w:tcPr>
          <w:p w14:paraId="07E9DD43" w14:textId="77777777" w:rsidR="006561BA" w:rsidRDefault="005B4ED6">
            <w:pPr>
              <w:pStyle w:val="AnnexTableCellLeft"/>
            </w:pPr>
            <w:r>
              <w:t>Jorderosjon</w:t>
            </w:r>
          </w:p>
        </w:tc>
      </w:tr>
      <w:tr w:rsidR="006561BA" w14:paraId="6D0CED57" w14:textId="77777777">
        <w:tc>
          <w:tcPr>
            <w:tcW w:w="876" w:type="dxa"/>
            <w:vMerge/>
            <w:shd w:val="clear" w:color="auto" w:fill="F2F2F2"/>
            <w:tcMar>
              <w:top w:w="60" w:type="dxa"/>
              <w:left w:w="0" w:type="dxa"/>
              <w:bottom w:w="60" w:type="dxa"/>
            </w:tcMar>
            <w:textDirection w:val="btLr"/>
            <w:vAlign w:val="center"/>
          </w:tcPr>
          <w:p w14:paraId="12B7A373" w14:textId="77777777" w:rsidR="006561BA" w:rsidRDefault="006561BA">
            <w:pPr>
              <w:pStyle w:val="Para"/>
              <w:ind w:left="113" w:right="113"/>
              <w:jc w:val="center"/>
            </w:pPr>
          </w:p>
        </w:tc>
        <w:tc>
          <w:tcPr>
            <w:tcW w:w="2088" w:type="dxa"/>
            <w:shd w:val="clear" w:color="auto" w:fill="F2F2F2"/>
            <w:tcMar>
              <w:top w:w="60" w:type="dxa"/>
              <w:bottom w:w="60" w:type="dxa"/>
            </w:tcMar>
          </w:tcPr>
          <w:p w14:paraId="2A061F10" w14:textId="77777777" w:rsidR="006561BA" w:rsidRDefault="005B4ED6">
            <w:pPr>
              <w:pStyle w:val="AnnexTableCellLeft"/>
            </w:pPr>
            <w:r>
              <w:t>Tinende permafrost</w:t>
            </w:r>
          </w:p>
        </w:tc>
        <w:tc>
          <w:tcPr>
            <w:tcW w:w="2088" w:type="dxa"/>
            <w:shd w:val="clear" w:color="auto" w:fill="F2F2F2"/>
            <w:tcMar>
              <w:top w:w="60" w:type="dxa"/>
              <w:bottom w:w="60" w:type="dxa"/>
            </w:tcMar>
          </w:tcPr>
          <w:p w14:paraId="47E269B3" w14:textId="77777777" w:rsidR="006561BA" w:rsidRDefault="006561BA">
            <w:pPr>
              <w:pStyle w:val="AnnexTableCellLeft"/>
            </w:pPr>
          </w:p>
        </w:tc>
        <w:tc>
          <w:tcPr>
            <w:tcW w:w="2088" w:type="dxa"/>
            <w:shd w:val="clear" w:color="auto" w:fill="F2F2F2"/>
            <w:tcMar>
              <w:top w:w="60" w:type="dxa"/>
              <w:bottom w:w="60" w:type="dxa"/>
            </w:tcMar>
          </w:tcPr>
          <w:p w14:paraId="53FDDD68" w14:textId="77777777" w:rsidR="006561BA" w:rsidRDefault="005B4ED6">
            <w:pPr>
              <w:pStyle w:val="AnnexTableCellLeft"/>
            </w:pPr>
            <w:r>
              <w:t>Saltvannsinntrengning</w:t>
            </w:r>
          </w:p>
        </w:tc>
        <w:tc>
          <w:tcPr>
            <w:tcW w:w="2088" w:type="dxa"/>
            <w:shd w:val="clear" w:color="auto" w:fill="F2F2F2"/>
            <w:tcMar>
              <w:top w:w="60" w:type="dxa"/>
              <w:bottom w:w="60" w:type="dxa"/>
              <w:right w:w="0" w:type="dxa"/>
            </w:tcMar>
          </w:tcPr>
          <w:p w14:paraId="4D23AF67" w14:textId="77777777" w:rsidR="006561BA" w:rsidRDefault="005B4ED6">
            <w:pPr>
              <w:pStyle w:val="AnnexTableCellLeft"/>
            </w:pPr>
            <w:proofErr w:type="spellStart"/>
            <w:r>
              <w:t>Jordsig</w:t>
            </w:r>
            <w:proofErr w:type="spellEnd"/>
          </w:p>
        </w:tc>
      </w:tr>
      <w:tr w:rsidR="006561BA" w14:paraId="7710FCA4" w14:textId="77777777">
        <w:tc>
          <w:tcPr>
            <w:tcW w:w="876" w:type="dxa"/>
            <w:vMerge/>
            <w:shd w:val="clear" w:color="auto" w:fill="F2F2F2"/>
            <w:tcMar>
              <w:top w:w="60" w:type="dxa"/>
              <w:left w:w="0" w:type="dxa"/>
              <w:bottom w:w="60" w:type="dxa"/>
            </w:tcMar>
            <w:textDirection w:val="btLr"/>
            <w:vAlign w:val="center"/>
          </w:tcPr>
          <w:p w14:paraId="23FA042A" w14:textId="77777777" w:rsidR="006561BA" w:rsidRDefault="006561BA">
            <w:pPr>
              <w:pStyle w:val="Para"/>
              <w:ind w:left="113" w:right="113"/>
              <w:jc w:val="center"/>
            </w:pPr>
          </w:p>
        </w:tc>
        <w:tc>
          <w:tcPr>
            <w:tcW w:w="2088" w:type="dxa"/>
            <w:shd w:val="clear" w:color="auto" w:fill="F2F2F2"/>
            <w:tcMar>
              <w:top w:w="60" w:type="dxa"/>
              <w:bottom w:w="60" w:type="dxa"/>
            </w:tcMar>
          </w:tcPr>
          <w:p w14:paraId="497E85EA" w14:textId="77777777" w:rsidR="006561BA" w:rsidRDefault="006561BA">
            <w:pPr>
              <w:pStyle w:val="AnnexTableCellLeft"/>
            </w:pPr>
          </w:p>
        </w:tc>
        <w:tc>
          <w:tcPr>
            <w:tcW w:w="2088" w:type="dxa"/>
            <w:shd w:val="clear" w:color="auto" w:fill="F2F2F2"/>
            <w:tcMar>
              <w:top w:w="60" w:type="dxa"/>
              <w:bottom w:w="60" w:type="dxa"/>
            </w:tcMar>
          </w:tcPr>
          <w:p w14:paraId="15E446DD" w14:textId="77777777" w:rsidR="006561BA" w:rsidRDefault="006561BA">
            <w:pPr>
              <w:pStyle w:val="AnnexTableCellLeft"/>
            </w:pPr>
          </w:p>
        </w:tc>
        <w:tc>
          <w:tcPr>
            <w:tcW w:w="2088" w:type="dxa"/>
            <w:shd w:val="clear" w:color="auto" w:fill="F2F2F2"/>
            <w:tcMar>
              <w:top w:w="60" w:type="dxa"/>
              <w:bottom w:w="60" w:type="dxa"/>
            </w:tcMar>
          </w:tcPr>
          <w:p w14:paraId="717F527E" w14:textId="77777777" w:rsidR="006561BA" w:rsidRDefault="005B4ED6">
            <w:pPr>
              <w:pStyle w:val="AnnexTableCellLeft"/>
            </w:pPr>
            <w:r>
              <w:t>Havnivåstigning</w:t>
            </w:r>
          </w:p>
        </w:tc>
        <w:tc>
          <w:tcPr>
            <w:tcW w:w="2088" w:type="dxa"/>
            <w:shd w:val="clear" w:color="auto" w:fill="F2F2F2"/>
            <w:tcMar>
              <w:top w:w="60" w:type="dxa"/>
              <w:bottom w:w="60" w:type="dxa"/>
              <w:right w:w="0" w:type="dxa"/>
            </w:tcMar>
          </w:tcPr>
          <w:p w14:paraId="3C8C8D2E" w14:textId="77777777" w:rsidR="006561BA" w:rsidRDefault="006561BA">
            <w:pPr>
              <w:pStyle w:val="AnnexTableCellLeft"/>
            </w:pPr>
          </w:p>
        </w:tc>
      </w:tr>
      <w:tr w:rsidR="006561BA" w14:paraId="4CA65E20" w14:textId="77777777">
        <w:tc>
          <w:tcPr>
            <w:tcW w:w="876" w:type="dxa"/>
            <w:vMerge/>
            <w:shd w:val="clear" w:color="auto" w:fill="F2F2F2"/>
            <w:tcMar>
              <w:top w:w="60" w:type="dxa"/>
              <w:left w:w="0" w:type="dxa"/>
              <w:bottom w:w="60" w:type="dxa"/>
            </w:tcMar>
            <w:textDirection w:val="btLr"/>
            <w:vAlign w:val="center"/>
          </w:tcPr>
          <w:p w14:paraId="61B92519" w14:textId="77777777" w:rsidR="006561BA" w:rsidRDefault="006561BA">
            <w:pPr>
              <w:pStyle w:val="Para"/>
              <w:ind w:left="113" w:right="113"/>
              <w:jc w:val="center"/>
            </w:pPr>
          </w:p>
        </w:tc>
        <w:tc>
          <w:tcPr>
            <w:tcW w:w="2088" w:type="dxa"/>
            <w:shd w:val="clear" w:color="auto" w:fill="F2F2F2"/>
            <w:tcMar>
              <w:top w:w="60" w:type="dxa"/>
              <w:bottom w:w="60" w:type="dxa"/>
            </w:tcMar>
          </w:tcPr>
          <w:p w14:paraId="16D1244C" w14:textId="77777777" w:rsidR="006561BA" w:rsidRDefault="006561BA">
            <w:pPr>
              <w:pStyle w:val="AnnexTableCellLeft"/>
            </w:pPr>
          </w:p>
        </w:tc>
        <w:tc>
          <w:tcPr>
            <w:tcW w:w="2088" w:type="dxa"/>
            <w:shd w:val="clear" w:color="auto" w:fill="F2F2F2"/>
            <w:tcMar>
              <w:top w:w="60" w:type="dxa"/>
              <w:bottom w:w="60" w:type="dxa"/>
            </w:tcMar>
          </w:tcPr>
          <w:p w14:paraId="706A46E2" w14:textId="77777777" w:rsidR="006561BA" w:rsidRDefault="006561BA">
            <w:pPr>
              <w:pStyle w:val="AnnexTableCellLeft"/>
            </w:pPr>
          </w:p>
        </w:tc>
        <w:tc>
          <w:tcPr>
            <w:tcW w:w="2088" w:type="dxa"/>
            <w:shd w:val="clear" w:color="auto" w:fill="F2F2F2"/>
            <w:tcMar>
              <w:top w:w="60" w:type="dxa"/>
              <w:bottom w:w="60" w:type="dxa"/>
            </w:tcMar>
          </w:tcPr>
          <w:p w14:paraId="382E2CAF" w14:textId="77777777" w:rsidR="006561BA" w:rsidRDefault="005B4ED6">
            <w:pPr>
              <w:pStyle w:val="AnnexTableCellLeft"/>
            </w:pPr>
            <w:r>
              <w:t>Vannstress</w:t>
            </w:r>
          </w:p>
        </w:tc>
        <w:tc>
          <w:tcPr>
            <w:tcW w:w="2088" w:type="dxa"/>
            <w:shd w:val="clear" w:color="auto" w:fill="F2F2F2"/>
            <w:tcMar>
              <w:top w:w="60" w:type="dxa"/>
              <w:bottom w:w="60" w:type="dxa"/>
              <w:right w:w="0" w:type="dxa"/>
            </w:tcMar>
          </w:tcPr>
          <w:p w14:paraId="5E7514A8" w14:textId="77777777" w:rsidR="006561BA" w:rsidRDefault="006561BA">
            <w:pPr>
              <w:pStyle w:val="AnnexTableCellLeft"/>
            </w:pPr>
          </w:p>
        </w:tc>
      </w:tr>
      <w:tr w:rsidR="006561BA" w14:paraId="6E956FCA" w14:textId="77777777">
        <w:tc>
          <w:tcPr>
            <w:tcW w:w="876" w:type="dxa"/>
            <w:vMerge w:val="restart"/>
            <w:shd w:val="clear" w:color="auto" w:fill="F2F2F2"/>
            <w:tcMar>
              <w:top w:w="60" w:type="dxa"/>
              <w:left w:w="0" w:type="dxa"/>
              <w:bottom w:w="60" w:type="dxa"/>
            </w:tcMar>
            <w:textDirection w:val="btLr"/>
            <w:vAlign w:val="center"/>
          </w:tcPr>
          <w:p w14:paraId="2575DD73" w14:textId="77777777" w:rsidR="006561BA" w:rsidRDefault="005B4ED6">
            <w:pPr>
              <w:pStyle w:val="AnnexTableCellLeft"/>
              <w:ind w:left="113" w:right="113"/>
              <w:jc w:val="center"/>
            </w:pPr>
            <w:r>
              <w:rPr>
                <w:b/>
              </w:rPr>
              <w:t>Akutt</w:t>
            </w:r>
          </w:p>
        </w:tc>
        <w:tc>
          <w:tcPr>
            <w:tcW w:w="2088" w:type="dxa"/>
            <w:shd w:val="clear" w:color="auto" w:fill="F2F2F2"/>
            <w:tcMar>
              <w:top w:w="60" w:type="dxa"/>
              <w:bottom w:w="60" w:type="dxa"/>
            </w:tcMar>
          </w:tcPr>
          <w:p w14:paraId="35BD46DD" w14:textId="77777777" w:rsidR="006561BA" w:rsidRDefault="005B4ED6">
            <w:pPr>
              <w:pStyle w:val="AnnexTableCellLeft"/>
            </w:pPr>
            <w:r>
              <w:t>Varmebølge</w:t>
            </w:r>
          </w:p>
        </w:tc>
        <w:tc>
          <w:tcPr>
            <w:tcW w:w="2088" w:type="dxa"/>
            <w:shd w:val="clear" w:color="auto" w:fill="F2F2F2"/>
            <w:tcMar>
              <w:top w:w="60" w:type="dxa"/>
              <w:bottom w:w="60" w:type="dxa"/>
            </w:tcMar>
          </w:tcPr>
          <w:p w14:paraId="39546E11" w14:textId="77777777" w:rsidR="006561BA" w:rsidRDefault="005B4ED6">
            <w:pPr>
              <w:pStyle w:val="AnnexTableCellLeft"/>
            </w:pPr>
            <w:r>
              <w:t>Syklon, orkan, tyfon</w:t>
            </w:r>
          </w:p>
        </w:tc>
        <w:tc>
          <w:tcPr>
            <w:tcW w:w="2088" w:type="dxa"/>
            <w:shd w:val="clear" w:color="auto" w:fill="F2F2F2"/>
            <w:tcMar>
              <w:top w:w="60" w:type="dxa"/>
              <w:bottom w:w="60" w:type="dxa"/>
            </w:tcMar>
          </w:tcPr>
          <w:p w14:paraId="770F5D96" w14:textId="77777777" w:rsidR="006561BA" w:rsidRDefault="005B4ED6">
            <w:pPr>
              <w:pStyle w:val="AnnexTableCellLeft"/>
            </w:pPr>
            <w:r>
              <w:t>Tørke</w:t>
            </w:r>
          </w:p>
        </w:tc>
        <w:tc>
          <w:tcPr>
            <w:tcW w:w="2088" w:type="dxa"/>
            <w:shd w:val="clear" w:color="auto" w:fill="F2F2F2"/>
            <w:tcMar>
              <w:top w:w="60" w:type="dxa"/>
              <w:bottom w:w="60" w:type="dxa"/>
              <w:right w:w="0" w:type="dxa"/>
            </w:tcMar>
          </w:tcPr>
          <w:p w14:paraId="23863469" w14:textId="77777777" w:rsidR="006561BA" w:rsidRDefault="005B4ED6">
            <w:pPr>
              <w:pStyle w:val="AnnexTableCellLeft"/>
            </w:pPr>
            <w:r>
              <w:t>Snøskred</w:t>
            </w:r>
          </w:p>
        </w:tc>
      </w:tr>
      <w:tr w:rsidR="006561BA" w14:paraId="48FC9BCA" w14:textId="77777777">
        <w:tc>
          <w:tcPr>
            <w:tcW w:w="876" w:type="dxa"/>
            <w:vMerge/>
            <w:shd w:val="clear" w:color="auto" w:fill="F2F2F2"/>
            <w:tcMar>
              <w:top w:w="60" w:type="dxa"/>
              <w:left w:w="0" w:type="dxa"/>
              <w:bottom w:w="60" w:type="dxa"/>
            </w:tcMar>
            <w:textDirection w:val="btLr"/>
            <w:vAlign w:val="center"/>
          </w:tcPr>
          <w:p w14:paraId="75EE9BCE" w14:textId="77777777" w:rsidR="006561BA" w:rsidRDefault="006561BA">
            <w:pPr>
              <w:pStyle w:val="Para"/>
              <w:ind w:left="113" w:right="113"/>
              <w:jc w:val="center"/>
            </w:pPr>
          </w:p>
        </w:tc>
        <w:tc>
          <w:tcPr>
            <w:tcW w:w="2088" w:type="dxa"/>
            <w:shd w:val="clear" w:color="auto" w:fill="F2F2F2"/>
            <w:tcMar>
              <w:top w:w="60" w:type="dxa"/>
              <w:bottom w:w="60" w:type="dxa"/>
            </w:tcMar>
          </w:tcPr>
          <w:p w14:paraId="5DDC1EC0" w14:textId="77777777" w:rsidR="006561BA" w:rsidRDefault="005B4ED6">
            <w:pPr>
              <w:pStyle w:val="AnnexTableCellLeft"/>
            </w:pPr>
            <w:r>
              <w:t>Kuldebølge/frost</w:t>
            </w:r>
          </w:p>
        </w:tc>
        <w:tc>
          <w:tcPr>
            <w:tcW w:w="2088" w:type="dxa"/>
            <w:shd w:val="clear" w:color="auto" w:fill="F2F2F2"/>
            <w:tcMar>
              <w:top w:w="60" w:type="dxa"/>
              <w:bottom w:w="60" w:type="dxa"/>
            </w:tcMar>
          </w:tcPr>
          <w:p w14:paraId="6094A1C3" w14:textId="77777777" w:rsidR="006561BA" w:rsidRDefault="005B4ED6">
            <w:pPr>
              <w:pStyle w:val="AnnexTableCellLeft"/>
            </w:pPr>
            <w:r>
              <w:t>Storm (herunder snø-, støv- og sandstormer)</w:t>
            </w:r>
          </w:p>
        </w:tc>
        <w:tc>
          <w:tcPr>
            <w:tcW w:w="2088" w:type="dxa"/>
            <w:shd w:val="clear" w:color="auto" w:fill="F2F2F2"/>
            <w:tcMar>
              <w:top w:w="60" w:type="dxa"/>
              <w:bottom w:w="60" w:type="dxa"/>
            </w:tcMar>
          </w:tcPr>
          <w:p w14:paraId="410E92E7" w14:textId="77777777" w:rsidR="006561BA" w:rsidRDefault="005B4ED6">
            <w:pPr>
              <w:pStyle w:val="AnnexTableCellLeft"/>
            </w:pPr>
            <w:r>
              <w:t>Kraftig nedbør (regn, hagl, snø/is)</w:t>
            </w:r>
          </w:p>
        </w:tc>
        <w:tc>
          <w:tcPr>
            <w:tcW w:w="2088" w:type="dxa"/>
            <w:shd w:val="clear" w:color="auto" w:fill="F2F2F2"/>
            <w:tcMar>
              <w:top w:w="60" w:type="dxa"/>
              <w:bottom w:w="60" w:type="dxa"/>
              <w:right w:w="0" w:type="dxa"/>
            </w:tcMar>
          </w:tcPr>
          <w:p w14:paraId="67267252" w14:textId="77777777" w:rsidR="006561BA" w:rsidRDefault="005B4ED6">
            <w:pPr>
              <w:pStyle w:val="AnnexTableCellLeft"/>
            </w:pPr>
            <w:r>
              <w:t>Jordskred</w:t>
            </w:r>
          </w:p>
        </w:tc>
      </w:tr>
      <w:tr w:rsidR="006561BA" w14:paraId="3E868A29" w14:textId="77777777">
        <w:tc>
          <w:tcPr>
            <w:tcW w:w="876" w:type="dxa"/>
            <w:vMerge/>
            <w:shd w:val="clear" w:color="auto" w:fill="F2F2F2"/>
            <w:tcMar>
              <w:top w:w="60" w:type="dxa"/>
              <w:left w:w="0" w:type="dxa"/>
              <w:bottom w:w="60" w:type="dxa"/>
            </w:tcMar>
            <w:textDirection w:val="btLr"/>
            <w:vAlign w:val="center"/>
          </w:tcPr>
          <w:p w14:paraId="1DF172B8" w14:textId="77777777" w:rsidR="006561BA" w:rsidRDefault="006561BA">
            <w:pPr>
              <w:pStyle w:val="Para"/>
              <w:ind w:left="113" w:right="113"/>
              <w:jc w:val="center"/>
            </w:pPr>
          </w:p>
        </w:tc>
        <w:tc>
          <w:tcPr>
            <w:tcW w:w="2088" w:type="dxa"/>
            <w:shd w:val="clear" w:color="auto" w:fill="F2F2F2"/>
            <w:tcMar>
              <w:top w:w="60" w:type="dxa"/>
              <w:bottom w:w="60" w:type="dxa"/>
            </w:tcMar>
          </w:tcPr>
          <w:p w14:paraId="52CACA9E" w14:textId="77777777" w:rsidR="006561BA" w:rsidRDefault="005B4ED6">
            <w:pPr>
              <w:pStyle w:val="AnnexTableCellLeft"/>
            </w:pPr>
            <w:r>
              <w:t>Skog- og utmarksbrann</w:t>
            </w:r>
          </w:p>
        </w:tc>
        <w:tc>
          <w:tcPr>
            <w:tcW w:w="2088" w:type="dxa"/>
            <w:shd w:val="clear" w:color="auto" w:fill="F2F2F2"/>
            <w:tcMar>
              <w:top w:w="60" w:type="dxa"/>
              <w:bottom w:w="60" w:type="dxa"/>
            </w:tcMar>
          </w:tcPr>
          <w:p w14:paraId="48CBFE11" w14:textId="77777777" w:rsidR="006561BA" w:rsidRDefault="005B4ED6">
            <w:pPr>
              <w:pStyle w:val="AnnexTableCellLeft"/>
            </w:pPr>
            <w:r>
              <w:t>Tornado</w:t>
            </w:r>
          </w:p>
        </w:tc>
        <w:tc>
          <w:tcPr>
            <w:tcW w:w="2088" w:type="dxa"/>
            <w:shd w:val="clear" w:color="auto" w:fill="F2F2F2"/>
            <w:tcMar>
              <w:top w:w="60" w:type="dxa"/>
              <w:bottom w:w="60" w:type="dxa"/>
            </w:tcMar>
          </w:tcPr>
          <w:p w14:paraId="54DEB6E1" w14:textId="77777777" w:rsidR="006561BA" w:rsidRDefault="005B4ED6">
            <w:pPr>
              <w:pStyle w:val="AnnexTableCellLeft"/>
            </w:pPr>
            <w:r>
              <w:t>Flom (kystvann, fluvial, pluvial, grunnvann)</w:t>
            </w:r>
          </w:p>
        </w:tc>
        <w:tc>
          <w:tcPr>
            <w:tcW w:w="2088" w:type="dxa"/>
            <w:shd w:val="clear" w:color="auto" w:fill="F2F2F2"/>
            <w:tcMar>
              <w:top w:w="60" w:type="dxa"/>
              <w:bottom w:w="60" w:type="dxa"/>
              <w:right w:w="0" w:type="dxa"/>
            </w:tcMar>
          </w:tcPr>
          <w:p w14:paraId="7F1AB45F" w14:textId="77777777" w:rsidR="006561BA" w:rsidRDefault="005B4ED6">
            <w:pPr>
              <w:pStyle w:val="AnnexTableCellLeft"/>
            </w:pPr>
            <w:r>
              <w:t>Innsynkning</w:t>
            </w:r>
          </w:p>
        </w:tc>
      </w:tr>
      <w:tr w:rsidR="006561BA" w14:paraId="56070170" w14:textId="77777777">
        <w:tc>
          <w:tcPr>
            <w:tcW w:w="876" w:type="dxa"/>
            <w:vMerge/>
            <w:shd w:val="clear" w:color="auto" w:fill="F2F2F2"/>
            <w:tcMar>
              <w:top w:w="60" w:type="dxa"/>
              <w:left w:w="0" w:type="dxa"/>
              <w:bottom w:w="60" w:type="dxa"/>
            </w:tcMar>
            <w:textDirection w:val="btLr"/>
            <w:vAlign w:val="center"/>
          </w:tcPr>
          <w:p w14:paraId="4A6F253B" w14:textId="77777777" w:rsidR="006561BA" w:rsidRDefault="006561BA">
            <w:pPr>
              <w:pStyle w:val="Para"/>
              <w:ind w:left="113" w:right="113"/>
              <w:jc w:val="center"/>
            </w:pPr>
          </w:p>
        </w:tc>
        <w:tc>
          <w:tcPr>
            <w:tcW w:w="2088" w:type="dxa"/>
            <w:shd w:val="clear" w:color="auto" w:fill="F2F2F2"/>
            <w:tcMar>
              <w:top w:w="60" w:type="dxa"/>
              <w:bottom w:w="60" w:type="dxa"/>
            </w:tcMar>
          </w:tcPr>
          <w:p w14:paraId="24F41636" w14:textId="77777777" w:rsidR="006561BA" w:rsidRDefault="006561BA">
            <w:pPr>
              <w:pStyle w:val="AnnexTableCellLeft"/>
            </w:pPr>
          </w:p>
        </w:tc>
        <w:tc>
          <w:tcPr>
            <w:tcW w:w="2088" w:type="dxa"/>
            <w:shd w:val="clear" w:color="auto" w:fill="F2F2F2"/>
            <w:tcMar>
              <w:top w:w="60" w:type="dxa"/>
              <w:bottom w:w="60" w:type="dxa"/>
            </w:tcMar>
          </w:tcPr>
          <w:p w14:paraId="4304DDEC" w14:textId="77777777" w:rsidR="006561BA" w:rsidRDefault="006561BA">
            <w:pPr>
              <w:pStyle w:val="AnnexTableCellLeft"/>
            </w:pPr>
          </w:p>
        </w:tc>
        <w:tc>
          <w:tcPr>
            <w:tcW w:w="2088" w:type="dxa"/>
            <w:shd w:val="clear" w:color="auto" w:fill="F2F2F2"/>
            <w:tcMar>
              <w:top w:w="60" w:type="dxa"/>
              <w:bottom w:w="60" w:type="dxa"/>
            </w:tcMar>
          </w:tcPr>
          <w:p w14:paraId="2CC28B71" w14:textId="77777777" w:rsidR="006561BA" w:rsidRDefault="005B4ED6">
            <w:pPr>
              <w:pStyle w:val="AnnexTableCellLeft"/>
            </w:pPr>
            <w:proofErr w:type="spellStart"/>
            <w:r>
              <w:t>Jøkullaup</w:t>
            </w:r>
            <w:proofErr w:type="spellEnd"/>
          </w:p>
        </w:tc>
        <w:tc>
          <w:tcPr>
            <w:tcW w:w="2088" w:type="dxa"/>
            <w:shd w:val="clear" w:color="auto" w:fill="F2F2F2"/>
            <w:tcMar>
              <w:top w:w="60" w:type="dxa"/>
              <w:bottom w:w="60" w:type="dxa"/>
              <w:right w:w="0" w:type="dxa"/>
            </w:tcMar>
          </w:tcPr>
          <w:p w14:paraId="3E6C2653" w14:textId="77777777" w:rsidR="006561BA" w:rsidRDefault="006561BA">
            <w:pPr>
              <w:pStyle w:val="AnnexTableCellLeft"/>
            </w:pPr>
          </w:p>
        </w:tc>
      </w:tr>
    </w:tbl>
    <w:p w14:paraId="65CF03DF" w14:textId="77777777" w:rsidR="006561BA" w:rsidRDefault="006561BA">
      <w:pPr>
        <w:pStyle w:val="AnnexTI"/>
        <w:jc w:val="both"/>
        <w:rPr>
          <w:i w:val="0"/>
          <w:sz w:val="18"/>
        </w:rPr>
      </w:pPr>
    </w:p>
    <w:p w14:paraId="51D46837" w14:textId="77777777" w:rsidR="006561BA" w:rsidRDefault="006561BA">
      <w:pPr>
        <w:pStyle w:val="AnnexTI"/>
        <w:sectPr w:rsidR="006561BA" w:rsidSect="000D3D55">
          <w:footnotePr>
            <w:pos w:val="beneathText"/>
            <w:numRestart w:val="eachPage"/>
          </w:footnotePr>
          <w:pgSz w:w="11906" w:h="16838" w:code="9"/>
          <w:pgMar w:top="1680" w:right="1333" w:bottom="840" w:left="1333" w:header="920" w:footer="280" w:gutter="0"/>
          <w:cols w:space="708"/>
          <w:docGrid w:linePitch="360"/>
        </w:sectPr>
      </w:pPr>
    </w:p>
    <w:p w14:paraId="5CAED687" w14:textId="77777777" w:rsidR="006561BA" w:rsidRDefault="005B4ED6">
      <w:pPr>
        <w:pStyle w:val="AnnexTI"/>
        <w:spacing w:after="120"/>
      </w:pPr>
      <w:r>
        <w:lastRenderedPageBreak/>
        <w:t>Tillegg B</w:t>
      </w:r>
    </w:p>
    <w:p w14:paraId="3A68DCFF" w14:textId="77777777" w:rsidR="006561BA" w:rsidRDefault="005B4ED6">
      <w:pPr>
        <w:pStyle w:val="AnnexSTI"/>
        <w:spacing w:after="200"/>
      </w:pPr>
      <w:r>
        <w:t>Generiske DNSH-kriterier for bærekraftig bruk og beskyttelse av vann- og havressurser</w:t>
      </w:r>
    </w:p>
    <w:tbl>
      <w:tblPr>
        <w:tblStyle w:val="EFTATable"/>
        <w:tblW w:w="9228" w:type="dxa"/>
        <w:tblInd w:w="112" w:type="dxa"/>
        <w:tblLayout w:type="fixed"/>
        <w:tblLook w:val="04A0" w:firstRow="1" w:lastRow="0" w:firstColumn="1" w:lastColumn="0" w:noHBand="0" w:noVBand="1"/>
      </w:tblPr>
      <w:tblGrid>
        <w:gridCol w:w="9228"/>
      </w:tblGrid>
      <w:tr w:rsidR="006561BA" w14:paraId="78D2FA18" w14:textId="77777777">
        <w:tc>
          <w:tcPr>
            <w:tcW w:w="9228" w:type="dxa"/>
            <w:tcBorders>
              <w:left w:val="single" w:sz="4" w:space="0" w:color="auto"/>
              <w:right w:val="single" w:sz="4" w:space="0" w:color="auto"/>
            </w:tcBorders>
            <w:shd w:val="clear" w:color="auto" w:fill="F2F2F2"/>
            <w:tcMar>
              <w:top w:w="100" w:type="dxa"/>
              <w:left w:w="100" w:type="dxa"/>
              <w:bottom w:w="100" w:type="dxa"/>
              <w:right w:w="100" w:type="dxa"/>
            </w:tcMar>
          </w:tcPr>
          <w:p w14:paraId="63F30850" w14:textId="77777777" w:rsidR="006561BA" w:rsidRDefault="005B4ED6">
            <w:pPr>
              <w:pStyle w:val="AnnexNormal"/>
              <w:spacing w:after="120"/>
            </w:pPr>
            <w:r>
              <w:t>Risikoer for miljøforringelse knyttet til å bevare vannkvaliteten og unngå vannstress skal identifiseres og håndteres med sikte på å oppnå god vanntilstand og et godt økologisk potensial som definert i artikkel 2 nr. 22 og 23 i forordning (EU) 2020/852, i samsvar med direktiv 2000/60/EF(</w:t>
            </w:r>
            <w:bookmarkStart w:id="341" w:name="NOTE_343"/>
            <w:r>
              <w:rPr>
                <w:rStyle w:val="FootnoteReference"/>
                <w:sz w:val="18"/>
              </w:rPr>
              <w:footnoteReference w:id="344"/>
            </w:r>
            <w:bookmarkEnd w:id="341"/>
            <w:r>
              <w:t>) og i henhold til en forvaltningsplan for bruk og beskyttelse av vann som er utarbeidet i henhold til dette for den eller de vannforekomstene som kan bli berørt, i samråd med relevante berørte parter.</w:t>
            </w:r>
          </w:p>
          <w:p w14:paraId="7D92D18E" w14:textId="77777777" w:rsidR="006561BA" w:rsidRDefault="005B4ED6">
            <w:pPr>
              <w:pStyle w:val="AnnexNormal"/>
              <w:spacing w:after="120"/>
            </w:pPr>
            <w:r>
              <w:t>Dersom en miljøkonsekvensutredning gjennomføres i samsvar med direktiv 2011/92/EU og omfatter en vurdering av vannpåvirkningen i samsvar med direktiv 2000/60/EF, kreves ingen ytterligere vurdering av vannpåvirkning, forutsatt at de identifiserte risikoene er håndtert.</w:t>
            </w:r>
          </w:p>
          <w:p w14:paraId="047E3564" w14:textId="77777777" w:rsidR="006561BA" w:rsidRDefault="005B4ED6">
            <w:pPr>
              <w:pStyle w:val="AnnexNormal"/>
            </w:pPr>
            <w:r>
              <w:t>Aktiviteten forhindrer ikke oppnåelsen av god miljøtilstand for havområder eller forringer ikke havområder som allerede har en god miljøtilstand som definert i artikkel 3 nr. 5 i direktiv 2008/56/EF(</w:t>
            </w:r>
            <w:bookmarkStart w:id="342" w:name="NOTE_344"/>
            <w:r>
              <w:rPr>
                <w:rStyle w:val="FootnoteReference"/>
                <w:sz w:val="18"/>
              </w:rPr>
              <w:footnoteReference w:id="345"/>
            </w:r>
            <w:bookmarkEnd w:id="342"/>
            <w:r>
              <w:t xml:space="preserve">), idet det tas hensyn til beslutning (EU) 2017/848 i forbindelse med de relevante kriteriene og metodestandardene for disse </w:t>
            </w:r>
            <w:proofErr w:type="spellStart"/>
            <w:r>
              <w:t>deskriptorene</w:t>
            </w:r>
            <w:proofErr w:type="spellEnd"/>
            <w:r>
              <w:t>.</w:t>
            </w:r>
          </w:p>
        </w:tc>
      </w:tr>
    </w:tbl>
    <w:p w14:paraId="50D15078" w14:textId="77777777" w:rsidR="006561BA" w:rsidRDefault="006561BA">
      <w:pPr>
        <w:pStyle w:val="AnnexTI"/>
        <w:jc w:val="both"/>
        <w:rPr>
          <w:i w:val="0"/>
          <w:sz w:val="18"/>
        </w:rPr>
      </w:pPr>
    </w:p>
    <w:p w14:paraId="0908FF36" w14:textId="77777777" w:rsidR="006561BA" w:rsidRDefault="006561BA">
      <w:pPr>
        <w:pStyle w:val="AnnexTI"/>
        <w:sectPr w:rsidR="006561BA" w:rsidSect="000D3D55">
          <w:footnotePr>
            <w:pos w:val="beneathText"/>
            <w:numRestart w:val="eachPage"/>
          </w:footnotePr>
          <w:pgSz w:w="11906" w:h="16838" w:code="9"/>
          <w:pgMar w:top="1680" w:right="1333" w:bottom="840" w:left="1333" w:header="920" w:footer="280" w:gutter="0"/>
          <w:cols w:space="708"/>
          <w:docGrid w:linePitch="360"/>
        </w:sectPr>
      </w:pPr>
    </w:p>
    <w:p w14:paraId="39337882" w14:textId="77777777" w:rsidR="006561BA" w:rsidRDefault="005B4ED6">
      <w:pPr>
        <w:pStyle w:val="AnnexTI"/>
        <w:spacing w:after="120"/>
      </w:pPr>
      <w:r>
        <w:lastRenderedPageBreak/>
        <w:t>Tillegg D</w:t>
      </w:r>
    </w:p>
    <w:p w14:paraId="06A2EE6B" w14:textId="77777777" w:rsidR="006561BA" w:rsidRDefault="005B4ED6">
      <w:pPr>
        <w:pStyle w:val="AnnexSTI"/>
        <w:spacing w:after="300"/>
      </w:pPr>
      <w:r>
        <w:t>Generiske DNSH-kriterier for beskyttelse og restaurering av biologisk mangfold og økosystemer</w:t>
      </w:r>
    </w:p>
    <w:tbl>
      <w:tblPr>
        <w:tblStyle w:val="EFTATable"/>
        <w:tblW w:w="9228" w:type="dxa"/>
        <w:tblInd w:w="112" w:type="dxa"/>
        <w:tblLayout w:type="fixed"/>
        <w:tblLook w:val="04A0" w:firstRow="1" w:lastRow="0" w:firstColumn="1" w:lastColumn="0" w:noHBand="0" w:noVBand="1"/>
      </w:tblPr>
      <w:tblGrid>
        <w:gridCol w:w="9228"/>
      </w:tblGrid>
      <w:tr w:rsidR="006561BA" w14:paraId="52A8D538" w14:textId="77777777">
        <w:tc>
          <w:tcPr>
            <w:tcW w:w="9228" w:type="dxa"/>
            <w:tcBorders>
              <w:left w:val="single" w:sz="4" w:space="0" w:color="auto"/>
              <w:right w:val="single" w:sz="4" w:space="0" w:color="auto"/>
            </w:tcBorders>
            <w:shd w:val="clear" w:color="auto" w:fill="F2F2F2"/>
            <w:tcMar>
              <w:top w:w="100" w:type="dxa"/>
              <w:left w:w="100" w:type="dxa"/>
              <w:bottom w:w="100" w:type="dxa"/>
              <w:right w:w="100" w:type="dxa"/>
            </w:tcMar>
          </w:tcPr>
          <w:p w14:paraId="33A13485" w14:textId="77777777" w:rsidR="006561BA" w:rsidRDefault="005B4ED6">
            <w:pPr>
              <w:pStyle w:val="AnnexNormal"/>
              <w:spacing w:after="120"/>
            </w:pPr>
            <w:r>
              <w:t>En miljøkonsekvensutredning eller screening(</w:t>
            </w:r>
            <w:bookmarkStart w:id="343" w:name="NOTE_345"/>
            <w:r>
              <w:rPr>
                <w:rStyle w:val="FootnoteReference"/>
                <w:sz w:val="18"/>
              </w:rPr>
              <w:footnoteReference w:id="346"/>
            </w:r>
            <w:bookmarkEnd w:id="343"/>
            <w:r>
              <w:t>) er utført i samsvar med direktiv 2011/92/EU(</w:t>
            </w:r>
            <w:bookmarkStart w:id="344" w:name="NOTE_346"/>
            <w:r>
              <w:rPr>
                <w:rStyle w:val="FootnoteReference"/>
                <w:sz w:val="18"/>
              </w:rPr>
              <w:footnoteReference w:id="347"/>
            </w:r>
            <w:bookmarkEnd w:id="344"/>
            <w:r>
              <w:t>).</w:t>
            </w:r>
          </w:p>
          <w:p w14:paraId="4A68AE41" w14:textId="77777777" w:rsidR="006561BA" w:rsidRDefault="005B4ED6">
            <w:pPr>
              <w:pStyle w:val="AnnexNormal"/>
              <w:spacing w:after="120"/>
            </w:pPr>
            <w:r>
              <w:t>Når det er gjennomført en miljøkonsekvensutredning, gjennomføres de nødvendige avbøtende tiltakene og kompensasjonstiltakene for å beskytte miljøet.</w:t>
            </w:r>
          </w:p>
          <w:p w14:paraId="2CF1C895" w14:textId="77777777" w:rsidR="006561BA" w:rsidRDefault="005B4ED6">
            <w:pPr>
              <w:pStyle w:val="AnnexNormal"/>
            </w:pPr>
            <w:r>
              <w:t xml:space="preserve">For </w:t>
            </w:r>
            <w:proofErr w:type="spellStart"/>
            <w:r>
              <w:t>anleggssteder</w:t>
            </w:r>
            <w:proofErr w:type="spellEnd"/>
            <w:r>
              <w:t xml:space="preserve">/prosjekter som ligger i eller i nærheten av områder med sårbart biologisk mangfold (herunder Natura 2000-nettverket av beskyttede områder, </w:t>
            </w:r>
            <w:proofErr w:type="spellStart"/>
            <w:r>
              <w:t>UNESCOs</w:t>
            </w:r>
            <w:proofErr w:type="spellEnd"/>
            <w:r>
              <w:t xml:space="preserve"> verdensarvsteder og viktige områder for biologisk mangfold, samt andre beskyttede områder), er det foretatt en hensiktsmessig vurdering(</w:t>
            </w:r>
            <w:bookmarkStart w:id="345" w:name="NOTE_347"/>
            <w:r>
              <w:rPr>
                <w:rStyle w:val="FootnoteReference"/>
                <w:sz w:val="18"/>
              </w:rPr>
              <w:footnoteReference w:id="348"/>
            </w:r>
            <w:bookmarkEnd w:id="345"/>
            <w:r>
              <w:t>), der det er relevant, og på grunnlag av konklusjonene i denne er nødvendige avbøtende tiltak(</w:t>
            </w:r>
            <w:bookmarkStart w:id="346" w:name="NOTE_348"/>
            <w:r>
              <w:rPr>
                <w:rStyle w:val="FootnoteReference"/>
                <w:sz w:val="18"/>
              </w:rPr>
              <w:footnoteReference w:id="349"/>
            </w:r>
            <w:bookmarkEnd w:id="346"/>
            <w:r>
              <w:t>) gjennomført.</w:t>
            </w:r>
          </w:p>
        </w:tc>
      </w:tr>
    </w:tbl>
    <w:p w14:paraId="32089E0F" w14:textId="77777777" w:rsidR="006561BA" w:rsidRDefault="006561BA">
      <w:pPr>
        <w:pStyle w:val="AnnexTI"/>
        <w:jc w:val="both"/>
        <w:rPr>
          <w:i w:val="0"/>
          <w:sz w:val="18"/>
        </w:rPr>
      </w:pPr>
    </w:p>
    <w:p w14:paraId="0FA481B0" w14:textId="77777777" w:rsidR="006561BA" w:rsidRDefault="006561BA">
      <w:pPr>
        <w:pStyle w:val="AnnexTI"/>
        <w:sectPr w:rsidR="006561BA" w:rsidSect="000D3D55">
          <w:footnotePr>
            <w:pos w:val="beneathText"/>
            <w:numRestart w:val="eachPage"/>
          </w:footnotePr>
          <w:pgSz w:w="11906" w:h="16838" w:code="9"/>
          <w:pgMar w:top="1680" w:right="1333" w:bottom="840" w:left="1333" w:header="920" w:footer="280" w:gutter="0"/>
          <w:cols w:space="708"/>
          <w:docGrid w:linePitch="360"/>
        </w:sectPr>
      </w:pPr>
    </w:p>
    <w:p w14:paraId="3510076B" w14:textId="77777777" w:rsidR="006561BA" w:rsidRDefault="005B4ED6">
      <w:pPr>
        <w:pStyle w:val="AnnexTI"/>
        <w:spacing w:after="360"/>
      </w:pPr>
      <w:r>
        <w:lastRenderedPageBreak/>
        <w:t>VEDLEGG IV</w:t>
      </w:r>
    </w:p>
    <w:p w14:paraId="42F95C7A" w14:textId="77777777" w:rsidR="006561BA" w:rsidRDefault="005B4ED6">
      <w:pPr>
        <w:pStyle w:val="AnnexSTI"/>
      </w:pPr>
      <w:r>
        <w:t>Tekniske screeningkriterier for å fastslå vilkårene for at en økonomisk aktivitet skal anses å bidra vesentlig til beskyttelse og restaurering av biologisk mangfold og økosystemer, og for å fastslå om det er slik at den økonomiske aktiviteten ikke er til betydelig skade for noen av de andre miljømålene</w:t>
      </w:r>
    </w:p>
    <w:p w14:paraId="735D8E88" w14:textId="77777777" w:rsidR="006561BA" w:rsidRDefault="005B4ED6">
      <w:pPr>
        <w:pStyle w:val="AnnexNormal"/>
        <w:spacing w:after="120"/>
        <w:jc w:val="center"/>
      </w:pPr>
      <w:r>
        <w:t>Innholdsfortegnelse</w:t>
      </w:r>
    </w:p>
    <w:p w14:paraId="6731EBEB" w14:textId="77777777" w:rsidR="006561BA" w:rsidRDefault="005B4ED6">
      <w:pPr>
        <w:pStyle w:val="AnnexNormal"/>
        <w:spacing w:after="120"/>
        <w:jc w:val="right"/>
      </w:pPr>
      <w:r>
        <w:rPr>
          <w:i/>
        </w:rPr>
        <w:t>Side</w:t>
      </w:r>
    </w:p>
    <w:p w14:paraId="01348199" w14:textId="77777777" w:rsidR="006561BA" w:rsidRDefault="005B4ED6">
      <w:pPr>
        <w:pStyle w:val="AnnexNormal"/>
        <w:tabs>
          <w:tab w:val="left" w:leader="dot" w:pos="8952"/>
        </w:tabs>
        <w:spacing w:after="120"/>
        <w:ind w:left="360" w:hanging="360"/>
        <w:jc w:val="left"/>
      </w:pPr>
      <w:r>
        <w:t>1.</w:t>
      </w:r>
      <w:r>
        <w:tab/>
        <w:t>Miljøvern- og restaureringsaktiviteter</w:t>
      </w:r>
      <w:r>
        <w:tab/>
        <w:t>116</w:t>
      </w:r>
    </w:p>
    <w:p w14:paraId="565C7B49" w14:textId="77777777" w:rsidR="006561BA" w:rsidRDefault="005B4ED6">
      <w:pPr>
        <w:pStyle w:val="AnnexNormal"/>
        <w:tabs>
          <w:tab w:val="left" w:leader="dot" w:pos="8952"/>
        </w:tabs>
        <w:spacing w:after="120"/>
        <w:ind w:left="720" w:hanging="360"/>
        <w:jc w:val="left"/>
      </w:pPr>
      <w:r>
        <w:t>1.1.</w:t>
      </w:r>
      <w:r>
        <w:tab/>
        <w:t>Bevaring, herunder restaurering, av habitater, økosystemer og arter</w:t>
      </w:r>
      <w:r>
        <w:tab/>
        <w:t>116</w:t>
      </w:r>
    </w:p>
    <w:p w14:paraId="34F27BE9" w14:textId="77777777" w:rsidR="006561BA" w:rsidRDefault="005B4ED6">
      <w:pPr>
        <w:pStyle w:val="AnnexNormal"/>
        <w:tabs>
          <w:tab w:val="left" w:leader="dot" w:pos="8952"/>
        </w:tabs>
        <w:spacing w:after="120"/>
        <w:ind w:left="360" w:hanging="360"/>
        <w:jc w:val="left"/>
      </w:pPr>
      <w:r>
        <w:t>2.</w:t>
      </w:r>
      <w:r>
        <w:tab/>
        <w:t>Overnattingsvirksomhet</w:t>
      </w:r>
      <w:r>
        <w:tab/>
        <w:t>120</w:t>
      </w:r>
    </w:p>
    <w:p w14:paraId="55885729" w14:textId="77777777" w:rsidR="006561BA" w:rsidRDefault="005B4ED6">
      <w:pPr>
        <w:pStyle w:val="AnnexNormal"/>
        <w:tabs>
          <w:tab w:val="left" w:leader="dot" w:pos="8952"/>
        </w:tabs>
        <w:ind w:left="720" w:hanging="360"/>
        <w:jc w:val="left"/>
      </w:pPr>
      <w:r>
        <w:t>2.1.</w:t>
      </w:r>
      <w:r>
        <w:tab/>
        <w:t>Hoteller, ferieboliger, campingplasser og lignende overnattingsmuligheter</w:t>
      </w:r>
      <w:r>
        <w:tab/>
        <w:t>120</w:t>
      </w:r>
    </w:p>
    <w:p w14:paraId="6A849E9A" w14:textId="77777777" w:rsidR="006561BA" w:rsidRDefault="005B4ED6">
      <w:pPr>
        <w:pStyle w:val="AnnexNumberedText"/>
        <w:spacing w:before="800" w:after="200"/>
        <w:ind w:left="414" w:hanging="414"/>
      </w:pPr>
      <w:r>
        <w:t>1.</w:t>
      </w:r>
      <w:r>
        <w:rPr>
          <w:b/>
          <w:i/>
        </w:rPr>
        <w:tab/>
        <w:t>Miljøvern- og restaureringsaktiviteter</w:t>
      </w:r>
    </w:p>
    <w:p w14:paraId="7CC56A8F" w14:textId="77777777" w:rsidR="006561BA" w:rsidRDefault="005B4ED6">
      <w:pPr>
        <w:pStyle w:val="AnnexNumberedText"/>
        <w:spacing w:after="400"/>
        <w:ind w:left="414" w:hanging="414"/>
      </w:pPr>
      <w:r>
        <w:t>1.1.</w:t>
      </w:r>
      <w:r>
        <w:rPr>
          <w:b/>
        </w:rPr>
        <w:tab/>
      </w:r>
      <w:r>
        <w:rPr>
          <w:b/>
          <w:bCs/>
        </w:rPr>
        <w:t>Bevaring, herunder restaurering, av habitater(</w:t>
      </w:r>
      <w:bookmarkStart w:id="347" w:name="NOTE_349"/>
      <w:r>
        <w:rPr>
          <w:rStyle w:val="FootnoteReference"/>
          <w:sz w:val="18"/>
        </w:rPr>
        <w:footnoteReference w:id="350"/>
      </w:r>
      <w:bookmarkEnd w:id="347"/>
      <w:r>
        <w:rPr>
          <w:b/>
          <w:bCs/>
        </w:rPr>
        <w:t>), økosystemer(</w:t>
      </w:r>
      <w:bookmarkStart w:id="348" w:name="NOTE_350"/>
      <w:r>
        <w:rPr>
          <w:rStyle w:val="FootnoteReference"/>
          <w:sz w:val="18"/>
        </w:rPr>
        <w:footnoteReference w:id="351"/>
      </w:r>
      <w:bookmarkEnd w:id="348"/>
      <w:r>
        <w:rPr>
          <w:b/>
          <w:bCs/>
        </w:rPr>
        <w:t>) og arter</w:t>
      </w:r>
    </w:p>
    <w:p w14:paraId="3C95F060" w14:textId="77777777" w:rsidR="006561BA" w:rsidRDefault="005B4ED6">
      <w:pPr>
        <w:pStyle w:val="AnnexGrSeq3"/>
        <w:spacing w:after="120"/>
        <w:jc w:val="both"/>
      </w:pPr>
      <w:r>
        <w:rPr>
          <w:i/>
        </w:rPr>
        <w:t>Beskrivelse av aktiviteten</w:t>
      </w:r>
    </w:p>
    <w:p w14:paraId="5F33799A" w14:textId="66F53AB9" w:rsidR="006561BA" w:rsidRDefault="005B4ED6">
      <w:pPr>
        <w:pStyle w:val="AnnexNormal"/>
        <w:spacing w:after="120"/>
      </w:pPr>
      <w:r>
        <w:t xml:space="preserve">Iverksetting, utvikling og gjennomføring av bevaringsaktiviteter for egen regning eller på honorar- eller </w:t>
      </w:r>
      <w:r w:rsidR="00962B22">
        <w:t>kontraktbasis</w:t>
      </w:r>
      <w:r>
        <w:t>, herunder restaureringsaktiviteter, som har til formål å opprettholde eller forbedre tilstanden til og utviklingen av habitater, økosystemer og populasjoner av beslektede dyre- og plantearter på land, i ferskvanns- og havområder.</w:t>
      </w:r>
    </w:p>
    <w:p w14:paraId="54CCE3E8" w14:textId="77777777" w:rsidR="006561BA" w:rsidRDefault="005B4ED6">
      <w:pPr>
        <w:pStyle w:val="AnnexNormal"/>
        <w:spacing w:after="120"/>
      </w:pPr>
      <w:r>
        <w:t>Den økonomiske aktiviteten omfatter</w:t>
      </w:r>
    </w:p>
    <w:p w14:paraId="535028C0" w14:textId="77777777" w:rsidR="006561BA" w:rsidRDefault="005B4ED6">
      <w:pPr>
        <w:pStyle w:val="AnnexNumberedText"/>
        <w:ind w:left="293" w:hanging="293"/>
      </w:pPr>
      <w:r>
        <w:t>a)</w:t>
      </w:r>
      <w:r>
        <w:tab/>
        <w:t xml:space="preserve">Aktiviteter med </w:t>
      </w:r>
      <w:r>
        <w:rPr>
          <w:i/>
        </w:rPr>
        <w:t xml:space="preserve">in </w:t>
      </w:r>
      <w:proofErr w:type="spellStart"/>
      <w:r>
        <w:rPr>
          <w:i/>
        </w:rPr>
        <w:t>situ</w:t>
      </w:r>
      <w:proofErr w:type="spellEnd"/>
      <w:r>
        <w:t>-bevaring på stedet, som i konvensjonen om biologisk mangfold (CBD)(</w:t>
      </w:r>
      <w:bookmarkStart w:id="349" w:name="NOTE_351"/>
      <w:r>
        <w:rPr>
          <w:rStyle w:val="FootnoteReference"/>
          <w:sz w:val="18"/>
        </w:rPr>
        <w:footnoteReference w:id="352"/>
      </w:r>
      <w:bookmarkEnd w:id="349"/>
      <w:r>
        <w:t>) defineres som bevaring av økosystemer og naturlige habitater og opprettholdelse og gjenoppretting av levedyktige populasjoner av arter i deres naturlige miljø.</w:t>
      </w:r>
    </w:p>
    <w:p w14:paraId="4538360D" w14:textId="77777777" w:rsidR="006561BA" w:rsidRDefault="005B4ED6">
      <w:pPr>
        <w:pStyle w:val="AnnexNumberedText"/>
        <w:ind w:left="293" w:hanging="293"/>
      </w:pPr>
      <w:r>
        <w:t>b)</w:t>
      </w:r>
      <w:r>
        <w:tab/>
        <w:t>Restaureringsaktiviteter definert som aktiviteter som aktivt eller passivt bidrar til å gjenopprette i) et økosystem for å bringe det nærmere en god tilstand(</w:t>
      </w:r>
      <w:bookmarkStart w:id="350" w:name="NOTE_352"/>
      <w:r>
        <w:rPr>
          <w:rStyle w:val="FootnoteReference"/>
          <w:sz w:val="18"/>
        </w:rPr>
        <w:footnoteReference w:id="353"/>
      </w:r>
      <w:bookmarkEnd w:id="350"/>
      <w:r>
        <w:t>), ii) en habitattype til det høyeste tilstandsnivået som kan oppnås, og til dens gunstige referanseområde eller naturlige utstrekning, iii) et habitat for en art(</w:t>
      </w:r>
      <w:bookmarkStart w:id="351" w:name="NOTE_353"/>
      <w:r>
        <w:rPr>
          <w:rStyle w:val="FootnoteReference"/>
          <w:sz w:val="18"/>
        </w:rPr>
        <w:footnoteReference w:id="354"/>
      </w:r>
      <w:bookmarkEnd w:id="351"/>
      <w:r>
        <w:t>) til en tilstrekkelig kvalitet og kvantitet, eller iv) populasjoner av arter til et tilfredsstillende nivå.</w:t>
      </w:r>
    </w:p>
    <w:p w14:paraId="187E6492" w14:textId="77777777" w:rsidR="006561BA" w:rsidRDefault="005B4ED6">
      <w:pPr>
        <w:pStyle w:val="AnnexNormal"/>
        <w:spacing w:after="120"/>
      </w:pPr>
      <w:r>
        <w:t xml:space="preserve">Den økonomiske aktiviteten omfatter ikke </w:t>
      </w:r>
      <w:r>
        <w:rPr>
          <w:i/>
          <w:iCs/>
        </w:rPr>
        <w:t xml:space="preserve">ex </w:t>
      </w:r>
      <w:proofErr w:type="spellStart"/>
      <w:r>
        <w:rPr>
          <w:i/>
          <w:iCs/>
        </w:rPr>
        <w:t>situ</w:t>
      </w:r>
      <w:proofErr w:type="spellEnd"/>
      <w:r>
        <w:t>-bevaring av deler av biologisk mangfold, herunder i botaniske hager, dyrehager, akvarier eller frøbanker.</w:t>
      </w:r>
    </w:p>
    <w:p w14:paraId="43E4F255" w14:textId="77777777" w:rsidR="006561BA" w:rsidRDefault="005B4ED6">
      <w:pPr>
        <w:pStyle w:val="AnnexNormal"/>
        <w:spacing w:after="0"/>
      </w:pPr>
      <w:r>
        <w:t>De økonomiske aktivitetene i denne kategorien har ingen bestemt NACE-kode, men er delvis dekket av NACE-kode R91.04 som omhandlet i standarden for næringsgruppering fastsatt ved forordning (EF) nr. 1893/2006. Aktivitetene gjelder klasse 6 i den statistiske klassifiseringen av miljøvernaktiviteter (CEPA) opprettet ved europaparlaments- og rådsforordning (EU) nr. 691/2011(</w:t>
      </w:r>
      <w:bookmarkStart w:id="352" w:name="NOTE_354"/>
      <w:r>
        <w:rPr>
          <w:rStyle w:val="FootnoteReference"/>
          <w:sz w:val="18"/>
        </w:rPr>
        <w:footnoteReference w:id="355"/>
      </w:r>
      <w:bookmarkEnd w:id="352"/>
      <w:r>
        <w:t>).</w:t>
      </w:r>
      <w:r>
        <w:br w:type="page"/>
      </w:r>
    </w:p>
    <w:p w14:paraId="413170AF" w14:textId="77777777" w:rsidR="006561BA" w:rsidRDefault="005B4ED6">
      <w:pPr>
        <w:pStyle w:val="AnnexGrSeq3"/>
        <w:spacing w:after="300"/>
        <w:jc w:val="both"/>
      </w:pPr>
      <w:r>
        <w:rPr>
          <w:i/>
        </w:rPr>
        <w:lastRenderedPageBreak/>
        <w:t>Tekniske screeningkriterier</w:t>
      </w:r>
    </w:p>
    <w:tbl>
      <w:tblPr>
        <w:tblStyle w:val="EFTATable"/>
        <w:tblW w:w="9228" w:type="dxa"/>
        <w:tblInd w:w="12" w:type="dxa"/>
        <w:tblLayout w:type="fixed"/>
        <w:tblLook w:val="04A0" w:firstRow="1" w:lastRow="0" w:firstColumn="1" w:lastColumn="0" w:noHBand="0" w:noVBand="1"/>
      </w:tblPr>
      <w:tblGrid>
        <w:gridCol w:w="2496"/>
        <w:gridCol w:w="6732"/>
      </w:tblGrid>
      <w:tr w:rsidR="006561BA" w14:paraId="0425F0BF" w14:textId="77777777">
        <w:trPr>
          <w:trHeight w:val="240"/>
        </w:trPr>
        <w:tc>
          <w:tcPr>
            <w:tcW w:w="9228" w:type="dxa"/>
            <w:gridSpan w:val="2"/>
            <w:tcMar>
              <w:top w:w="100" w:type="dxa"/>
              <w:left w:w="0" w:type="dxa"/>
              <w:bottom w:w="100" w:type="dxa"/>
              <w:right w:w="0" w:type="dxa"/>
            </w:tcMar>
          </w:tcPr>
          <w:p w14:paraId="20BCC032" w14:textId="77777777" w:rsidR="006561BA" w:rsidRDefault="005B4ED6">
            <w:pPr>
              <w:pStyle w:val="AnnexTableCellLeft"/>
            </w:pPr>
            <w:r>
              <w:t>Vesentlig bidrag til beskyttelse og restaurering av biologisk mangfold og økosystemer</w:t>
            </w:r>
          </w:p>
        </w:tc>
      </w:tr>
      <w:tr w:rsidR="006561BA" w14:paraId="469D69FF" w14:textId="77777777">
        <w:trPr>
          <w:trHeight w:val="360"/>
        </w:trPr>
        <w:tc>
          <w:tcPr>
            <w:tcW w:w="9228" w:type="dxa"/>
            <w:gridSpan w:val="2"/>
            <w:tcMar>
              <w:top w:w="100" w:type="dxa"/>
              <w:left w:w="0" w:type="dxa"/>
              <w:bottom w:w="100" w:type="dxa"/>
              <w:right w:w="0" w:type="dxa"/>
            </w:tcMar>
          </w:tcPr>
          <w:p w14:paraId="3E9173CD" w14:textId="77777777" w:rsidR="006561BA" w:rsidRDefault="005B4ED6">
            <w:pPr>
              <w:pStyle w:val="AnnexNumberedText"/>
              <w:ind w:left="279" w:hanging="279"/>
            </w:pPr>
            <w:r>
              <w:t>1.</w:t>
            </w:r>
            <w:r>
              <w:tab/>
              <w:t>Alminnelige vilkår</w:t>
            </w:r>
          </w:p>
          <w:p w14:paraId="6D1463F3" w14:textId="77777777" w:rsidR="006561BA" w:rsidRDefault="005B4ED6">
            <w:pPr>
              <w:pStyle w:val="AnnexNumberedText"/>
              <w:tabs>
                <w:tab w:val="left" w:pos="348"/>
              </w:tabs>
              <w:ind w:left="0" w:firstLine="0"/>
            </w:pPr>
            <w:r>
              <w:t>1.1.</w:t>
            </w:r>
            <w:r>
              <w:tab/>
              <w:t>Aktiviteten bidrar til minst ett av følgende:</w:t>
            </w:r>
          </w:p>
          <w:p w14:paraId="424B515F" w14:textId="77777777" w:rsidR="006561BA" w:rsidRDefault="005B4ED6">
            <w:pPr>
              <w:pStyle w:val="AnnexNumberedText"/>
              <w:ind w:left="293" w:hanging="293"/>
            </w:pPr>
            <w:r>
              <w:t>a)</w:t>
            </w:r>
            <w:r>
              <w:tab/>
              <w:t>Bevaring av en god tilstand for økosystemer, arter, habitater eller habitater for arter.</w:t>
            </w:r>
          </w:p>
          <w:p w14:paraId="5E7D7929" w14:textId="77777777" w:rsidR="006561BA" w:rsidRDefault="005B4ED6">
            <w:pPr>
              <w:pStyle w:val="AnnexNumberedText"/>
              <w:ind w:left="293" w:hanging="293"/>
            </w:pPr>
            <w:r>
              <w:t>b)</w:t>
            </w:r>
            <w:r>
              <w:tab/>
              <w:t>Gjenoppretting eller restaurering av økosystemer, habitater eller habitater for arter for å bringe dem nærmere denne tilstanden, herunder ved å øke deres areal eller utbredelsesområde.</w:t>
            </w:r>
          </w:p>
          <w:p w14:paraId="0E9DF6F5" w14:textId="77777777" w:rsidR="006561BA" w:rsidRDefault="005B4ED6">
            <w:pPr>
              <w:pStyle w:val="AnnexNumberedText"/>
              <w:tabs>
                <w:tab w:val="left" w:pos="348"/>
              </w:tabs>
              <w:ind w:left="0" w:firstLine="0"/>
            </w:pPr>
            <w:r>
              <w:t>1.2.</w:t>
            </w:r>
            <w:r>
              <w:tab/>
              <w:t>Aktiviteten kan utøves av en hvilken som helst type aktivitetsutøver, uavhengig av det primære aktivitetsområdet.</w:t>
            </w:r>
          </w:p>
          <w:p w14:paraId="5D17DF68" w14:textId="77777777" w:rsidR="006561BA" w:rsidRDefault="005B4ED6">
            <w:pPr>
              <w:pStyle w:val="AnnexNumberedText"/>
              <w:ind w:left="279" w:hanging="279"/>
            </w:pPr>
            <w:r>
              <w:t>2.</w:t>
            </w:r>
            <w:r>
              <w:tab/>
              <w:t>Innledende beskrivelse av det området som er omfattet av bevaringsaktiviteten</w:t>
            </w:r>
          </w:p>
          <w:p w14:paraId="77E280C7" w14:textId="77777777" w:rsidR="006561BA" w:rsidRDefault="005B4ED6">
            <w:pPr>
              <w:pStyle w:val="AnnexNumberedText"/>
              <w:tabs>
                <w:tab w:val="left" w:pos="348"/>
              </w:tabs>
              <w:ind w:left="0" w:firstLine="0"/>
            </w:pPr>
            <w:r>
              <w:t>2.1.</w:t>
            </w:r>
            <w:r>
              <w:tab/>
              <w:t>Aktiviteten finner sted i et område med en detaljert beskrivelse av de innledende økologiske forholdene som inneholder følgende elementer:</w:t>
            </w:r>
          </w:p>
          <w:p w14:paraId="477356FE" w14:textId="77777777" w:rsidR="006561BA" w:rsidRDefault="005B4ED6">
            <w:pPr>
              <w:pStyle w:val="AnnexNumberedText"/>
              <w:ind w:left="293" w:hanging="293"/>
            </w:pPr>
            <w:r>
              <w:t>a)</w:t>
            </w:r>
            <w:r>
              <w:tab/>
              <w:t>Kartlegging av de nåværende habitatene og deres tilstand.</w:t>
            </w:r>
          </w:p>
          <w:p w14:paraId="2EDD1C20" w14:textId="77777777" w:rsidR="006561BA" w:rsidRDefault="005B4ED6">
            <w:pPr>
              <w:pStyle w:val="AnnexNumberedText"/>
              <w:ind w:left="293" w:hanging="293"/>
            </w:pPr>
            <w:r>
              <w:t>b)</w:t>
            </w:r>
            <w:r>
              <w:tab/>
              <w:t>Dersom det er relevant, områdets beskyttelsesstatus.</w:t>
            </w:r>
          </w:p>
          <w:p w14:paraId="738CC6E5" w14:textId="77777777" w:rsidR="006561BA" w:rsidRDefault="005B4ED6">
            <w:pPr>
              <w:pStyle w:val="AnnexNumberedText"/>
              <w:ind w:left="293" w:hanging="293"/>
            </w:pPr>
            <w:r>
              <w:t>c)</w:t>
            </w:r>
            <w:r>
              <w:tab/>
              <w:t>Beskrivelse av situasjonen for de viktigste artene når det gjelder den relevansen for bevaring som finnes i området (herunder liste over arter, omtrentlig størrelse på populasjonen, omtrentlig størrelse på habitatet for arten og dets kvalitet, samt perioden da arten anvender området).</w:t>
            </w:r>
          </w:p>
          <w:p w14:paraId="7AB74622" w14:textId="77777777" w:rsidR="006561BA" w:rsidRDefault="005B4ED6">
            <w:pPr>
              <w:pStyle w:val="AnnexNumberedText"/>
              <w:ind w:left="293" w:hanging="293"/>
            </w:pPr>
            <w:r>
              <w:t>d)</w:t>
            </w:r>
            <w:r>
              <w:tab/>
              <w:t>Områdets betydning for å oppnå en god tilstand for arter, habitater eller habitater for arter på regionalt, nasjonalt eller internasjonalt plan, alt etter hva som er hensiktsmessig.</w:t>
            </w:r>
          </w:p>
          <w:p w14:paraId="640A8BCC" w14:textId="77777777" w:rsidR="006561BA" w:rsidRDefault="005B4ED6">
            <w:pPr>
              <w:pStyle w:val="AnnexNumberedText"/>
              <w:ind w:left="293" w:hanging="293"/>
            </w:pPr>
            <w:r>
              <w:t>e)</w:t>
            </w:r>
            <w:r>
              <w:tab/>
              <w:t>Dersom det er relevant, potensialet for å forbedre tilstanden for arter, habitater eller habitater for arter som finnes i området, eller for å gjenopprette habitater eller habitater for arter i området, eller for å forbedre forbindelsen mellom habitater.</w:t>
            </w:r>
          </w:p>
          <w:p w14:paraId="03A1FE49" w14:textId="77777777" w:rsidR="006561BA" w:rsidRDefault="005B4ED6">
            <w:pPr>
              <w:pStyle w:val="AnnexNumberedText"/>
              <w:ind w:left="279" w:hanging="279"/>
            </w:pPr>
            <w:r>
              <w:t>3.</w:t>
            </w:r>
            <w:r>
              <w:tab/>
              <w:t>Forvaltningsplan eller et tilsvarende instrument</w:t>
            </w:r>
          </w:p>
          <w:p w14:paraId="78A4DC94" w14:textId="77777777" w:rsidR="006561BA" w:rsidRDefault="005B4ED6">
            <w:pPr>
              <w:pStyle w:val="AnnexNumberedText"/>
              <w:tabs>
                <w:tab w:val="left" w:pos="348"/>
              </w:tabs>
              <w:ind w:left="0" w:firstLine="0"/>
            </w:pPr>
            <w:r>
              <w:t>3.1.</w:t>
            </w:r>
            <w:r>
              <w:tab/>
              <w:t>Området er omfattet av en forvaltningsplan eller et tilsvarende instrument, som for eksempel en restaureringsplan(</w:t>
            </w:r>
            <w:bookmarkStart w:id="353" w:name="NOTE_355"/>
            <w:r>
              <w:rPr>
                <w:rStyle w:val="FootnoteReference"/>
                <w:sz w:val="18"/>
              </w:rPr>
              <w:footnoteReference w:id="356"/>
            </w:r>
            <w:bookmarkEnd w:id="353"/>
            <w:r>
              <w:t>), som oppdateres regelmessig og under alle omstendigheter minst hvert tiende år, og som inneholder følgende opplysninger:</w:t>
            </w:r>
          </w:p>
          <w:p w14:paraId="67AF2475" w14:textId="77777777" w:rsidR="006561BA" w:rsidRDefault="005B4ED6">
            <w:pPr>
              <w:pStyle w:val="AnnexNumberedText"/>
              <w:ind w:left="293" w:hanging="293"/>
            </w:pPr>
            <w:r>
              <w:t>a)</w:t>
            </w:r>
            <w:r>
              <w:tab/>
              <w:t>En beskrivelse av områdets forventede bidrag til de bevaringsmålene for naturen som er fastsatt av vedkommende natur- eller miljøvernmyndighet med hensyn til rettslig og politisk kontekst på regionalt, nasjonalt og internasjonalt plan, samt på unionsplan.</w:t>
            </w:r>
          </w:p>
          <w:p w14:paraId="45167EBC" w14:textId="77777777" w:rsidR="006561BA" w:rsidRDefault="005B4ED6">
            <w:pPr>
              <w:pStyle w:val="AnnexNumberedText"/>
              <w:ind w:left="293" w:hanging="293"/>
            </w:pPr>
            <w:r>
              <w:t>b)</w:t>
            </w:r>
            <w:r>
              <w:tab/>
              <w:t>Listen over arter, habitater og habitater for de artene som vil dra nytte av bevaringstiltakene (heretter kalt «utpekte habitater og arter»).</w:t>
            </w:r>
          </w:p>
          <w:p w14:paraId="0B08D129" w14:textId="77777777" w:rsidR="006561BA" w:rsidRDefault="005B4ED6">
            <w:pPr>
              <w:pStyle w:val="AnnexNumberedText"/>
              <w:ind w:left="293" w:hanging="293"/>
            </w:pPr>
            <w:r>
              <w:t>c)</w:t>
            </w:r>
            <w:r>
              <w:tab/>
              <w:t>Planens varighet og en klar beskrivelse av bevaringsmålene for hvert utpekt habitat og hver utpekt art og av de tilsvarende bevaringstiltakene som behandler identifiserte belastninger og trusler, herunder forventet frist for å oppnå bevaringsmålene. Dersom tidsfristene overskrider forvaltningsplanens varighet, defineres de forventede framskrittene (delmålene) med oppnåelse av målet.</w:t>
            </w:r>
          </w:p>
          <w:p w14:paraId="6C4CC3B8" w14:textId="77777777" w:rsidR="006561BA" w:rsidRDefault="005B4ED6">
            <w:pPr>
              <w:pStyle w:val="AnnexNumberedText"/>
              <w:ind w:left="293" w:hanging="293"/>
            </w:pPr>
            <w:r>
              <w:t>d)</w:t>
            </w:r>
            <w:r>
              <w:tab/>
              <w:t>En beskrivelse av de truslene og belastningene som kan forhindre at bevaringsmålene nås, herunder forventede endringer av habitater som følge av klimaendringer.</w:t>
            </w:r>
          </w:p>
          <w:p w14:paraId="57FD6207" w14:textId="77777777" w:rsidR="006561BA" w:rsidRDefault="005B4ED6">
            <w:pPr>
              <w:pStyle w:val="AnnexNumberedText"/>
              <w:ind w:left="293" w:hanging="293"/>
            </w:pPr>
            <w:r>
              <w:t>e)</w:t>
            </w:r>
            <w:r>
              <w:tab/>
              <w:t>Tiltakene for å sikre at alle DNSH-kriterier for denne aktiviteten er oppfylt.</w:t>
            </w:r>
          </w:p>
          <w:p w14:paraId="2EA68DDF" w14:textId="77777777" w:rsidR="006561BA" w:rsidRDefault="005B4ED6">
            <w:pPr>
              <w:pStyle w:val="AnnexNumberedText"/>
              <w:spacing w:after="0"/>
              <w:ind w:left="293" w:hanging="293"/>
            </w:pPr>
            <w:r>
              <w:t>f)</w:t>
            </w:r>
            <w:r>
              <w:tab/>
              <w:t>Vurdering av samfunnsspørsmål (herunder bevaring av landskapet, samråd med berørte parter i samsvar med vilkårene som er fastsatt i nasjonal rett).</w:t>
            </w:r>
          </w:p>
        </w:tc>
      </w:tr>
      <w:tr w:rsidR="006561BA" w14:paraId="70B4D6A6" w14:textId="77777777">
        <w:trPr>
          <w:trHeight w:val="360"/>
        </w:trPr>
        <w:tc>
          <w:tcPr>
            <w:tcW w:w="9228" w:type="dxa"/>
            <w:gridSpan w:val="2"/>
            <w:tcMar>
              <w:top w:w="100" w:type="dxa"/>
              <w:left w:w="0" w:type="dxa"/>
              <w:bottom w:w="100" w:type="dxa"/>
              <w:right w:w="0" w:type="dxa"/>
            </w:tcMar>
          </w:tcPr>
          <w:p w14:paraId="1FF82824" w14:textId="77777777" w:rsidR="006561BA" w:rsidRDefault="005B4ED6">
            <w:pPr>
              <w:pStyle w:val="AnnexNumberedText"/>
              <w:pageBreakBefore/>
            </w:pPr>
            <w:r>
              <w:lastRenderedPageBreak/>
              <w:t>g)</w:t>
            </w:r>
            <w:r>
              <w:tab/>
              <w:t xml:space="preserve">Dersom det er relevant, en beskrivelse av forbedrede økosystemtjenester, som for eksempel karbonlagring, rensing av vann, </w:t>
            </w:r>
            <w:proofErr w:type="spellStart"/>
            <w:r>
              <w:t>flomsikring</w:t>
            </w:r>
            <w:proofErr w:type="spellEnd"/>
            <w:r>
              <w:t>, forebygging av erosjon, pollinering, rekreasjonsmuligheter og bredere sosioøkonomiske fordeler.</w:t>
            </w:r>
          </w:p>
          <w:p w14:paraId="0E28B204" w14:textId="77777777" w:rsidR="006561BA" w:rsidRDefault="005B4ED6">
            <w:pPr>
              <w:pStyle w:val="AnnexNumberedText"/>
            </w:pPr>
            <w:r>
              <w:t>h)</w:t>
            </w:r>
            <w:r>
              <w:tab/>
              <w:t xml:space="preserve">En </w:t>
            </w:r>
            <w:proofErr w:type="spellStart"/>
            <w:r>
              <w:t>overvåkingsordning</w:t>
            </w:r>
            <w:proofErr w:type="spellEnd"/>
            <w:r>
              <w:t xml:space="preserve"> med spesifikke og relevante indikatorer som gjør det mulig å måle framskritt mot oppfyllelse av bevaringsmålene, og om nødvendig identifisere korrigerende tiltak.</w:t>
            </w:r>
          </w:p>
          <w:p w14:paraId="4A41FB20" w14:textId="77777777" w:rsidR="006561BA" w:rsidRDefault="005B4ED6">
            <w:pPr>
              <w:pStyle w:val="AnnexNumberedText"/>
            </w:pPr>
            <w:r>
              <w:t>i)</w:t>
            </w:r>
            <w:r>
              <w:tab/>
              <w:t>De personene og organisasjonene som er involvert i forvaltningen eller restaureringen av området, og, dersom det er relevant, det samarbeidet eller de partnerskapene som er nødvendige for å nå bevaringsmålene.</w:t>
            </w:r>
          </w:p>
          <w:p w14:paraId="604BD2E4" w14:textId="77777777" w:rsidR="006561BA" w:rsidRDefault="005B4ED6">
            <w:pPr>
              <w:pStyle w:val="AnnexNumberedText"/>
            </w:pPr>
            <w:r>
              <w:t>j)</w:t>
            </w:r>
            <w:r>
              <w:tab/>
              <w:t>De tiltakene som er truffet for å sikre gjennomsiktighet med hensyn til bevaringsmålene, bevaringstiltakene og overvåkingen og resultatene av disse.</w:t>
            </w:r>
          </w:p>
          <w:p w14:paraId="57E64D9E" w14:textId="77777777" w:rsidR="006561BA" w:rsidRDefault="005B4ED6">
            <w:pPr>
              <w:pStyle w:val="AnnexNumberedText"/>
            </w:pPr>
            <w:r>
              <w:t>k)</w:t>
            </w:r>
            <w:r>
              <w:tab/>
              <w:t>Den finansieringen som er nødvendig for å gjennomføre bevaringstiltakene, overvåke området og for revisjonen.</w:t>
            </w:r>
          </w:p>
          <w:p w14:paraId="393C899B" w14:textId="77777777" w:rsidR="006561BA" w:rsidRDefault="005B4ED6">
            <w:pPr>
              <w:pStyle w:val="AnnexNumberedText"/>
              <w:tabs>
                <w:tab w:val="left" w:pos="348"/>
              </w:tabs>
              <w:ind w:left="0" w:firstLine="0"/>
            </w:pPr>
            <w:r>
              <w:t>3.2.</w:t>
            </w:r>
            <w:r>
              <w:tab/>
              <w:t>Dersom forvaltningsplanen eller det tilsvarende instrumentet ikke inneholder alle de elementene som er angitt i nr. 3.1, skal disse opplysningene gis av aktivitetsutøveren.</w:t>
            </w:r>
          </w:p>
          <w:p w14:paraId="6277C5AA" w14:textId="77777777" w:rsidR="006561BA" w:rsidRDefault="005B4ED6">
            <w:pPr>
              <w:pStyle w:val="AnnexNumberedText"/>
              <w:ind w:left="279" w:hanging="279"/>
            </w:pPr>
            <w:r>
              <w:t>4.</w:t>
            </w:r>
            <w:r>
              <w:tab/>
              <w:t>Revisjon</w:t>
            </w:r>
          </w:p>
          <w:p w14:paraId="27E6FA1A" w14:textId="77777777" w:rsidR="006561BA" w:rsidRDefault="005B4ED6">
            <w:pPr>
              <w:pStyle w:val="AnnexNumberedText"/>
              <w:tabs>
                <w:tab w:val="left" w:pos="348"/>
              </w:tabs>
              <w:ind w:left="0" w:firstLine="0"/>
            </w:pPr>
            <w:r>
              <w:t>4.1.</w:t>
            </w:r>
            <w:r>
              <w:tab/>
              <w:t>Den innledende beskrivelsen av bevaringsområdet og forvaltningsplanen eller et tilsvarende instrument som spesifisert i nr. 2 og 3 verifiseres av et uavhengig tredjepartssertifiseringsorgan når bevaringsaktiviteten innledes.</w:t>
            </w:r>
          </w:p>
          <w:p w14:paraId="63158E23" w14:textId="77777777" w:rsidR="006561BA" w:rsidRDefault="005B4ED6">
            <w:pPr>
              <w:pStyle w:val="AnnexNumberedText"/>
              <w:tabs>
                <w:tab w:val="left" w:pos="348"/>
              </w:tabs>
              <w:ind w:left="0" w:firstLine="0"/>
            </w:pPr>
            <w:r>
              <w:t>4.2.</w:t>
            </w:r>
            <w:r>
              <w:tab/>
              <w:t>Når forvaltningsplanen eller det tilsvarende instrumentet opphører, og minst hvert tiende år, verifiseres oppfyllelsen av de målene som ble fastsatt da forvaltningsplanen startet, samt overholdelsen av DNSH-kriteriene.</w:t>
            </w:r>
          </w:p>
          <w:p w14:paraId="4CFAB49F" w14:textId="77777777" w:rsidR="006561BA" w:rsidRDefault="005B4ED6">
            <w:pPr>
              <w:pStyle w:val="AnnexTableCellLeft"/>
              <w:spacing w:after="120"/>
            </w:pPr>
            <w:r>
              <w:t>Verifiseringen inneholder en oppdatert detaljert beskrivelse av de økologiske forholdene i området som angitt i nr. 2, en evaluering av bevaringstiltakenes effektivitet, og av oppfyllelsen av bevaringsmålene, en evaluering av en oppdatert utgave av forvaltningsplanen eller et tilsvarende instrument samt anbefalingene til neste forvaltningsplan eller et tilsvarende instrument.</w:t>
            </w:r>
          </w:p>
          <w:p w14:paraId="48F024C8" w14:textId="77777777" w:rsidR="006561BA" w:rsidRDefault="005B4ED6">
            <w:pPr>
              <w:pStyle w:val="AnnexNumberedText"/>
              <w:tabs>
                <w:tab w:val="left" w:pos="348"/>
              </w:tabs>
              <w:ind w:left="0" w:firstLine="0"/>
            </w:pPr>
            <w:r>
              <w:t>4.3.</w:t>
            </w:r>
            <w:r>
              <w:tab/>
              <w:t>Verifiseringen i samsvar med nr. 4.1 og 4.2 utføres av en av følgende:</w:t>
            </w:r>
          </w:p>
          <w:p w14:paraId="3FBFF183" w14:textId="77777777" w:rsidR="006561BA" w:rsidRDefault="005B4ED6">
            <w:pPr>
              <w:pStyle w:val="AnnexNumberedText"/>
              <w:ind w:left="293" w:hanging="293"/>
            </w:pPr>
            <w:r>
              <w:t>a)</w:t>
            </w:r>
            <w:r>
              <w:tab/>
              <w:t>De relevante nasjonale vedkommende myndighetene.</w:t>
            </w:r>
          </w:p>
          <w:p w14:paraId="41A0F4CC" w14:textId="77777777" w:rsidR="006561BA" w:rsidRDefault="005B4ED6">
            <w:pPr>
              <w:pStyle w:val="AnnexNumberedText"/>
              <w:ind w:left="293" w:hanging="293"/>
            </w:pPr>
            <w:r>
              <w:t>b)</w:t>
            </w:r>
            <w:r>
              <w:tab/>
              <w:t>Et uavhengig tredjepartssertifiseringsorgan, på anmodning fra nasjonale myndigheter eller aktivitetsutøveren.</w:t>
            </w:r>
          </w:p>
          <w:p w14:paraId="56DC1784" w14:textId="77777777" w:rsidR="006561BA" w:rsidRDefault="005B4ED6">
            <w:pPr>
              <w:pStyle w:val="AnnexTableCellLeft"/>
              <w:spacing w:after="120"/>
            </w:pPr>
            <w:r>
              <w:t>For å redusere kostnadene kan revisjoner utføres sammen med en eventuell skogsertifisering, arealbrukssertifisering, sertifisering av biologisk mangfold, klimasertifisering eller annen revisjon.</w:t>
            </w:r>
          </w:p>
          <w:p w14:paraId="547F01E3" w14:textId="77777777" w:rsidR="006561BA" w:rsidRDefault="005B4ED6">
            <w:pPr>
              <w:pStyle w:val="AnnexTableCellLeft"/>
              <w:spacing w:after="120"/>
            </w:pPr>
            <w:r>
              <w:t>Det uavhengige tredjepartssertifiseringsorganet kan ikke ha interessekonflikter med eieren eller bidragsyteren og kan ikke være involvert i utviklingen eller driften av aktiviteten.</w:t>
            </w:r>
          </w:p>
          <w:p w14:paraId="277840A0" w14:textId="77777777" w:rsidR="006561BA" w:rsidRDefault="005B4ED6">
            <w:pPr>
              <w:pStyle w:val="AnnexTableCellLeft"/>
              <w:spacing w:after="120"/>
            </w:pPr>
            <w:r>
              <w:t>Som følge av verifiseringen utferdiger sertifiseringsorganet en revisjonsrapport.</w:t>
            </w:r>
          </w:p>
          <w:p w14:paraId="4B5407D3" w14:textId="77777777" w:rsidR="006561BA" w:rsidRDefault="005B4ED6">
            <w:pPr>
              <w:pStyle w:val="AnnexNumberedText"/>
              <w:ind w:left="279" w:hanging="279"/>
            </w:pPr>
            <w:r>
              <w:t>5.</w:t>
            </w:r>
            <w:r>
              <w:tab/>
              <w:t>Garanti for permanens</w:t>
            </w:r>
          </w:p>
          <w:p w14:paraId="71BD115A" w14:textId="77777777" w:rsidR="006561BA" w:rsidRDefault="005B4ED6">
            <w:pPr>
              <w:pStyle w:val="AnnexNumberedText"/>
              <w:tabs>
                <w:tab w:val="left" w:pos="348"/>
              </w:tabs>
              <w:ind w:left="0" w:firstLine="0"/>
            </w:pPr>
            <w:r>
              <w:t>5.1.</w:t>
            </w:r>
            <w:r>
              <w:tab/>
              <w:t>I samsvar med nasjonal rett er det området der aktiviteten finner sted, omfattet av et av følgende tiltak:</w:t>
            </w:r>
          </w:p>
          <w:p w14:paraId="7D4F9284" w14:textId="35A3E672" w:rsidR="006561BA" w:rsidRDefault="005B4ED6">
            <w:pPr>
              <w:pStyle w:val="AnnexNumberedText"/>
              <w:spacing w:after="0"/>
              <w:ind w:left="283" w:hanging="283"/>
            </w:pPr>
            <w:r>
              <w:t>a)</w:t>
            </w:r>
            <w:r>
              <w:tab/>
              <w:t xml:space="preserve">Området er klassifisert som et beskyttet område i samsvar med </w:t>
            </w:r>
            <w:proofErr w:type="spellStart"/>
            <w:r>
              <w:t>IUCNs</w:t>
            </w:r>
            <w:proofErr w:type="spellEnd"/>
            <w:r>
              <w:t xml:space="preserve"> system for beskyttede områder («IUCN </w:t>
            </w:r>
            <w:proofErr w:type="spellStart"/>
            <w:r>
              <w:t>Protected</w:t>
            </w:r>
            <w:proofErr w:type="spellEnd"/>
            <w:r>
              <w:t xml:space="preserve"> Area </w:t>
            </w:r>
            <w:proofErr w:type="spellStart"/>
            <w:r>
              <w:t>Categories</w:t>
            </w:r>
            <w:proofErr w:type="spellEnd"/>
            <w:r>
              <w:t xml:space="preserve"> System»)</w:t>
            </w:r>
            <w:bookmarkStart w:id="354" w:name="NOTE_356"/>
            <w:r w:rsidR="00AD6F90">
              <w:t>(</w:t>
            </w:r>
            <w:r>
              <w:rPr>
                <w:rStyle w:val="FootnoteReference"/>
                <w:sz w:val="18"/>
              </w:rPr>
              <w:footnoteReference w:id="357"/>
            </w:r>
            <w:bookmarkEnd w:id="354"/>
            <w:r>
              <w:t>), som et Natura 2000-område i henhold til direktiv 92/43/EØF, eller som et annet effektivt områdebasert bevaringstiltak («</w:t>
            </w:r>
            <w:proofErr w:type="spellStart"/>
            <w:r>
              <w:t>Other</w:t>
            </w:r>
            <w:proofErr w:type="spellEnd"/>
            <w:r>
              <w:t xml:space="preserve"> </w:t>
            </w:r>
            <w:proofErr w:type="spellStart"/>
            <w:r>
              <w:t>Effective</w:t>
            </w:r>
            <w:proofErr w:type="spellEnd"/>
            <w:r>
              <w:t xml:space="preserve"> area-</w:t>
            </w:r>
            <w:proofErr w:type="spellStart"/>
            <w:r>
              <w:t>based</w:t>
            </w:r>
            <w:proofErr w:type="spellEnd"/>
            <w:r>
              <w:t xml:space="preserve"> Conservation </w:t>
            </w:r>
            <w:proofErr w:type="spellStart"/>
            <w:r>
              <w:t>Measure</w:t>
            </w:r>
            <w:proofErr w:type="spellEnd"/>
            <w:r>
              <w:t>», OECM)</w:t>
            </w:r>
            <w:bookmarkStart w:id="355" w:name="NOTE_357"/>
            <w:r w:rsidR="000415B7">
              <w:t>(</w:t>
            </w:r>
            <w:r>
              <w:rPr>
                <w:rStyle w:val="FootnoteReference"/>
                <w:sz w:val="18"/>
              </w:rPr>
              <w:footnoteReference w:id="358"/>
            </w:r>
            <w:bookmarkEnd w:id="355"/>
            <w:r>
              <w:t>), i henhold til nasjonal rett eller en internasjonal konvensjon som landet har undertegnet, og som forvaltes på en effektiv måte for å hindre forringelse og muliggjøre gjenoppretting av arter og habitater eller habitater for arter.</w:t>
            </w:r>
          </w:p>
        </w:tc>
      </w:tr>
      <w:tr w:rsidR="006561BA" w14:paraId="3CC74D23" w14:textId="77777777">
        <w:trPr>
          <w:trHeight w:val="360"/>
        </w:trPr>
        <w:tc>
          <w:tcPr>
            <w:tcW w:w="9228" w:type="dxa"/>
            <w:gridSpan w:val="2"/>
            <w:tcMar>
              <w:top w:w="200" w:type="dxa"/>
              <w:left w:w="0" w:type="dxa"/>
              <w:bottom w:w="200" w:type="dxa"/>
              <w:right w:w="0" w:type="dxa"/>
            </w:tcMar>
          </w:tcPr>
          <w:p w14:paraId="649B9284" w14:textId="77777777" w:rsidR="006561BA" w:rsidRDefault="005B4ED6">
            <w:pPr>
              <w:pStyle w:val="AnnexNumberedText"/>
              <w:pageBreakBefore/>
            </w:pPr>
            <w:r>
              <w:lastRenderedPageBreak/>
              <w:t>b)</w:t>
            </w:r>
            <w:r>
              <w:tab/>
              <w:t>Området er beregnet på restaurering eller bevaring i en lovfestet plan for anvendelse av landområder, ferskvann eller havressurser som er godkjent av de vedkommende myndighetene.</w:t>
            </w:r>
          </w:p>
          <w:p w14:paraId="3F50C7AA" w14:textId="77777777" w:rsidR="006561BA" w:rsidRDefault="005B4ED6">
            <w:pPr>
              <w:pStyle w:val="AnnexNumberedText"/>
            </w:pPr>
            <w:r>
              <w:t>c)</w:t>
            </w:r>
            <w:r>
              <w:tab/>
              <w:t>Området er omfattet av en offentlig eller privat avtalefestet ordning som kan sikre at bevaringsmålene nås og opprettholdes.</w:t>
            </w:r>
          </w:p>
          <w:p w14:paraId="1908AC50" w14:textId="77777777" w:rsidR="006561BA" w:rsidRDefault="005B4ED6">
            <w:pPr>
              <w:pStyle w:val="AnnexNumberedText"/>
              <w:tabs>
                <w:tab w:val="left" w:pos="348"/>
              </w:tabs>
              <w:ind w:left="0" w:firstLine="0"/>
            </w:pPr>
            <w:r>
              <w:t>5.2.</w:t>
            </w:r>
            <w:r>
              <w:tab/>
              <w:t>Virksomhetsutøveren i det området der bevaringsaktiviteten finner sted, forplikter seg til å utarbeide en ny forvaltningsplan eller et tilsvarende instrument i tråd med bevaringsmålene innen den foregående planen opphører.</w:t>
            </w:r>
          </w:p>
          <w:p w14:paraId="7CC72D95" w14:textId="77777777" w:rsidR="006561BA" w:rsidRDefault="005B4ED6">
            <w:pPr>
              <w:pStyle w:val="AnnexNumberedText"/>
              <w:ind w:left="279" w:hanging="279"/>
            </w:pPr>
            <w:r>
              <w:t>6.</w:t>
            </w:r>
            <w:r>
              <w:tab/>
              <w:t>Ytterligere minstekrav</w:t>
            </w:r>
          </w:p>
          <w:p w14:paraId="002CBA00" w14:textId="77777777" w:rsidR="006561BA" w:rsidRDefault="005B4ED6">
            <w:pPr>
              <w:pStyle w:val="AnnexNumberedText"/>
              <w:tabs>
                <w:tab w:val="left" w:pos="348"/>
              </w:tabs>
              <w:ind w:left="0" w:firstLine="0"/>
            </w:pPr>
            <w:r>
              <w:t>6.1.</w:t>
            </w:r>
            <w:r>
              <w:tab/>
              <w:t>Kompensasjonen for virkningene av en annen økonomisk aktivitet er utelukket fra denne aktiviteten(</w:t>
            </w:r>
            <w:bookmarkStart w:id="356" w:name="NOTE_358"/>
            <w:r>
              <w:rPr>
                <w:rStyle w:val="FootnoteReference"/>
                <w:sz w:val="18"/>
              </w:rPr>
              <w:footnoteReference w:id="359"/>
            </w:r>
            <w:bookmarkEnd w:id="356"/>
            <w:r>
              <w:t>). Bare nettogevinster for biologisk mangfold som følge av bevaring/restaurering kan medregnes som et vesentlig bidrag under denne aktiviteten(</w:t>
            </w:r>
            <w:bookmarkStart w:id="357" w:name="NOTE_359"/>
            <w:r>
              <w:rPr>
                <w:rStyle w:val="FootnoteReference"/>
                <w:sz w:val="18"/>
              </w:rPr>
              <w:footnoteReference w:id="360"/>
            </w:r>
            <w:bookmarkEnd w:id="357"/>
            <w:r>
              <w:t>).</w:t>
            </w:r>
          </w:p>
          <w:p w14:paraId="4EE831B2" w14:textId="77777777" w:rsidR="006561BA" w:rsidRDefault="005B4ED6">
            <w:pPr>
              <w:pStyle w:val="AnnexNumberedText"/>
              <w:tabs>
                <w:tab w:val="left" w:pos="348"/>
              </w:tabs>
              <w:spacing w:after="0"/>
              <w:ind w:left="0" w:firstLine="0"/>
            </w:pPr>
            <w:r>
              <w:t>6.2.</w:t>
            </w:r>
            <w:r>
              <w:tab/>
              <w:t>Innføringen av fremmede skadelige arter forhindres eller spredningen av dem håndteres i samsvar med forordning (EU) nr. 1143/2014.</w:t>
            </w:r>
          </w:p>
        </w:tc>
      </w:tr>
      <w:tr w:rsidR="006561BA" w14:paraId="6E01189F" w14:textId="77777777">
        <w:trPr>
          <w:trHeight w:val="240"/>
        </w:trPr>
        <w:tc>
          <w:tcPr>
            <w:tcW w:w="9228" w:type="dxa"/>
            <w:gridSpan w:val="2"/>
            <w:tcMar>
              <w:top w:w="200" w:type="dxa"/>
              <w:left w:w="0" w:type="dxa"/>
              <w:bottom w:w="200" w:type="dxa"/>
              <w:right w:w="0" w:type="dxa"/>
            </w:tcMar>
          </w:tcPr>
          <w:p w14:paraId="44E706EA" w14:textId="77777777" w:rsidR="006561BA" w:rsidRDefault="005B4ED6">
            <w:pPr>
              <w:pStyle w:val="AnnexTableCellLeft"/>
            </w:pPr>
            <w:r>
              <w:t>Prinsippet om ikke å gjøre betydelig skade («DNSH»)</w:t>
            </w:r>
          </w:p>
        </w:tc>
      </w:tr>
      <w:tr w:rsidR="006561BA" w14:paraId="74952F19" w14:textId="77777777">
        <w:tc>
          <w:tcPr>
            <w:tcW w:w="2496" w:type="dxa"/>
            <w:tcMar>
              <w:top w:w="200" w:type="dxa"/>
              <w:left w:w="0" w:type="dxa"/>
              <w:bottom w:w="200" w:type="dxa"/>
            </w:tcMar>
          </w:tcPr>
          <w:p w14:paraId="3B1A6EE4" w14:textId="77777777" w:rsidR="006561BA" w:rsidRDefault="005B4ED6">
            <w:pPr>
              <w:pStyle w:val="AnnexNumberedText"/>
              <w:spacing w:after="0"/>
              <w:ind w:left="293" w:hanging="293"/>
            </w:pPr>
            <w:r>
              <w:t>1)</w:t>
            </w:r>
            <w:r>
              <w:tab/>
              <w:t>Begrensning av klimaendringer</w:t>
            </w:r>
          </w:p>
        </w:tc>
        <w:tc>
          <w:tcPr>
            <w:tcW w:w="6732" w:type="dxa"/>
            <w:tcMar>
              <w:top w:w="200" w:type="dxa"/>
              <w:bottom w:w="200" w:type="dxa"/>
              <w:right w:w="0" w:type="dxa"/>
            </w:tcMar>
          </w:tcPr>
          <w:p w14:paraId="001D06A9" w14:textId="77777777" w:rsidR="006561BA" w:rsidRDefault="005B4ED6">
            <w:pPr>
              <w:pStyle w:val="AnnexTableCellLeft"/>
            </w:pPr>
            <w:r>
              <w:t>Aktiviteten omfatter ikke forringelse av areal med stort karbonlager(</w:t>
            </w:r>
            <w:bookmarkStart w:id="358" w:name="NOTE_360"/>
            <w:r>
              <w:rPr>
                <w:rStyle w:val="FootnoteReference"/>
                <w:sz w:val="18"/>
              </w:rPr>
              <w:footnoteReference w:id="361"/>
            </w:r>
            <w:bookmarkEnd w:id="358"/>
            <w:r>
              <w:t>) eller forringelse av havmiljø med stort karbonlager.</w:t>
            </w:r>
          </w:p>
        </w:tc>
      </w:tr>
      <w:tr w:rsidR="006561BA" w14:paraId="3A692362" w14:textId="77777777">
        <w:tc>
          <w:tcPr>
            <w:tcW w:w="2496" w:type="dxa"/>
            <w:tcMar>
              <w:top w:w="200" w:type="dxa"/>
              <w:left w:w="0" w:type="dxa"/>
              <w:bottom w:w="200" w:type="dxa"/>
            </w:tcMar>
          </w:tcPr>
          <w:p w14:paraId="1A3CCAA5" w14:textId="77777777" w:rsidR="006561BA" w:rsidRDefault="005B4ED6">
            <w:pPr>
              <w:pStyle w:val="AnnexNumberedText"/>
              <w:spacing w:after="0"/>
              <w:ind w:left="293" w:hanging="293"/>
            </w:pPr>
            <w:r>
              <w:t>2)</w:t>
            </w:r>
            <w:r>
              <w:tab/>
              <w:t>Tilpasning til klimaendringer</w:t>
            </w:r>
          </w:p>
        </w:tc>
        <w:tc>
          <w:tcPr>
            <w:tcW w:w="6732" w:type="dxa"/>
            <w:tcMar>
              <w:top w:w="200" w:type="dxa"/>
              <w:bottom w:w="200" w:type="dxa"/>
              <w:right w:w="0" w:type="dxa"/>
            </w:tcMar>
          </w:tcPr>
          <w:p w14:paraId="2936E7D8" w14:textId="77777777" w:rsidR="006561BA" w:rsidRDefault="005B4ED6">
            <w:pPr>
              <w:pStyle w:val="AnnexTableCellLeft"/>
            </w:pPr>
            <w:r>
              <w:t>Aktiviteten oppfyller kriteriene fastsatt i tillegg A til dette vedlegget.</w:t>
            </w:r>
          </w:p>
        </w:tc>
      </w:tr>
      <w:tr w:rsidR="006561BA" w14:paraId="6F39F47E" w14:textId="77777777">
        <w:tc>
          <w:tcPr>
            <w:tcW w:w="2496" w:type="dxa"/>
            <w:tcMar>
              <w:top w:w="200" w:type="dxa"/>
              <w:left w:w="0" w:type="dxa"/>
              <w:bottom w:w="200" w:type="dxa"/>
            </w:tcMar>
          </w:tcPr>
          <w:p w14:paraId="6E7F3F3D" w14:textId="77777777" w:rsidR="006561BA" w:rsidRDefault="005B4ED6">
            <w:pPr>
              <w:pStyle w:val="AnnexNumberedText"/>
              <w:spacing w:after="0"/>
              <w:ind w:left="293" w:hanging="293"/>
            </w:pPr>
            <w:r>
              <w:t>3)</w:t>
            </w:r>
            <w:r>
              <w:tab/>
              <w:t>Bærekraftig bruk og beskyttelse av vann- og havressurser</w:t>
            </w:r>
          </w:p>
        </w:tc>
        <w:tc>
          <w:tcPr>
            <w:tcW w:w="6732" w:type="dxa"/>
            <w:tcMar>
              <w:top w:w="200" w:type="dxa"/>
              <w:bottom w:w="200" w:type="dxa"/>
              <w:right w:w="0" w:type="dxa"/>
            </w:tcMar>
          </w:tcPr>
          <w:p w14:paraId="22AA02CB" w14:textId="77777777" w:rsidR="006561BA" w:rsidRDefault="005B4ED6">
            <w:pPr>
              <w:pStyle w:val="AnnexTableCellLeft"/>
            </w:pPr>
            <w:r>
              <w:t>Aktiviteten oppfyller kriteriene fastsatt i tillegg B til dette vedlegget.</w:t>
            </w:r>
          </w:p>
        </w:tc>
      </w:tr>
      <w:tr w:rsidR="006561BA" w14:paraId="1A85CB44" w14:textId="77777777">
        <w:tc>
          <w:tcPr>
            <w:tcW w:w="2496" w:type="dxa"/>
            <w:tcMar>
              <w:top w:w="200" w:type="dxa"/>
              <w:left w:w="0" w:type="dxa"/>
              <w:bottom w:w="200" w:type="dxa"/>
            </w:tcMar>
          </w:tcPr>
          <w:p w14:paraId="1D65824F" w14:textId="77777777" w:rsidR="006561BA" w:rsidRDefault="005B4ED6">
            <w:pPr>
              <w:pStyle w:val="AnnexNumberedText"/>
              <w:spacing w:after="0"/>
              <w:ind w:left="293" w:hanging="293"/>
            </w:pPr>
            <w:r>
              <w:t>4)</w:t>
            </w:r>
            <w:r>
              <w:tab/>
              <w:t>Omstilling til en sirkulær økonomi</w:t>
            </w:r>
          </w:p>
        </w:tc>
        <w:tc>
          <w:tcPr>
            <w:tcW w:w="6732" w:type="dxa"/>
            <w:tcMar>
              <w:top w:w="200" w:type="dxa"/>
              <w:bottom w:w="200" w:type="dxa"/>
              <w:right w:w="0" w:type="dxa"/>
            </w:tcMar>
          </w:tcPr>
          <w:p w14:paraId="5A44BFFA" w14:textId="77777777" w:rsidR="006561BA" w:rsidRDefault="005B4ED6">
            <w:pPr>
              <w:pStyle w:val="AnnexTableCellLeft"/>
            </w:pPr>
            <w:r>
              <w:t>Ikke relevant</w:t>
            </w:r>
          </w:p>
        </w:tc>
      </w:tr>
      <w:tr w:rsidR="006561BA" w14:paraId="5C4DFBE7" w14:textId="77777777">
        <w:tc>
          <w:tcPr>
            <w:tcW w:w="2496" w:type="dxa"/>
            <w:tcMar>
              <w:top w:w="200" w:type="dxa"/>
              <w:left w:w="0" w:type="dxa"/>
              <w:bottom w:w="200" w:type="dxa"/>
            </w:tcMar>
          </w:tcPr>
          <w:p w14:paraId="19D3A355" w14:textId="77777777" w:rsidR="006561BA" w:rsidRDefault="005B4ED6">
            <w:pPr>
              <w:pStyle w:val="AnnexNumberedText"/>
              <w:spacing w:after="0"/>
              <w:ind w:left="293" w:hanging="293"/>
            </w:pPr>
            <w:r>
              <w:t>5)</w:t>
            </w:r>
            <w:r>
              <w:tab/>
              <w:t>Forebygging og begrensning av forurensning</w:t>
            </w:r>
          </w:p>
        </w:tc>
        <w:tc>
          <w:tcPr>
            <w:tcW w:w="6732" w:type="dxa"/>
            <w:tcMar>
              <w:top w:w="200" w:type="dxa"/>
              <w:bottom w:w="200" w:type="dxa"/>
              <w:right w:w="0" w:type="dxa"/>
            </w:tcMar>
          </w:tcPr>
          <w:p w14:paraId="672DAD1F" w14:textId="77777777" w:rsidR="006561BA" w:rsidRDefault="005B4ED6">
            <w:pPr>
              <w:pStyle w:val="AnnexTableCellLeft"/>
              <w:spacing w:after="120"/>
            </w:pPr>
            <w:r>
              <w:t>Bruken av pesticider minimeres og alternative metoder eller teknikker, som kan omfatte ikke-kjemiske alternativer til pesticider, foretrekkes i samsvar med direktiv 2009/128/EF, med unntak av tilfeller der bruk av pesticider er nødvendig for å bekjempe skadedyrs- og sykdomsutbrudd.</w:t>
            </w:r>
          </w:p>
          <w:p w14:paraId="5E5775C5" w14:textId="0A05F220" w:rsidR="006561BA" w:rsidRDefault="005B4ED6">
            <w:pPr>
              <w:pStyle w:val="AnnexTableCellLeft"/>
            </w:pPr>
            <w:r>
              <w:t>Aktiviteten minimerer bruken av gjødsel, herunder husdyrgjødsel, for å sikre at den ikke går lenger enn det som er nødvendig for å nå områdets bevarings- og restaureringsmål, og overholder reglene for god landbrukspraksis og de nitrathandlingsplanene i nitratutsatte soner som er opprettet i samsvar med rådsdirektiv 91/676/EØF(</w:t>
            </w:r>
            <w:bookmarkStart w:id="359" w:name="NOTE_361"/>
            <w:r>
              <w:rPr>
                <w:rStyle w:val="FootnoteReference"/>
                <w:sz w:val="18"/>
              </w:rPr>
              <w:footnoteReference w:id="362"/>
            </w:r>
            <w:bookmarkEnd w:id="359"/>
            <w:r>
              <w:t>). Aktiviteten er i samsvar med forordning (EU) 2019/1009 eller nasjonale regler om gjødsel eller jordforbedringsmidler til landbruksformål.</w:t>
            </w:r>
          </w:p>
        </w:tc>
      </w:tr>
      <w:tr w:rsidR="006561BA" w14:paraId="3B8AFFF3" w14:textId="77777777">
        <w:tc>
          <w:tcPr>
            <w:tcW w:w="2496" w:type="dxa"/>
            <w:tcMar>
              <w:top w:w="100" w:type="dxa"/>
              <w:left w:w="0" w:type="dxa"/>
              <w:bottom w:w="100" w:type="dxa"/>
            </w:tcMar>
          </w:tcPr>
          <w:p w14:paraId="36C5B7FE" w14:textId="77777777" w:rsidR="006561BA" w:rsidRDefault="006561BA">
            <w:pPr>
              <w:pStyle w:val="AnnexTableCellLeft"/>
              <w:pageBreakBefore/>
            </w:pPr>
          </w:p>
        </w:tc>
        <w:tc>
          <w:tcPr>
            <w:tcW w:w="6732" w:type="dxa"/>
            <w:tcMar>
              <w:top w:w="100" w:type="dxa"/>
              <w:bottom w:w="100" w:type="dxa"/>
              <w:right w:w="0" w:type="dxa"/>
            </w:tcMar>
          </w:tcPr>
          <w:p w14:paraId="5A305467" w14:textId="77777777" w:rsidR="006561BA" w:rsidRDefault="005B4ED6">
            <w:pPr>
              <w:pStyle w:val="AnnexTableCellLeft"/>
              <w:spacing w:after="120"/>
            </w:pPr>
            <w:r>
              <w:t>Det er truffet godt dokumenterte og kontrollerbare tiltak for å unngå bruk av virkestoffer som er oppført i del A i vedlegg I til forordning (EU) 2019/1021(</w:t>
            </w:r>
            <w:bookmarkStart w:id="360" w:name="NOTE_362"/>
            <w:r>
              <w:rPr>
                <w:rStyle w:val="FootnoteReference"/>
                <w:sz w:val="18"/>
              </w:rPr>
              <w:footnoteReference w:id="363"/>
            </w:r>
            <w:bookmarkEnd w:id="360"/>
            <w:r>
              <w:t xml:space="preserve">), Rotterdam-konvensjonen om forhåndsgodkjenningsprosedyre for visse farlige kjemikalier og plantevernmidler som omsettes på verdensmarkedet, </w:t>
            </w:r>
            <w:proofErr w:type="spellStart"/>
            <w:r>
              <w:t>Minamata</w:t>
            </w:r>
            <w:proofErr w:type="spellEnd"/>
            <w:r>
              <w:t xml:space="preserve">-konvensjonen om kvikksølv, Montreal-protokollen av1987 om stoffer som bryter ned ozonlaget, og av virkestoffer som er oppført som klasse </w:t>
            </w:r>
            <w:proofErr w:type="spellStart"/>
            <w:r>
              <w:t>Ia</w:t>
            </w:r>
            <w:proofErr w:type="spellEnd"/>
            <w:r>
              <w:t xml:space="preserve"> («ekstremt farlige») eller Ib («svært farlige») i </w:t>
            </w:r>
            <w:proofErr w:type="spellStart"/>
            <w:r>
              <w:t>WHOs</w:t>
            </w:r>
            <w:proofErr w:type="spellEnd"/>
            <w:r>
              <w:t xml:space="preserve"> anbefalte klassifisering av pesticider i henhold til farlighetsgrad(</w:t>
            </w:r>
            <w:r>
              <w:rPr>
                <w:rStyle w:val="FootnoteReference"/>
                <w:sz w:val="18"/>
              </w:rPr>
              <w:footnoteReference w:id="364"/>
            </w:r>
            <w:r>
              <w:t>).</w:t>
            </w:r>
          </w:p>
          <w:p w14:paraId="0B22D80D" w14:textId="77777777" w:rsidR="006561BA" w:rsidRDefault="005B4ED6">
            <w:pPr>
              <w:pStyle w:val="AnnexTableCellLeft"/>
              <w:spacing w:after="120"/>
            </w:pPr>
            <w:r>
              <w:t>Forurensning av vann og jord forhindres, og oppryddingstiltak iverksettes når forurensning inntreffer.</w:t>
            </w:r>
          </w:p>
          <w:p w14:paraId="52C71C06" w14:textId="77777777" w:rsidR="006561BA" w:rsidRDefault="005B4ED6">
            <w:pPr>
              <w:pStyle w:val="AnnexTableCellLeft"/>
            </w:pPr>
            <w:r>
              <w:t>Aktiviteten er i samsvar med relevant nasjonal lovgivning om virkestoffer.</w:t>
            </w:r>
          </w:p>
        </w:tc>
      </w:tr>
    </w:tbl>
    <w:p w14:paraId="5E89EB16" w14:textId="77777777" w:rsidR="006561BA" w:rsidRDefault="005B4ED6">
      <w:pPr>
        <w:pStyle w:val="AnnexNumberedText"/>
        <w:spacing w:before="600" w:after="300"/>
        <w:ind w:left="414" w:hanging="414"/>
      </w:pPr>
      <w:r>
        <w:t>2.</w:t>
      </w:r>
      <w:r>
        <w:rPr>
          <w:b/>
          <w:i/>
        </w:rPr>
        <w:tab/>
        <w:t>Overnattingsvirksomhet</w:t>
      </w:r>
    </w:p>
    <w:p w14:paraId="6C0C94B7" w14:textId="77777777" w:rsidR="006561BA" w:rsidRDefault="005B4ED6">
      <w:pPr>
        <w:pStyle w:val="AnnexNumberedText"/>
        <w:spacing w:after="400"/>
        <w:ind w:left="414" w:hanging="414"/>
      </w:pPr>
      <w:r>
        <w:t>2.1.</w:t>
      </w:r>
      <w:r>
        <w:rPr>
          <w:b/>
        </w:rPr>
        <w:tab/>
        <w:t>Hoteller, ferieboliger, campingplasser og lignende overnattingsmuligheter</w:t>
      </w:r>
    </w:p>
    <w:p w14:paraId="39B215A2" w14:textId="77777777" w:rsidR="006561BA" w:rsidRDefault="005B4ED6">
      <w:pPr>
        <w:pStyle w:val="AnnexGrSeq3"/>
        <w:spacing w:after="120"/>
        <w:jc w:val="both"/>
      </w:pPr>
      <w:r>
        <w:rPr>
          <w:i/>
        </w:rPr>
        <w:t>Beskrivelse av aktiviteten</w:t>
      </w:r>
    </w:p>
    <w:p w14:paraId="7FF4CA14" w14:textId="77777777" w:rsidR="006561BA" w:rsidRDefault="005B4ED6">
      <w:pPr>
        <w:pStyle w:val="AnnexNormal"/>
        <w:spacing w:after="120"/>
      </w:pPr>
      <w:r>
        <w:t>Tilbud om korttidsovernatting(</w:t>
      </w:r>
      <w:bookmarkStart w:id="361" w:name="NOTE_364"/>
      <w:r>
        <w:rPr>
          <w:rStyle w:val="FootnoteReference"/>
          <w:sz w:val="18"/>
        </w:rPr>
        <w:footnoteReference w:id="365"/>
      </w:r>
      <w:bookmarkEnd w:id="361"/>
      <w:r>
        <w:t>) for turister med eller uten tilknyttede tjenester, herunder rengjøring, mat og drikkevarer, parkering, vaskeritjenester, svømmebassenger og trimrom, fritidsanlegg samt konferanse- og møtelokaler.</w:t>
      </w:r>
    </w:p>
    <w:p w14:paraId="6CF9667C" w14:textId="77777777" w:rsidR="006561BA" w:rsidRDefault="005B4ED6">
      <w:pPr>
        <w:pStyle w:val="AnnexNormal"/>
      </w:pPr>
      <w:r>
        <w:t>Dette omfatter tilbud om overnatting gjennom</w:t>
      </w:r>
    </w:p>
    <w:p w14:paraId="36DDA1C0" w14:textId="77777777" w:rsidR="006561BA" w:rsidRDefault="005B4ED6">
      <w:pPr>
        <w:pStyle w:val="AnnexNumberedText"/>
        <w:spacing w:after="200"/>
        <w:ind w:left="293" w:hanging="293"/>
      </w:pPr>
      <w:r>
        <w:t>a)</w:t>
      </w:r>
      <w:r>
        <w:tab/>
        <w:t>hoteller og moteller av alle slag,</w:t>
      </w:r>
    </w:p>
    <w:p w14:paraId="6F932295" w14:textId="77777777" w:rsidR="006561BA" w:rsidRDefault="005B4ED6">
      <w:pPr>
        <w:pStyle w:val="AnnexNumberedText"/>
        <w:spacing w:after="200"/>
        <w:ind w:left="293" w:hanging="293"/>
      </w:pPr>
      <w:r>
        <w:t>b)</w:t>
      </w:r>
      <w:r>
        <w:tab/>
        <w:t>ferieboliger,</w:t>
      </w:r>
    </w:p>
    <w:p w14:paraId="7AA2942E" w14:textId="77777777" w:rsidR="006561BA" w:rsidRDefault="005B4ED6">
      <w:pPr>
        <w:pStyle w:val="AnnexNumberedText"/>
        <w:spacing w:after="200"/>
        <w:ind w:left="293" w:hanging="293"/>
      </w:pPr>
      <w:r>
        <w:t>c)</w:t>
      </w:r>
      <w:r>
        <w:tab/>
        <w:t>leiligheter, bungalower og hytter,</w:t>
      </w:r>
    </w:p>
    <w:p w14:paraId="4A1B91D6" w14:textId="77777777" w:rsidR="006561BA" w:rsidRDefault="005B4ED6">
      <w:pPr>
        <w:pStyle w:val="AnnexNumberedText"/>
        <w:spacing w:after="200"/>
        <w:ind w:left="293" w:hanging="293"/>
      </w:pPr>
      <w:r>
        <w:t>d)</w:t>
      </w:r>
      <w:r>
        <w:tab/>
        <w:t>vandrerhjem og turisthytter,</w:t>
      </w:r>
    </w:p>
    <w:p w14:paraId="1EB69297" w14:textId="77777777" w:rsidR="006561BA" w:rsidRDefault="005B4ED6">
      <w:pPr>
        <w:pStyle w:val="AnnexNumberedText"/>
        <w:spacing w:after="200"/>
        <w:ind w:left="293" w:hanging="293"/>
      </w:pPr>
      <w:r>
        <w:t>e)</w:t>
      </w:r>
      <w:r>
        <w:tab/>
        <w:t>plasser for stasjonære campingvogner,</w:t>
      </w:r>
    </w:p>
    <w:p w14:paraId="5D226825" w14:textId="77777777" w:rsidR="006561BA" w:rsidRDefault="005B4ED6">
      <w:pPr>
        <w:pStyle w:val="AnnexNumberedText"/>
        <w:spacing w:after="200"/>
        <w:ind w:left="293" w:hanging="293"/>
      </w:pPr>
      <w:r>
        <w:t>f)</w:t>
      </w:r>
      <w:r>
        <w:tab/>
        <w:t>plasser og fasiliteter for fritidskjøretøyer og bobiler,</w:t>
      </w:r>
    </w:p>
    <w:p w14:paraId="0C02439D" w14:textId="77777777" w:rsidR="006561BA" w:rsidRDefault="005B4ED6">
      <w:pPr>
        <w:pStyle w:val="AnnexNumberedText"/>
        <w:spacing w:after="200"/>
        <w:ind w:left="293" w:hanging="293"/>
      </w:pPr>
      <w:r>
        <w:t>g)</w:t>
      </w:r>
      <w:r>
        <w:tab/>
      </w:r>
      <w:proofErr w:type="spellStart"/>
      <w:r>
        <w:t>friluftsleirer</w:t>
      </w:r>
      <w:proofErr w:type="spellEnd"/>
      <w:r>
        <w:t xml:space="preserve"> og fiske- og jaktleirer,</w:t>
      </w:r>
    </w:p>
    <w:p w14:paraId="4DE88E4A" w14:textId="12D84412" w:rsidR="006561BA" w:rsidRDefault="005B4ED6">
      <w:pPr>
        <w:pStyle w:val="AnnexNumberedText"/>
        <w:spacing w:after="200"/>
        <w:ind w:left="293" w:hanging="293"/>
      </w:pPr>
      <w:r>
        <w:t>h)</w:t>
      </w:r>
      <w:r>
        <w:tab/>
        <w:t>leskur eller enkle bivuakkfasiliteter for å sette opp telt eller rulle ut sovepose</w:t>
      </w:r>
      <w:r w:rsidR="00D42DC6">
        <w:t>n</w:t>
      </w:r>
      <w:r>
        <w:t>.</w:t>
      </w:r>
    </w:p>
    <w:p w14:paraId="6DA785D2" w14:textId="77777777" w:rsidR="006561BA" w:rsidRDefault="005B4ED6">
      <w:pPr>
        <w:pStyle w:val="AnnexNormal"/>
        <w:spacing w:after="120"/>
      </w:pPr>
      <w:r>
        <w:t>Denne kategorien omfatter ikke</w:t>
      </w:r>
    </w:p>
    <w:p w14:paraId="4EC5BA6E" w14:textId="77777777" w:rsidR="006561BA" w:rsidRDefault="005B4ED6">
      <w:pPr>
        <w:pStyle w:val="AnnexNumberedText"/>
        <w:spacing w:after="200"/>
        <w:ind w:left="293" w:hanging="293"/>
      </w:pPr>
      <w:r>
        <w:t>a)</w:t>
      </w:r>
      <w:r>
        <w:tab/>
        <w:t>boliger og møblerte eller umøblerte leiligheter til mer permanent bruk, vanligvis på måneds- eller årsbasis,</w:t>
      </w:r>
    </w:p>
    <w:p w14:paraId="128DF298" w14:textId="77777777" w:rsidR="006561BA" w:rsidRDefault="005B4ED6">
      <w:pPr>
        <w:pStyle w:val="AnnexNumberedText"/>
        <w:spacing w:after="200"/>
        <w:ind w:left="293" w:hanging="293"/>
      </w:pPr>
      <w:r>
        <w:t>b)</w:t>
      </w:r>
      <w:r>
        <w:tab/>
        <w:t>cruiseskip.</w:t>
      </w:r>
    </w:p>
    <w:p w14:paraId="6AA06285" w14:textId="77777777" w:rsidR="006561BA" w:rsidRDefault="005B4ED6">
      <w:pPr>
        <w:pStyle w:val="AnnexNormal"/>
        <w:spacing w:after="0"/>
      </w:pPr>
      <w:r>
        <w:t>Bevaring eller restaurering for å kompensere for virkninger definert på stadiet for den formelle godkjenningen av turistaktiviteten, anses ikke som et bidrag til bevarings- eller restaureringstiltak.</w:t>
      </w:r>
      <w:r>
        <w:br w:type="page"/>
      </w:r>
    </w:p>
    <w:p w14:paraId="25F07617" w14:textId="759D5C1F" w:rsidR="006561BA" w:rsidRDefault="005B4ED6">
      <w:pPr>
        <w:pStyle w:val="AnnexNormal"/>
        <w:spacing w:after="600"/>
      </w:pPr>
      <w:r>
        <w:lastRenderedPageBreak/>
        <w:t>De økonomiske aktivitetene i denne kategorien kan knyttes til flere NACE-koder, særlig I55.10, I55.20 og I55.30</w:t>
      </w:r>
      <w:r w:rsidR="00DE3ECA">
        <w:t>,</w:t>
      </w:r>
      <w:r>
        <w:t xml:space="preserve"> i samsvar med standarden for næringsgruppering fastsatt ved forordning (EF) nr. 1893/2006.</w:t>
      </w:r>
    </w:p>
    <w:p w14:paraId="14EF07CE" w14:textId="77777777" w:rsidR="006561BA" w:rsidRDefault="005B4ED6">
      <w:pPr>
        <w:pStyle w:val="AnnexGrSeq3"/>
        <w:spacing w:after="300"/>
        <w:jc w:val="both"/>
      </w:pPr>
      <w:r>
        <w:rPr>
          <w:i/>
        </w:rPr>
        <w:t>Tekniske screeningkriterier</w:t>
      </w:r>
    </w:p>
    <w:tbl>
      <w:tblPr>
        <w:tblStyle w:val="EFTATable"/>
        <w:tblW w:w="9228" w:type="dxa"/>
        <w:tblInd w:w="12" w:type="dxa"/>
        <w:tblLayout w:type="fixed"/>
        <w:tblLook w:val="04A0" w:firstRow="1" w:lastRow="0" w:firstColumn="1" w:lastColumn="0" w:noHBand="0" w:noVBand="1"/>
      </w:tblPr>
      <w:tblGrid>
        <w:gridCol w:w="2484"/>
        <w:gridCol w:w="6744"/>
      </w:tblGrid>
      <w:tr w:rsidR="006561BA" w14:paraId="14D1BC52" w14:textId="77777777">
        <w:trPr>
          <w:trHeight w:val="240"/>
        </w:trPr>
        <w:tc>
          <w:tcPr>
            <w:tcW w:w="9228" w:type="dxa"/>
            <w:gridSpan w:val="2"/>
            <w:tcMar>
              <w:top w:w="200" w:type="dxa"/>
              <w:left w:w="0" w:type="dxa"/>
              <w:bottom w:w="200" w:type="dxa"/>
              <w:right w:w="0" w:type="dxa"/>
            </w:tcMar>
          </w:tcPr>
          <w:p w14:paraId="310B2D33" w14:textId="77777777" w:rsidR="006561BA" w:rsidRDefault="005B4ED6">
            <w:pPr>
              <w:pStyle w:val="AnnexTableCellLeft"/>
            </w:pPr>
            <w:r>
              <w:t>Vesentlig bidrag til beskyttelse og restaurering av biologisk mangfold og økosystemer</w:t>
            </w:r>
          </w:p>
        </w:tc>
      </w:tr>
      <w:tr w:rsidR="006561BA" w14:paraId="5A0A5034" w14:textId="77777777">
        <w:trPr>
          <w:trHeight w:val="360"/>
        </w:trPr>
        <w:tc>
          <w:tcPr>
            <w:tcW w:w="9228" w:type="dxa"/>
            <w:gridSpan w:val="2"/>
            <w:tcMar>
              <w:top w:w="200" w:type="dxa"/>
              <w:left w:w="0" w:type="dxa"/>
              <w:bottom w:w="200" w:type="dxa"/>
              <w:right w:w="0" w:type="dxa"/>
            </w:tcMar>
          </w:tcPr>
          <w:p w14:paraId="4D325182" w14:textId="77777777" w:rsidR="006561BA" w:rsidRDefault="005B4ED6">
            <w:pPr>
              <w:pStyle w:val="AnnexNumberedText"/>
              <w:ind w:left="279" w:hanging="279"/>
            </w:pPr>
            <w:r>
              <w:t>1.</w:t>
            </w:r>
            <w:r>
              <w:tab/>
              <w:t>Bidrag til bevarings- eller restaureringsaktiviteter</w:t>
            </w:r>
          </w:p>
          <w:p w14:paraId="1E6DB927" w14:textId="77777777" w:rsidR="006561BA" w:rsidRDefault="005B4ED6">
            <w:pPr>
              <w:pStyle w:val="AnnexNumberedText"/>
              <w:tabs>
                <w:tab w:val="left" w:pos="408"/>
              </w:tabs>
              <w:ind w:left="0" w:firstLine="0"/>
            </w:pPr>
            <w:r>
              <w:t>1.1.</w:t>
            </w:r>
            <w:r>
              <w:tab/>
              <w:t>Aktiviteten bidrar til bevarings- eller restaureringstiltak som oppfyller de tekniske screeningkriteriene for aktiviteten «Bevaring, herunder restaurering, av habitater, økosystemer og arter» fastsatt i avsnitt 1.1 i dette vedlegget, i klart identifiserte områder, innenfor eller i nærheten av samme turistmål(</w:t>
            </w:r>
            <w:bookmarkStart w:id="362" w:name="NOTE_365"/>
            <w:r>
              <w:rPr>
                <w:rStyle w:val="FootnoteReference"/>
                <w:sz w:val="18"/>
              </w:rPr>
              <w:footnoteReference w:id="366"/>
            </w:r>
            <w:bookmarkEnd w:id="362"/>
            <w:r>
              <w:t>) som overnattingsstedet. Området kan være en hvilken som helst type område med høy naturbevaringsverdi som er omfattet av en forvaltningsplan eller et tilsvarende instrument, som for eksempel en restaureringsplan (heretter kalt «bevaringsområde»).</w:t>
            </w:r>
          </w:p>
          <w:p w14:paraId="7264C73C" w14:textId="77777777" w:rsidR="006561BA" w:rsidRDefault="005B4ED6">
            <w:pPr>
              <w:pStyle w:val="AnnexNumberedText"/>
              <w:tabs>
                <w:tab w:val="left" w:pos="408"/>
              </w:tabs>
              <w:ind w:left="0" w:firstLine="0"/>
            </w:pPr>
            <w:r>
              <w:t>1.2.</w:t>
            </w:r>
            <w:r>
              <w:tab/>
              <w:t>De aktivitetene som bidrar til bevarings- eller restaureringstiltak som nevnt i nr. 1.1 er fastsatt i en spesifikk avtale eller et tilsvarende instrument mellom aktivitetsutøveren og organisasjonen som har ansvaret for å bevare eller restaurere området. Avtalen gjelder i minst fem år og tas regelmessig opp til revisjon og under alle omstendigheter minst hvert femte år. Den fastsetter klare tidsbestemte mål for bidrag til bevarings- eller restaureringsområdet. Bidraget til bevarings- eller restaureringstiltak som nevnt i nr. 1.1 kan være finansielt eller i form av naturalier, og det kan anta en av følgende former:</w:t>
            </w:r>
          </w:p>
          <w:p w14:paraId="1F3C403C" w14:textId="77777777" w:rsidR="006561BA" w:rsidRDefault="005B4ED6">
            <w:pPr>
              <w:pStyle w:val="AnnexNumberedText"/>
              <w:ind w:left="293" w:hanging="293"/>
            </w:pPr>
            <w:r>
              <w:t>a)</w:t>
            </w:r>
            <w:r>
              <w:tab/>
              <w:t>Tilbud om eller tilrettelegging av besøk i et bevaringsområde der det innkreves gebyr for adgang, tillatelse eller bruk.</w:t>
            </w:r>
          </w:p>
          <w:p w14:paraId="657905F3" w14:textId="77777777" w:rsidR="006561BA" w:rsidRDefault="005B4ED6">
            <w:pPr>
              <w:pStyle w:val="AnnexNumberedText"/>
              <w:ind w:left="293" w:hanging="293"/>
            </w:pPr>
            <w:r>
              <w:t>b)</w:t>
            </w:r>
            <w:r>
              <w:tab/>
              <w:t>Anvendelse av konsesjoner og leieavtaler for tjenester som er direkte knyttet til et bevaringsområde (utstedt av organisasjonen som har ansvaret for å forvalte området).</w:t>
            </w:r>
          </w:p>
          <w:p w14:paraId="6EE63868" w14:textId="77777777" w:rsidR="006561BA" w:rsidRDefault="005B4ED6">
            <w:pPr>
              <w:pStyle w:val="AnnexNumberedText"/>
              <w:ind w:left="293" w:hanging="293"/>
            </w:pPr>
            <w:r>
              <w:t>c)</w:t>
            </w:r>
            <w:r>
              <w:tab/>
              <w:t>Drift av overnattingsvirksomhet for turister innenfor et bevaringsområde, men som ikke er omfattet av konsesjon (etter avtale med organisasjonen som har ansvaret for å forvalte området).</w:t>
            </w:r>
          </w:p>
          <w:p w14:paraId="110ED4A9" w14:textId="77777777" w:rsidR="006561BA" w:rsidRDefault="005B4ED6">
            <w:pPr>
              <w:pStyle w:val="AnnexNumberedText"/>
              <w:ind w:left="293" w:hanging="293"/>
            </w:pPr>
            <w:r>
              <w:t>d)</w:t>
            </w:r>
            <w:r>
              <w:tab/>
              <w:t>Tilbud om eller forvaltning av frivillige til aktiviteter med direkte tilknytning til bevaring (i samsvar med bevaringsmålene for bevaringsområdet).</w:t>
            </w:r>
          </w:p>
          <w:p w14:paraId="01011A03" w14:textId="77777777" w:rsidR="006561BA" w:rsidRDefault="005B4ED6">
            <w:pPr>
              <w:pStyle w:val="AnnexNumberedText"/>
              <w:ind w:left="293" w:hanging="293"/>
            </w:pPr>
            <w:r>
              <w:t>e)</w:t>
            </w:r>
            <w:r>
              <w:tab/>
              <w:t>Tilbud om eller forvaltning av undervisningsmuligheter med direkte tilknytning til bevaring og hensiktsmessig atferd (i samsvar med bevaringsmålene for bevaringsområdet).</w:t>
            </w:r>
          </w:p>
          <w:p w14:paraId="224F8490" w14:textId="77777777" w:rsidR="006561BA" w:rsidRDefault="005B4ED6">
            <w:pPr>
              <w:pStyle w:val="AnnexNumberedText"/>
              <w:ind w:left="293" w:hanging="293"/>
            </w:pPr>
            <w:r>
              <w:t>f)</w:t>
            </w:r>
            <w:r>
              <w:tab/>
              <w:t>Innkjøp av alle typer produkter, herunder mat, drikkevarer, håndverksprodukter, med henblikk på videresalg eller direkte bruk, som er et resultat av bærekraftige metoder i et bevaringsområde, etter avtale med den organisasjonen som har ansvaret for å forvalte området.</w:t>
            </w:r>
          </w:p>
          <w:p w14:paraId="5F9D46E1" w14:textId="77777777" w:rsidR="006561BA" w:rsidRDefault="005B4ED6">
            <w:pPr>
              <w:pStyle w:val="AnnexNumberedText"/>
              <w:ind w:left="293" w:hanging="293"/>
            </w:pPr>
            <w:r>
              <w:t>g)</w:t>
            </w:r>
            <w:r>
              <w:tab/>
              <w:t>Innkjøp av varer fra et bevaringsområde med henblikk på videresalg (eller andre kommersielle ordninger som garanterer at inntektene fra salg av varer, tilfaller bevaringsområdet).</w:t>
            </w:r>
          </w:p>
          <w:p w14:paraId="2FB4FE6B" w14:textId="77777777" w:rsidR="006561BA" w:rsidRDefault="005B4ED6">
            <w:pPr>
              <w:pStyle w:val="AnnexNumberedText"/>
              <w:ind w:left="293" w:hanging="293"/>
            </w:pPr>
            <w:r>
              <w:t>h)</w:t>
            </w:r>
            <w:r>
              <w:tab/>
              <w:t>Betaling av opphavsretter, herunder bilder eller navn, direkte til den organisasjonen som har ansvaret for å forvalte et bevaringsområde.</w:t>
            </w:r>
          </w:p>
          <w:p w14:paraId="4D911467" w14:textId="77777777" w:rsidR="006561BA" w:rsidRDefault="005B4ED6">
            <w:pPr>
              <w:pStyle w:val="AnnexNumberedText"/>
              <w:ind w:left="293" w:hanging="293"/>
            </w:pPr>
            <w:r>
              <w:t>i)</w:t>
            </w:r>
            <w:r>
              <w:tab/>
              <w:t>Innsamling av turisters frivillige donasjoner som regelmessig overføres til et eget fond eller en konto opprettet av den organisasjonen som har ansvaret for å forvalte et bevaringsområde.</w:t>
            </w:r>
          </w:p>
          <w:p w14:paraId="51C8A2D6" w14:textId="77777777" w:rsidR="006561BA" w:rsidRDefault="005B4ED6">
            <w:pPr>
              <w:pStyle w:val="AnnexNumberedText"/>
              <w:tabs>
                <w:tab w:val="left" w:pos="408"/>
              </w:tabs>
              <w:ind w:left="0" w:firstLine="0"/>
            </w:pPr>
            <w:r>
              <w:t>1.3.</w:t>
            </w:r>
            <w:r>
              <w:tab/>
              <w:t>Det prosentvise (%) bidraget som er fastsatt i avtalen, tilsvarer minst</w:t>
            </w:r>
          </w:p>
          <w:p w14:paraId="191BC968" w14:textId="77777777" w:rsidR="006561BA" w:rsidRDefault="005B4ED6">
            <w:pPr>
              <w:pStyle w:val="AnnexNumberedText"/>
              <w:spacing w:after="0"/>
              <w:ind w:left="283" w:hanging="283"/>
            </w:pPr>
            <w:r>
              <w:t>a)</w:t>
            </w:r>
            <w:r>
              <w:tab/>
              <w:t>1 % av årsomsetningen for én enkelt overnattingsvirksomhet for turister, dersom avtalen bare omfatter én virksomhet,</w:t>
            </w:r>
          </w:p>
        </w:tc>
      </w:tr>
      <w:tr w:rsidR="006561BA" w14:paraId="4FBA3260" w14:textId="77777777">
        <w:trPr>
          <w:trHeight w:val="360"/>
        </w:trPr>
        <w:tc>
          <w:tcPr>
            <w:tcW w:w="9228" w:type="dxa"/>
            <w:gridSpan w:val="2"/>
            <w:tcMar>
              <w:top w:w="200" w:type="dxa"/>
              <w:left w:w="0" w:type="dxa"/>
              <w:bottom w:w="200" w:type="dxa"/>
              <w:right w:w="0" w:type="dxa"/>
            </w:tcMar>
          </w:tcPr>
          <w:p w14:paraId="58B3C849" w14:textId="77777777" w:rsidR="006561BA" w:rsidRDefault="005B4ED6">
            <w:pPr>
              <w:pStyle w:val="AnnexNumberedText"/>
              <w:pageBreakBefore/>
              <w:ind w:left="283" w:hanging="283"/>
            </w:pPr>
            <w:r>
              <w:lastRenderedPageBreak/>
              <w:t>b)</w:t>
            </w:r>
            <w:r>
              <w:tab/>
              <w:t>0,7 % av årsomsetningen for én enkelt overnattingsvirksomhet for turister, dersom avtalen eller tilsvarende er kollektiv og omfatter en gruppe på 2–10 virksomheter,</w:t>
            </w:r>
          </w:p>
          <w:p w14:paraId="041779DB" w14:textId="77777777" w:rsidR="006561BA" w:rsidRDefault="005B4ED6">
            <w:pPr>
              <w:pStyle w:val="AnnexNumberedText"/>
              <w:pageBreakBefore/>
              <w:ind w:left="283" w:hanging="283"/>
            </w:pPr>
            <w:r>
              <w:t>c)</w:t>
            </w:r>
            <w:r>
              <w:tab/>
              <w:t>0,5 % av årsomsetningen for én enkelt overnattingsvirksomhet for turister, dersom avtalen eller tilsvarende er kollektiv og omfatter en gruppe på over ti virksomheter.</w:t>
            </w:r>
          </w:p>
          <w:p w14:paraId="13AA782A" w14:textId="77777777" w:rsidR="006561BA" w:rsidRDefault="005B4ED6">
            <w:pPr>
              <w:pStyle w:val="AnnexTableCellLeft"/>
              <w:pageBreakBefore/>
              <w:spacing w:after="120"/>
            </w:pPr>
            <w:r>
              <w:t>Obligatoriske finansielle bidrag som brukes på aktiviteten innenfor rammene av det nasjonale eller lokale regelverket, herunder miljøavgifter eller -takster, anses ikke som et bidrag til bevarings- eller restaureringsaktiviteten.</w:t>
            </w:r>
          </w:p>
          <w:p w14:paraId="0DD0A02E" w14:textId="77777777" w:rsidR="006561BA" w:rsidRDefault="005B4ED6">
            <w:pPr>
              <w:pStyle w:val="AnnexNumberedText"/>
              <w:pageBreakBefore/>
              <w:ind w:left="279" w:hanging="279"/>
            </w:pPr>
            <w:r>
              <w:t>2.</w:t>
            </w:r>
            <w:r>
              <w:tab/>
              <w:t>Handlingsplan for bidrag til bevaring av naturen</w:t>
            </w:r>
          </w:p>
          <w:p w14:paraId="179DABAD" w14:textId="77777777" w:rsidR="006561BA" w:rsidRDefault="005B4ED6">
            <w:pPr>
              <w:pStyle w:val="AnnexNumberedText"/>
              <w:pageBreakBefore/>
              <w:tabs>
                <w:tab w:val="left" w:pos="408"/>
              </w:tabs>
              <w:ind w:left="0" w:firstLine="0"/>
            </w:pPr>
            <w:r>
              <w:t>2.1.</w:t>
            </w:r>
            <w:r>
              <w:tab/>
              <w:t>Aktiviteten har utviklet og gjennomført en handlingsplan som er spesifikk for den reiselivstjenesten eller det reiselivstilbudet som gis, og som fastsetter hvordan aktiviteten kan utføres på en måte som er forenlig med og bidrar til å gjennomføre forvaltningsplanen eller tilsvarende instrument, for det bevaringsområdet som aktiviteten har til hensikt å bidra til. Planen omfatter alle følgende tiltak som er relevante for bevarings- eller restaureringsmålene i området:</w:t>
            </w:r>
          </w:p>
          <w:p w14:paraId="16CFD0B6" w14:textId="77777777" w:rsidR="006561BA" w:rsidRDefault="005B4ED6">
            <w:pPr>
              <w:pStyle w:val="AnnexNumberedText"/>
              <w:pageBreakBefore/>
              <w:ind w:left="283" w:hanging="283"/>
            </w:pPr>
            <w:r>
              <w:t>a)</w:t>
            </w:r>
            <w:r>
              <w:tab/>
              <w:t>Klare mål og aktiviteter som har til formål å unngå eller minimere direkte negative konsekvenser for det biologiske mangfoldet, herunder en analyse av belastningsevnen eller grensen for akseptabel endring(</w:t>
            </w:r>
            <w:bookmarkStart w:id="363" w:name="NOTE_366"/>
            <w:r>
              <w:rPr>
                <w:rStyle w:val="FootnoteReference"/>
                <w:sz w:val="18"/>
              </w:rPr>
              <w:footnoteReference w:id="367"/>
            </w:r>
            <w:bookmarkEnd w:id="363"/>
            <w:r>
              <w:t>) av det området som er utviklet av organisasjonen som har ansvaret for å bevare eller restaurere området, eller av aktivitetsutøveren i samarbeid med den aktuelle organisasjonen(</w:t>
            </w:r>
            <w:bookmarkStart w:id="364" w:name="NOTE_367"/>
            <w:r>
              <w:rPr>
                <w:rStyle w:val="FootnoteReference"/>
                <w:sz w:val="18"/>
              </w:rPr>
              <w:footnoteReference w:id="368"/>
            </w:r>
            <w:bookmarkEnd w:id="364"/>
            <w:r>
              <w:t>), herunder følgende deler(</w:t>
            </w:r>
            <w:bookmarkStart w:id="365" w:name="NOTE_368"/>
            <w:r>
              <w:rPr>
                <w:rStyle w:val="FootnoteReference"/>
                <w:sz w:val="18"/>
              </w:rPr>
              <w:footnoteReference w:id="369"/>
            </w:r>
            <w:bookmarkEnd w:id="365"/>
            <w:r>
              <w:t>):</w:t>
            </w:r>
          </w:p>
          <w:p w14:paraId="3D8686D2" w14:textId="77777777" w:rsidR="006561BA" w:rsidRDefault="005B4ED6">
            <w:pPr>
              <w:pStyle w:val="AnnexNumberedText"/>
              <w:pageBreakBefore/>
              <w:ind w:left="636" w:hanging="353"/>
            </w:pPr>
            <w:r>
              <w:t>i)</w:t>
            </w:r>
            <w:r>
              <w:tab/>
              <w:t>Med henblikk på besøk i naturområder: unngå direkte skader på økosystemer eller habitater gjennom styring av turiststrømmer og -bevegelser.</w:t>
            </w:r>
          </w:p>
          <w:p w14:paraId="6CEF02AC" w14:textId="77777777" w:rsidR="006561BA" w:rsidRDefault="005B4ED6">
            <w:pPr>
              <w:pStyle w:val="AnnexNumberedText"/>
              <w:pageBreakBefore/>
              <w:ind w:left="636" w:hanging="353"/>
            </w:pPr>
            <w:r>
              <w:t>ii)</w:t>
            </w:r>
            <w:r>
              <w:tab/>
              <w:t>Med henblikk på samhandling med viltlevende dyr:</w:t>
            </w:r>
          </w:p>
          <w:p w14:paraId="28467F44" w14:textId="77777777" w:rsidR="006561BA" w:rsidRDefault="005B4ED6">
            <w:pPr>
              <w:pStyle w:val="AnnexNumberedText"/>
              <w:pageBreakBefore/>
              <w:ind w:left="960" w:hanging="324"/>
            </w:pPr>
            <w:r>
              <w:t>—</w:t>
            </w:r>
            <w:r>
              <w:tab/>
              <w:t>unngå direkte skader og forstyrrelser gjennom skadelige handlinger som for eksempel fôring av dyr, ødeleggelse av egg og reir, ødeleggelse eller fjerning av planter eller koraller,</w:t>
            </w:r>
          </w:p>
          <w:p w14:paraId="338D1411" w14:textId="77777777" w:rsidR="006561BA" w:rsidRDefault="005B4ED6">
            <w:pPr>
              <w:pStyle w:val="AnnexNumberedText"/>
              <w:pageBreakBefore/>
              <w:ind w:left="960" w:hanging="324"/>
            </w:pPr>
            <w:r>
              <w:t>—</w:t>
            </w:r>
            <w:r>
              <w:tab/>
              <w:t>unngå indirekte skader og forstyrrelser for arter som følge av turisters bevegelser på stedet, som for eksempel forsøpling og forurensning forårsaket av støy, plast, kjemikalier eller lys,</w:t>
            </w:r>
          </w:p>
          <w:p w14:paraId="4647AB23" w14:textId="77777777" w:rsidR="006561BA" w:rsidRDefault="005B4ED6">
            <w:pPr>
              <w:pStyle w:val="AnnexNumberedText"/>
              <w:pageBreakBefore/>
              <w:ind w:left="960" w:hanging="324"/>
            </w:pPr>
            <w:r>
              <w:t>—</w:t>
            </w:r>
            <w:r>
              <w:tab/>
              <w:t>forebygging og forhindring av innføring av fremmede skadelige arter(</w:t>
            </w:r>
            <w:bookmarkStart w:id="366" w:name="NOTE_369"/>
            <w:r>
              <w:rPr>
                <w:rStyle w:val="FootnoteReference"/>
                <w:sz w:val="18"/>
              </w:rPr>
              <w:footnoteReference w:id="370"/>
            </w:r>
            <w:bookmarkEnd w:id="366"/>
            <w:r>
              <w:t>).</w:t>
            </w:r>
          </w:p>
          <w:p w14:paraId="467D4B2F" w14:textId="77777777" w:rsidR="006561BA" w:rsidRDefault="005B4ED6">
            <w:pPr>
              <w:pStyle w:val="AnnexNumberedText"/>
              <w:pageBreakBefore/>
              <w:spacing w:after="0"/>
              <w:ind w:left="636" w:hanging="353"/>
            </w:pPr>
            <w:r>
              <w:t>iii)</w:t>
            </w:r>
            <w:r>
              <w:tab/>
              <w:t>Med henblikk på fangst av og handel med ville dyr og planter(</w:t>
            </w:r>
            <w:bookmarkStart w:id="367" w:name="NOTE_370"/>
            <w:r>
              <w:rPr>
                <w:rStyle w:val="FootnoteReference"/>
                <w:sz w:val="18"/>
              </w:rPr>
              <w:footnoteReference w:id="371"/>
            </w:r>
            <w:bookmarkEnd w:id="367"/>
            <w:r>
              <w:t>): beskyttede arter av ville dyr og planter verken fanges/høstes, konsumeres eller selges.</w:t>
            </w:r>
          </w:p>
        </w:tc>
      </w:tr>
      <w:tr w:rsidR="006561BA" w14:paraId="33F29350" w14:textId="77777777">
        <w:trPr>
          <w:trHeight w:val="360"/>
        </w:trPr>
        <w:tc>
          <w:tcPr>
            <w:tcW w:w="9228" w:type="dxa"/>
            <w:gridSpan w:val="2"/>
            <w:tcMar>
              <w:top w:w="200" w:type="dxa"/>
              <w:left w:w="0" w:type="dxa"/>
              <w:bottom w:w="200" w:type="dxa"/>
              <w:right w:w="0" w:type="dxa"/>
            </w:tcMar>
          </w:tcPr>
          <w:p w14:paraId="352B60B9" w14:textId="77777777" w:rsidR="006561BA" w:rsidRDefault="005B4ED6">
            <w:pPr>
              <w:pStyle w:val="AnnexNumberedText"/>
              <w:pageBreakBefore/>
            </w:pPr>
            <w:r>
              <w:lastRenderedPageBreak/>
              <w:t>b)</w:t>
            </w:r>
            <w:r>
              <w:tab/>
              <w:t>Dersom det er relevant, en beskrivelse av partnerskapsavtaler med forvaltningsenheter for bevaring, lokale ikke-statlige organisasjoner eller lokalsamfunn med henblikk på å bidra til bevaring eller restaurering av det området som aktiviteten har til hensikt å bidra til.</w:t>
            </w:r>
          </w:p>
          <w:p w14:paraId="5C2A567F" w14:textId="77777777" w:rsidR="006561BA" w:rsidRDefault="005B4ED6">
            <w:pPr>
              <w:pStyle w:val="AnnexNumberedText"/>
            </w:pPr>
            <w:r>
              <w:t>c)</w:t>
            </w:r>
            <w:r>
              <w:tab/>
              <w:t>En informasjons- og bevisstgjøringsplan om biologisk mangfold i forbindelse med de særskilte konsekvensene av turistvirksomhet(</w:t>
            </w:r>
            <w:bookmarkStart w:id="368" w:name="NOTE_371"/>
            <w:r>
              <w:rPr>
                <w:rStyle w:val="FootnoteReference"/>
                <w:sz w:val="18"/>
              </w:rPr>
              <w:footnoteReference w:id="372"/>
            </w:r>
            <w:bookmarkEnd w:id="368"/>
            <w:r>
              <w:t>).</w:t>
            </w:r>
          </w:p>
          <w:p w14:paraId="5F45364E" w14:textId="77777777" w:rsidR="006561BA" w:rsidRDefault="005B4ED6">
            <w:pPr>
              <w:pStyle w:val="AnnexNumberedText"/>
            </w:pPr>
            <w:r>
              <w:t>d)</w:t>
            </w:r>
            <w:r>
              <w:tab/>
              <w:t>En tydelig ramme for løpende overvåking og måling av hvor effektivt bidraget er, herunder en fleksibel strategi som gjør det mulig å identifisere korrigerende tiltak, dersom det er nødvendig.</w:t>
            </w:r>
          </w:p>
          <w:p w14:paraId="7D4124F3" w14:textId="77777777" w:rsidR="006561BA" w:rsidRDefault="005B4ED6">
            <w:pPr>
              <w:pStyle w:val="AnnexNumberedText"/>
              <w:ind w:left="279" w:hanging="279"/>
            </w:pPr>
            <w:r>
              <w:t>3.</w:t>
            </w:r>
            <w:r>
              <w:tab/>
              <w:t>Bærekraftig forsyningskjede og miljøstyringsordning</w:t>
            </w:r>
          </w:p>
          <w:p w14:paraId="47337D95" w14:textId="77777777" w:rsidR="006561BA" w:rsidRDefault="005B4ED6">
            <w:pPr>
              <w:pStyle w:val="AnnexNumberedText"/>
              <w:tabs>
                <w:tab w:val="left" w:pos="408"/>
              </w:tabs>
              <w:ind w:left="0" w:firstLine="0"/>
            </w:pPr>
            <w:r>
              <w:t>3.1.</w:t>
            </w:r>
            <w:r>
              <w:tab/>
              <w:t>Virksomheten har en rimelig andel av produkter som er i samsvar med beste markedspraksis (for eksempel mat og drikkevarer, tre, herunder møbler, papir, papp og plastprodukter) som er sertifisert i henhold til miljøstandarder(</w:t>
            </w:r>
            <w:bookmarkStart w:id="369" w:name="NOTE_372"/>
            <w:r>
              <w:rPr>
                <w:rStyle w:val="FootnoteReference"/>
                <w:sz w:val="18"/>
              </w:rPr>
              <w:footnoteReference w:id="373"/>
            </w:r>
            <w:bookmarkEnd w:id="369"/>
            <w:r>
              <w:t>). Virksomheten forplikter seg til løpende å øke andelen av produkter som er sertifisert av en uavhengig tredjepart.</w:t>
            </w:r>
          </w:p>
          <w:p w14:paraId="1D6587FC" w14:textId="77777777" w:rsidR="006561BA" w:rsidRDefault="005B4ED6">
            <w:pPr>
              <w:pStyle w:val="AnnexNumberedText"/>
              <w:tabs>
                <w:tab w:val="left" w:pos="408"/>
              </w:tabs>
              <w:ind w:left="0" w:firstLine="0"/>
            </w:pPr>
            <w:r>
              <w:t>3.2.</w:t>
            </w:r>
            <w:r>
              <w:tab/>
              <w:t>For overnattingsvirksomheter med over 50 ansatte oppfyller aktiviteten et av følgende kriterier:</w:t>
            </w:r>
          </w:p>
          <w:p w14:paraId="5B1E93A1" w14:textId="77777777" w:rsidR="006561BA" w:rsidRDefault="005B4ED6">
            <w:pPr>
              <w:pStyle w:val="AnnexNumberedText"/>
              <w:ind w:left="293" w:hanging="293"/>
            </w:pPr>
            <w:r>
              <w:t>a)</w:t>
            </w:r>
            <w:r>
              <w:tab/>
              <w:t>Virksomheten har en miljøstyringsordning (EMS) som krever tredjepartssertifisering, som for eksempel fellesskapsordningen for miljøstyring og miljørevisjon(</w:t>
            </w:r>
            <w:bookmarkStart w:id="370" w:name="NOTE_373"/>
            <w:r>
              <w:rPr>
                <w:rStyle w:val="FootnoteReference"/>
                <w:sz w:val="18"/>
              </w:rPr>
              <w:footnoteReference w:id="374"/>
            </w:r>
            <w:bookmarkEnd w:id="370"/>
            <w:r>
              <w:t>) (EMAS), ISO 14001:2015(</w:t>
            </w:r>
            <w:bookmarkStart w:id="371" w:name="NOTE_374"/>
            <w:r>
              <w:rPr>
                <w:rStyle w:val="FootnoteReference"/>
                <w:sz w:val="18"/>
              </w:rPr>
              <w:footnoteReference w:id="375"/>
            </w:r>
            <w:bookmarkEnd w:id="371"/>
            <w:r>
              <w:t>) eller tilsvarende, og som er i tråd med beste miljøstyringspraksis og indikatorer for prestasjon, som for eksempel EMAS’ referansedokumentet for turistsektoren(</w:t>
            </w:r>
            <w:bookmarkStart w:id="372" w:name="NOTE_375"/>
            <w:r>
              <w:rPr>
                <w:rStyle w:val="FootnoteReference"/>
                <w:sz w:val="18"/>
              </w:rPr>
              <w:footnoteReference w:id="376"/>
            </w:r>
            <w:bookmarkEnd w:id="372"/>
            <w:r>
              <w:t>) eller tilsvarende nasjonal eller internasjonal standard.</w:t>
            </w:r>
          </w:p>
          <w:p w14:paraId="3F127376" w14:textId="77777777" w:rsidR="006561BA" w:rsidRDefault="005B4ED6">
            <w:pPr>
              <w:pStyle w:val="AnnexNumberedText"/>
              <w:ind w:left="293" w:hanging="293"/>
            </w:pPr>
            <w:r>
              <w:t>b)</w:t>
            </w:r>
            <w:r>
              <w:tab/>
              <w:t>Virksomheten ble tildelt et EU-miljømerke for overnattingsvirksomheter eller et tilsvarende EN ISO 14024:2018(</w:t>
            </w:r>
            <w:bookmarkStart w:id="373" w:name="NOTE_376"/>
            <w:r>
              <w:rPr>
                <w:rStyle w:val="FootnoteReference"/>
                <w:sz w:val="18"/>
              </w:rPr>
              <w:footnoteReference w:id="377"/>
            </w:r>
            <w:bookmarkEnd w:id="373"/>
            <w:r>
              <w:t>) type I-miljømerke eller et tilsvarende frivillig merke som oppfyller tilsvarende krav(</w:t>
            </w:r>
            <w:bookmarkStart w:id="374" w:name="NOTE_377"/>
            <w:r>
              <w:rPr>
                <w:rStyle w:val="FootnoteReference"/>
                <w:sz w:val="18"/>
              </w:rPr>
              <w:footnoteReference w:id="378"/>
            </w:r>
            <w:bookmarkEnd w:id="374"/>
            <w:r>
              <w:t>).</w:t>
            </w:r>
          </w:p>
          <w:p w14:paraId="41E445E4" w14:textId="77777777" w:rsidR="006561BA" w:rsidRDefault="005B4ED6">
            <w:pPr>
              <w:pStyle w:val="AnnexNumberedText"/>
              <w:ind w:left="279" w:hanging="279"/>
            </w:pPr>
            <w:r>
              <w:t>4.</w:t>
            </w:r>
            <w:r>
              <w:tab/>
              <w:t>Minstekrav</w:t>
            </w:r>
          </w:p>
          <w:p w14:paraId="6D5A155D" w14:textId="77777777" w:rsidR="006561BA" w:rsidRDefault="005B4ED6">
            <w:pPr>
              <w:pStyle w:val="AnnexNumberedText"/>
              <w:tabs>
                <w:tab w:val="left" w:pos="408"/>
              </w:tabs>
              <w:spacing w:after="0"/>
              <w:ind w:left="0" w:firstLine="0"/>
            </w:pPr>
            <w:r>
              <w:t>4.1.</w:t>
            </w:r>
            <w:r>
              <w:tab/>
              <w:t>En miljøkonsekvensutredning eller screening(</w:t>
            </w:r>
            <w:bookmarkStart w:id="375" w:name="NOTE_378"/>
            <w:r>
              <w:rPr>
                <w:rStyle w:val="FootnoteReference"/>
                <w:sz w:val="18"/>
              </w:rPr>
              <w:footnoteReference w:id="379"/>
            </w:r>
            <w:bookmarkEnd w:id="375"/>
            <w:r>
              <w:t>) er gjennomført i samsvar med direktiv 2011/92/EU(</w:t>
            </w:r>
            <w:bookmarkStart w:id="376" w:name="NOTE_379"/>
            <w:r>
              <w:rPr>
                <w:rStyle w:val="FootnoteReference"/>
                <w:sz w:val="18"/>
              </w:rPr>
              <w:footnoteReference w:id="380"/>
            </w:r>
            <w:bookmarkEnd w:id="376"/>
            <w:r>
              <w:t>). Når det er gjennomført en miljøkonsekvensutredning, gjennomføres de nødvendige avbøtende tiltakene og kompensasjonstiltakene for å beskytte miljøet.</w:t>
            </w:r>
          </w:p>
        </w:tc>
      </w:tr>
      <w:tr w:rsidR="006561BA" w14:paraId="09D4297C" w14:textId="77777777">
        <w:trPr>
          <w:trHeight w:val="240"/>
        </w:trPr>
        <w:tc>
          <w:tcPr>
            <w:tcW w:w="9228" w:type="dxa"/>
            <w:gridSpan w:val="2"/>
            <w:tcMar>
              <w:top w:w="200" w:type="dxa"/>
              <w:left w:w="0" w:type="dxa"/>
              <w:bottom w:w="200" w:type="dxa"/>
              <w:right w:w="0" w:type="dxa"/>
            </w:tcMar>
          </w:tcPr>
          <w:p w14:paraId="7C0A27B8" w14:textId="77777777" w:rsidR="006561BA" w:rsidRDefault="005B4ED6">
            <w:pPr>
              <w:pStyle w:val="AnnexTableCellLeft"/>
              <w:pageBreakBefore/>
              <w:spacing w:after="200"/>
            </w:pPr>
            <w:r>
              <w:lastRenderedPageBreak/>
              <w:t>Aktiviteten har ingen vesentlige skadevirkninger på beskyttede områder (</w:t>
            </w:r>
            <w:proofErr w:type="spellStart"/>
            <w:r>
              <w:t>UNESCOs</w:t>
            </w:r>
            <w:proofErr w:type="spellEnd"/>
            <w:r>
              <w:t xml:space="preserve"> verdensarvsteder, viktige områder for biologisk mangfold, samt andre beskyttede områder enn Natura 2000-områder) og beskyttede arter basert på en vurdering av deres innvirkning, der det tas hensyn til den beste tilgjengelige kunnskapen(</w:t>
            </w:r>
            <w:bookmarkStart w:id="377" w:name="NOTE_380"/>
            <w:r>
              <w:rPr>
                <w:rStyle w:val="FootnoteReference"/>
                <w:sz w:val="18"/>
              </w:rPr>
              <w:footnoteReference w:id="381"/>
            </w:r>
            <w:bookmarkEnd w:id="377"/>
            <w:r>
              <w:t>). Aktiviteten er ikke til skade for gjenoppretting eller opprettholdelse av en gunstig bevaringsstatus for populasjonene av de artene og habitattypene som er beskyttet i henhold til nasjonal rett.</w:t>
            </w:r>
          </w:p>
          <w:p w14:paraId="2CA2BEDF" w14:textId="77777777" w:rsidR="006561BA" w:rsidRDefault="005B4ED6">
            <w:pPr>
              <w:pStyle w:val="AnnexTableCellLeft"/>
              <w:spacing w:after="200"/>
            </w:pPr>
            <w:r>
              <w:t>I Unionen, når det gjelder Natura 2000-områder: Aktiviteten har ingen vesentlig innvirkning på Natura 2000-områder med tanke på deres bevaringsmål på grunnlag av en hensiktsmessig vurdering foretatt i samsvar med artikkel 6 nr. 3 i direktiv 92/43/EØF.</w:t>
            </w:r>
          </w:p>
          <w:p w14:paraId="7A8142C1" w14:textId="77777777" w:rsidR="006561BA" w:rsidRDefault="005B4ED6">
            <w:pPr>
              <w:pStyle w:val="AnnexTableCellLeft"/>
              <w:spacing w:after="200"/>
            </w:pPr>
            <w:r>
              <w:t>I Unionen, i alle områder: Aktiviteten er ikke til skade for gjenoppretting eller opprettholdelse av en gunstig bevaringsstatus for de populasjonene av arter som er beskyttet i henhold til direktiv 92/43/EØF og direktiv 2009/147/EF. Aktiviteten er heller ikke til skade for gjenoppretting eller opprettholdelse av en gunstig bevaringsstatus for de habitattypene som er beskyttet i henhold til direktiv 92/43/EØF.</w:t>
            </w:r>
          </w:p>
          <w:p w14:paraId="4BEAECD5" w14:textId="77777777" w:rsidR="006561BA" w:rsidRDefault="005B4ED6">
            <w:pPr>
              <w:pStyle w:val="AnnexNumberedText"/>
              <w:tabs>
                <w:tab w:val="left" w:pos="408"/>
              </w:tabs>
              <w:spacing w:after="200"/>
              <w:ind w:left="0" w:firstLine="0"/>
            </w:pPr>
            <w:r>
              <w:t>4.2.</w:t>
            </w:r>
            <w:r>
              <w:tab/>
              <w:t>Innføringen av fremmede skadelige arter forhindres eller spredningen av dem håndteres i samsvar med forordning (EU) nr. 1143/2014.</w:t>
            </w:r>
          </w:p>
          <w:p w14:paraId="0E8C9800" w14:textId="77777777" w:rsidR="006561BA" w:rsidRDefault="005B4ED6">
            <w:pPr>
              <w:pStyle w:val="AnnexNumberedText"/>
              <w:tabs>
                <w:tab w:val="left" w:pos="408"/>
              </w:tabs>
              <w:spacing w:after="200"/>
              <w:ind w:left="0" w:firstLine="0"/>
            </w:pPr>
            <w:r>
              <w:t>4.3.</w:t>
            </w:r>
            <w:r>
              <w:tab/>
              <w:t>Fritidsaktiviteter som jakt og fiske er bare tillatt dersom de uttrykkelig inngår som en del av bevarings- eller forvaltningsplanen for bevaringsområdet som fastsatt av forvaltningsenheten og utført i samsvar med gjeldende unionsrett og nasjonal rett.</w:t>
            </w:r>
          </w:p>
          <w:p w14:paraId="42AFEBB3" w14:textId="77777777" w:rsidR="006561BA" w:rsidRDefault="005B4ED6">
            <w:pPr>
              <w:pStyle w:val="AnnexNumberedText"/>
              <w:spacing w:after="200"/>
              <w:ind w:left="279" w:hanging="279"/>
            </w:pPr>
            <w:r>
              <w:t>5.</w:t>
            </w:r>
            <w:r>
              <w:tab/>
              <w:t>Revisjon</w:t>
            </w:r>
          </w:p>
          <w:p w14:paraId="71F2189A" w14:textId="183A8E88" w:rsidR="006561BA" w:rsidRDefault="005B4ED6">
            <w:pPr>
              <w:pStyle w:val="AnnexTableCellLeft"/>
              <w:spacing w:after="200"/>
            </w:pPr>
            <w:r>
              <w:t>Ved aktivitetens begynnelse og minst hvert femte år deretter kontrollerer de relevante nasjonale vedkommende myndighetene eller et uavhengig tredjepartssertifiseringsorgan, som for eksempel en særlig sertifiserings- eller akkrediteringsordning, at aktiviteten overholder de tekniske screeningkriteriene, på anmodning fra nasjonale myndigheter eller aktivitetsutøveren.</w:t>
            </w:r>
          </w:p>
          <w:p w14:paraId="6FA6BF55" w14:textId="0CD13345" w:rsidR="006561BA" w:rsidRDefault="005B4ED6">
            <w:pPr>
              <w:pStyle w:val="AnnexTableCellLeft"/>
              <w:spacing w:after="200"/>
            </w:pPr>
            <w:r>
              <w:t xml:space="preserve">Det uavhengige tredjepartssertifiseringsorganet kan ikke </w:t>
            </w:r>
            <w:r w:rsidR="001948CF">
              <w:t>være innblandet i noen</w:t>
            </w:r>
            <w:r>
              <w:t xml:space="preserve"> interessekonflikter, særlig med eieren eller bidragsyteren, og kan ikke være involvert i utviklingen eller driften av aktiviteten.</w:t>
            </w:r>
          </w:p>
          <w:p w14:paraId="6B071597" w14:textId="77777777" w:rsidR="006561BA" w:rsidRDefault="005B4ED6">
            <w:pPr>
              <w:pStyle w:val="AnnexTableCellLeft"/>
              <w:spacing w:after="300"/>
            </w:pPr>
            <w:r>
              <w:t>For å redusere kostnadene kan revisjoner utføres sammen med en enhver annen revisjon.</w:t>
            </w:r>
          </w:p>
        </w:tc>
      </w:tr>
      <w:tr w:rsidR="006561BA" w14:paraId="0C3DB163" w14:textId="77777777">
        <w:trPr>
          <w:trHeight w:val="240"/>
        </w:trPr>
        <w:tc>
          <w:tcPr>
            <w:tcW w:w="9228" w:type="dxa"/>
            <w:gridSpan w:val="2"/>
            <w:tcMar>
              <w:top w:w="200" w:type="dxa"/>
              <w:left w:w="0" w:type="dxa"/>
              <w:bottom w:w="200" w:type="dxa"/>
              <w:right w:w="0" w:type="dxa"/>
            </w:tcMar>
          </w:tcPr>
          <w:p w14:paraId="2B48359E" w14:textId="77777777" w:rsidR="006561BA" w:rsidRDefault="005B4ED6">
            <w:pPr>
              <w:pStyle w:val="AnnexTableCellLeft"/>
            </w:pPr>
            <w:r>
              <w:t>Prinsippet om ikke å gjøre betydelig skade («DNSH»)</w:t>
            </w:r>
          </w:p>
        </w:tc>
      </w:tr>
      <w:tr w:rsidR="006561BA" w14:paraId="72D4BBF4" w14:textId="77777777">
        <w:trPr>
          <w:trHeight w:val="360"/>
        </w:trPr>
        <w:tc>
          <w:tcPr>
            <w:tcW w:w="2484" w:type="dxa"/>
            <w:tcMar>
              <w:top w:w="200" w:type="dxa"/>
              <w:left w:w="0" w:type="dxa"/>
              <w:bottom w:w="200" w:type="dxa"/>
            </w:tcMar>
          </w:tcPr>
          <w:p w14:paraId="35CAE547" w14:textId="77777777" w:rsidR="006561BA" w:rsidRDefault="005B4ED6">
            <w:pPr>
              <w:pStyle w:val="AnnexNumberedText"/>
              <w:ind w:left="293" w:hanging="293"/>
            </w:pPr>
            <w:r>
              <w:t>1)</w:t>
            </w:r>
            <w:r>
              <w:tab/>
              <w:t>Begrensning av klimaendringer</w:t>
            </w:r>
          </w:p>
        </w:tc>
        <w:tc>
          <w:tcPr>
            <w:tcW w:w="6744" w:type="dxa"/>
            <w:tcMar>
              <w:top w:w="200" w:type="dxa"/>
              <w:bottom w:w="200" w:type="dxa"/>
              <w:right w:w="0" w:type="dxa"/>
            </w:tcMar>
          </w:tcPr>
          <w:p w14:paraId="43CAA51E" w14:textId="77777777" w:rsidR="006561BA" w:rsidRDefault="005B4ED6">
            <w:pPr>
              <w:pStyle w:val="AnnexTableCellLeft"/>
              <w:spacing w:after="200"/>
            </w:pPr>
            <w:r>
              <w:t>For bygninger som er bygget før 31. desember 2020, har bygningen minst et energisertifikat (EPC) i klasse C. Som et alternativ er bygningen innenfor de øverste 30 % av den nasjonale eller regionale bygningsmassen uttrykt som operasjonelt primærenergibehov (PED) og påvist ved passende dokumentasjon, som minst sammenligner energiytelsen til den relevante eiendelen med energiytelsen til den nasjonale eller regionale bygningsmassen som er bygget før 31. desember 2020, og som minst skiller mellom boliger og industribygninger.</w:t>
            </w:r>
          </w:p>
          <w:p w14:paraId="502D3EF2" w14:textId="79C0AE64" w:rsidR="006561BA" w:rsidRDefault="005B4ED6">
            <w:pPr>
              <w:pStyle w:val="AnnexTableCellLeft"/>
            </w:pPr>
            <w:r>
              <w:t>For bygninger oppført etter 31. desember 2020 overstiger primærenergibehovet (PED)(</w:t>
            </w:r>
            <w:bookmarkStart w:id="378" w:name="NOTE_381"/>
            <w:r>
              <w:rPr>
                <w:rStyle w:val="FootnoteReference"/>
                <w:sz w:val="18"/>
              </w:rPr>
              <w:footnoteReference w:id="382"/>
            </w:r>
            <w:bookmarkEnd w:id="378"/>
            <w:r>
              <w:t>), som angir energiytelsen til den bygningen som oppføres, ikke terskelverdien fastsatt for kravene til nesten null-energibygninger (</w:t>
            </w:r>
            <w:r w:rsidR="001C3E96">
              <w:t>«</w:t>
            </w:r>
            <w:proofErr w:type="spellStart"/>
            <w:r>
              <w:t>nearly</w:t>
            </w:r>
            <w:proofErr w:type="spellEnd"/>
            <w:r>
              <w:t xml:space="preserve"> zero-</w:t>
            </w:r>
            <w:proofErr w:type="spellStart"/>
            <w:r>
              <w:t>energy</w:t>
            </w:r>
            <w:proofErr w:type="spellEnd"/>
            <w:r>
              <w:t xml:space="preserve"> </w:t>
            </w:r>
            <w:proofErr w:type="spellStart"/>
            <w:r>
              <w:t>building</w:t>
            </w:r>
            <w:proofErr w:type="spellEnd"/>
            <w:r w:rsidR="001C3E96">
              <w:t>»</w:t>
            </w:r>
            <w:r>
              <w:t xml:space="preserve"> – NZEB) i nasjonale tiltak som gjennomfører direktiv 2010/31/EU. Energiytelsen sertifiseres ved hjelp av et energisertifikat («Energy </w:t>
            </w:r>
            <w:proofErr w:type="spellStart"/>
            <w:r>
              <w:t>Performance</w:t>
            </w:r>
            <w:proofErr w:type="spellEnd"/>
            <w:r>
              <w:t xml:space="preserve"> </w:t>
            </w:r>
            <w:proofErr w:type="spellStart"/>
            <w:r>
              <w:t>Certificate</w:t>
            </w:r>
            <w:proofErr w:type="spellEnd"/>
            <w:r>
              <w:t>», EPC).</w:t>
            </w:r>
          </w:p>
        </w:tc>
      </w:tr>
      <w:tr w:rsidR="006561BA" w14:paraId="61A247BB" w14:textId="77777777">
        <w:tc>
          <w:tcPr>
            <w:tcW w:w="2484" w:type="dxa"/>
            <w:tcMar>
              <w:top w:w="200" w:type="dxa"/>
              <w:left w:w="0" w:type="dxa"/>
              <w:bottom w:w="200" w:type="dxa"/>
            </w:tcMar>
          </w:tcPr>
          <w:p w14:paraId="663B6B03" w14:textId="77777777" w:rsidR="006561BA" w:rsidRDefault="006561BA">
            <w:pPr>
              <w:pStyle w:val="AnnexTableCellLeft"/>
              <w:pageBreakBefore/>
            </w:pPr>
          </w:p>
        </w:tc>
        <w:tc>
          <w:tcPr>
            <w:tcW w:w="6744" w:type="dxa"/>
            <w:tcMar>
              <w:top w:w="200" w:type="dxa"/>
              <w:bottom w:w="200" w:type="dxa"/>
              <w:right w:w="0" w:type="dxa"/>
            </w:tcMar>
          </w:tcPr>
          <w:p w14:paraId="1085372C" w14:textId="77777777" w:rsidR="006561BA" w:rsidRDefault="005B4ED6">
            <w:pPr>
              <w:pStyle w:val="AnnexTableCellLeft"/>
            </w:pPr>
            <w:r>
              <w:t>Aktiviteten omfatter ikke forringelse av areal med stort karbonlager(</w:t>
            </w:r>
            <w:bookmarkStart w:id="379" w:name="NOTE_382"/>
            <w:r>
              <w:rPr>
                <w:rStyle w:val="FootnoteReference"/>
                <w:sz w:val="18"/>
              </w:rPr>
              <w:footnoteReference w:id="383"/>
            </w:r>
            <w:bookmarkEnd w:id="379"/>
            <w:r>
              <w:t>) eller forringelse av havmiljø med stort karbonlager.</w:t>
            </w:r>
          </w:p>
        </w:tc>
      </w:tr>
      <w:tr w:rsidR="006561BA" w14:paraId="58B81F5A" w14:textId="77777777">
        <w:tc>
          <w:tcPr>
            <w:tcW w:w="2484" w:type="dxa"/>
            <w:tcMar>
              <w:top w:w="200" w:type="dxa"/>
              <w:left w:w="0" w:type="dxa"/>
              <w:bottom w:w="200" w:type="dxa"/>
            </w:tcMar>
          </w:tcPr>
          <w:p w14:paraId="29A6CC58" w14:textId="77777777" w:rsidR="006561BA" w:rsidRDefault="005B4ED6">
            <w:pPr>
              <w:pStyle w:val="AnnexNumberedText"/>
              <w:spacing w:after="0"/>
              <w:ind w:left="293" w:hanging="293"/>
            </w:pPr>
            <w:r>
              <w:t>2)</w:t>
            </w:r>
            <w:r>
              <w:tab/>
              <w:t>Tilpasning til klimaendringer</w:t>
            </w:r>
          </w:p>
        </w:tc>
        <w:tc>
          <w:tcPr>
            <w:tcW w:w="6744" w:type="dxa"/>
            <w:tcMar>
              <w:top w:w="200" w:type="dxa"/>
              <w:bottom w:w="200" w:type="dxa"/>
              <w:right w:w="0" w:type="dxa"/>
            </w:tcMar>
          </w:tcPr>
          <w:p w14:paraId="7EFA05A9" w14:textId="77777777" w:rsidR="006561BA" w:rsidRDefault="005B4ED6">
            <w:pPr>
              <w:pStyle w:val="AnnexTableCellLeft"/>
            </w:pPr>
            <w:r>
              <w:t>Aktiviteten oppfyller kriteriene fastsatt i tillegg A til dette vedlegget.</w:t>
            </w:r>
          </w:p>
        </w:tc>
      </w:tr>
      <w:tr w:rsidR="006561BA" w14:paraId="4BE0F649" w14:textId="77777777">
        <w:tc>
          <w:tcPr>
            <w:tcW w:w="2484" w:type="dxa"/>
            <w:tcMar>
              <w:top w:w="200" w:type="dxa"/>
              <w:left w:w="0" w:type="dxa"/>
              <w:bottom w:w="200" w:type="dxa"/>
            </w:tcMar>
          </w:tcPr>
          <w:p w14:paraId="2A979C62" w14:textId="77777777" w:rsidR="006561BA" w:rsidRDefault="005B4ED6">
            <w:pPr>
              <w:pStyle w:val="AnnexNumberedText"/>
              <w:spacing w:after="0"/>
              <w:ind w:left="293" w:hanging="293"/>
            </w:pPr>
            <w:r>
              <w:t>3)</w:t>
            </w:r>
            <w:r>
              <w:tab/>
              <w:t>Bærekraftig bruk og beskyttelse av vann- og havressurser</w:t>
            </w:r>
          </w:p>
        </w:tc>
        <w:tc>
          <w:tcPr>
            <w:tcW w:w="6744" w:type="dxa"/>
            <w:tcMar>
              <w:top w:w="200" w:type="dxa"/>
              <w:bottom w:w="200" w:type="dxa"/>
              <w:right w:w="0" w:type="dxa"/>
            </w:tcMar>
          </w:tcPr>
          <w:p w14:paraId="15572988" w14:textId="77777777" w:rsidR="006561BA" w:rsidRDefault="005B4ED6">
            <w:pPr>
              <w:pStyle w:val="AnnexTableCellLeft"/>
            </w:pPr>
            <w:r>
              <w:t>Aktiviteten oppfyller kriteriene fastsatt i tillegg B til dette vedlegget.</w:t>
            </w:r>
          </w:p>
        </w:tc>
      </w:tr>
      <w:tr w:rsidR="006561BA" w14:paraId="365907E7" w14:textId="77777777">
        <w:tc>
          <w:tcPr>
            <w:tcW w:w="2484" w:type="dxa"/>
            <w:tcMar>
              <w:top w:w="200" w:type="dxa"/>
              <w:left w:w="0" w:type="dxa"/>
              <w:bottom w:w="200" w:type="dxa"/>
            </w:tcMar>
          </w:tcPr>
          <w:p w14:paraId="10552AFC" w14:textId="77777777" w:rsidR="006561BA" w:rsidRDefault="005B4ED6">
            <w:pPr>
              <w:pStyle w:val="AnnexNumberedText"/>
              <w:spacing w:after="0"/>
              <w:ind w:left="293" w:hanging="293"/>
            </w:pPr>
            <w:r>
              <w:t>4)</w:t>
            </w:r>
            <w:r>
              <w:tab/>
              <w:t>Omstilling til en sirkulær økonomi</w:t>
            </w:r>
          </w:p>
        </w:tc>
        <w:tc>
          <w:tcPr>
            <w:tcW w:w="6744" w:type="dxa"/>
            <w:tcMar>
              <w:top w:w="200" w:type="dxa"/>
              <w:bottom w:w="200" w:type="dxa"/>
              <w:right w:w="0" w:type="dxa"/>
            </w:tcMar>
          </w:tcPr>
          <w:p w14:paraId="2E5EBE92" w14:textId="77777777" w:rsidR="006561BA" w:rsidRDefault="005B4ED6">
            <w:pPr>
              <w:pStyle w:val="AnnexTableCellLeft"/>
              <w:spacing w:after="120"/>
            </w:pPr>
            <w:r>
              <w:t>Overnattingsvirksomheten</w:t>
            </w:r>
          </w:p>
          <w:p w14:paraId="03C1A349" w14:textId="77777777" w:rsidR="006561BA" w:rsidRDefault="005B4ED6">
            <w:pPr>
              <w:pStyle w:val="AnnexNumberedText"/>
              <w:ind w:left="293" w:hanging="293"/>
            </w:pPr>
            <w:r>
              <w:t>a)</w:t>
            </w:r>
            <w:r>
              <w:tab/>
              <w:t>gjør ikke bruk av eller tilbyr sine gjester noen av de produktene som er oppført i del B i vedlegget til europaparlaments- og rådsdirektiv (EU) 2019/904(</w:t>
            </w:r>
            <w:bookmarkStart w:id="380" w:name="NOTE_383"/>
            <w:r>
              <w:rPr>
                <w:rStyle w:val="FootnoteReference"/>
                <w:sz w:val="18"/>
              </w:rPr>
              <w:footnoteReference w:id="384"/>
            </w:r>
            <w:bookmarkEnd w:id="380"/>
            <w:r>
              <w:t>),</w:t>
            </w:r>
          </w:p>
          <w:p w14:paraId="36A1DC7F" w14:textId="77777777" w:rsidR="006561BA" w:rsidRDefault="005B4ED6">
            <w:pPr>
              <w:pStyle w:val="AnnexNumberedText"/>
              <w:ind w:left="293" w:hanging="293"/>
            </w:pPr>
            <w:r>
              <w:t>b)</w:t>
            </w:r>
            <w:r>
              <w:tab/>
              <w:t>kildesorterer papir, metall, plast, glass og bioavfall dersom separat innsamling av disse materialene er tilgjengelig i området(</w:t>
            </w:r>
            <w:bookmarkStart w:id="381" w:name="NOTE_384"/>
            <w:r>
              <w:rPr>
                <w:rStyle w:val="FootnoteReference"/>
                <w:sz w:val="18"/>
              </w:rPr>
              <w:footnoteReference w:id="385"/>
            </w:r>
            <w:bookmarkEnd w:id="381"/>
            <w:r>
              <w:t>),</w:t>
            </w:r>
          </w:p>
          <w:p w14:paraId="7A94B7B8" w14:textId="77777777" w:rsidR="006561BA" w:rsidRDefault="005B4ED6">
            <w:pPr>
              <w:pStyle w:val="AnnexNumberedText"/>
              <w:spacing w:after="0"/>
              <w:ind w:left="293" w:hanging="293"/>
            </w:pPr>
            <w:r>
              <w:t>c)</w:t>
            </w:r>
            <w:r>
              <w:tab/>
              <w:t>har en plan for forebygging av næringsmiddelsvinn med et spesifikt tidsbestemt kvantitativt mål for reduksjon av næringsmiddelavfall(</w:t>
            </w:r>
            <w:bookmarkStart w:id="382" w:name="NOTE_385"/>
            <w:r>
              <w:rPr>
                <w:rStyle w:val="FootnoteReference"/>
                <w:sz w:val="18"/>
              </w:rPr>
              <w:footnoteReference w:id="386"/>
            </w:r>
            <w:bookmarkEnd w:id="382"/>
            <w:r>
              <w:t>).</w:t>
            </w:r>
          </w:p>
        </w:tc>
      </w:tr>
      <w:tr w:rsidR="006561BA" w14:paraId="02262F4F" w14:textId="77777777">
        <w:tc>
          <w:tcPr>
            <w:tcW w:w="2484" w:type="dxa"/>
            <w:tcMar>
              <w:top w:w="200" w:type="dxa"/>
              <w:left w:w="0" w:type="dxa"/>
              <w:bottom w:w="200" w:type="dxa"/>
            </w:tcMar>
          </w:tcPr>
          <w:p w14:paraId="1090FEB7" w14:textId="77777777" w:rsidR="006561BA" w:rsidRDefault="005B4ED6">
            <w:pPr>
              <w:pStyle w:val="AnnexNumberedText"/>
              <w:spacing w:after="0"/>
              <w:ind w:left="293" w:hanging="293"/>
            </w:pPr>
            <w:r>
              <w:t>5)</w:t>
            </w:r>
            <w:r>
              <w:tab/>
              <w:t>Forebygging og begrensning av forurensning</w:t>
            </w:r>
          </w:p>
        </w:tc>
        <w:tc>
          <w:tcPr>
            <w:tcW w:w="6744" w:type="dxa"/>
            <w:tcMar>
              <w:top w:w="200" w:type="dxa"/>
              <w:bottom w:w="200" w:type="dxa"/>
              <w:right w:w="0" w:type="dxa"/>
            </w:tcMar>
          </w:tcPr>
          <w:p w14:paraId="25886522" w14:textId="77777777" w:rsidR="006561BA" w:rsidRDefault="005B4ED6">
            <w:pPr>
              <w:pStyle w:val="AnnexTableCellLeft"/>
              <w:spacing w:after="120"/>
            </w:pPr>
            <w:r>
              <w:t>Aktiviteten oppfyller kriteriene fastsatt i tillegg C til dette vedlegget.</w:t>
            </w:r>
          </w:p>
          <w:p w14:paraId="7C9C9B18" w14:textId="77777777" w:rsidR="006561BA" w:rsidRDefault="005B4ED6">
            <w:pPr>
              <w:pStyle w:val="AnnexTableCellLeft"/>
              <w:spacing w:after="120"/>
            </w:pPr>
            <w:r>
              <w:t>Aktiviteten er i samsvar med europaparlaments- og rådsdirektiv (EU) 2015/2193(</w:t>
            </w:r>
            <w:bookmarkStart w:id="383" w:name="NOTE_386"/>
            <w:r>
              <w:rPr>
                <w:rStyle w:val="FootnoteReference"/>
                <w:sz w:val="18"/>
              </w:rPr>
              <w:footnoteReference w:id="387"/>
            </w:r>
            <w:bookmarkEnd w:id="383"/>
            <w:r>
              <w:t>).</w:t>
            </w:r>
          </w:p>
          <w:p w14:paraId="1EF6EE71" w14:textId="77777777" w:rsidR="006561BA" w:rsidRDefault="005B4ED6">
            <w:pPr>
              <w:pStyle w:val="AnnexTableCellLeft"/>
            </w:pPr>
            <w:r>
              <w:t>Forurensning som følge av støy, plast, lys og kjemikalier minimeres.</w:t>
            </w:r>
          </w:p>
        </w:tc>
      </w:tr>
    </w:tbl>
    <w:p w14:paraId="0DF19D67" w14:textId="77777777" w:rsidR="006561BA" w:rsidRDefault="006561BA">
      <w:pPr>
        <w:pStyle w:val="AnnexTI"/>
        <w:jc w:val="both"/>
      </w:pPr>
    </w:p>
    <w:p w14:paraId="093038A3" w14:textId="77777777" w:rsidR="006561BA" w:rsidRDefault="006561BA">
      <w:pPr>
        <w:pStyle w:val="AnnexTI"/>
        <w:sectPr w:rsidR="006561BA" w:rsidSect="000D3D55">
          <w:footnotePr>
            <w:pos w:val="beneathText"/>
            <w:numRestart w:val="eachPage"/>
          </w:footnotePr>
          <w:pgSz w:w="11906" w:h="16838" w:code="9"/>
          <w:pgMar w:top="1680" w:right="1333" w:bottom="840" w:left="1333" w:header="920" w:footer="280" w:gutter="0"/>
          <w:cols w:space="708"/>
          <w:docGrid w:linePitch="360"/>
        </w:sectPr>
      </w:pPr>
    </w:p>
    <w:p w14:paraId="19F982E2" w14:textId="77777777" w:rsidR="006561BA" w:rsidRDefault="005B4ED6">
      <w:pPr>
        <w:pStyle w:val="AnnexTI"/>
        <w:spacing w:after="120"/>
      </w:pPr>
      <w:r>
        <w:lastRenderedPageBreak/>
        <w:t>Tillegg A</w:t>
      </w:r>
    </w:p>
    <w:p w14:paraId="141EDE63" w14:textId="77777777" w:rsidR="006561BA" w:rsidRDefault="005B4ED6">
      <w:pPr>
        <w:pStyle w:val="AnnexSTI"/>
        <w:spacing w:after="200"/>
      </w:pPr>
      <w:r>
        <w:t>Generiske kriterier for anvendelse av prinsippet om ikke å gjøre betydelig skade (DNSH-kriterier) for tilpasning til klimaendringer</w:t>
      </w:r>
    </w:p>
    <w:p w14:paraId="7F463DF9" w14:textId="77777777" w:rsidR="006561BA" w:rsidRDefault="005B4ED6">
      <w:pPr>
        <w:pStyle w:val="AnnexNumberedText"/>
        <w:ind w:left="308" w:hanging="308"/>
      </w:pPr>
      <w:r>
        <w:t>I.</w:t>
      </w:r>
      <w:r>
        <w:rPr>
          <w:b/>
        </w:rPr>
        <w:tab/>
        <w:t>Kriterier</w:t>
      </w:r>
    </w:p>
    <w:tbl>
      <w:tblPr>
        <w:tblStyle w:val="EFTATable"/>
        <w:tblW w:w="9228" w:type="dxa"/>
        <w:tblInd w:w="112" w:type="dxa"/>
        <w:tblLayout w:type="fixed"/>
        <w:tblLook w:val="04A0" w:firstRow="1" w:lastRow="0" w:firstColumn="1" w:lastColumn="0" w:noHBand="0" w:noVBand="1"/>
      </w:tblPr>
      <w:tblGrid>
        <w:gridCol w:w="9228"/>
      </w:tblGrid>
      <w:tr w:rsidR="006561BA" w14:paraId="6212A4C5" w14:textId="77777777">
        <w:tc>
          <w:tcPr>
            <w:tcW w:w="9228" w:type="dxa"/>
            <w:tcBorders>
              <w:left w:val="single" w:sz="4" w:space="0" w:color="auto"/>
              <w:right w:val="single" w:sz="4" w:space="0" w:color="auto"/>
            </w:tcBorders>
            <w:shd w:val="clear" w:color="auto" w:fill="F2F2F2"/>
            <w:tcMar>
              <w:top w:w="100" w:type="dxa"/>
              <w:left w:w="100" w:type="dxa"/>
              <w:bottom w:w="100" w:type="dxa"/>
              <w:right w:w="100" w:type="dxa"/>
            </w:tcMar>
          </w:tcPr>
          <w:p w14:paraId="44C47AA2" w14:textId="77777777" w:rsidR="006561BA" w:rsidRDefault="005B4ED6">
            <w:pPr>
              <w:pStyle w:val="AnnexNormal"/>
              <w:spacing w:after="120"/>
            </w:pPr>
            <w:r>
              <w:t>De fysiske klimarisikoene som er vesentlige for aktiviteten, er identifisert ut fra dem som er oppført i tabellen i avsnitt II i dette tillegget, ved å utføre en robust klimarisiko- og sårbarhetsvurdering med følgende trinn:</w:t>
            </w:r>
          </w:p>
          <w:p w14:paraId="40A17863" w14:textId="77777777" w:rsidR="006561BA" w:rsidRDefault="005B4ED6">
            <w:pPr>
              <w:pStyle w:val="AnnexNumberedText"/>
              <w:ind w:left="293" w:hanging="293"/>
            </w:pPr>
            <w:r>
              <w:t>a)</w:t>
            </w:r>
            <w:r>
              <w:tab/>
              <w:t>Screening av aktiviteten for å identifisere hvilke fysiske klimarisikoer fra listen i avsnitt II i dette tillegget som kan påvirke den økonomiske aktivitetens prestasjon i dens forventede levetid.</w:t>
            </w:r>
          </w:p>
          <w:p w14:paraId="0D943826" w14:textId="77777777" w:rsidR="006561BA" w:rsidRDefault="005B4ED6">
            <w:pPr>
              <w:pStyle w:val="AnnexNumberedText"/>
              <w:ind w:left="293" w:hanging="293"/>
            </w:pPr>
            <w:r>
              <w:t>b)</w:t>
            </w:r>
            <w:r>
              <w:tab/>
              <w:t>Dersom aktiviteten vurderes å være utsatt for en eller flere av de fysiske klimarisikoene som er oppført i avsnitt II i dette tillegget, en klimarisiko- og sårbarhetsvurdering for å vurdere hvor vesentlige de fysiske klimarisikoene er for den økonomiske aktiviteten.</w:t>
            </w:r>
          </w:p>
          <w:p w14:paraId="0A3AB68A" w14:textId="77777777" w:rsidR="006561BA" w:rsidRDefault="005B4ED6">
            <w:pPr>
              <w:pStyle w:val="AnnexNumberedText"/>
              <w:ind w:left="293" w:hanging="293"/>
            </w:pPr>
            <w:r>
              <w:t>c)</w:t>
            </w:r>
            <w:r>
              <w:tab/>
              <w:t>En vurdering av tilpasningsløsninger som kan redusere den identifiserte fysiske klimarisikoen.</w:t>
            </w:r>
          </w:p>
          <w:p w14:paraId="09799079" w14:textId="77777777" w:rsidR="006561BA" w:rsidRDefault="005B4ED6">
            <w:pPr>
              <w:pStyle w:val="AnnexNormal"/>
              <w:spacing w:after="120"/>
            </w:pPr>
            <w:r>
              <w:t>Klimarisiko- og sårbarhetsvurderingen står i forhold til aktivitetens omfang og forventede levetid, slik at</w:t>
            </w:r>
          </w:p>
          <w:p w14:paraId="17A81840" w14:textId="77777777" w:rsidR="006561BA" w:rsidRDefault="005B4ED6">
            <w:pPr>
              <w:pStyle w:val="AnnexNumberedText"/>
              <w:ind w:left="293" w:hanging="293"/>
            </w:pPr>
            <w:r>
              <w:t>a)</w:t>
            </w:r>
            <w:r>
              <w:tab/>
              <w:t>vurderingen av aktiviteter med en forventet levetid på mindre enn ti år som et minimum utføres ved å bruke klimaframskrivninger i minste hensiktsmessige skala,</w:t>
            </w:r>
          </w:p>
          <w:p w14:paraId="26B6FBC2" w14:textId="77777777" w:rsidR="006561BA" w:rsidRDefault="005B4ED6">
            <w:pPr>
              <w:pStyle w:val="AnnexNumberedText"/>
              <w:ind w:left="293" w:hanging="293"/>
            </w:pPr>
            <w:r>
              <w:t>b)</w:t>
            </w:r>
            <w:r>
              <w:tab/>
              <w:t>vurderingen av alle andre aktiviteter utføres ved hjelp av avanserte klimaframskrivninger med høyest tilgjengelig oppløsning på tvers av alle eksisterende framtidige scenarioer(</w:t>
            </w:r>
            <w:bookmarkStart w:id="384" w:name="NOTE_387"/>
            <w:r>
              <w:rPr>
                <w:rStyle w:val="FootnoteReference"/>
                <w:sz w:val="18"/>
              </w:rPr>
              <w:footnoteReference w:id="388"/>
            </w:r>
            <w:bookmarkEnd w:id="384"/>
            <w:r>
              <w:t>), som er i samsvar med aktivitetens forventede levetid, herunder klimaframskrivningsscenarioer på minst 10–30 år for større investeringer.</w:t>
            </w:r>
          </w:p>
          <w:p w14:paraId="54E51745" w14:textId="77777777" w:rsidR="006561BA" w:rsidRDefault="005B4ED6">
            <w:pPr>
              <w:pStyle w:val="AnnexNormal"/>
              <w:spacing w:after="120"/>
            </w:pPr>
            <w:r>
              <w:t>Klimaframskrivningene og vurderingen av virkninger er basert på beste praksis og tilgjengelig veiledning og tar hensyn til den nyeste vitenskapen for sårbarhets- og risikoanalyser og relaterte metoder i tråd med de nyeste rapportene fra FNs klimapanel(</w:t>
            </w:r>
            <w:bookmarkStart w:id="385" w:name="NOTE_388"/>
            <w:r>
              <w:rPr>
                <w:rStyle w:val="FootnoteReference"/>
                <w:sz w:val="18"/>
              </w:rPr>
              <w:footnoteReference w:id="389"/>
            </w:r>
            <w:bookmarkEnd w:id="385"/>
            <w:r>
              <w:t>), fagfellevurderte vitenskapelige publikasjoner og modeller som bruker åpen kildekode(</w:t>
            </w:r>
            <w:bookmarkStart w:id="386" w:name="NOTE_389"/>
            <w:r>
              <w:rPr>
                <w:rStyle w:val="FootnoteReference"/>
                <w:sz w:val="18"/>
              </w:rPr>
              <w:footnoteReference w:id="390"/>
            </w:r>
            <w:bookmarkEnd w:id="386"/>
            <w:r>
              <w:t>), eller betalingsmodeller.</w:t>
            </w:r>
          </w:p>
          <w:p w14:paraId="73BA8B14" w14:textId="77777777" w:rsidR="006561BA" w:rsidRDefault="005B4ED6">
            <w:pPr>
              <w:pStyle w:val="AnnexNormal"/>
              <w:spacing w:after="120"/>
            </w:pPr>
            <w:r>
              <w:t>For eksisterende aktiviteter og nye aktiviteter som bruker eksisterende fysiske eiendeler, gjennomfører markedsdeltakeren fysiske og ikke-fysiske løsninger («tilpasningsløsninger») over et tidsrom på inntil fem år, som reduserer de viktigste identifiserte fysiske klimarisikoene som er vesentlige for denne aktiviteten. En tilpasningsplan for gjennomføringen av disse løsningene utarbeides i samsvar med dette.</w:t>
            </w:r>
          </w:p>
          <w:p w14:paraId="56767660" w14:textId="77777777" w:rsidR="006561BA" w:rsidRDefault="005B4ED6">
            <w:pPr>
              <w:pStyle w:val="AnnexNormal"/>
              <w:spacing w:after="120"/>
            </w:pPr>
            <w:r>
              <w:t>For nye aktiviteter og eksisterende aktiviteter som bruker nybygde fysiske eiendeler, integrerer markedsdeltakeren tilpasningsløsningene som reduserer de viktigste identifiserte fysiske klimarisikoene som er vesentlige for denne aktiviteten, på tidspunktet for utforming og bygging, og har gjennomført dem før driften igangsettes.</w:t>
            </w:r>
          </w:p>
          <w:p w14:paraId="19A8214F" w14:textId="77777777" w:rsidR="006561BA" w:rsidRDefault="005B4ED6">
            <w:pPr>
              <w:pStyle w:val="AnnexNormal"/>
            </w:pPr>
            <w:r>
              <w:t>De gjennomførte tilpasningsløsningene har ingen negativ innvirkning på tilpasningstiltakene eller motstandsdyktigheten mot fysiske klimarisikoer hos andre mennesker, naturen, kulturarv, eiendeler og andre økonomiske aktiviteter, er i samsvar med lokale, sektorielle, regionale eller nasjonale tilpasningsstrategier og -planer, og vurderer bruken av naturbaserte løsninger(</w:t>
            </w:r>
            <w:bookmarkStart w:id="387" w:name="NOTE_390"/>
            <w:r>
              <w:rPr>
                <w:rStyle w:val="FootnoteReference"/>
                <w:sz w:val="18"/>
              </w:rPr>
              <w:footnoteReference w:id="391"/>
            </w:r>
            <w:bookmarkEnd w:id="387"/>
            <w:r>
              <w:t>) eller støtter seg på blå eller grønn infrastruktur(</w:t>
            </w:r>
            <w:bookmarkStart w:id="388" w:name="NOTE_391"/>
            <w:r>
              <w:rPr>
                <w:rStyle w:val="FootnoteReference"/>
                <w:sz w:val="18"/>
              </w:rPr>
              <w:footnoteReference w:id="392"/>
            </w:r>
            <w:bookmarkEnd w:id="388"/>
            <w:r>
              <w:t>) i den grad det er mulig.</w:t>
            </w:r>
          </w:p>
        </w:tc>
      </w:tr>
    </w:tbl>
    <w:p w14:paraId="004807F1" w14:textId="77777777" w:rsidR="006561BA" w:rsidRDefault="005B4ED6">
      <w:pPr>
        <w:pStyle w:val="AnnexNormal"/>
      </w:pPr>
      <w:r>
        <w:br w:type="page"/>
      </w:r>
    </w:p>
    <w:p w14:paraId="66654B04" w14:textId="77777777" w:rsidR="006561BA" w:rsidRDefault="005B4ED6">
      <w:pPr>
        <w:pStyle w:val="AnnexNumberedText"/>
        <w:spacing w:after="300"/>
        <w:ind w:left="308" w:hanging="308"/>
      </w:pPr>
      <w:r>
        <w:lastRenderedPageBreak/>
        <w:t>II.</w:t>
      </w:r>
      <w:r>
        <w:rPr>
          <w:b/>
        </w:rPr>
        <w:tab/>
        <w:t>Klassifisering av klimarelaterte farer</w:t>
      </w:r>
      <w:r>
        <w:t>(</w:t>
      </w:r>
      <w:bookmarkStart w:id="389" w:name="NOTE_392"/>
      <w:r>
        <w:rPr>
          <w:rStyle w:val="FootnoteReference"/>
          <w:sz w:val="18"/>
        </w:rPr>
        <w:footnoteReference w:id="393"/>
      </w:r>
      <w:bookmarkEnd w:id="389"/>
      <w:r>
        <w:t>)</w:t>
      </w:r>
    </w:p>
    <w:tbl>
      <w:tblPr>
        <w:tblStyle w:val="EFTATable"/>
        <w:tblW w:w="9228" w:type="dxa"/>
        <w:tblInd w:w="12" w:type="dxa"/>
        <w:shd w:val="clear" w:color="auto" w:fill="F2F2F2"/>
        <w:tblLayout w:type="fixed"/>
        <w:tblLook w:val="04A0" w:firstRow="1" w:lastRow="0" w:firstColumn="1" w:lastColumn="0" w:noHBand="0" w:noVBand="1"/>
      </w:tblPr>
      <w:tblGrid>
        <w:gridCol w:w="936"/>
        <w:gridCol w:w="2073"/>
        <w:gridCol w:w="2073"/>
        <w:gridCol w:w="2073"/>
        <w:gridCol w:w="2073"/>
      </w:tblGrid>
      <w:tr w:rsidR="006561BA" w14:paraId="3F5CD8B8" w14:textId="77777777">
        <w:trPr>
          <w:trHeight w:val="240"/>
          <w:tblHeader/>
        </w:trPr>
        <w:tc>
          <w:tcPr>
            <w:tcW w:w="936" w:type="dxa"/>
            <w:shd w:val="clear" w:color="auto" w:fill="F2F2F2"/>
            <w:tcMar>
              <w:top w:w="60" w:type="dxa"/>
              <w:left w:w="0" w:type="dxa"/>
              <w:bottom w:w="60" w:type="dxa"/>
              <w:right w:w="0" w:type="dxa"/>
            </w:tcMar>
            <w:vAlign w:val="center"/>
          </w:tcPr>
          <w:p w14:paraId="56FBC792" w14:textId="77777777" w:rsidR="006561BA" w:rsidRDefault="006561BA">
            <w:pPr>
              <w:pStyle w:val="AnnexTableHeader"/>
              <w:spacing w:line="200" w:lineRule="exact"/>
            </w:pPr>
          </w:p>
        </w:tc>
        <w:tc>
          <w:tcPr>
            <w:tcW w:w="2073" w:type="dxa"/>
            <w:shd w:val="clear" w:color="auto" w:fill="F2F2F2"/>
            <w:tcMar>
              <w:top w:w="60" w:type="dxa"/>
              <w:bottom w:w="60" w:type="dxa"/>
            </w:tcMar>
            <w:vAlign w:val="center"/>
          </w:tcPr>
          <w:p w14:paraId="14242294" w14:textId="77777777" w:rsidR="006561BA" w:rsidRDefault="005B4ED6">
            <w:pPr>
              <w:pStyle w:val="AnnexTableHeader"/>
              <w:spacing w:line="200" w:lineRule="exact"/>
            </w:pPr>
            <w:r>
              <w:rPr>
                <w:b/>
              </w:rPr>
              <w:t>Temperaturrelatert</w:t>
            </w:r>
          </w:p>
        </w:tc>
        <w:tc>
          <w:tcPr>
            <w:tcW w:w="2073" w:type="dxa"/>
            <w:shd w:val="clear" w:color="auto" w:fill="F2F2F2"/>
            <w:tcMar>
              <w:top w:w="60" w:type="dxa"/>
              <w:bottom w:w="60" w:type="dxa"/>
            </w:tcMar>
            <w:vAlign w:val="center"/>
          </w:tcPr>
          <w:p w14:paraId="494F48E1" w14:textId="77777777" w:rsidR="006561BA" w:rsidRDefault="005B4ED6">
            <w:pPr>
              <w:pStyle w:val="AnnexTableHeader"/>
              <w:spacing w:line="200" w:lineRule="exact"/>
            </w:pPr>
            <w:r>
              <w:rPr>
                <w:b/>
              </w:rPr>
              <w:t>Vindrelatert</w:t>
            </w:r>
          </w:p>
        </w:tc>
        <w:tc>
          <w:tcPr>
            <w:tcW w:w="2073" w:type="dxa"/>
            <w:shd w:val="clear" w:color="auto" w:fill="F2F2F2"/>
            <w:tcMar>
              <w:top w:w="60" w:type="dxa"/>
              <w:bottom w:w="60" w:type="dxa"/>
            </w:tcMar>
            <w:vAlign w:val="center"/>
          </w:tcPr>
          <w:p w14:paraId="01ABB3A9" w14:textId="77777777" w:rsidR="006561BA" w:rsidRDefault="005B4ED6">
            <w:pPr>
              <w:pStyle w:val="AnnexTableHeader"/>
              <w:spacing w:line="200" w:lineRule="exact"/>
            </w:pPr>
            <w:r>
              <w:rPr>
                <w:b/>
              </w:rPr>
              <w:t>Vannrelatert</w:t>
            </w:r>
          </w:p>
        </w:tc>
        <w:tc>
          <w:tcPr>
            <w:tcW w:w="2073" w:type="dxa"/>
            <w:shd w:val="clear" w:color="auto" w:fill="F2F2F2"/>
            <w:tcMar>
              <w:top w:w="60" w:type="dxa"/>
              <w:bottom w:w="60" w:type="dxa"/>
              <w:right w:w="0" w:type="dxa"/>
            </w:tcMar>
            <w:vAlign w:val="center"/>
          </w:tcPr>
          <w:p w14:paraId="33181EA8" w14:textId="77777777" w:rsidR="006561BA" w:rsidRDefault="005B4ED6">
            <w:pPr>
              <w:pStyle w:val="AnnexTableHeader"/>
              <w:spacing w:line="200" w:lineRule="exact"/>
            </w:pPr>
            <w:r>
              <w:rPr>
                <w:b/>
              </w:rPr>
              <w:t>Relatert til fast masse</w:t>
            </w:r>
          </w:p>
        </w:tc>
      </w:tr>
      <w:tr w:rsidR="006561BA" w14:paraId="1E0AACC1" w14:textId="77777777">
        <w:trPr>
          <w:trHeight w:val="240"/>
        </w:trPr>
        <w:tc>
          <w:tcPr>
            <w:tcW w:w="936" w:type="dxa"/>
            <w:vMerge w:val="restart"/>
            <w:shd w:val="clear" w:color="auto" w:fill="F2F2F2"/>
            <w:tcMar>
              <w:top w:w="60" w:type="dxa"/>
              <w:left w:w="0" w:type="dxa"/>
              <w:bottom w:w="60" w:type="dxa"/>
              <w:right w:w="0" w:type="dxa"/>
            </w:tcMar>
          </w:tcPr>
          <w:p w14:paraId="67F2D279" w14:textId="77777777" w:rsidR="006561BA" w:rsidRDefault="005B4ED6">
            <w:pPr>
              <w:pStyle w:val="AnnexTableCellLeft"/>
            </w:pPr>
            <w:r>
              <w:rPr>
                <w:b/>
              </w:rPr>
              <w:t>Kronisk</w:t>
            </w:r>
          </w:p>
        </w:tc>
        <w:tc>
          <w:tcPr>
            <w:tcW w:w="2073" w:type="dxa"/>
            <w:shd w:val="clear" w:color="auto" w:fill="F2F2F2"/>
            <w:tcMar>
              <w:top w:w="60" w:type="dxa"/>
              <w:bottom w:w="60" w:type="dxa"/>
            </w:tcMar>
          </w:tcPr>
          <w:p w14:paraId="69815EAC" w14:textId="77777777" w:rsidR="006561BA" w:rsidRDefault="005B4ED6">
            <w:pPr>
              <w:pStyle w:val="AnnexTableCellLeft"/>
            </w:pPr>
            <w:r>
              <w:t>Endringer i temperatur (luft, ferskvann, sjøvann)</w:t>
            </w:r>
          </w:p>
        </w:tc>
        <w:tc>
          <w:tcPr>
            <w:tcW w:w="2073" w:type="dxa"/>
            <w:shd w:val="clear" w:color="auto" w:fill="F2F2F2"/>
            <w:tcMar>
              <w:top w:w="60" w:type="dxa"/>
              <w:bottom w:w="60" w:type="dxa"/>
            </w:tcMar>
          </w:tcPr>
          <w:p w14:paraId="2319C9D9" w14:textId="77777777" w:rsidR="006561BA" w:rsidRDefault="005B4ED6">
            <w:pPr>
              <w:pStyle w:val="AnnexTableCellLeft"/>
            </w:pPr>
            <w:r>
              <w:t>Endringer i vindmønstre</w:t>
            </w:r>
          </w:p>
        </w:tc>
        <w:tc>
          <w:tcPr>
            <w:tcW w:w="2073" w:type="dxa"/>
            <w:shd w:val="clear" w:color="auto" w:fill="F2F2F2"/>
            <w:tcMar>
              <w:top w:w="60" w:type="dxa"/>
              <w:bottom w:w="60" w:type="dxa"/>
            </w:tcMar>
          </w:tcPr>
          <w:p w14:paraId="2F6149BF" w14:textId="77777777" w:rsidR="006561BA" w:rsidRDefault="005B4ED6">
            <w:pPr>
              <w:pStyle w:val="AnnexTableCellLeft"/>
            </w:pPr>
            <w:r>
              <w:t>Endringer i nedbørsmønstre og -typer (regn, hagl, snø/is)</w:t>
            </w:r>
          </w:p>
        </w:tc>
        <w:tc>
          <w:tcPr>
            <w:tcW w:w="2073" w:type="dxa"/>
            <w:shd w:val="clear" w:color="auto" w:fill="F2F2F2"/>
            <w:tcMar>
              <w:top w:w="60" w:type="dxa"/>
              <w:bottom w:w="60" w:type="dxa"/>
              <w:right w:w="0" w:type="dxa"/>
            </w:tcMar>
          </w:tcPr>
          <w:p w14:paraId="4256FBE7" w14:textId="77777777" w:rsidR="006561BA" w:rsidRDefault="005B4ED6">
            <w:pPr>
              <w:pStyle w:val="AnnexTableCellLeft"/>
            </w:pPr>
            <w:r>
              <w:t>Kysterosjon</w:t>
            </w:r>
          </w:p>
        </w:tc>
      </w:tr>
      <w:tr w:rsidR="006561BA" w14:paraId="73A0FDB2" w14:textId="77777777">
        <w:trPr>
          <w:trHeight w:val="240"/>
        </w:trPr>
        <w:tc>
          <w:tcPr>
            <w:tcW w:w="936" w:type="dxa"/>
            <w:vMerge/>
            <w:shd w:val="clear" w:color="auto" w:fill="F2F2F2"/>
            <w:tcMar>
              <w:top w:w="60" w:type="dxa"/>
              <w:left w:w="0" w:type="dxa"/>
              <w:bottom w:w="60" w:type="dxa"/>
              <w:right w:w="0" w:type="dxa"/>
            </w:tcMar>
          </w:tcPr>
          <w:p w14:paraId="1A9227CE" w14:textId="77777777" w:rsidR="006561BA" w:rsidRDefault="006561BA">
            <w:pPr>
              <w:pStyle w:val="Para"/>
            </w:pPr>
          </w:p>
        </w:tc>
        <w:tc>
          <w:tcPr>
            <w:tcW w:w="2073" w:type="dxa"/>
            <w:shd w:val="clear" w:color="auto" w:fill="F2F2F2"/>
            <w:tcMar>
              <w:top w:w="60" w:type="dxa"/>
              <w:bottom w:w="60" w:type="dxa"/>
            </w:tcMar>
          </w:tcPr>
          <w:p w14:paraId="740DCC72" w14:textId="77777777" w:rsidR="006561BA" w:rsidRDefault="005B4ED6">
            <w:pPr>
              <w:pStyle w:val="AnnexTableCellLeft"/>
            </w:pPr>
            <w:r>
              <w:t>Varmestress</w:t>
            </w:r>
          </w:p>
        </w:tc>
        <w:tc>
          <w:tcPr>
            <w:tcW w:w="2073" w:type="dxa"/>
            <w:shd w:val="clear" w:color="auto" w:fill="F2F2F2"/>
            <w:tcMar>
              <w:top w:w="60" w:type="dxa"/>
              <w:bottom w:w="60" w:type="dxa"/>
            </w:tcMar>
          </w:tcPr>
          <w:p w14:paraId="50691D9C" w14:textId="77777777" w:rsidR="006561BA" w:rsidRDefault="006561BA">
            <w:pPr>
              <w:pStyle w:val="AnnexTableCellLeft"/>
            </w:pPr>
          </w:p>
        </w:tc>
        <w:tc>
          <w:tcPr>
            <w:tcW w:w="2073" w:type="dxa"/>
            <w:shd w:val="clear" w:color="auto" w:fill="F2F2F2"/>
            <w:tcMar>
              <w:top w:w="60" w:type="dxa"/>
              <w:bottom w:w="60" w:type="dxa"/>
            </w:tcMar>
          </w:tcPr>
          <w:p w14:paraId="6BA1CE99" w14:textId="77777777" w:rsidR="006561BA" w:rsidRDefault="005B4ED6">
            <w:pPr>
              <w:pStyle w:val="AnnexTableCellLeft"/>
            </w:pPr>
            <w:proofErr w:type="spellStart"/>
            <w:r>
              <w:t>Nedbørsmessige</w:t>
            </w:r>
            <w:proofErr w:type="spellEnd"/>
            <w:r>
              <w:t xml:space="preserve"> eller hydrologiske variasjoner</w:t>
            </w:r>
          </w:p>
        </w:tc>
        <w:tc>
          <w:tcPr>
            <w:tcW w:w="2073" w:type="dxa"/>
            <w:shd w:val="clear" w:color="auto" w:fill="F2F2F2"/>
            <w:tcMar>
              <w:top w:w="60" w:type="dxa"/>
              <w:bottom w:w="60" w:type="dxa"/>
              <w:right w:w="0" w:type="dxa"/>
            </w:tcMar>
          </w:tcPr>
          <w:p w14:paraId="397FB71F" w14:textId="77777777" w:rsidR="006561BA" w:rsidRDefault="005B4ED6">
            <w:pPr>
              <w:pStyle w:val="AnnexTableCellLeft"/>
            </w:pPr>
            <w:r>
              <w:t>Jordforringelse</w:t>
            </w:r>
          </w:p>
        </w:tc>
      </w:tr>
      <w:tr w:rsidR="006561BA" w14:paraId="48D9475F" w14:textId="77777777">
        <w:trPr>
          <w:trHeight w:val="240"/>
        </w:trPr>
        <w:tc>
          <w:tcPr>
            <w:tcW w:w="936" w:type="dxa"/>
            <w:vMerge/>
            <w:shd w:val="clear" w:color="auto" w:fill="F2F2F2"/>
            <w:tcMar>
              <w:top w:w="60" w:type="dxa"/>
              <w:left w:w="0" w:type="dxa"/>
              <w:bottom w:w="60" w:type="dxa"/>
              <w:right w:w="0" w:type="dxa"/>
            </w:tcMar>
          </w:tcPr>
          <w:p w14:paraId="023182EA" w14:textId="77777777" w:rsidR="006561BA" w:rsidRDefault="006561BA">
            <w:pPr>
              <w:pStyle w:val="Para"/>
            </w:pPr>
          </w:p>
        </w:tc>
        <w:tc>
          <w:tcPr>
            <w:tcW w:w="2073" w:type="dxa"/>
            <w:shd w:val="clear" w:color="auto" w:fill="F2F2F2"/>
            <w:tcMar>
              <w:top w:w="60" w:type="dxa"/>
              <w:bottom w:w="60" w:type="dxa"/>
            </w:tcMar>
          </w:tcPr>
          <w:p w14:paraId="4077F831" w14:textId="77777777" w:rsidR="006561BA" w:rsidRDefault="005B4ED6">
            <w:pPr>
              <w:pStyle w:val="AnnexTableCellLeft"/>
            </w:pPr>
            <w:r>
              <w:t>Temperaturvariasjoner</w:t>
            </w:r>
          </w:p>
        </w:tc>
        <w:tc>
          <w:tcPr>
            <w:tcW w:w="2073" w:type="dxa"/>
            <w:shd w:val="clear" w:color="auto" w:fill="F2F2F2"/>
            <w:tcMar>
              <w:top w:w="60" w:type="dxa"/>
              <w:bottom w:w="60" w:type="dxa"/>
            </w:tcMar>
          </w:tcPr>
          <w:p w14:paraId="55793795" w14:textId="77777777" w:rsidR="006561BA" w:rsidRDefault="006561BA">
            <w:pPr>
              <w:pStyle w:val="AnnexTableCellLeft"/>
            </w:pPr>
          </w:p>
        </w:tc>
        <w:tc>
          <w:tcPr>
            <w:tcW w:w="2073" w:type="dxa"/>
            <w:shd w:val="clear" w:color="auto" w:fill="F2F2F2"/>
            <w:tcMar>
              <w:top w:w="60" w:type="dxa"/>
              <w:bottom w:w="60" w:type="dxa"/>
            </w:tcMar>
          </w:tcPr>
          <w:p w14:paraId="2656406C" w14:textId="77777777" w:rsidR="006561BA" w:rsidRDefault="005B4ED6">
            <w:pPr>
              <w:pStyle w:val="AnnexTableCellLeft"/>
            </w:pPr>
            <w:r>
              <w:t>Havforsuring</w:t>
            </w:r>
          </w:p>
        </w:tc>
        <w:tc>
          <w:tcPr>
            <w:tcW w:w="2073" w:type="dxa"/>
            <w:shd w:val="clear" w:color="auto" w:fill="F2F2F2"/>
            <w:tcMar>
              <w:top w:w="60" w:type="dxa"/>
              <w:bottom w:w="60" w:type="dxa"/>
              <w:right w:w="0" w:type="dxa"/>
            </w:tcMar>
          </w:tcPr>
          <w:p w14:paraId="55F23B49" w14:textId="77777777" w:rsidR="006561BA" w:rsidRDefault="005B4ED6">
            <w:pPr>
              <w:pStyle w:val="AnnexTableCellLeft"/>
            </w:pPr>
            <w:r>
              <w:t>Jorderosjon</w:t>
            </w:r>
          </w:p>
        </w:tc>
      </w:tr>
      <w:tr w:rsidR="006561BA" w14:paraId="4C9E7EDB" w14:textId="77777777">
        <w:trPr>
          <w:trHeight w:val="240"/>
        </w:trPr>
        <w:tc>
          <w:tcPr>
            <w:tcW w:w="936" w:type="dxa"/>
            <w:vMerge/>
            <w:shd w:val="clear" w:color="auto" w:fill="F2F2F2"/>
            <w:tcMar>
              <w:top w:w="60" w:type="dxa"/>
              <w:left w:w="0" w:type="dxa"/>
              <w:bottom w:w="60" w:type="dxa"/>
              <w:right w:w="0" w:type="dxa"/>
            </w:tcMar>
          </w:tcPr>
          <w:p w14:paraId="5293D7E9" w14:textId="77777777" w:rsidR="006561BA" w:rsidRDefault="006561BA">
            <w:pPr>
              <w:pStyle w:val="Para"/>
            </w:pPr>
          </w:p>
        </w:tc>
        <w:tc>
          <w:tcPr>
            <w:tcW w:w="2073" w:type="dxa"/>
            <w:shd w:val="clear" w:color="auto" w:fill="F2F2F2"/>
            <w:tcMar>
              <w:top w:w="60" w:type="dxa"/>
              <w:bottom w:w="60" w:type="dxa"/>
            </w:tcMar>
          </w:tcPr>
          <w:p w14:paraId="0CCEDBAA" w14:textId="77777777" w:rsidR="006561BA" w:rsidRDefault="005B4ED6">
            <w:pPr>
              <w:pStyle w:val="AnnexTableCellLeft"/>
            </w:pPr>
            <w:r>
              <w:t>Tinende permafrost</w:t>
            </w:r>
          </w:p>
        </w:tc>
        <w:tc>
          <w:tcPr>
            <w:tcW w:w="2073" w:type="dxa"/>
            <w:shd w:val="clear" w:color="auto" w:fill="F2F2F2"/>
            <w:tcMar>
              <w:top w:w="60" w:type="dxa"/>
              <w:bottom w:w="60" w:type="dxa"/>
            </w:tcMar>
          </w:tcPr>
          <w:p w14:paraId="76CDD050" w14:textId="77777777" w:rsidR="006561BA" w:rsidRDefault="006561BA">
            <w:pPr>
              <w:pStyle w:val="AnnexTableCellLeft"/>
            </w:pPr>
          </w:p>
        </w:tc>
        <w:tc>
          <w:tcPr>
            <w:tcW w:w="2073" w:type="dxa"/>
            <w:shd w:val="clear" w:color="auto" w:fill="F2F2F2"/>
            <w:tcMar>
              <w:top w:w="60" w:type="dxa"/>
              <w:bottom w:w="60" w:type="dxa"/>
            </w:tcMar>
          </w:tcPr>
          <w:p w14:paraId="50BD78CF" w14:textId="77777777" w:rsidR="006561BA" w:rsidRDefault="005B4ED6">
            <w:pPr>
              <w:pStyle w:val="AnnexTableCellLeft"/>
            </w:pPr>
            <w:r>
              <w:t>Saltvannsinntrengning</w:t>
            </w:r>
          </w:p>
        </w:tc>
        <w:tc>
          <w:tcPr>
            <w:tcW w:w="2073" w:type="dxa"/>
            <w:shd w:val="clear" w:color="auto" w:fill="F2F2F2"/>
            <w:tcMar>
              <w:top w:w="60" w:type="dxa"/>
              <w:bottom w:w="60" w:type="dxa"/>
              <w:right w:w="0" w:type="dxa"/>
            </w:tcMar>
          </w:tcPr>
          <w:p w14:paraId="0FD07ED6" w14:textId="77777777" w:rsidR="006561BA" w:rsidRDefault="005B4ED6">
            <w:pPr>
              <w:pStyle w:val="AnnexTableCellLeft"/>
            </w:pPr>
            <w:proofErr w:type="spellStart"/>
            <w:r>
              <w:t>Jordsig</w:t>
            </w:r>
            <w:proofErr w:type="spellEnd"/>
          </w:p>
        </w:tc>
      </w:tr>
      <w:tr w:rsidR="006561BA" w14:paraId="066D9112" w14:textId="77777777">
        <w:trPr>
          <w:trHeight w:val="240"/>
        </w:trPr>
        <w:tc>
          <w:tcPr>
            <w:tcW w:w="936" w:type="dxa"/>
            <w:vMerge/>
            <w:shd w:val="clear" w:color="auto" w:fill="F2F2F2"/>
            <w:tcMar>
              <w:top w:w="60" w:type="dxa"/>
              <w:left w:w="0" w:type="dxa"/>
              <w:bottom w:w="60" w:type="dxa"/>
              <w:right w:w="0" w:type="dxa"/>
            </w:tcMar>
          </w:tcPr>
          <w:p w14:paraId="77756A5A" w14:textId="77777777" w:rsidR="006561BA" w:rsidRDefault="006561BA">
            <w:pPr>
              <w:pStyle w:val="Para"/>
            </w:pPr>
          </w:p>
        </w:tc>
        <w:tc>
          <w:tcPr>
            <w:tcW w:w="2073" w:type="dxa"/>
            <w:shd w:val="clear" w:color="auto" w:fill="F2F2F2"/>
            <w:tcMar>
              <w:top w:w="60" w:type="dxa"/>
              <w:bottom w:w="60" w:type="dxa"/>
            </w:tcMar>
          </w:tcPr>
          <w:p w14:paraId="6E7DF3E1" w14:textId="77777777" w:rsidR="006561BA" w:rsidRDefault="006561BA">
            <w:pPr>
              <w:pStyle w:val="AnnexTableCellLeft"/>
            </w:pPr>
          </w:p>
        </w:tc>
        <w:tc>
          <w:tcPr>
            <w:tcW w:w="2073" w:type="dxa"/>
            <w:shd w:val="clear" w:color="auto" w:fill="F2F2F2"/>
            <w:tcMar>
              <w:top w:w="60" w:type="dxa"/>
              <w:bottom w:w="60" w:type="dxa"/>
            </w:tcMar>
          </w:tcPr>
          <w:p w14:paraId="7102023C" w14:textId="77777777" w:rsidR="006561BA" w:rsidRDefault="006561BA">
            <w:pPr>
              <w:pStyle w:val="AnnexTableCellLeft"/>
            </w:pPr>
          </w:p>
        </w:tc>
        <w:tc>
          <w:tcPr>
            <w:tcW w:w="2073" w:type="dxa"/>
            <w:shd w:val="clear" w:color="auto" w:fill="F2F2F2"/>
            <w:tcMar>
              <w:top w:w="60" w:type="dxa"/>
              <w:bottom w:w="60" w:type="dxa"/>
            </w:tcMar>
          </w:tcPr>
          <w:p w14:paraId="751CAF9B" w14:textId="77777777" w:rsidR="006561BA" w:rsidRDefault="005B4ED6">
            <w:pPr>
              <w:pStyle w:val="AnnexTableCellLeft"/>
            </w:pPr>
            <w:r>
              <w:t>Havnivåstigning</w:t>
            </w:r>
          </w:p>
        </w:tc>
        <w:tc>
          <w:tcPr>
            <w:tcW w:w="2073" w:type="dxa"/>
            <w:shd w:val="clear" w:color="auto" w:fill="F2F2F2"/>
            <w:tcMar>
              <w:top w:w="60" w:type="dxa"/>
              <w:bottom w:w="60" w:type="dxa"/>
              <w:right w:w="0" w:type="dxa"/>
            </w:tcMar>
          </w:tcPr>
          <w:p w14:paraId="6889B83B" w14:textId="77777777" w:rsidR="006561BA" w:rsidRDefault="006561BA">
            <w:pPr>
              <w:pStyle w:val="AnnexTableCellLeft"/>
            </w:pPr>
          </w:p>
        </w:tc>
      </w:tr>
      <w:tr w:rsidR="006561BA" w14:paraId="65DA604B" w14:textId="77777777">
        <w:trPr>
          <w:trHeight w:val="240"/>
        </w:trPr>
        <w:tc>
          <w:tcPr>
            <w:tcW w:w="936" w:type="dxa"/>
            <w:vMerge/>
            <w:shd w:val="clear" w:color="auto" w:fill="F2F2F2"/>
            <w:tcMar>
              <w:top w:w="60" w:type="dxa"/>
              <w:left w:w="0" w:type="dxa"/>
              <w:bottom w:w="60" w:type="dxa"/>
              <w:right w:w="0" w:type="dxa"/>
            </w:tcMar>
          </w:tcPr>
          <w:p w14:paraId="346306A7" w14:textId="77777777" w:rsidR="006561BA" w:rsidRDefault="006561BA">
            <w:pPr>
              <w:pStyle w:val="Para"/>
            </w:pPr>
          </w:p>
        </w:tc>
        <w:tc>
          <w:tcPr>
            <w:tcW w:w="2073" w:type="dxa"/>
            <w:shd w:val="clear" w:color="auto" w:fill="F2F2F2"/>
            <w:tcMar>
              <w:top w:w="60" w:type="dxa"/>
              <w:bottom w:w="60" w:type="dxa"/>
            </w:tcMar>
          </w:tcPr>
          <w:p w14:paraId="56030776" w14:textId="77777777" w:rsidR="006561BA" w:rsidRDefault="006561BA">
            <w:pPr>
              <w:pStyle w:val="AnnexTableCellLeft"/>
            </w:pPr>
          </w:p>
        </w:tc>
        <w:tc>
          <w:tcPr>
            <w:tcW w:w="2073" w:type="dxa"/>
            <w:shd w:val="clear" w:color="auto" w:fill="F2F2F2"/>
            <w:tcMar>
              <w:top w:w="60" w:type="dxa"/>
              <w:bottom w:w="60" w:type="dxa"/>
            </w:tcMar>
          </w:tcPr>
          <w:p w14:paraId="4D422F0E" w14:textId="77777777" w:rsidR="006561BA" w:rsidRDefault="006561BA">
            <w:pPr>
              <w:pStyle w:val="AnnexTableCellLeft"/>
            </w:pPr>
          </w:p>
        </w:tc>
        <w:tc>
          <w:tcPr>
            <w:tcW w:w="2073" w:type="dxa"/>
            <w:shd w:val="clear" w:color="auto" w:fill="F2F2F2"/>
            <w:tcMar>
              <w:top w:w="60" w:type="dxa"/>
              <w:bottom w:w="60" w:type="dxa"/>
            </w:tcMar>
          </w:tcPr>
          <w:p w14:paraId="7F140938" w14:textId="77777777" w:rsidR="006561BA" w:rsidRDefault="005B4ED6">
            <w:pPr>
              <w:pStyle w:val="AnnexTableCellLeft"/>
            </w:pPr>
            <w:r>
              <w:t>Vannstress</w:t>
            </w:r>
          </w:p>
        </w:tc>
        <w:tc>
          <w:tcPr>
            <w:tcW w:w="2073" w:type="dxa"/>
            <w:shd w:val="clear" w:color="auto" w:fill="F2F2F2"/>
            <w:tcMar>
              <w:top w:w="60" w:type="dxa"/>
              <w:bottom w:w="60" w:type="dxa"/>
              <w:right w:w="0" w:type="dxa"/>
            </w:tcMar>
          </w:tcPr>
          <w:p w14:paraId="3EB2A114" w14:textId="77777777" w:rsidR="006561BA" w:rsidRDefault="006561BA">
            <w:pPr>
              <w:pStyle w:val="AnnexTableCellLeft"/>
            </w:pPr>
          </w:p>
        </w:tc>
      </w:tr>
      <w:tr w:rsidR="006561BA" w14:paraId="2728760A" w14:textId="77777777">
        <w:trPr>
          <w:trHeight w:val="240"/>
        </w:trPr>
        <w:tc>
          <w:tcPr>
            <w:tcW w:w="936" w:type="dxa"/>
            <w:vMerge w:val="restart"/>
            <w:shd w:val="clear" w:color="auto" w:fill="F2F2F2"/>
            <w:tcMar>
              <w:top w:w="60" w:type="dxa"/>
              <w:left w:w="0" w:type="dxa"/>
              <w:bottom w:w="60" w:type="dxa"/>
              <w:right w:w="0" w:type="dxa"/>
            </w:tcMar>
          </w:tcPr>
          <w:p w14:paraId="05AD09E5" w14:textId="77777777" w:rsidR="006561BA" w:rsidRDefault="005B4ED6">
            <w:pPr>
              <w:pStyle w:val="AnnexTableCellLeft"/>
            </w:pPr>
            <w:r>
              <w:rPr>
                <w:b/>
              </w:rPr>
              <w:t>Akutt</w:t>
            </w:r>
          </w:p>
        </w:tc>
        <w:tc>
          <w:tcPr>
            <w:tcW w:w="2073" w:type="dxa"/>
            <w:shd w:val="clear" w:color="auto" w:fill="F2F2F2"/>
            <w:tcMar>
              <w:top w:w="60" w:type="dxa"/>
              <w:bottom w:w="60" w:type="dxa"/>
            </w:tcMar>
          </w:tcPr>
          <w:p w14:paraId="5A615834" w14:textId="77777777" w:rsidR="006561BA" w:rsidRDefault="005B4ED6">
            <w:pPr>
              <w:pStyle w:val="AnnexTableCellLeft"/>
            </w:pPr>
            <w:r>
              <w:t>Varmebølge</w:t>
            </w:r>
          </w:p>
        </w:tc>
        <w:tc>
          <w:tcPr>
            <w:tcW w:w="2073" w:type="dxa"/>
            <w:shd w:val="clear" w:color="auto" w:fill="F2F2F2"/>
            <w:tcMar>
              <w:top w:w="60" w:type="dxa"/>
              <w:bottom w:w="60" w:type="dxa"/>
            </w:tcMar>
          </w:tcPr>
          <w:p w14:paraId="63819DB4" w14:textId="77777777" w:rsidR="006561BA" w:rsidRDefault="005B4ED6">
            <w:pPr>
              <w:pStyle w:val="AnnexTableCellLeft"/>
            </w:pPr>
            <w:r>
              <w:t>Syklon, orkan, tyfon</w:t>
            </w:r>
          </w:p>
        </w:tc>
        <w:tc>
          <w:tcPr>
            <w:tcW w:w="2073" w:type="dxa"/>
            <w:shd w:val="clear" w:color="auto" w:fill="F2F2F2"/>
            <w:tcMar>
              <w:top w:w="60" w:type="dxa"/>
              <w:bottom w:w="60" w:type="dxa"/>
            </w:tcMar>
          </w:tcPr>
          <w:p w14:paraId="7E8BE1EC" w14:textId="77777777" w:rsidR="006561BA" w:rsidRDefault="005B4ED6">
            <w:pPr>
              <w:pStyle w:val="AnnexTableCellLeft"/>
            </w:pPr>
            <w:r>
              <w:t>Tørke</w:t>
            </w:r>
          </w:p>
        </w:tc>
        <w:tc>
          <w:tcPr>
            <w:tcW w:w="2073" w:type="dxa"/>
            <w:shd w:val="clear" w:color="auto" w:fill="F2F2F2"/>
            <w:tcMar>
              <w:top w:w="60" w:type="dxa"/>
              <w:bottom w:w="60" w:type="dxa"/>
              <w:right w:w="0" w:type="dxa"/>
            </w:tcMar>
          </w:tcPr>
          <w:p w14:paraId="57670B47" w14:textId="77777777" w:rsidR="006561BA" w:rsidRDefault="005B4ED6">
            <w:pPr>
              <w:pStyle w:val="AnnexTableCellLeft"/>
            </w:pPr>
            <w:r>
              <w:t>Snøskred</w:t>
            </w:r>
          </w:p>
        </w:tc>
      </w:tr>
      <w:tr w:rsidR="006561BA" w14:paraId="6D12C679" w14:textId="77777777">
        <w:trPr>
          <w:trHeight w:val="240"/>
        </w:trPr>
        <w:tc>
          <w:tcPr>
            <w:tcW w:w="936" w:type="dxa"/>
            <w:vMerge/>
            <w:shd w:val="clear" w:color="auto" w:fill="F2F2F2"/>
            <w:tcMar>
              <w:top w:w="60" w:type="dxa"/>
              <w:left w:w="0" w:type="dxa"/>
              <w:bottom w:w="60" w:type="dxa"/>
              <w:right w:w="0" w:type="dxa"/>
            </w:tcMar>
          </w:tcPr>
          <w:p w14:paraId="56452FE7" w14:textId="77777777" w:rsidR="006561BA" w:rsidRDefault="006561BA">
            <w:pPr>
              <w:pStyle w:val="Para"/>
            </w:pPr>
          </w:p>
        </w:tc>
        <w:tc>
          <w:tcPr>
            <w:tcW w:w="2073" w:type="dxa"/>
            <w:shd w:val="clear" w:color="auto" w:fill="F2F2F2"/>
            <w:tcMar>
              <w:top w:w="60" w:type="dxa"/>
              <w:bottom w:w="60" w:type="dxa"/>
            </w:tcMar>
          </w:tcPr>
          <w:p w14:paraId="374B9BB1" w14:textId="77777777" w:rsidR="006561BA" w:rsidRDefault="005B4ED6">
            <w:pPr>
              <w:pStyle w:val="AnnexTableCellLeft"/>
            </w:pPr>
            <w:r>
              <w:t>Kuldebølge/frost</w:t>
            </w:r>
          </w:p>
        </w:tc>
        <w:tc>
          <w:tcPr>
            <w:tcW w:w="2073" w:type="dxa"/>
            <w:shd w:val="clear" w:color="auto" w:fill="F2F2F2"/>
            <w:tcMar>
              <w:top w:w="60" w:type="dxa"/>
              <w:bottom w:w="60" w:type="dxa"/>
            </w:tcMar>
          </w:tcPr>
          <w:p w14:paraId="6AA0A8EB" w14:textId="77777777" w:rsidR="006561BA" w:rsidRDefault="005B4ED6">
            <w:pPr>
              <w:pStyle w:val="AnnexTableCellLeft"/>
            </w:pPr>
            <w:r>
              <w:t>Storm (herunder snø-, støv- og sandstormer)</w:t>
            </w:r>
          </w:p>
        </w:tc>
        <w:tc>
          <w:tcPr>
            <w:tcW w:w="2073" w:type="dxa"/>
            <w:shd w:val="clear" w:color="auto" w:fill="F2F2F2"/>
            <w:tcMar>
              <w:top w:w="60" w:type="dxa"/>
              <w:bottom w:w="60" w:type="dxa"/>
            </w:tcMar>
          </w:tcPr>
          <w:p w14:paraId="307D347C" w14:textId="77777777" w:rsidR="006561BA" w:rsidRDefault="005B4ED6">
            <w:pPr>
              <w:pStyle w:val="AnnexTableCellLeft"/>
            </w:pPr>
            <w:r>
              <w:t>Kraftig nedbør (regn, hagl, snø/is)</w:t>
            </w:r>
          </w:p>
        </w:tc>
        <w:tc>
          <w:tcPr>
            <w:tcW w:w="2073" w:type="dxa"/>
            <w:shd w:val="clear" w:color="auto" w:fill="F2F2F2"/>
            <w:tcMar>
              <w:top w:w="60" w:type="dxa"/>
              <w:bottom w:w="60" w:type="dxa"/>
              <w:right w:w="0" w:type="dxa"/>
            </w:tcMar>
          </w:tcPr>
          <w:p w14:paraId="4E534F37" w14:textId="77777777" w:rsidR="006561BA" w:rsidRDefault="005B4ED6">
            <w:pPr>
              <w:pStyle w:val="AnnexTableCellLeft"/>
            </w:pPr>
            <w:r>
              <w:t>Jordskred</w:t>
            </w:r>
          </w:p>
        </w:tc>
      </w:tr>
      <w:tr w:rsidR="006561BA" w14:paraId="6BD9EDCB" w14:textId="77777777">
        <w:trPr>
          <w:trHeight w:val="240"/>
        </w:trPr>
        <w:tc>
          <w:tcPr>
            <w:tcW w:w="936" w:type="dxa"/>
            <w:vMerge/>
            <w:shd w:val="clear" w:color="auto" w:fill="F2F2F2"/>
            <w:tcMar>
              <w:top w:w="60" w:type="dxa"/>
              <w:left w:w="0" w:type="dxa"/>
              <w:bottom w:w="60" w:type="dxa"/>
              <w:right w:w="0" w:type="dxa"/>
            </w:tcMar>
          </w:tcPr>
          <w:p w14:paraId="0454F377" w14:textId="77777777" w:rsidR="006561BA" w:rsidRDefault="006561BA">
            <w:pPr>
              <w:pStyle w:val="Para"/>
            </w:pPr>
          </w:p>
        </w:tc>
        <w:tc>
          <w:tcPr>
            <w:tcW w:w="2073" w:type="dxa"/>
            <w:shd w:val="clear" w:color="auto" w:fill="F2F2F2"/>
            <w:tcMar>
              <w:top w:w="60" w:type="dxa"/>
              <w:bottom w:w="60" w:type="dxa"/>
            </w:tcMar>
          </w:tcPr>
          <w:p w14:paraId="4A0CD819" w14:textId="77777777" w:rsidR="006561BA" w:rsidRDefault="005B4ED6">
            <w:pPr>
              <w:pStyle w:val="AnnexTableCellLeft"/>
            </w:pPr>
            <w:r>
              <w:t>Skog- og utmarksbrann</w:t>
            </w:r>
          </w:p>
        </w:tc>
        <w:tc>
          <w:tcPr>
            <w:tcW w:w="2073" w:type="dxa"/>
            <w:shd w:val="clear" w:color="auto" w:fill="F2F2F2"/>
            <w:tcMar>
              <w:top w:w="60" w:type="dxa"/>
              <w:bottom w:w="60" w:type="dxa"/>
            </w:tcMar>
          </w:tcPr>
          <w:p w14:paraId="69CB15F0" w14:textId="77777777" w:rsidR="006561BA" w:rsidRDefault="005B4ED6">
            <w:pPr>
              <w:pStyle w:val="AnnexTableCellLeft"/>
            </w:pPr>
            <w:r>
              <w:t>Tornado</w:t>
            </w:r>
          </w:p>
        </w:tc>
        <w:tc>
          <w:tcPr>
            <w:tcW w:w="2073" w:type="dxa"/>
            <w:shd w:val="clear" w:color="auto" w:fill="F2F2F2"/>
            <w:tcMar>
              <w:top w:w="60" w:type="dxa"/>
              <w:bottom w:w="60" w:type="dxa"/>
            </w:tcMar>
          </w:tcPr>
          <w:p w14:paraId="2F1596BE" w14:textId="77777777" w:rsidR="006561BA" w:rsidRDefault="005B4ED6">
            <w:pPr>
              <w:pStyle w:val="AnnexTableCellLeft"/>
            </w:pPr>
            <w:r>
              <w:t>Flom (kystvann, fluvial, pluvial, grunnvann)</w:t>
            </w:r>
          </w:p>
        </w:tc>
        <w:tc>
          <w:tcPr>
            <w:tcW w:w="2073" w:type="dxa"/>
            <w:shd w:val="clear" w:color="auto" w:fill="F2F2F2"/>
            <w:tcMar>
              <w:top w:w="60" w:type="dxa"/>
              <w:bottom w:w="60" w:type="dxa"/>
              <w:right w:w="0" w:type="dxa"/>
            </w:tcMar>
          </w:tcPr>
          <w:p w14:paraId="6A44C8D8" w14:textId="77777777" w:rsidR="006561BA" w:rsidRDefault="005B4ED6">
            <w:pPr>
              <w:pStyle w:val="AnnexTableCellLeft"/>
            </w:pPr>
            <w:r>
              <w:t>Innsynkning</w:t>
            </w:r>
          </w:p>
        </w:tc>
      </w:tr>
      <w:tr w:rsidR="006561BA" w14:paraId="4F3DEA80" w14:textId="77777777">
        <w:trPr>
          <w:trHeight w:val="240"/>
        </w:trPr>
        <w:tc>
          <w:tcPr>
            <w:tcW w:w="936" w:type="dxa"/>
            <w:vMerge/>
            <w:shd w:val="clear" w:color="auto" w:fill="F2F2F2"/>
            <w:tcMar>
              <w:top w:w="60" w:type="dxa"/>
              <w:left w:w="0" w:type="dxa"/>
              <w:bottom w:w="60" w:type="dxa"/>
              <w:right w:w="0" w:type="dxa"/>
            </w:tcMar>
          </w:tcPr>
          <w:p w14:paraId="22847118" w14:textId="77777777" w:rsidR="006561BA" w:rsidRDefault="006561BA">
            <w:pPr>
              <w:pStyle w:val="Para"/>
            </w:pPr>
          </w:p>
        </w:tc>
        <w:tc>
          <w:tcPr>
            <w:tcW w:w="2073" w:type="dxa"/>
            <w:shd w:val="clear" w:color="auto" w:fill="F2F2F2"/>
            <w:tcMar>
              <w:top w:w="60" w:type="dxa"/>
              <w:bottom w:w="60" w:type="dxa"/>
            </w:tcMar>
          </w:tcPr>
          <w:p w14:paraId="4DF3725F" w14:textId="77777777" w:rsidR="006561BA" w:rsidRDefault="006561BA">
            <w:pPr>
              <w:pStyle w:val="AnnexTableCellLeft"/>
            </w:pPr>
          </w:p>
        </w:tc>
        <w:tc>
          <w:tcPr>
            <w:tcW w:w="2073" w:type="dxa"/>
            <w:shd w:val="clear" w:color="auto" w:fill="F2F2F2"/>
            <w:tcMar>
              <w:top w:w="60" w:type="dxa"/>
              <w:bottom w:w="60" w:type="dxa"/>
            </w:tcMar>
          </w:tcPr>
          <w:p w14:paraId="0F777963" w14:textId="77777777" w:rsidR="006561BA" w:rsidRDefault="006561BA">
            <w:pPr>
              <w:pStyle w:val="AnnexTableCellLeft"/>
            </w:pPr>
          </w:p>
        </w:tc>
        <w:tc>
          <w:tcPr>
            <w:tcW w:w="2073" w:type="dxa"/>
            <w:shd w:val="clear" w:color="auto" w:fill="F2F2F2"/>
            <w:tcMar>
              <w:top w:w="60" w:type="dxa"/>
              <w:bottom w:w="60" w:type="dxa"/>
            </w:tcMar>
          </w:tcPr>
          <w:p w14:paraId="75787A64" w14:textId="77777777" w:rsidR="006561BA" w:rsidRDefault="005B4ED6">
            <w:pPr>
              <w:pStyle w:val="AnnexTableCellLeft"/>
            </w:pPr>
            <w:proofErr w:type="spellStart"/>
            <w:r>
              <w:t>Jøkullaup</w:t>
            </w:r>
            <w:proofErr w:type="spellEnd"/>
          </w:p>
        </w:tc>
        <w:tc>
          <w:tcPr>
            <w:tcW w:w="2073" w:type="dxa"/>
            <w:shd w:val="clear" w:color="auto" w:fill="F2F2F2"/>
            <w:tcMar>
              <w:top w:w="60" w:type="dxa"/>
              <w:bottom w:w="60" w:type="dxa"/>
              <w:right w:w="0" w:type="dxa"/>
            </w:tcMar>
          </w:tcPr>
          <w:p w14:paraId="29FC4DB5" w14:textId="77777777" w:rsidR="006561BA" w:rsidRDefault="006561BA">
            <w:pPr>
              <w:pStyle w:val="AnnexTableCellLeft"/>
            </w:pPr>
          </w:p>
        </w:tc>
      </w:tr>
    </w:tbl>
    <w:p w14:paraId="155A10DC" w14:textId="77777777" w:rsidR="006561BA" w:rsidRDefault="006561BA">
      <w:pPr>
        <w:pStyle w:val="AnnexTI"/>
        <w:jc w:val="both"/>
        <w:rPr>
          <w:i w:val="0"/>
          <w:sz w:val="18"/>
        </w:rPr>
      </w:pPr>
    </w:p>
    <w:p w14:paraId="3B459207" w14:textId="77777777" w:rsidR="006561BA" w:rsidRDefault="006561BA">
      <w:pPr>
        <w:pStyle w:val="AnnexTI"/>
        <w:sectPr w:rsidR="006561BA" w:rsidSect="000D3D55">
          <w:footnotePr>
            <w:pos w:val="beneathText"/>
            <w:numRestart w:val="eachPage"/>
          </w:footnotePr>
          <w:pgSz w:w="11906" w:h="16838" w:code="9"/>
          <w:pgMar w:top="1680" w:right="1333" w:bottom="840" w:left="1333" w:header="920" w:footer="280" w:gutter="0"/>
          <w:cols w:space="708"/>
          <w:docGrid w:linePitch="360"/>
        </w:sectPr>
      </w:pPr>
    </w:p>
    <w:p w14:paraId="76FFE2AB" w14:textId="77777777" w:rsidR="006561BA" w:rsidRDefault="005B4ED6">
      <w:pPr>
        <w:pStyle w:val="AnnexTI"/>
      </w:pPr>
      <w:r>
        <w:lastRenderedPageBreak/>
        <w:t>Tillegg B</w:t>
      </w:r>
    </w:p>
    <w:p w14:paraId="51A7A8F0" w14:textId="77777777" w:rsidR="006561BA" w:rsidRDefault="005B4ED6">
      <w:pPr>
        <w:pStyle w:val="AnnexSTI"/>
        <w:spacing w:after="300"/>
      </w:pPr>
      <w:r>
        <w:t>Generiske DNSH-kriterier for bærekraftig bruk og beskyttelse av vann- og havressurser</w:t>
      </w:r>
    </w:p>
    <w:tbl>
      <w:tblPr>
        <w:tblStyle w:val="EFTATable"/>
        <w:tblW w:w="9228" w:type="dxa"/>
        <w:tblInd w:w="112" w:type="dxa"/>
        <w:tblLayout w:type="fixed"/>
        <w:tblLook w:val="04A0" w:firstRow="1" w:lastRow="0" w:firstColumn="1" w:lastColumn="0" w:noHBand="0" w:noVBand="1"/>
      </w:tblPr>
      <w:tblGrid>
        <w:gridCol w:w="9228"/>
      </w:tblGrid>
      <w:tr w:rsidR="006561BA" w14:paraId="03A3F422" w14:textId="77777777">
        <w:tc>
          <w:tcPr>
            <w:tcW w:w="9228" w:type="dxa"/>
            <w:tcBorders>
              <w:left w:val="single" w:sz="4" w:space="0" w:color="auto"/>
              <w:right w:val="single" w:sz="4" w:space="0" w:color="auto"/>
            </w:tcBorders>
            <w:shd w:val="clear" w:color="auto" w:fill="F2F2F2"/>
            <w:tcMar>
              <w:top w:w="100" w:type="dxa"/>
              <w:left w:w="100" w:type="dxa"/>
              <w:bottom w:w="100" w:type="dxa"/>
              <w:right w:w="100" w:type="dxa"/>
            </w:tcMar>
          </w:tcPr>
          <w:p w14:paraId="2808F1E8" w14:textId="77777777" w:rsidR="006561BA" w:rsidRDefault="005B4ED6">
            <w:pPr>
              <w:pStyle w:val="AnnexNormal"/>
              <w:spacing w:after="120"/>
            </w:pPr>
            <w:r>
              <w:t>Risikoer for miljøforringelse knyttet til å bevare vannkvaliteten og unngå vannstress skal identifiseres og håndteres med sikte på å oppnå god vanntilstand og et godt økologisk potensial som definert i artikkel 2 nr. 22 og 23 i forordning (EU) 2020/852, i samsvar med direktiv 2000/60/EF(</w:t>
            </w:r>
            <w:bookmarkStart w:id="390" w:name="NOTE_393"/>
            <w:r>
              <w:rPr>
                <w:rStyle w:val="FootnoteReference"/>
                <w:sz w:val="18"/>
              </w:rPr>
              <w:footnoteReference w:id="394"/>
            </w:r>
            <w:bookmarkEnd w:id="390"/>
            <w:r>
              <w:t>) og i henhold til en forvaltningsplan for bruk og beskyttelse av vann som er utarbeidet i henhold til dette for den eller de vannforekomstene som kan bli berørt, i samråd med relevante berørte parter.</w:t>
            </w:r>
          </w:p>
          <w:p w14:paraId="7A350847" w14:textId="77777777" w:rsidR="006561BA" w:rsidRDefault="005B4ED6">
            <w:pPr>
              <w:pStyle w:val="AnnexNormal"/>
              <w:spacing w:after="120"/>
            </w:pPr>
            <w:r>
              <w:t>Dersom en miljøkonsekvensutredning gjennomføres i samsvar med direktiv 2011/92/EU og omfatter en vurdering av vannpåvirkningen i samsvar med direktiv 2000/60/EF, kreves ingen ytterligere vurdering av vannpåvirkning, forutsatt at de identifiserte risikoene er håndtert.</w:t>
            </w:r>
          </w:p>
          <w:p w14:paraId="5F8B7212" w14:textId="77777777" w:rsidR="006561BA" w:rsidRDefault="005B4ED6">
            <w:pPr>
              <w:pStyle w:val="AnnexNormal"/>
            </w:pPr>
            <w:r>
              <w:t>Aktiviteten forhindrer ikke oppnåelsen av god miljøtilstand for havområder eller forringer ikke havområder som allerede har en god miljøtilstand som definert i artikkel 3 nr. 5 i direktiv 2008/56/EF(</w:t>
            </w:r>
            <w:bookmarkStart w:id="391" w:name="NOTE_394"/>
            <w:r>
              <w:rPr>
                <w:rStyle w:val="FootnoteReference"/>
                <w:sz w:val="18"/>
              </w:rPr>
              <w:footnoteReference w:id="395"/>
            </w:r>
            <w:bookmarkEnd w:id="391"/>
            <w:r>
              <w:t xml:space="preserve">), idet det tas hensyn til beslutning (EU) 2017/848 i forbindelse med de relevante kriteriene og metodestandardene for disse </w:t>
            </w:r>
            <w:proofErr w:type="spellStart"/>
            <w:r>
              <w:t>deskriptorene</w:t>
            </w:r>
            <w:proofErr w:type="spellEnd"/>
            <w:r>
              <w:t>.</w:t>
            </w:r>
          </w:p>
        </w:tc>
      </w:tr>
    </w:tbl>
    <w:p w14:paraId="43D97CCA" w14:textId="77777777" w:rsidR="006561BA" w:rsidRDefault="006561BA">
      <w:pPr>
        <w:pStyle w:val="AnnexTI"/>
        <w:jc w:val="both"/>
        <w:rPr>
          <w:i w:val="0"/>
          <w:sz w:val="18"/>
        </w:rPr>
      </w:pPr>
    </w:p>
    <w:p w14:paraId="09953351" w14:textId="77777777" w:rsidR="006561BA" w:rsidRDefault="006561BA">
      <w:pPr>
        <w:pStyle w:val="AnnexTI"/>
        <w:sectPr w:rsidR="006561BA" w:rsidSect="000D3D55">
          <w:footnotePr>
            <w:pos w:val="beneathText"/>
            <w:numRestart w:val="eachPage"/>
          </w:footnotePr>
          <w:pgSz w:w="11906" w:h="16838" w:code="9"/>
          <w:pgMar w:top="1680" w:right="1333" w:bottom="840" w:left="1333" w:header="920" w:footer="280" w:gutter="0"/>
          <w:cols w:space="708"/>
          <w:docGrid w:linePitch="360"/>
        </w:sectPr>
      </w:pPr>
    </w:p>
    <w:p w14:paraId="3BDE6D6A" w14:textId="77777777" w:rsidR="006561BA" w:rsidRDefault="005B4ED6">
      <w:pPr>
        <w:pStyle w:val="AnnexTI"/>
      </w:pPr>
      <w:r>
        <w:lastRenderedPageBreak/>
        <w:t>Tillegg C</w:t>
      </w:r>
    </w:p>
    <w:p w14:paraId="5F183DD1" w14:textId="77777777" w:rsidR="006561BA" w:rsidRDefault="005B4ED6">
      <w:pPr>
        <w:pStyle w:val="AnnexSTI"/>
        <w:spacing w:after="300"/>
      </w:pPr>
      <w:r>
        <w:t>Generiske DNSH-kriterier for forebygging og begrensning av forurensning med hensyn til bruk og forekomst av kjemikalier</w:t>
      </w:r>
    </w:p>
    <w:tbl>
      <w:tblPr>
        <w:tblStyle w:val="EFTATable"/>
        <w:tblW w:w="9228" w:type="dxa"/>
        <w:tblInd w:w="112" w:type="dxa"/>
        <w:tblLayout w:type="fixed"/>
        <w:tblLook w:val="04A0" w:firstRow="1" w:lastRow="0" w:firstColumn="1" w:lastColumn="0" w:noHBand="0" w:noVBand="1"/>
      </w:tblPr>
      <w:tblGrid>
        <w:gridCol w:w="9228"/>
      </w:tblGrid>
      <w:tr w:rsidR="006561BA" w14:paraId="12A70BDB" w14:textId="77777777">
        <w:tc>
          <w:tcPr>
            <w:tcW w:w="9228" w:type="dxa"/>
            <w:tcBorders>
              <w:left w:val="single" w:sz="4" w:space="0" w:color="auto"/>
              <w:right w:val="single" w:sz="4" w:space="0" w:color="auto"/>
            </w:tcBorders>
            <w:shd w:val="clear" w:color="auto" w:fill="F2F2F2"/>
            <w:tcMar>
              <w:top w:w="100" w:type="dxa"/>
              <w:left w:w="100" w:type="dxa"/>
              <w:bottom w:w="100" w:type="dxa"/>
              <w:right w:w="100" w:type="dxa"/>
            </w:tcMar>
          </w:tcPr>
          <w:p w14:paraId="4008719D" w14:textId="77777777" w:rsidR="006561BA" w:rsidRDefault="005B4ED6">
            <w:pPr>
              <w:pStyle w:val="AnnexNormal"/>
              <w:spacing w:after="120"/>
            </w:pPr>
            <w:r>
              <w:t>Aktiviteten fører ikke til at følgende stoffer produseres, bringes i omsetning eller brukes:</w:t>
            </w:r>
          </w:p>
          <w:p w14:paraId="1EFB6316" w14:textId="77777777" w:rsidR="006561BA" w:rsidRDefault="005B4ED6">
            <w:pPr>
              <w:pStyle w:val="AnnexNumberedText"/>
              <w:ind w:left="293" w:hanging="293"/>
            </w:pPr>
            <w:r>
              <w:t>a)</w:t>
            </w:r>
            <w:r>
              <w:tab/>
              <w:t>Stoffer for seg, i stoffblandinger eller i et produkt, som er oppført i vedlegg I eller II til forordning (EU) 2019/1021, med unntak av stoffer som forekommer som utilsiktede sporforurensninger.</w:t>
            </w:r>
          </w:p>
          <w:p w14:paraId="2D150EAC" w14:textId="77777777" w:rsidR="006561BA" w:rsidRDefault="005B4ED6">
            <w:pPr>
              <w:pStyle w:val="AnnexNumberedText"/>
              <w:ind w:left="293" w:hanging="293"/>
            </w:pPr>
            <w:r>
              <w:t>b)</w:t>
            </w:r>
            <w:r>
              <w:tab/>
              <w:t>Kvikksølv og kvikksølvforbindelser, deres stoffblandinger og produkter tilsatt kvikksølv som definert i artikkel 2 i forordning (EU) 2017/852.</w:t>
            </w:r>
          </w:p>
          <w:p w14:paraId="1BE0A17F" w14:textId="77777777" w:rsidR="006561BA" w:rsidRDefault="005B4ED6">
            <w:pPr>
              <w:pStyle w:val="AnnexNumberedText"/>
              <w:ind w:left="293" w:hanging="293"/>
            </w:pPr>
            <w:r>
              <w:t>c)</w:t>
            </w:r>
            <w:r>
              <w:tab/>
              <w:t>Stoffer for seg, i stoffblandinger eller i et produkt, som er oppført i vedlegg I eller II til forordning (EF) nr. 1005/2009.</w:t>
            </w:r>
          </w:p>
          <w:p w14:paraId="13A043C8" w14:textId="77777777" w:rsidR="006561BA" w:rsidRDefault="005B4ED6">
            <w:pPr>
              <w:pStyle w:val="AnnexNumberedText"/>
              <w:ind w:left="293" w:hanging="293"/>
            </w:pPr>
            <w:r>
              <w:t>d)</w:t>
            </w:r>
            <w:r>
              <w:tab/>
              <w:t>Stoffer for seg, i stoffblandinger eller i et produkt, som er oppført i vedlegg II til direktiv 2011/65/EU, med mindre artikkel 4 nr. 1 i det nevnte direktivet overholdes fullt ut.</w:t>
            </w:r>
          </w:p>
          <w:p w14:paraId="0654FD71" w14:textId="77777777" w:rsidR="006561BA" w:rsidRDefault="005B4ED6">
            <w:pPr>
              <w:pStyle w:val="AnnexNumberedText"/>
              <w:ind w:left="293" w:hanging="293"/>
            </w:pPr>
            <w:r>
              <w:t>e)</w:t>
            </w:r>
            <w:r>
              <w:tab/>
              <w:t>Stoffer for seg, i stoffblandinger eller i et produkt, som er oppført i vedlegg XVII til forordning (EF) 1907/2006, med mindre vilkårene angitt i det nevnte vedlegget oppfylles fullt ut.</w:t>
            </w:r>
          </w:p>
          <w:p w14:paraId="058B8ADB" w14:textId="77777777" w:rsidR="006561BA" w:rsidRDefault="005B4ED6">
            <w:pPr>
              <w:pStyle w:val="AnnexNumberedText"/>
              <w:ind w:left="293" w:hanging="293"/>
            </w:pPr>
            <w:r>
              <w:t>f)</w:t>
            </w:r>
            <w:r>
              <w:tab/>
              <w:t>Stoffer for seg, i stoffblandinger eller i et produkt, i en konsentrasjon på over 0,1 vektprosent (w/w), og som oppfyller kriteriene fastsatt i artikkel 57 i forordning (EF) nr. 1907/2006 og er identifisert i samsvar med artikkel 59 nr. 1 i den nevnte forordningen i en periode på minst 18 måneder, med mindre det er vurdert og dokumentert av aktørene at det ikke finnes andre egnede alternative stoffer eller teknikker på markedet, og at de brukes under kontrollerte forhold (</w:t>
            </w:r>
            <w:bookmarkStart w:id="392" w:name="NOTE_395"/>
            <w:r>
              <w:rPr>
                <w:rStyle w:val="FootnoteReference"/>
                <w:sz w:val="18"/>
              </w:rPr>
              <w:footnoteReference w:id="396"/>
            </w:r>
            <w:bookmarkEnd w:id="392"/>
            <w:r>
              <w:t>).</w:t>
            </w:r>
          </w:p>
          <w:p w14:paraId="555AACE1" w14:textId="77777777" w:rsidR="006561BA" w:rsidRDefault="005B4ED6">
            <w:pPr>
              <w:pStyle w:val="AnnexNormal"/>
            </w:pPr>
            <w:r>
              <w:t xml:space="preserve">Dessuten fører ikke aktiviteten til produksjon, forekomst i sluttproduktet eller sluttresultatet, eller omsetning av andre stoffer for seg, eller i stoffblandinger eller i et produkt, i en konsentrasjon på over 0,1 vektprosent (w/w), som oppfyller kriteriene i forordning (EF) nr. 1272/2008 for en av de fareklassene eller </w:t>
            </w:r>
            <w:proofErr w:type="spellStart"/>
            <w:r>
              <w:t>farekategoriene</w:t>
            </w:r>
            <w:proofErr w:type="spellEnd"/>
            <w:r>
              <w:t xml:space="preserve"> som er nevnt i artikkel 57 i forordning (EF) nr. 1907/2006, med mindre det er vurdert og dokumentert av aktørene at det ikke finnes andre egnede alternative stoffer eller teknikker på markedet, og at de brukes under kontrollerte forhold(</w:t>
            </w:r>
            <w:bookmarkStart w:id="393" w:name="NOTE_396"/>
            <w:r>
              <w:rPr>
                <w:rStyle w:val="FootnoteReference"/>
                <w:sz w:val="18"/>
              </w:rPr>
              <w:footnoteReference w:id="397"/>
            </w:r>
            <w:bookmarkEnd w:id="393"/>
            <w:r>
              <w:t>).</w:t>
            </w:r>
          </w:p>
        </w:tc>
      </w:tr>
    </w:tbl>
    <w:p w14:paraId="2D7E9B6A" w14:textId="77777777" w:rsidR="006561BA" w:rsidRDefault="006561BA">
      <w:pPr>
        <w:pStyle w:val="AnnexTI"/>
        <w:jc w:val="both"/>
        <w:rPr>
          <w:i w:val="0"/>
          <w:sz w:val="18"/>
        </w:rPr>
      </w:pPr>
    </w:p>
    <w:p w14:paraId="6D1CF697" w14:textId="77777777" w:rsidR="006561BA" w:rsidRDefault="006561BA">
      <w:pPr>
        <w:pStyle w:val="AnnexTI"/>
        <w:sectPr w:rsidR="006561BA" w:rsidSect="000D3D55">
          <w:footnotePr>
            <w:pos w:val="beneathText"/>
            <w:numRestart w:val="eachPage"/>
          </w:footnotePr>
          <w:pgSz w:w="11906" w:h="16838" w:code="9"/>
          <w:pgMar w:top="1680" w:right="1333" w:bottom="840" w:left="1333" w:header="920" w:footer="280" w:gutter="0"/>
          <w:cols w:space="708"/>
          <w:docGrid w:linePitch="360"/>
        </w:sectPr>
      </w:pPr>
    </w:p>
    <w:p w14:paraId="0B2CEAD5" w14:textId="77777777" w:rsidR="006561BA" w:rsidRDefault="005B4ED6">
      <w:pPr>
        <w:pStyle w:val="AnnexTI"/>
        <w:spacing w:after="360"/>
      </w:pPr>
      <w:r>
        <w:lastRenderedPageBreak/>
        <w:t>VEDLEGG V</w:t>
      </w:r>
    </w:p>
    <w:p w14:paraId="5539971D" w14:textId="77777777" w:rsidR="006561BA" w:rsidRDefault="005B4ED6">
      <w:pPr>
        <w:pStyle w:val="AnnexSTI"/>
        <w:spacing w:after="200"/>
      </w:pPr>
      <w:r>
        <w:t xml:space="preserve">Endringer av vedlegg I, II, III, IV, V, VII, IX og </w:t>
      </w:r>
      <w:proofErr w:type="spellStart"/>
      <w:r>
        <w:t>X</w:t>
      </w:r>
      <w:proofErr w:type="spellEnd"/>
      <w:r>
        <w:t xml:space="preserve"> til gjennomføringsforordning (EU) 2021/2178</w:t>
      </w:r>
    </w:p>
    <w:p w14:paraId="1D67140C" w14:textId="77777777" w:rsidR="006561BA" w:rsidRDefault="005B4ED6">
      <w:pPr>
        <w:pStyle w:val="AnnexNumberedText"/>
        <w:ind w:left="383" w:hanging="383"/>
      </w:pPr>
      <w:r>
        <w:t>1)</w:t>
      </w:r>
      <w:r>
        <w:tab/>
        <w:t>I vedlegg I gjøres følgende endringer:</w:t>
      </w:r>
    </w:p>
    <w:p w14:paraId="1678C20A" w14:textId="77777777" w:rsidR="006561BA" w:rsidRDefault="005B4ED6">
      <w:pPr>
        <w:pStyle w:val="AnnexNumberedText"/>
        <w:ind w:left="677" w:hanging="293"/>
      </w:pPr>
      <w:r>
        <w:t>a)</w:t>
      </w:r>
      <w:r>
        <w:tab/>
        <w:t>I avsnitt 1.1.2.2 skal femte ledd lyde:</w:t>
      </w:r>
    </w:p>
    <w:p w14:paraId="31B8BD85" w14:textId="77777777" w:rsidR="006561BA" w:rsidRDefault="005B4ED6">
      <w:pPr>
        <w:pStyle w:val="AnnexNormal"/>
        <w:ind w:left="677"/>
      </w:pPr>
      <w:r>
        <w:t>«Telleren skal inneholde den delen av investeringsutgiftene som er nevnt i første ledd i dette nummeret, og som bidrar vesentlig til et av miljømålene. Den delen av investeringsutgiftene som skal bidra vesentlig til hvert miljømål, skal spesifiseres i telleren.»</w:t>
      </w:r>
    </w:p>
    <w:p w14:paraId="174B6086" w14:textId="77777777" w:rsidR="006561BA" w:rsidRDefault="005B4ED6">
      <w:pPr>
        <w:pStyle w:val="AnnexNumberedText"/>
        <w:ind w:left="677" w:hanging="293"/>
      </w:pPr>
      <w:r>
        <w:t>b)</w:t>
      </w:r>
      <w:r>
        <w:tab/>
        <w:t>I avsnitt 1.1.3.2 skal fjerde ledd lyde:</w:t>
      </w:r>
    </w:p>
    <w:p w14:paraId="41C2B9EA" w14:textId="77777777" w:rsidR="006561BA" w:rsidRDefault="005B4ED6">
      <w:pPr>
        <w:pStyle w:val="AnnexNormal"/>
        <w:ind w:left="677"/>
      </w:pPr>
      <w:r>
        <w:t>«Telleren skal inneholde den delen av driftsutgiftene som er nevnt i første ledd i dette nummeret, og som bidrar vesentlig til et av miljømålene. Den delen av driftsutgiftene som skal bidra vesentlig til hvert miljømål, skal spesifiseres i telleren.»</w:t>
      </w:r>
    </w:p>
    <w:p w14:paraId="6663198D" w14:textId="77777777" w:rsidR="006561BA" w:rsidRDefault="005B4ED6">
      <w:pPr>
        <w:pStyle w:val="AnnexNumberedText"/>
        <w:ind w:left="677" w:hanging="293"/>
      </w:pPr>
      <w:r>
        <w:t>c)</w:t>
      </w:r>
      <w:r>
        <w:tab/>
        <w:t>I avsnitt 1.2.1 skal andre ledd lyde:</w:t>
      </w:r>
    </w:p>
    <w:p w14:paraId="02D8245F" w14:textId="77777777" w:rsidR="006561BA" w:rsidRDefault="005B4ED6">
      <w:pPr>
        <w:pStyle w:val="AnnexNormal"/>
        <w:ind w:left="677"/>
      </w:pPr>
      <w:r>
        <w:t>«Med hensyn til omsetning og investeringsutgifter skal ikke-finansielle foretak ta med henvisninger til de aktuelle postene i de finansielle erklæringene».</w:t>
      </w:r>
    </w:p>
    <w:p w14:paraId="38F80470" w14:textId="77777777" w:rsidR="006561BA" w:rsidRDefault="005B4ED6">
      <w:pPr>
        <w:pStyle w:val="AnnexNumberedText"/>
        <w:ind w:left="677" w:hanging="293"/>
      </w:pPr>
      <w:r>
        <w:t>d)</w:t>
      </w:r>
      <w:r>
        <w:tab/>
        <w:t>I avsnitt 2 skal bokstav e) lyde:</w:t>
      </w:r>
    </w:p>
    <w:p w14:paraId="1DCF11D0" w14:textId="77777777" w:rsidR="006561BA" w:rsidRDefault="005B4ED6">
      <w:pPr>
        <w:pStyle w:val="AnnexNumberedText"/>
        <w:ind w:left="1081" w:hanging="403"/>
      </w:pPr>
      <w:r>
        <w:t>«e)</w:t>
      </w:r>
      <w:r>
        <w:tab/>
        <w:t>Ikke-finansielle foretak skal identifisere økonomiske aktiviteter som ikke er omfattet av taksonomien, og i nevneren for KPI-en for omsetning, investeringsutgifter og driftsutgifter opplyse om hvor stor andel disse økonomiske aktivitetene utgjør, på foretaks- eller konsernnivå.»</w:t>
      </w:r>
    </w:p>
    <w:p w14:paraId="2BEB09DE" w14:textId="77777777" w:rsidR="006561BA" w:rsidRPr="00980A19" w:rsidRDefault="005B4ED6">
      <w:pPr>
        <w:pStyle w:val="AnnexNumberedText"/>
        <w:ind w:left="383" w:hanging="383"/>
        <w:rPr>
          <w:lang w:val="nn-NO"/>
        </w:rPr>
      </w:pPr>
      <w:r w:rsidRPr="00980A19">
        <w:rPr>
          <w:lang w:val="nn-NO"/>
        </w:rPr>
        <w:t>2)</w:t>
      </w:r>
      <w:r w:rsidRPr="00980A19">
        <w:rPr>
          <w:lang w:val="nn-NO"/>
        </w:rPr>
        <w:tab/>
        <w:t>Vedlegg II skal lyde:</w:t>
      </w:r>
    </w:p>
    <w:p w14:paraId="72E6510D" w14:textId="77777777" w:rsidR="006561BA" w:rsidRPr="00980A19" w:rsidRDefault="006561BA">
      <w:pPr>
        <w:pStyle w:val="AnnexTI"/>
        <w:ind w:left="383"/>
        <w:rPr>
          <w:i w:val="0"/>
          <w:sz w:val="18"/>
          <w:lang w:val="nn-NO"/>
        </w:rPr>
        <w:sectPr w:rsidR="006561BA" w:rsidRPr="00980A19" w:rsidSect="000D3D55">
          <w:footnotePr>
            <w:pos w:val="beneathText"/>
            <w:numRestart w:val="eachPage"/>
          </w:footnotePr>
          <w:pgSz w:w="11906" w:h="16838" w:code="9"/>
          <w:pgMar w:top="1680" w:right="1333" w:bottom="840" w:left="1333" w:header="920" w:footer="280" w:gutter="0"/>
          <w:cols w:space="708"/>
          <w:docGrid w:linePitch="360"/>
        </w:sectPr>
      </w:pPr>
    </w:p>
    <w:p w14:paraId="08C063E6" w14:textId="77777777" w:rsidR="006561BA" w:rsidRPr="00980A19" w:rsidRDefault="005B4ED6" w:rsidP="00980A19">
      <w:pPr>
        <w:pStyle w:val="AnnexTI"/>
        <w:spacing w:after="120"/>
        <w:ind w:left="386"/>
        <w:rPr>
          <w:lang w:val="nn-NO"/>
        </w:rPr>
      </w:pPr>
      <w:r w:rsidRPr="00980A19">
        <w:rPr>
          <w:lang w:val="nn-NO"/>
        </w:rPr>
        <w:lastRenderedPageBreak/>
        <w:t>«VEDLEGG II</w:t>
      </w:r>
    </w:p>
    <w:p w14:paraId="57C531EA" w14:textId="77777777" w:rsidR="006561BA" w:rsidRDefault="005B4ED6" w:rsidP="00980A19">
      <w:pPr>
        <w:pStyle w:val="AnnexSTI"/>
        <w:spacing w:after="120" w:line="200" w:lineRule="exact"/>
        <w:ind w:left="386"/>
        <w:rPr>
          <w:sz w:val="16"/>
        </w:rPr>
      </w:pPr>
      <w:r>
        <w:rPr>
          <w:sz w:val="16"/>
        </w:rPr>
        <w:t>MALER FOR KPI-er FOR IKKE-FINANSIELLE FORETAK</w:t>
      </w:r>
    </w:p>
    <w:p w14:paraId="4318C329" w14:textId="77777777" w:rsidR="006561BA" w:rsidRDefault="005B4ED6" w:rsidP="00980A19">
      <w:pPr>
        <w:pStyle w:val="AnnexGrSeq1"/>
        <w:spacing w:after="120" w:line="240" w:lineRule="exact"/>
        <w:ind w:left="386"/>
        <w:rPr>
          <w:sz w:val="18"/>
        </w:rPr>
      </w:pPr>
      <w:r>
        <w:rPr>
          <w:i/>
          <w:sz w:val="18"/>
        </w:rPr>
        <w:t>Mal: Andel av omsetningen fra produkter eller tjenester som er forbundet med taksonomiforenlige økonomiske aktiviteter – opplysninger for år N</w:t>
      </w:r>
    </w:p>
    <w:tbl>
      <w:tblPr>
        <w:tblStyle w:val="EFTATable"/>
        <w:tblW w:w="14316" w:type="dxa"/>
        <w:tblInd w:w="12" w:type="dxa"/>
        <w:tblLayout w:type="fixed"/>
        <w:tblLook w:val="04A0" w:firstRow="1" w:lastRow="0" w:firstColumn="1" w:lastColumn="0" w:noHBand="0" w:noVBand="1"/>
      </w:tblPr>
      <w:tblGrid>
        <w:gridCol w:w="1664"/>
        <w:gridCol w:w="645"/>
        <w:gridCol w:w="791"/>
        <w:gridCol w:w="936"/>
        <w:gridCol w:w="573"/>
        <w:gridCol w:w="574"/>
        <w:gridCol w:w="574"/>
        <w:gridCol w:w="573"/>
        <w:gridCol w:w="574"/>
        <w:gridCol w:w="574"/>
        <w:gridCol w:w="573"/>
        <w:gridCol w:w="574"/>
        <w:gridCol w:w="574"/>
        <w:gridCol w:w="573"/>
        <w:gridCol w:w="574"/>
        <w:gridCol w:w="574"/>
        <w:gridCol w:w="576"/>
        <w:gridCol w:w="1200"/>
        <w:gridCol w:w="810"/>
        <w:gridCol w:w="810"/>
      </w:tblGrid>
      <w:tr w:rsidR="006561BA" w14:paraId="1D8289EE" w14:textId="77777777">
        <w:tc>
          <w:tcPr>
            <w:tcW w:w="1664" w:type="dxa"/>
            <w:tcMar>
              <w:top w:w="60" w:type="dxa"/>
              <w:left w:w="0" w:type="dxa"/>
              <w:bottom w:w="60" w:type="dxa"/>
            </w:tcMar>
            <w:vAlign w:val="center"/>
          </w:tcPr>
          <w:p w14:paraId="2803DDFA" w14:textId="77777777" w:rsidR="006561BA" w:rsidRDefault="005B4ED6">
            <w:pPr>
              <w:pStyle w:val="AnnexTableHeader"/>
              <w:spacing w:line="200" w:lineRule="exact"/>
            </w:pPr>
            <w:r>
              <w:rPr>
                <w:b/>
              </w:rPr>
              <w:t>Regnskapsår N</w:t>
            </w:r>
          </w:p>
        </w:tc>
        <w:tc>
          <w:tcPr>
            <w:tcW w:w="2372" w:type="dxa"/>
            <w:gridSpan w:val="3"/>
            <w:tcMar>
              <w:top w:w="60" w:type="dxa"/>
              <w:bottom w:w="60" w:type="dxa"/>
            </w:tcMar>
            <w:vAlign w:val="center"/>
          </w:tcPr>
          <w:p w14:paraId="376790BE" w14:textId="77777777" w:rsidR="006561BA" w:rsidRDefault="005B4ED6">
            <w:pPr>
              <w:pStyle w:val="AnnexTableHeader"/>
              <w:spacing w:line="200" w:lineRule="exact"/>
            </w:pPr>
            <w:r>
              <w:rPr>
                <w:b/>
              </w:rPr>
              <w:t>År</w:t>
            </w:r>
          </w:p>
        </w:tc>
        <w:tc>
          <w:tcPr>
            <w:tcW w:w="3442" w:type="dxa"/>
            <w:gridSpan w:val="6"/>
            <w:tcMar>
              <w:top w:w="60" w:type="dxa"/>
              <w:bottom w:w="60" w:type="dxa"/>
            </w:tcMar>
            <w:vAlign w:val="center"/>
          </w:tcPr>
          <w:p w14:paraId="1B28A975" w14:textId="77777777" w:rsidR="006561BA" w:rsidRDefault="005B4ED6">
            <w:pPr>
              <w:pStyle w:val="AnnexTableHeader"/>
              <w:spacing w:line="200" w:lineRule="exact"/>
            </w:pPr>
            <w:r>
              <w:rPr>
                <w:b/>
              </w:rPr>
              <w:t>Kriterier for vesentlig bidrag</w:t>
            </w:r>
          </w:p>
        </w:tc>
        <w:tc>
          <w:tcPr>
            <w:tcW w:w="3442" w:type="dxa"/>
            <w:gridSpan w:val="6"/>
            <w:tcMar>
              <w:top w:w="60" w:type="dxa"/>
              <w:bottom w:w="60" w:type="dxa"/>
            </w:tcMar>
            <w:vAlign w:val="center"/>
          </w:tcPr>
          <w:p w14:paraId="01F9BE95" w14:textId="77777777" w:rsidR="006561BA" w:rsidRDefault="005B4ED6">
            <w:pPr>
              <w:pStyle w:val="AnnexTableHeader"/>
              <w:spacing w:line="200" w:lineRule="exact"/>
            </w:pPr>
            <w:r>
              <w:rPr>
                <w:b/>
              </w:rPr>
              <w:t>Kriterier mht. at aktiviteten ikke er til betydelig skade (DNSH)</w:t>
            </w:r>
            <w:r>
              <w:t> (</w:t>
            </w:r>
            <w:r>
              <w:rPr>
                <w:vertAlign w:val="superscript"/>
              </w:rPr>
              <w:t>h</w:t>
            </w:r>
            <w:r>
              <w:t>)</w:t>
            </w:r>
          </w:p>
        </w:tc>
        <w:tc>
          <w:tcPr>
            <w:tcW w:w="576" w:type="dxa"/>
            <w:tcMar>
              <w:top w:w="60" w:type="dxa"/>
              <w:bottom w:w="60" w:type="dxa"/>
            </w:tcMar>
            <w:vAlign w:val="center"/>
          </w:tcPr>
          <w:p w14:paraId="6510FBC5" w14:textId="77777777" w:rsidR="006561BA" w:rsidRDefault="006561BA">
            <w:pPr>
              <w:pStyle w:val="AnnexTableHeader"/>
              <w:spacing w:line="200" w:lineRule="exact"/>
            </w:pPr>
          </w:p>
        </w:tc>
        <w:tc>
          <w:tcPr>
            <w:tcW w:w="1200" w:type="dxa"/>
            <w:tcMar>
              <w:top w:w="60" w:type="dxa"/>
              <w:bottom w:w="60" w:type="dxa"/>
            </w:tcMar>
            <w:vAlign w:val="center"/>
          </w:tcPr>
          <w:p w14:paraId="5797A3C3" w14:textId="77777777" w:rsidR="006561BA" w:rsidRDefault="006561BA">
            <w:pPr>
              <w:pStyle w:val="AnnexTableHeader"/>
              <w:spacing w:line="200" w:lineRule="exact"/>
            </w:pPr>
          </w:p>
        </w:tc>
        <w:tc>
          <w:tcPr>
            <w:tcW w:w="810" w:type="dxa"/>
            <w:tcMar>
              <w:top w:w="60" w:type="dxa"/>
              <w:bottom w:w="60" w:type="dxa"/>
            </w:tcMar>
            <w:vAlign w:val="center"/>
          </w:tcPr>
          <w:p w14:paraId="6F724F98" w14:textId="77777777" w:rsidR="006561BA" w:rsidRDefault="006561BA">
            <w:pPr>
              <w:pStyle w:val="AnnexTableHeader"/>
              <w:spacing w:line="200" w:lineRule="exact"/>
            </w:pPr>
          </w:p>
        </w:tc>
        <w:tc>
          <w:tcPr>
            <w:tcW w:w="810" w:type="dxa"/>
            <w:tcMar>
              <w:top w:w="60" w:type="dxa"/>
              <w:bottom w:w="60" w:type="dxa"/>
              <w:right w:w="0" w:type="dxa"/>
            </w:tcMar>
            <w:vAlign w:val="center"/>
          </w:tcPr>
          <w:p w14:paraId="0F647FAB" w14:textId="77777777" w:rsidR="006561BA" w:rsidRDefault="006561BA">
            <w:pPr>
              <w:pStyle w:val="AnnexTableHeader"/>
              <w:spacing w:line="200" w:lineRule="exact"/>
            </w:pPr>
          </w:p>
        </w:tc>
      </w:tr>
      <w:tr w:rsidR="006561BA" w14:paraId="0FB08704" w14:textId="77777777">
        <w:trPr>
          <w:cantSplit/>
          <w:trHeight w:val="1802"/>
        </w:trPr>
        <w:tc>
          <w:tcPr>
            <w:tcW w:w="1664" w:type="dxa"/>
            <w:tcMar>
              <w:top w:w="60" w:type="dxa"/>
              <w:left w:w="0" w:type="dxa"/>
              <w:bottom w:w="60" w:type="dxa"/>
            </w:tcMar>
            <w:vAlign w:val="center"/>
          </w:tcPr>
          <w:p w14:paraId="33F23BE4" w14:textId="77777777" w:rsidR="006561BA" w:rsidRDefault="005B4ED6">
            <w:pPr>
              <w:pStyle w:val="AnnexTableHeader"/>
              <w:spacing w:line="200" w:lineRule="exact"/>
            </w:pPr>
            <w:r>
              <w:rPr>
                <w:b/>
              </w:rPr>
              <w:t>Økonomiske aktiviteter (1)</w:t>
            </w:r>
          </w:p>
        </w:tc>
        <w:tc>
          <w:tcPr>
            <w:tcW w:w="645" w:type="dxa"/>
            <w:tcMar>
              <w:top w:w="60" w:type="dxa"/>
              <w:bottom w:w="60" w:type="dxa"/>
            </w:tcMar>
            <w:vAlign w:val="center"/>
          </w:tcPr>
          <w:p w14:paraId="6EF057CB" w14:textId="77777777" w:rsidR="006561BA" w:rsidRDefault="005B4ED6">
            <w:pPr>
              <w:pStyle w:val="AnnexTableHeader"/>
              <w:spacing w:line="200" w:lineRule="exact"/>
            </w:pPr>
            <w:r>
              <w:rPr>
                <w:b/>
              </w:rPr>
              <w:t>Kode</w:t>
            </w:r>
            <w:r>
              <w:rPr>
                <w:b/>
                <w:bCs/>
              </w:rPr>
              <w:t>(</w:t>
            </w:r>
            <w:r>
              <w:rPr>
                <w:b/>
                <w:bCs/>
                <w:vertAlign w:val="superscript"/>
              </w:rPr>
              <w:t>a</w:t>
            </w:r>
            <w:r>
              <w:rPr>
                <w:b/>
                <w:bCs/>
              </w:rPr>
              <w:t>) (2)</w:t>
            </w:r>
          </w:p>
        </w:tc>
        <w:tc>
          <w:tcPr>
            <w:tcW w:w="791" w:type="dxa"/>
            <w:tcMar>
              <w:top w:w="60" w:type="dxa"/>
              <w:bottom w:w="60" w:type="dxa"/>
            </w:tcMar>
            <w:vAlign w:val="center"/>
          </w:tcPr>
          <w:p w14:paraId="1564E8E8" w14:textId="77777777" w:rsidR="006561BA" w:rsidRDefault="005B4ED6">
            <w:pPr>
              <w:pStyle w:val="AnnexTableHeader"/>
              <w:spacing w:line="200" w:lineRule="exact"/>
            </w:pPr>
            <w:r>
              <w:rPr>
                <w:b/>
              </w:rPr>
              <w:t>Omsetning (3)</w:t>
            </w:r>
          </w:p>
        </w:tc>
        <w:tc>
          <w:tcPr>
            <w:tcW w:w="936" w:type="dxa"/>
            <w:tcMar>
              <w:top w:w="60" w:type="dxa"/>
              <w:bottom w:w="60" w:type="dxa"/>
            </w:tcMar>
            <w:vAlign w:val="center"/>
          </w:tcPr>
          <w:p w14:paraId="5B47BDF5" w14:textId="77777777" w:rsidR="006561BA" w:rsidRDefault="005B4ED6">
            <w:pPr>
              <w:pStyle w:val="AnnexTableHeader"/>
              <w:spacing w:line="200" w:lineRule="exact"/>
            </w:pPr>
            <w:r>
              <w:rPr>
                <w:b/>
              </w:rPr>
              <w:t>Andel av omsetning, år N (4)</w:t>
            </w:r>
          </w:p>
        </w:tc>
        <w:tc>
          <w:tcPr>
            <w:tcW w:w="573" w:type="dxa"/>
            <w:tcMar>
              <w:top w:w="60" w:type="dxa"/>
              <w:bottom w:w="60" w:type="dxa"/>
            </w:tcMar>
            <w:textDirection w:val="btLr"/>
            <w:vAlign w:val="center"/>
          </w:tcPr>
          <w:p w14:paraId="6A4F4A40" w14:textId="77777777" w:rsidR="006561BA" w:rsidRDefault="005B4ED6">
            <w:pPr>
              <w:pStyle w:val="AnnexTableHeader"/>
              <w:spacing w:line="200" w:lineRule="exact"/>
              <w:jc w:val="left"/>
            </w:pPr>
            <w:r>
              <w:rPr>
                <w:b/>
              </w:rPr>
              <w:t>Begrensning av klimaendringer (5)</w:t>
            </w:r>
          </w:p>
        </w:tc>
        <w:tc>
          <w:tcPr>
            <w:tcW w:w="574" w:type="dxa"/>
            <w:tcMar>
              <w:top w:w="60" w:type="dxa"/>
              <w:bottom w:w="60" w:type="dxa"/>
            </w:tcMar>
            <w:textDirection w:val="btLr"/>
            <w:vAlign w:val="center"/>
          </w:tcPr>
          <w:p w14:paraId="7EE068D1" w14:textId="77777777" w:rsidR="006561BA" w:rsidRDefault="005B4ED6">
            <w:pPr>
              <w:pStyle w:val="AnnexTableHeader"/>
              <w:spacing w:line="200" w:lineRule="exact"/>
              <w:jc w:val="left"/>
            </w:pPr>
            <w:r>
              <w:rPr>
                <w:b/>
              </w:rPr>
              <w:t>Tilpasning til klimaendringer (6)</w:t>
            </w:r>
          </w:p>
        </w:tc>
        <w:tc>
          <w:tcPr>
            <w:tcW w:w="574" w:type="dxa"/>
            <w:tcMar>
              <w:top w:w="60" w:type="dxa"/>
              <w:bottom w:w="60" w:type="dxa"/>
            </w:tcMar>
            <w:textDirection w:val="btLr"/>
            <w:vAlign w:val="center"/>
          </w:tcPr>
          <w:p w14:paraId="02220587" w14:textId="77777777" w:rsidR="006561BA" w:rsidRDefault="005B4ED6">
            <w:pPr>
              <w:pStyle w:val="AnnexTableHeader"/>
              <w:spacing w:line="200" w:lineRule="exact"/>
              <w:jc w:val="left"/>
            </w:pPr>
            <w:r>
              <w:rPr>
                <w:b/>
              </w:rPr>
              <w:t>Vann (7)</w:t>
            </w:r>
          </w:p>
        </w:tc>
        <w:tc>
          <w:tcPr>
            <w:tcW w:w="573" w:type="dxa"/>
            <w:tcMar>
              <w:top w:w="60" w:type="dxa"/>
              <w:bottom w:w="60" w:type="dxa"/>
            </w:tcMar>
            <w:textDirection w:val="btLr"/>
            <w:vAlign w:val="center"/>
          </w:tcPr>
          <w:p w14:paraId="6E3AB939" w14:textId="77777777" w:rsidR="006561BA" w:rsidRDefault="005B4ED6">
            <w:pPr>
              <w:pStyle w:val="AnnexTableHeader"/>
              <w:spacing w:line="200" w:lineRule="exact"/>
              <w:jc w:val="left"/>
            </w:pPr>
            <w:r>
              <w:rPr>
                <w:b/>
              </w:rPr>
              <w:t>Forurensning (8)</w:t>
            </w:r>
          </w:p>
        </w:tc>
        <w:tc>
          <w:tcPr>
            <w:tcW w:w="574" w:type="dxa"/>
            <w:tcMar>
              <w:top w:w="60" w:type="dxa"/>
              <w:bottom w:w="60" w:type="dxa"/>
            </w:tcMar>
            <w:textDirection w:val="btLr"/>
            <w:vAlign w:val="center"/>
          </w:tcPr>
          <w:p w14:paraId="5DE0ADDA" w14:textId="77777777" w:rsidR="006561BA" w:rsidRDefault="005B4ED6">
            <w:pPr>
              <w:pStyle w:val="AnnexTableHeader"/>
              <w:spacing w:line="200" w:lineRule="exact"/>
              <w:jc w:val="left"/>
            </w:pPr>
            <w:r>
              <w:rPr>
                <w:b/>
              </w:rPr>
              <w:t>Sirkulær økonomi (9)</w:t>
            </w:r>
          </w:p>
        </w:tc>
        <w:tc>
          <w:tcPr>
            <w:tcW w:w="574" w:type="dxa"/>
            <w:tcMar>
              <w:top w:w="60" w:type="dxa"/>
              <w:bottom w:w="60" w:type="dxa"/>
            </w:tcMar>
            <w:textDirection w:val="btLr"/>
            <w:vAlign w:val="center"/>
          </w:tcPr>
          <w:p w14:paraId="0F7A7591" w14:textId="77777777" w:rsidR="006561BA" w:rsidRDefault="005B4ED6">
            <w:pPr>
              <w:pStyle w:val="AnnexTableHeader"/>
              <w:spacing w:line="200" w:lineRule="exact"/>
              <w:jc w:val="left"/>
            </w:pPr>
            <w:r>
              <w:rPr>
                <w:b/>
              </w:rPr>
              <w:t>Biologisk mangfold (10)</w:t>
            </w:r>
          </w:p>
        </w:tc>
        <w:tc>
          <w:tcPr>
            <w:tcW w:w="573" w:type="dxa"/>
            <w:tcMar>
              <w:top w:w="60" w:type="dxa"/>
              <w:bottom w:w="60" w:type="dxa"/>
            </w:tcMar>
            <w:textDirection w:val="btLr"/>
            <w:vAlign w:val="center"/>
          </w:tcPr>
          <w:p w14:paraId="67FCE855" w14:textId="77777777" w:rsidR="006561BA" w:rsidRDefault="005B4ED6">
            <w:pPr>
              <w:pStyle w:val="AnnexTableHeader"/>
              <w:spacing w:line="200" w:lineRule="exact"/>
              <w:jc w:val="left"/>
            </w:pPr>
            <w:r>
              <w:rPr>
                <w:b/>
              </w:rPr>
              <w:t>Begrensning av klimaendringer (11)</w:t>
            </w:r>
          </w:p>
        </w:tc>
        <w:tc>
          <w:tcPr>
            <w:tcW w:w="574" w:type="dxa"/>
            <w:tcMar>
              <w:top w:w="60" w:type="dxa"/>
              <w:bottom w:w="60" w:type="dxa"/>
            </w:tcMar>
            <w:textDirection w:val="btLr"/>
            <w:vAlign w:val="center"/>
          </w:tcPr>
          <w:p w14:paraId="6C69E89B" w14:textId="77777777" w:rsidR="006561BA" w:rsidRDefault="005B4ED6">
            <w:pPr>
              <w:pStyle w:val="AnnexTableHeader"/>
              <w:spacing w:line="200" w:lineRule="exact"/>
              <w:jc w:val="left"/>
            </w:pPr>
            <w:r>
              <w:rPr>
                <w:b/>
              </w:rPr>
              <w:t>Tilpasning til klimaendringer (12)</w:t>
            </w:r>
          </w:p>
        </w:tc>
        <w:tc>
          <w:tcPr>
            <w:tcW w:w="574" w:type="dxa"/>
            <w:tcMar>
              <w:top w:w="60" w:type="dxa"/>
              <w:bottom w:w="60" w:type="dxa"/>
            </w:tcMar>
            <w:textDirection w:val="btLr"/>
            <w:vAlign w:val="center"/>
          </w:tcPr>
          <w:p w14:paraId="360D7972" w14:textId="77777777" w:rsidR="006561BA" w:rsidRDefault="005B4ED6">
            <w:pPr>
              <w:pStyle w:val="AnnexTableHeader"/>
              <w:spacing w:line="200" w:lineRule="exact"/>
              <w:jc w:val="left"/>
            </w:pPr>
            <w:r>
              <w:rPr>
                <w:b/>
              </w:rPr>
              <w:t>Vann (13)</w:t>
            </w:r>
          </w:p>
        </w:tc>
        <w:tc>
          <w:tcPr>
            <w:tcW w:w="573" w:type="dxa"/>
            <w:tcMar>
              <w:top w:w="60" w:type="dxa"/>
              <w:bottom w:w="60" w:type="dxa"/>
            </w:tcMar>
            <w:textDirection w:val="btLr"/>
            <w:vAlign w:val="center"/>
          </w:tcPr>
          <w:p w14:paraId="3DF8DD0F" w14:textId="77777777" w:rsidR="006561BA" w:rsidRDefault="005B4ED6">
            <w:pPr>
              <w:pStyle w:val="AnnexTableHeader"/>
              <w:spacing w:line="200" w:lineRule="exact"/>
              <w:jc w:val="left"/>
            </w:pPr>
            <w:r>
              <w:rPr>
                <w:b/>
              </w:rPr>
              <w:t>Forurensning (14)</w:t>
            </w:r>
          </w:p>
        </w:tc>
        <w:tc>
          <w:tcPr>
            <w:tcW w:w="574" w:type="dxa"/>
            <w:tcMar>
              <w:top w:w="60" w:type="dxa"/>
              <w:bottom w:w="60" w:type="dxa"/>
            </w:tcMar>
            <w:textDirection w:val="btLr"/>
            <w:vAlign w:val="center"/>
          </w:tcPr>
          <w:p w14:paraId="0F456FB4" w14:textId="77777777" w:rsidR="006561BA" w:rsidRDefault="005B4ED6">
            <w:pPr>
              <w:pStyle w:val="AnnexTableHeader"/>
              <w:spacing w:line="200" w:lineRule="exact"/>
              <w:jc w:val="left"/>
            </w:pPr>
            <w:r>
              <w:rPr>
                <w:b/>
              </w:rPr>
              <w:t>Sirkulær økonomi (15)</w:t>
            </w:r>
          </w:p>
        </w:tc>
        <w:tc>
          <w:tcPr>
            <w:tcW w:w="574" w:type="dxa"/>
            <w:tcMar>
              <w:top w:w="60" w:type="dxa"/>
              <w:bottom w:w="60" w:type="dxa"/>
            </w:tcMar>
            <w:textDirection w:val="btLr"/>
            <w:vAlign w:val="center"/>
          </w:tcPr>
          <w:p w14:paraId="75DB0B67" w14:textId="77777777" w:rsidR="006561BA" w:rsidRDefault="005B4ED6">
            <w:pPr>
              <w:pStyle w:val="AnnexTableHeader"/>
              <w:spacing w:line="200" w:lineRule="exact"/>
              <w:jc w:val="left"/>
            </w:pPr>
            <w:r>
              <w:rPr>
                <w:b/>
              </w:rPr>
              <w:t>Biologisk mangfold (16)</w:t>
            </w:r>
          </w:p>
        </w:tc>
        <w:tc>
          <w:tcPr>
            <w:tcW w:w="576" w:type="dxa"/>
            <w:tcMar>
              <w:top w:w="60" w:type="dxa"/>
              <w:bottom w:w="60" w:type="dxa"/>
            </w:tcMar>
            <w:textDirection w:val="btLr"/>
            <w:vAlign w:val="center"/>
          </w:tcPr>
          <w:p w14:paraId="6F516567" w14:textId="77777777" w:rsidR="006561BA" w:rsidRDefault="005B4ED6">
            <w:pPr>
              <w:pStyle w:val="AnnexTableHeader"/>
              <w:spacing w:line="200" w:lineRule="exact"/>
              <w:jc w:val="left"/>
            </w:pPr>
            <w:r>
              <w:rPr>
                <w:b/>
              </w:rPr>
              <w:t>Minstegarantier (17)</w:t>
            </w:r>
          </w:p>
        </w:tc>
        <w:tc>
          <w:tcPr>
            <w:tcW w:w="1200" w:type="dxa"/>
            <w:tcMar>
              <w:top w:w="60" w:type="dxa"/>
              <w:bottom w:w="60" w:type="dxa"/>
            </w:tcMar>
            <w:vAlign w:val="center"/>
          </w:tcPr>
          <w:p w14:paraId="20AC0B58" w14:textId="77777777" w:rsidR="006561BA" w:rsidRDefault="005B4ED6">
            <w:pPr>
              <w:pStyle w:val="AnnexTableHeader"/>
              <w:spacing w:line="200" w:lineRule="exact"/>
            </w:pPr>
            <w:r>
              <w:rPr>
                <w:b/>
              </w:rPr>
              <w:t>Taksonomiforenlig andel av omsetningen (A.1.) eller andel av omsetning som er omfattet av taksonomien (A.2.), år N-1 (18)</w:t>
            </w:r>
          </w:p>
        </w:tc>
        <w:tc>
          <w:tcPr>
            <w:tcW w:w="810" w:type="dxa"/>
            <w:tcMar>
              <w:top w:w="60" w:type="dxa"/>
              <w:bottom w:w="60" w:type="dxa"/>
            </w:tcMar>
            <w:vAlign w:val="center"/>
          </w:tcPr>
          <w:p w14:paraId="033BEA3E" w14:textId="77777777" w:rsidR="006561BA" w:rsidRDefault="005B4ED6">
            <w:pPr>
              <w:pStyle w:val="AnnexTableHeader"/>
              <w:spacing w:line="200" w:lineRule="exact"/>
            </w:pPr>
            <w:r>
              <w:rPr>
                <w:b/>
              </w:rPr>
              <w:t>Kategori muliggjørende aktivitet (19)</w:t>
            </w:r>
          </w:p>
        </w:tc>
        <w:tc>
          <w:tcPr>
            <w:tcW w:w="810" w:type="dxa"/>
            <w:tcMar>
              <w:top w:w="60" w:type="dxa"/>
              <w:bottom w:w="60" w:type="dxa"/>
              <w:right w:w="0" w:type="dxa"/>
            </w:tcMar>
            <w:vAlign w:val="center"/>
          </w:tcPr>
          <w:p w14:paraId="2C95F3A3" w14:textId="77777777" w:rsidR="006561BA" w:rsidRDefault="005B4ED6">
            <w:pPr>
              <w:pStyle w:val="AnnexTableHeader"/>
              <w:spacing w:line="200" w:lineRule="exact"/>
            </w:pPr>
            <w:r>
              <w:rPr>
                <w:b/>
              </w:rPr>
              <w:t>Kategori omstillingsaktivitet (20)</w:t>
            </w:r>
          </w:p>
        </w:tc>
      </w:tr>
      <w:tr w:rsidR="006561BA" w14:paraId="18DE7777" w14:textId="77777777">
        <w:tc>
          <w:tcPr>
            <w:tcW w:w="1664" w:type="dxa"/>
            <w:tcMar>
              <w:top w:w="60" w:type="dxa"/>
              <w:left w:w="0" w:type="dxa"/>
              <w:bottom w:w="60" w:type="dxa"/>
            </w:tcMar>
            <w:vAlign w:val="center"/>
          </w:tcPr>
          <w:p w14:paraId="023863EC" w14:textId="77777777" w:rsidR="006561BA" w:rsidRDefault="005B4ED6">
            <w:pPr>
              <w:pStyle w:val="AnnexTableCellLeft"/>
              <w:jc w:val="center"/>
            </w:pPr>
            <w:r>
              <w:rPr>
                <w:i/>
              </w:rPr>
              <w:t>Tekst</w:t>
            </w:r>
          </w:p>
        </w:tc>
        <w:tc>
          <w:tcPr>
            <w:tcW w:w="645" w:type="dxa"/>
            <w:tcMar>
              <w:top w:w="60" w:type="dxa"/>
              <w:bottom w:w="60" w:type="dxa"/>
            </w:tcMar>
            <w:vAlign w:val="center"/>
          </w:tcPr>
          <w:p w14:paraId="485E0271" w14:textId="77777777" w:rsidR="006561BA" w:rsidRDefault="006561BA">
            <w:pPr>
              <w:pStyle w:val="AnnexTableCellLeft"/>
              <w:jc w:val="center"/>
            </w:pPr>
          </w:p>
        </w:tc>
        <w:tc>
          <w:tcPr>
            <w:tcW w:w="791" w:type="dxa"/>
            <w:tcMar>
              <w:top w:w="60" w:type="dxa"/>
              <w:bottom w:w="60" w:type="dxa"/>
            </w:tcMar>
            <w:vAlign w:val="center"/>
          </w:tcPr>
          <w:p w14:paraId="59907B40" w14:textId="77777777" w:rsidR="006561BA" w:rsidRDefault="005B4ED6">
            <w:pPr>
              <w:pStyle w:val="AnnexTableCellLeft"/>
              <w:jc w:val="center"/>
            </w:pPr>
            <w:r>
              <w:rPr>
                <w:i/>
              </w:rPr>
              <w:t>Valuta</w:t>
            </w:r>
          </w:p>
        </w:tc>
        <w:tc>
          <w:tcPr>
            <w:tcW w:w="936" w:type="dxa"/>
            <w:tcMar>
              <w:top w:w="60" w:type="dxa"/>
              <w:bottom w:w="60" w:type="dxa"/>
            </w:tcMar>
            <w:vAlign w:val="center"/>
          </w:tcPr>
          <w:p w14:paraId="16D51AB2" w14:textId="77777777" w:rsidR="006561BA" w:rsidRDefault="005B4ED6">
            <w:pPr>
              <w:pStyle w:val="AnnexTableCellLeft"/>
              <w:jc w:val="center"/>
            </w:pPr>
            <w:r>
              <w:rPr>
                <w:i/>
              </w:rPr>
              <w:t>%</w:t>
            </w:r>
          </w:p>
        </w:tc>
        <w:tc>
          <w:tcPr>
            <w:tcW w:w="573" w:type="dxa"/>
            <w:tcMar>
              <w:top w:w="60" w:type="dxa"/>
              <w:bottom w:w="60" w:type="dxa"/>
            </w:tcMar>
            <w:vAlign w:val="center"/>
          </w:tcPr>
          <w:p w14:paraId="086DED58" w14:textId="77777777" w:rsidR="006561BA" w:rsidRDefault="005B4ED6">
            <w:pPr>
              <w:pStyle w:val="AnnexTableCellLeft"/>
              <w:jc w:val="center"/>
            </w:pPr>
            <w:r>
              <w:rPr>
                <w:i/>
              </w:rPr>
              <w:t>J, N, N/EL</w:t>
            </w:r>
            <w:r>
              <w:t> (</w:t>
            </w:r>
            <w:r>
              <w:rPr>
                <w:vertAlign w:val="superscript"/>
              </w:rPr>
              <w:t>b</w:t>
            </w:r>
            <w:r>
              <w:t>) (</w:t>
            </w:r>
            <w:r>
              <w:rPr>
                <w:vertAlign w:val="superscript"/>
              </w:rPr>
              <w:t>c</w:t>
            </w:r>
            <w:r>
              <w:t>)</w:t>
            </w:r>
          </w:p>
        </w:tc>
        <w:tc>
          <w:tcPr>
            <w:tcW w:w="574" w:type="dxa"/>
            <w:tcMar>
              <w:top w:w="60" w:type="dxa"/>
              <w:bottom w:w="60" w:type="dxa"/>
            </w:tcMar>
            <w:vAlign w:val="center"/>
          </w:tcPr>
          <w:p w14:paraId="7C36F1CD" w14:textId="77777777" w:rsidR="006561BA" w:rsidRDefault="005B4ED6">
            <w:pPr>
              <w:pStyle w:val="AnnexTableCellLeft"/>
              <w:jc w:val="center"/>
            </w:pPr>
            <w:r>
              <w:rPr>
                <w:i/>
              </w:rPr>
              <w:t>J, N, N/EL</w:t>
            </w:r>
            <w:r>
              <w:t> (</w:t>
            </w:r>
            <w:r>
              <w:rPr>
                <w:vertAlign w:val="superscript"/>
              </w:rPr>
              <w:t>b</w:t>
            </w:r>
            <w:r>
              <w:t>) (</w:t>
            </w:r>
            <w:r>
              <w:rPr>
                <w:vertAlign w:val="superscript"/>
              </w:rPr>
              <w:t>c</w:t>
            </w:r>
            <w:r>
              <w:t>)</w:t>
            </w:r>
          </w:p>
        </w:tc>
        <w:tc>
          <w:tcPr>
            <w:tcW w:w="574" w:type="dxa"/>
            <w:tcMar>
              <w:top w:w="60" w:type="dxa"/>
              <w:bottom w:w="60" w:type="dxa"/>
            </w:tcMar>
            <w:vAlign w:val="center"/>
          </w:tcPr>
          <w:p w14:paraId="62E74573" w14:textId="77777777" w:rsidR="006561BA" w:rsidRDefault="005B4ED6">
            <w:pPr>
              <w:pStyle w:val="AnnexTableCellLeft"/>
              <w:jc w:val="center"/>
            </w:pPr>
            <w:r>
              <w:rPr>
                <w:i/>
              </w:rPr>
              <w:t>J, N, N/EL</w:t>
            </w:r>
            <w:r>
              <w:t> (</w:t>
            </w:r>
            <w:r>
              <w:rPr>
                <w:vertAlign w:val="superscript"/>
              </w:rPr>
              <w:t>b</w:t>
            </w:r>
            <w:r>
              <w:t>) (</w:t>
            </w:r>
            <w:r>
              <w:rPr>
                <w:vertAlign w:val="superscript"/>
              </w:rPr>
              <w:t>c</w:t>
            </w:r>
            <w:r>
              <w:t>)</w:t>
            </w:r>
          </w:p>
        </w:tc>
        <w:tc>
          <w:tcPr>
            <w:tcW w:w="573" w:type="dxa"/>
            <w:tcMar>
              <w:top w:w="60" w:type="dxa"/>
              <w:bottom w:w="60" w:type="dxa"/>
            </w:tcMar>
            <w:vAlign w:val="center"/>
          </w:tcPr>
          <w:p w14:paraId="5D602FE8" w14:textId="77777777" w:rsidR="006561BA" w:rsidRDefault="005B4ED6">
            <w:pPr>
              <w:pStyle w:val="AnnexTableCellLeft"/>
              <w:jc w:val="center"/>
            </w:pPr>
            <w:r>
              <w:rPr>
                <w:i/>
              </w:rPr>
              <w:t>J, N, N/EL</w:t>
            </w:r>
            <w:r>
              <w:t> (</w:t>
            </w:r>
            <w:r>
              <w:rPr>
                <w:vertAlign w:val="superscript"/>
              </w:rPr>
              <w:t>b</w:t>
            </w:r>
            <w:r>
              <w:t>) (</w:t>
            </w:r>
            <w:r>
              <w:rPr>
                <w:vertAlign w:val="superscript"/>
              </w:rPr>
              <w:t>c</w:t>
            </w:r>
            <w:r>
              <w:t>)</w:t>
            </w:r>
          </w:p>
        </w:tc>
        <w:tc>
          <w:tcPr>
            <w:tcW w:w="574" w:type="dxa"/>
            <w:tcMar>
              <w:top w:w="60" w:type="dxa"/>
              <w:bottom w:w="60" w:type="dxa"/>
            </w:tcMar>
            <w:vAlign w:val="center"/>
          </w:tcPr>
          <w:p w14:paraId="4E1ABD09" w14:textId="77777777" w:rsidR="006561BA" w:rsidRDefault="005B4ED6">
            <w:pPr>
              <w:pStyle w:val="AnnexTableCellLeft"/>
              <w:jc w:val="center"/>
            </w:pPr>
            <w:r>
              <w:rPr>
                <w:i/>
              </w:rPr>
              <w:t>J, N, N/EL</w:t>
            </w:r>
            <w:r>
              <w:t> (</w:t>
            </w:r>
            <w:r>
              <w:rPr>
                <w:vertAlign w:val="superscript"/>
              </w:rPr>
              <w:t>b</w:t>
            </w:r>
            <w:r>
              <w:t>) (</w:t>
            </w:r>
            <w:r>
              <w:rPr>
                <w:vertAlign w:val="superscript"/>
              </w:rPr>
              <w:t>c</w:t>
            </w:r>
            <w:r>
              <w:t>)</w:t>
            </w:r>
          </w:p>
        </w:tc>
        <w:tc>
          <w:tcPr>
            <w:tcW w:w="574" w:type="dxa"/>
            <w:tcMar>
              <w:top w:w="60" w:type="dxa"/>
              <w:bottom w:w="60" w:type="dxa"/>
            </w:tcMar>
            <w:vAlign w:val="center"/>
          </w:tcPr>
          <w:p w14:paraId="72D2CF5E" w14:textId="77777777" w:rsidR="006561BA" w:rsidRDefault="005B4ED6">
            <w:pPr>
              <w:pStyle w:val="AnnexTableCellLeft"/>
              <w:jc w:val="center"/>
            </w:pPr>
            <w:r>
              <w:rPr>
                <w:i/>
              </w:rPr>
              <w:t>J, N, N/EL</w:t>
            </w:r>
            <w:r>
              <w:t> (</w:t>
            </w:r>
            <w:r>
              <w:rPr>
                <w:vertAlign w:val="superscript"/>
              </w:rPr>
              <w:t>b</w:t>
            </w:r>
            <w:r>
              <w:t>) (</w:t>
            </w:r>
            <w:r>
              <w:rPr>
                <w:vertAlign w:val="superscript"/>
              </w:rPr>
              <w:t>c</w:t>
            </w:r>
            <w:r>
              <w:t>)</w:t>
            </w:r>
          </w:p>
        </w:tc>
        <w:tc>
          <w:tcPr>
            <w:tcW w:w="573" w:type="dxa"/>
            <w:tcMar>
              <w:top w:w="60" w:type="dxa"/>
              <w:bottom w:w="60" w:type="dxa"/>
            </w:tcMar>
            <w:vAlign w:val="center"/>
          </w:tcPr>
          <w:p w14:paraId="1C6A45D5" w14:textId="77777777" w:rsidR="006561BA" w:rsidRDefault="005B4ED6">
            <w:pPr>
              <w:pStyle w:val="AnnexTableCellLeft"/>
              <w:jc w:val="center"/>
            </w:pPr>
            <w:r>
              <w:rPr>
                <w:i/>
              </w:rPr>
              <w:t>J/N</w:t>
            </w:r>
          </w:p>
        </w:tc>
        <w:tc>
          <w:tcPr>
            <w:tcW w:w="574" w:type="dxa"/>
            <w:tcMar>
              <w:top w:w="60" w:type="dxa"/>
              <w:bottom w:w="60" w:type="dxa"/>
            </w:tcMar>
            <w:vAlign w:val="center"/>
          </w:tcPr>
          <w:p w14:paraId="3405B972" w14:textId="77777777" w:rsidR="006561BA" w:rsidRDefault="005B4ED6">
            <w:pPr>
              <w:pStyle w:val="AnnexTableCellLeft"/>
              <w:jc w:val="center"/>
            </w:pPr>
            <w:r>
              <w:rPr>
                <w:i/>
              </w:rPr>
              <w:t>J/N</w:t>
            </w:r>
          </w:p>
        </w:tc>
        <w:tc>
          <w:tcPr>
            <w:tcW w:w="574" w:type="dxa"/>
            <w:tcMar>
              <w:top w:w="60" w:type="dxa"/>
              <w:bottom w:w="60" w:type="dxa"/>
            </w:tcMar>
            <w:vAlign w:val="center"/>
          </w:tcPr>
          <w:p w14:paraId="5AA825AD" w14:textId="77777777" w:rsidR="006561BA" w:rsidRDefault="005B4ED6">
            <w:pPr>
              <w:pStyle w:val="AnnexTableCellLeft"/>
              <w:jc w:val="center"/>
            </w:pPr>
            <w:r>
              <w:rPr>
                <w:i/>
              </w:rPr>
              <w:t>J/N</w:t>
            </w:r>
          </w:p>
        </w:tc>
        <w:tc>
          <w:tcPr>
            <w:tcW w:w="573" w:type="dxa"/>
            <w:tcMar>
              <w:top w:w="60" w:type="dxa"/>
              <w:bottom w:w="60" w:type="dxa"/>
            </w:tcMar>
            <w:vAlign w:val="center"/>
          </w:tcPr>
          <w:p w14:paraId="7FBA40D3" w14:textId="77777777" w:rsidR="006561BA" w:rsidRDefault="005B4ED6">
            <w:pPr>
              <w:pStyle w:val="AnnexTableCellLeft"/>
              <w:jc w:val="center"/>
            </w:pPr>
            <w:r>
              <w:rPr>
                <w:i/>
              </w:rPr>
              <w:t>J/N</w:t>
            </w:r>
          </w:p>
        </w:tc>
        <w:tc>
          <w:tcPr>
            <w:tcW w:w="574" w:type="dxa"/>
            <w:tcMar>
              <w:top w:w="60" w:type="dxa"/>
              <w:bottom w:w="60" w:type="dxa"/>
            </w:tcMar>
            <w:vAlign w:val="center"/>
          </w:tcPr>
          <w:p w14:paraId="2755DCD5" w14:textId="77777777" w:rsidR="006561BA" w:rsidRDefault="005B4ED6">
            <w:pPr>
              <w:pStyle w:val="AnnexTableCellLeft"/>
              <w:jc w:val="center"/>
            </w:pPr>
            <w:r>
              <w:rPr>
                <w:i/>
              </w:rPr>
              <w:t>J/N</w:t>
            </w:r>
          </w:p>
        </w:tc>
        <w:tc>
          <w:tcPr>
            <w:tcW w:w="574" w:type="dxa"/>
            <w:tcMar>
              <w:top w:w="60" w:type="dxa"/>
              <w:bottom w:w="60" w:type="dxa"/>
            </w:tcMar>
            <w:vAlign w:val="center"/>
          </w:tcPr>
          <w:p w14:paraId="2405ACB9" w14:textId="77777777" w:rsidR="006561BA" w:rsidRDefault="005B4ED6">
            <w:pPr>
              <w:pStyle w:val="AnnexTableCellLeft"/>
              <w:jc w:val="center"/>
            </w:pPr>
            <w:r>
              <w:rPr>
                <w:i/>
              </w:rPr>
              <w:t>J/N</w:t>
            </w:r>
          </w:p>
        </w:tc>
        <w:tc>
          <w:tcPr>
            <w:tcW w:w="576" w:type="dxa"/>
            <w:tcMar>
              <w:top w:w="60" w:type="dxa"/>
              <w:bottom w:w="60" w:type="dxa"/>
            </w:tcMar>
            <w:vAlign w:val="center"/>
          </w:tcPr>
          <w:p w14:paraId="08C00AC7" w14:textId="77777777" w:rsidR="006561BA" w:rsidRDefault="005B4ED6">
            <w:pPr>
              <w:pStyle w:val="AnnexTableCellLeft"/>
              <w:jc w:val="center"/>
            </w:pPr>
            <w:r>
              <w:rPr>
                <w:i/>
              </w:rPr>
              <w:t>J/N</w:t>
            </w:r>
          </w:p>
        </w:tc>
        <w:tc>
          <w:tcPr>
            <w:tcW w:w="1200" w:type="dxa"/>
            <w:tcMar>
              <w:top w:w="60" w:type="dxa"/>
              <w:bottom w:w="60" w:type="dxa"/>
            </w:tcMar>
            <w:vAlign w:val="center"/>
          </w:tcPr>
          <w:p w14:paraId="4A6A3867" w14:textId="77777777" w:rsidR="006561BA" w:rsidRDefault="005B4ED6">
            <w:pPr>
              <w:pStyle w:val="AnnexTableCellLeft"/>
              <w:jc w:val="center"/>
            </w:pPr>
            <w:r>
              <w:rPr>
                <w:i/>
              </w:rPr>
              <w:t>%</w:t>
            </w:r>
          </w:p>
        </w:tc>
        <w:tc>
          <w:tcPr>
            <w:tcW w:w="810" w:type="dxa"/>
            <w:tcMar>
              <w:top w:w="60" w:type="dxa"/>
              <w:bottom w:w="60" w:type="dxa"/>
            </w:tcMar>
            <w:vAlign w:val="center"/>
          </w:tcPr>
          <w:p w14:paraId="6802A587" w14:textId="77777777" w:rsidR="006561BA" w:rsidRDefault="005B4ED6">
            <w:pPr>
              <w:pStyle w:val="AnnexTableCellLeft"/>
              <w:jc w:val="center"/>
            </w:pPr>
            <w:r>
              <w:rPr>
                <w:i/>
              </w:rPr>
              <w:t>Muliggjørende</w:t>
            </w:r>
          </w:p>
        </w:tc>
        <w:tc>
          <w:tcPr>
            <w:tcW w:w="810" w:type="dxa"/>
            <w:tcMar>
              <w:top w:w="60" w:type="dxa"/>
              <w:bottom w:w="60" w:type="dxa"/>
              <w:right w:w="0" w:type="dxa"/>
            </w:tcMar>
            <w:vAlign w:val="center"/>
          </w:tcPr>
          <w:p w14:paraId="48950B47" w14:textId="77777777" w:rsidR="006561BA" w:rsidRDefault="005B4ED6">
            <w:pPr>
              <w:pStyle w:val="AnnexTableCellLeft"/>
              <w:jc w:val="center"/>
            </w:pPr>
            <w:r>
              <w:rPr>
                <w:i/>
              </w:rPr>
              <w:t>Omstilling</w:t>
            </w:r>
          </w:p>
        </w:tc>
      </w:tr>
      <w:tr w:rsidR="006561BA" w14:paraId="0C6B779E" w14:textId="77777777">
        <w:tc>
          <w:tcPr>
            <w:tcW w:w="14316" w:type="dxa"/>
            <w:gridSpan w:val="20"/>
            <w:tcMar>
              <w:top w:w="40" w:type="dxa"/>
              <w:left w:w="0" w:type="dxa"/>
              <w:bottom w:w="40" w:type="dxa"/>
              <w:right w:w="0" w:type="dxa"/>
            </w:tcMar>
          </w:tcPr>
          <w:p w14:paraId="2999CD73" w14:textId="77777777" w:rsidR="006561BA" w:rsidRDefault="005B4ED6">
            <w:pPr>
              <w:pStyle w:val="AnnexNumberedText"/>
              <w:spacing w:after="0" w:line="200" w:lineRule="exact"/>
              <w:ind w:left="453" w:hanging="453"/>
              <w:rPr>
                <w:sz w:val="16"/>
                <w:szCs w:val="16"/>
              </w:rPr>
            </w:pPr>
            <w:r>
              <w:rPr>
                <w:sz w:val="16"/>
              </w:rPr>
              <w:t>A.</w:t>
            </w:r>
            <w:r>
              <w:rPr>
                <w:b/>
                <w:sz w:val="16"/>
              </w:rPr>
              <w:tab/>
              <w:t>AKTIVITETER SOM ER OMFATTET AV TAKSONOMIEN</w:t>
            </w:r>
          </w:p>
        </w:tc>
      </w:tr>
      <w:tr w:rsidR="006561BA" w14:paraId="3E03307F" w14:textId="77777777">
        <w:tc>
          <w:tcPr>
            <w:tcW w:w="14316" w:type="dxa"/>
            <w:gridSpan w:val="20"/>
            <w:tcMar>
              <w:top w:w="40" w:type="dxa"/>
              <w:left w:w="0" w:type="dxa"/>
              <w:bottom w:w="40" w:type="dxa"/>
              <w:right w:w="0" w:type="dxa"/>
            </w:tcMar>
          </w:tcPr>
          <w:p w14:paraId="11D89CC7" w14:textId="77777777" w:rsidR="006561BA" w:rsidRDefault="005B4ED6">
            <w:pPr>
              <w:pStyle w:val="AnnexNumberedText"/>
              <w:spacing w:after="0"/>
              <w:ind w:left="453" w:hanging="453"/>
            </w:pPr>
            <w:r>
              <w:t>A.1.</w:t>
            </w:r>
            <w:r>
              <w:rPr>
                <w:b/>
              </w:rPr>
              <w:tab/>
              <w:t xml:space="preserve">Miljømessig bærekraftige (taksonomiforenlige) aktiviteter </w:t>
            </w:r>
          </w:p>
        </w:tc>
      </w:tr>
      <w:tr w:rsidR="006561BA" w14:paraId="21B2F9B6" w14:textId="77777777">
        <w:tc>
          <w:tcPr>
            <w:tcW w:w="1664" w:type="dxa"/>
            <w:tcMar>
              <w:top w:w="40" w:type="dxa"/>
              <w:left w:w="0" w:type="dxa"/>
              <w:bottom w:w="40" w:type="dxa"/>
            </w:tcMar>
          </w:tcPr>
          <w:p w14:paraId="1B684670" w14:textId="77777777" w:rsidR="006561BA" w:rsidRDefault="005B4ED6">
            <w:pPr>
              <w:pStyle w:val="AnnexTableCellLeft"/>
            </w:pPr>
            <w:r>
              <w:t>Aktivitet 1</w:t>
            </w:r>
          </w:p>
        </w:tc>
        <w:tc>
          <w:tcPr>
            <w:tcW w:w="645" w:type="dxa"/>
            <w:tcMar>
              <w:top w:w="40" w:type="dxa"/>
              <w:bottom w:w="40" w:type="dxa"/>
            </w:tcMar>
          </w:tcPr>
          <w:p w14:paraId="0A630969" w14:textId="77777777" w:rsidR="006561BA" w:rsidRDefault="006561BA">
            <w:pPr>
              <w:pStyle w:val="AnnexTableCellLeft"/>
            </w:pPr>
          </w:p>
        </w:tc>
        <w:tc>
          <w:tcPr>
            <w:tcW w:w="791" w:type="dxa"/>
            <w:tcMar>
              <w:top w:w="40" w:type="dxa"/>
              <w:bottom w:w="40" w:type="dxa"/>
            </w:tcMar>
          </w:tcPr>
          <w:p w14:paraId="146CC901" w14:textId="77777777" w:rsidR="006561BA" w:rsidRDefault="006561BA">
            <w:pPr>
              <w:pStyle w:val="AnnexTableCellLeft"/>
              <w:jc w:val="center"/>
            </w:pPr>
          </w:p>
        </w:tc>
        <w:tc>
          <w:tcPr>
            <w:tcW w:w="936" w:type="dxa"/>
            <w:tcMar>
              <w:top w:w="40" w:type="dxa"/>
              <w:bottom w:w="40" w:type="dxa"/>
            </w:tcMar>
            <w:vAlign w:val="center"/>
          </w:tcPr>
          <w:p w14:paraId="2C67E642" w14:textId="77777777" w:rsidR="006561BA" w:rsidRDefault="005B4ED6">
            <w:pPr>
              <w:pStyle w:val="AnnexTableCellLeft"/>
              <w:jc w:val="center"/>
            </w:pPr>
            <w:r>
              <w:t>%</w:t>
            </w:r>
          </w:p>
        </w:tc>
        <w:tc>
          <w:tcPr>
            <w:tcW w:w="573" w:type="dxa"/>
            <w:tcMar>
              <w:top w:w="40" w:type="dxa"/>
              <w:bottom w:w="40" w:type="dxa"/>
            </w:tcMar>
            <w:vAlign w:val="center"/>
          </w:tcPr>
          <w:p w14:paraId="28F942FA" w14:textId="77777777" w:rsidR="006561BA" w:rsidRDefault="006561BA">
            <w:pPr>
              <w:pStyle w:val="AnnexTableCellLeft"/>
              <w:jc w:val="center"/>
            </w:pPr>
          </w:p>
        </w:tc>
        <w:tc>
          <w:tcPr>
            <w:tcW w:w="574" w:type="dxa"/>
            <w:tcMar>
              <w:top w:w="40" w:type="dxa"/>
              <w:bottom w:w="40" w:type="dxa"/>
            </w:tcMar>
            <w:vAlign w:val="center"/>
          </w:tcPr>
          <w:p w14:paraId="7D8B31DB" w14:textId="77777777" w:rsidR="006561BA" w:rsidRDefault="006561BA">
            <w:pPr>
              <w:pStyle w:val="AnnexTableCellLeft"/>
              <w:jc w:val="center"/>
            </w:pPr>
          </w:p>
        </w:tc>
        <w:tc>
          <w:tcPr>
            <w:tcW w:w="574" w:type="dxa"/>
            <w:tcMar>
              <w:top w:w="40" w:type="dxa"/>
              <w:bottom w:w="40" w:type="dxa"/>
            </w:tcMar>
            <w:vAlign w:val="center"/>
          </w:tcPr>
          <w:p w14:paraId="600491DF" w14:textId="77777777" w:rsidR="006561BA" w:rsidRDefault="006561BA">
            <w:pPr>
              <w:pStyle w:val="AnnexTableCellLeft"/>
              <w:jc w:val="center"/>
            </w:pPr>
          </w:p>
        </w:tc>
        <w:tc>
          <w:tcPr>
            <w:tcW w:w="573" w:type="dxa"/>
            <w:tcMar>
              <w:top w:w="40" w:type="dxa"/>
              <w:bottom w:w="40" w:type="dxa"/>
            </w:tcMar>
            <w:vAlign w:val="center"/>
          </w:tcPr>
          <w:p w14:paraId="2A5D06D5" w14:textId="77777777" w:rsidR="006561BA" w:rsidRDefault="006561BA">
            <w:pPr>
              <w:pStyle w:val="AnnexTableCellLeft"/>
              <w:jc w:val="center"/>
            </w:pPr>
          </w:p>
        </w:tc>
        <w:tc>
          <w:tcPr>
            <w:tcW w:w="574" w:type="dxa"/>
            <w:tcMar>
              <w:top w:w="40" w:type="dxa"/>
              <w:bottom w:w="40" w:type="dxa"/>
            </w:tcMar>
            <w:vAlign w:val="center"/>
          </w:tcPr>
          <w:p w14:paraId="4DDBE5A8" w14:textId="77777777" w:rsidR="006561BA" w:rsidRDefault="006561BA">
            <w:pPr>
              <w:pStyle w:val="AnnexTableCellLeft"/>
              <w:jc w:val="center"/>
            </w:pPr>
          </w:p>
        </w:tc>
        <w:tc>
          <w:tcPr>
            <w:tcW w:w="574" w:type="dxa"/>
            <w:tcMar>
              <w:top w:w="40" w:type="dxa"/>
              <w:bottom w:w="40" w:type="dxa"/>
            </w:tcMar>
            <w:vAlign w:val="center"/>
          </w:tcPr>
          <w:p w14:paraId="0806346D" w14:textId="77777777" w:rsidR="006561BA" w:rsidRDefault="006561BA">
            <w:pPr>
              <w:pStyle w:val="AnnexTableCellLeft"/>
              <w:jc w:val="center"/>
            </w:pPr>
          </w:p>
        </w:tc>
        <w:tc>
          <w:tcPr>
            <w:tcW w:w="573" w:type="dxa"/>
            <w:tcMar>
              <w:top w:w="40" w:type="dxa"/>
              <w:bottom w:w="40" w:type="dxa"/>
            </w:tcMar>
            <w:vAlign w:val="center"/>
          </w:tcPr>
          <w:p w14:paraId="7115FDA1" w14:textId="77777777" w:rsidR="006561BA" w:rsidRDefault="005B4ED6">
            <w:pPr>
              <w:pStyle w:val="AnnexTableCellLeft"/>
              <w:jc w:val="center"/>
            </w:pPr>
            <w:r>
              <w:t>J</w:t>
            </w:r>
          </w:p>
        </w:tc>
        <w:tc>
          <w:tcPr>
            <w:tcW w:w="574" w:type="dxa"/>
            <w:tcMar>
              <w:top w:w="40" w:type="dxa"/>
              <w:bottom w:w="40" w:type="dxa"/>
            </w:tcMar>
            <w:vAlign w:val="center"/>
          </w:tcPr>
          <w:p w14:paraId="73B006FE" w14:textId="77777777" w:rsidR="006561BA" w:rsidRDefault="005B4ED6">
            <w:pPr>
              <w:pStyle w:val="AnnexTableCellLeft"/>
              <w:jc w:val="center"/>
            </w:pPr>
            <w:r>
              <w:t>J</w:t>
            </w:r>
          </w:p>
        </w:tc>
        <w:tc>
          <w:tcPr>
            <w:tcW w:w="574" w:type="dxa"/>
            <w:tcMar>
              <w:top w:w="40" w:type="dxa"/>
              <w:bottom w:w="40" w:type="dxa"/>
            </w:tcMar>
            <w:vAlign w:val="center"/>
          </w:tcPr>
          <w:p w14:paraId="430921B4" w14:textId="77777777" w:rsidR="006561BA" w:rsidRDefault="005B4ED6">
            <w:pPr>
              <w:pStyle w:val="AnnexTableCellLeft"/>
              <w:jc w:val="center"/>
            </w:pPr>
            <w:r>
              <w:t>J</w:t>
            </w:r>
          </w:p>
        </w:tc>
        <w:tc>
          <w:tcPr>
            <w:tcW w:w="573" w:type="dxa"/>
            <w:tcMar>
              <w:top w:w="40" w:type="dxa"/>
              <w:bottom w:w="40" w:type="dxa"/>
            </w:tcMar>
            <w:vAlign w:val="center"/>
          </w:tcPr>
          <w:p w14:paraId="505ED1BA" w14:textId="77777777" w:rsidR="006561BA" w:rsidRDefault="005B4ED6">
            <w:pPr>
              <w:pStyle w:val="AnnexTableCellLeft"/>
              <w:jc w:val="center"/>
            </w:pPr>
            <w:r>
              <w:t>J</w:t>
            </w:r>
          </w:p>
        </w:tc>
        <w:tc>
          <w:tcPr>
            <w:tcW w:w="574" w:type="dxa"/>
            <w:tcMar>
              <w:top w:w="40" w:type="dxa"/>
              <w:bottom w:w="40" w:type="dxa"/>
            </w:tcMar>
            <w:vAlign w:val="center"/>
          </w:tcPr>
          <w:p w14:paraId="60A0B684" w14:textId="77777777" w:rsidR="006561BA" w:rsidRDefault="005B4ED6">
            <w:pPr>
              <w:pStyle w:val="AnnexTableCellLeft"/>
              <w:jc w:val="center"/>
            </w:pPr>
            <w:r>
              <w:t>J</w:t>
            </w:r>
          </w:p>
        </w:tc>
        <w:tc>
          <w:tcPr>
            <w:tcW w:w="574" w:type="dxa"/>
            <w:tcMar>
              <w:top w:w="40" w:type="dxa"/>
              <w:bottom w:w="40" w:type="dxa"/>
            </w:tcMar>
            <w:vAlign w:val="center"/>
          </w:tcPr>
          <w:p w14:paraId="1086E004" w14:textId="77777777" w:rsidR="006561BA" w:rsidRDefault="005B4ED6">
            <w:pPr>
              <w:pStyle w:val="AnnexTableCellLeft"/>
              <w:jc w:val="center"/>
            </w:pPr>
            <w:r>
              <w:t>J</w:t>
            </w:r>
          </w:p>
        </w:tc>
        <w:tc>
          <w:tcPr>
            <w:tcW w:w="576" w:type="dxa"/>
            <w:tcMar>
              <w:top w:w="40" w:type="dxa"/>
              <w:bottom w:w="40" w:type="dxa"/>
            </w:tcMar>
            <w:vAlign w:val="center"/>
          </w:tcPr>
          <w:p w14:paraId="214CA8CF" w14:textId="77777777" w:rsidR="006561BA" w:rsidRDefault="005B4ED6">
            <w:pPr>
              <w:pStyle w:val="AnnexTableCellLeft"/>
              <w:jc w:val="center"/>
            </w:pPr>
            <w:r>
              <w:t>J</w:t>
            </w:r>
          </w:p>
        </w:tc>
        <w:tc>
          <w:tcPr>
            <w:tcW w:w="1200" w:type="dxa"/>
            <w:tcMar>
              <w:top w:w="40" w:type="dxa"/>
              <w:bottom w:w="40" w:type="dxa"/>
            </w:tcMar>
            <w:vAlign w:val="center"/>
          </w:tcPr>
          <w:p w14:paraId="14F4DF40" w14:textId="77777777" w:rsidR="006561BA" w:rsidRDefault="005B4ED6">
            <w:pPr>
              <w:pStyle w:val="AnnexTableCellLeft"/>
              <w:jc w:val="center"/>
            </w:pPr>
            <w:r>
              <w:t>%</w:t>
            </w:r>
          </w:p>
        </w:tc>
        <w:tc>
          <w:tcPr>
            <w:tcW w:w="810" w:type="dxa"/>
            <w:tcMar>
              <w:top w:w="40" w:type="dxa"/>
              <w:bottom w:w="40" w:type="dxa"/>
            </w:tcMar>
            <w:vAlign w:val="center"/>
          </w:tcPr>
          <w:p w14:paraId="112549C2" w14:textId="77777777" w:rsidR="006561BA" w:rsidRDefault="006561BA">
            <w:pPr>
              <w:pStyle w:val="AnnexTableCellLeft"/>
              <w:jc w:val="center"/>
            </w:pPr>
          </w:p>
        </w:tc>
        <w:tc>
          <w:tcPr>
            <w:tcW w:w="810" w:type="dxa"/>
            <w:tcMar>
              <w:top w:w="40" w:type="dxa"/>
              <w:bottom w:w="40" w:type="dxa"/>
              <w:right w:w="0" w:type="dxa"/>
            </w:tcMar>
            <w:vAlign w:val="center"/>
          </w:tcPr>
          <w:p w14:paraId="5E8B5118" w14:textId="77777777" w:rsidR="006561BA" w:rsidRDefault="006561BA">
            <w:pPr>
              <w:pStyle w:val="AnnexTableCellLeft"/>
              <w:jc w:val="center"/>
            </w:pPr>
          </w:p>
        </w:tc>
      </w:tr>
      <w:tr w:rsidR="006561BA" w14:paraId="4CD5E7CF" w14:textId="77777777">
        <w:tc>
          <w:tcPr>
            <w:tcW w:w="1664" w:type="dxa"/>
            <w:tcMar>
              <w:top w:w="40" w:type="dxa"/>
              <w:left w:w="0" w:type="dxa"/>
              <w:bottom w:w="40" w:type="dxa"/>
            </w:tcMar>
          </w:tcPr>
          <w:p w14:paraId="6A22757C" w14:textId="77777777" w:rsidR="006561BA" w:rsidRDefault="005B4ED6">
            <w:pPr>
              <w:pStyle w:val="AnnexTableCellLeft"/>
            </w:pPr>
            <w:r>
              <w:t>Aktivitet 1 (</w:t>
            </w:r>
            <w:r>
              <w:rPr>
                <w:vertAlign w:val="superscript"/>
              </w:rPr>
              <w:t>d</w:t>
            </w:r>
            <w:r>
              <w:t>)</w:t>
            </w:r>
          </w:p>
        </w:tc>
        <w:tc>
          <w:tcPr>
            <w:tcW w:w="645" w:type="dxa"/>
            <w:tcMar>
              <w:top w:w="40" w:type="dxa"/>
              <w:bottom w:w="40" w:type="dxa"/>
            </w:tcMar>
          </w:tcPr>
          <w:p w14:paraId="470202FE" w14:textId="77777777" w:rsidR="006561BA" w:rsidRDefault="006561BA">
            <w:pPr>
              <w:pStyle w:val="AnnexTableCellLeft"/>
            </w:pPr>
          </w:p>
        </w:tc>
        <w:tc>
          <w:tcPr>
            <w:tcW w:w="791" w:type="dxa"/>
            <w:tcMar>
              <w:top w:w="40" w:type="dxa"/>
              <w:bottom w:w="40" w:type="dxa"/>
            </w:tcMar>
          </w:tcPr>
          <w:p w14:paraId="3339A829" w14:textId="77777777" w:rsidR="006561BA" w:rsidRDefault="006561BA">
            <w:pPr>
              <w:pStyle w:val="AnnexTableCellLeft"/>
              <w:jc w:val="center"/>
            </w:pPr>
          </w:p>
        </w:tc>
        <w:tc>
          <w:tcPr>
            <w:tcW w:w="936" w:type="dxa"/>
            <w:tcMar>
              <w:top w:w="40" w:type="dxa"/>
              <w:bottom w:w="40" w:type="dxa"/>
            </w:tcMar>
            <w:vAlign w:val="center"/>
          </w:tcPr>
          <w:p w14:paraId="45F4F739" w14:textId="77777777" w:rsidR="006561BA" w:rsidRDefault="005B4ED6">
            <w:pPr>
              <w:pStyle w:val="AnnexTableCellLeft"/>
              <w:jc w:val="center"/>
            </w:pPr>
            <w:r>
              <w:t>%</w:t>
            </w:r>
          </w:p>
        </w:tc>
        <w:tc>
          <w:tcPr>
            <w:tcW w:w="573" w:type="dxa"/>
            <w:tcMar>
              <w:top w:w="40" w:type="dxa"/>
              <w:bottom w:w="40" w:type="dxa"/>
            </w:tcMar>
            <w:vAlign w:val="center"/>
          </w:tcPr>
          <w:p w14:paraId="61BD26BD" w14:textId="77777777" w:rsidR="006561BA" w:rsidRDefault="006561BA">
            <w:pPr>
              <w:pStyle w:val="AnnexTableCellLeft"/>
              <w:jc w:val="center"/>
            </w:pPr>
          </w:p>
        </w:tc>
        <w:tc>
          <w:tcPr>
            <w:tcW w:w="574" w:type="dxa"/>
            <w:tcMar>
              <w:top w:w="40" w:type="dxa"/>
              <w:bottom w:w="40" w:type="dxa"/>
            </w:tcMar>
            <w:vAlign w:val="center"/>
          </w:tcPr>
          <w:p w14:paraId="3084031E" w14:textId="77777777" w:rsidR="006561BA" w:rsidRDefault="006561BA">
            <w:pPr>
              <w:pStyle w:val="AnnexTableCellLeft"/>
              <w:jc w:val="center"/>
            </w:pPr>
          </w:p>
        </w:tc>
        <w:tc>
          <w:tcPr>
            <w:tcW w:w="574" w:type="dxa"/>
            <w:tcMar>
              <w:top w:w="40" w:type="dxa"/>
              <w:bottom w:w="40" w:type="dxa"/>
            </w:tcMar>
            <w:vAlign w:val="center"/>
          </w:tcPr>
          <w:p w14:paraId="5378634C" w14:textId="77777777" w:rsidR="006561BA" w:rsidRDefault="006561BA">
            <w:pPr>
              <w:pStyle w:val="AnnexTableCellLeft"/>
              <w:jc w:val="center"/>
            </w:pPr>
          </w:p>
        </w:tc>
        <w:tc>
          <w:tcPr>
            <w:tcW w:w="573" w:type="dxa"/>
            <w:tcMar>
              <w:top w:w="40" w:type="dxa"/>
              <w:bottom w:w="40" w:type="dxa"/>
            </w:tcMar>
            <w:vAlign w:val="center"/>
          </w:tcPr>
          <w:p w14:paraId="4C864CCD" w14:textId="77777777" w:rsidR="006561BA" w:rsidRDefault="006561BA">
            <w:pPr>
              <w:pStyle w:val="AnnexTableCellLeft"/>
              <w:jc w:val="center"/>
            </w:pPr>
          </w:p>
        </w:tc>
        <w:tc>
          <w:tcPr>
            <w:tcW w:w="574" w:type="dxa"/>
            <w:tcMar>
              <w:top w:w="40" w:type="dxa"/>
              <w:bottom w:w="40" w:type="dxa"/>
            </w:tcMar>
            <w:vAlign w:val="center"/>
          </w:tcPr>
          <w:p w14:paraId="573D276B" w14:textId="77777777" w:rsidR="006561BA" w:rsidRDefault="006561BA">
            <w:pPr>
              <w:pStyle w:val="AnnexTableCellLeft"/>
              <w:jc w:val="center"/>
            </w:pPr>
          </w:p>
        </w:tc>
        <w:tc>
          <w:tcPr>
            <w:tcW w:w="574" w:type="dxa"/>
            <w:tcMar>
              <w:top w:w="40" w:type="dxa"/>
              <w:bottom w:w="40" w:type="dxa"/>
            </w:tcMar>
            <w:vAlign w:val="center"/>
          </w:tcPr>
          <w:p w14:paraId="601E10A1" w14:textId="77777777" w:rsidR="006561BA" w:rsidRDefault="006561BA">
            <w:pPr>
              <w:pStyle w:val="AnnexTableCellLeft"/>
              <w:jc w:val="center"/>
            </w:pPr>
          </w:p>
        </w:tc>
        <w:tc>
          <w:tcPr>
            <w:tcW w:w="573" w:type="dxa"/>
            <w:tcMar>
              <w:top w:w="40" w:type="dxa"/>
              <w:bottom w:w="40" w:type="dxa"/>
            </w:tcMar>
            <w:vAlign w:val="center"/>
          </w:tcPr>
          <w:p w14:paraId="7C70EBBE" w14:textId="77777777" w:rsidR="006561BA" w:rsidRDefault="005B4ED6">
            <w:pPr>
              <w:pStyle w:val="AnnexTableCellLeft"/>
              <w:jc w:val="center"/>
            </w:pPr>
            <w:r>
              <w:t>J</w:t>
            </w:r>
          </w:p>
        </w:tc>
        <w:tc>
          <w:tcPr>
            <w:tcW w:w="574" w:type="dxa"/>
            <w:tcMar>
              <w:top w:w="40" w:type="dxa"/>
              <w:bottom w:w="40" w:type="dxa"/>
            </w:tcMar>
            <w:vAlign w:val="center"/>
          </w:tcPr>
          <w:p w14:paraId="1310D083" w14:textId="77777777" w:rsidR="006561BA" w:rsidRDefault="005B4ED6">
            <w:pPr>
              <w:pStyle w:val="AnnexTableCellLeft"/>
              <w:jc w:val="center"/>
            </w:pPr>
            <w:r>
              <w:t>J</w:t>
            </w:r>
          </w:p>
        </w:tc>
        <w:tc>
          <w:tcPr>
            <w:tcW w:w="574" w:type="dxa"/>
            <w:tcMar>
              <w:top w:w="40" w:type="dxa"/>
              <w:bottom w:w="40" w:type="dxa"/>
            </w:tcMar>
            <w:vAlign w:val="center"/>
          </w:tcPr>
          <w:p w14:paraId="071BE811" w14:textId="77777777" w:rsidR="006561BA" w:rsidRDefault="005B4ED6">
            <w:pPr>
              <w:pStyle w:val="AnnexTableCellLeft"/>
              <w:jc w:val="center"/>
            </w:pPr>
            <w:r>
              <w:t>J</w:t>
            </w:r>
          </w:p>
        </w:tc>
        <w:tc>
          <w:tcPr>
            <w:tcW w:w="573" w:type="dxa"/>
            <w:tcMar>
              <w:top w:w="40" w:type="dxa"/>
              <w:bottom w:w="40" w:type="dxa"/>
            </w:tcMar>
            <w:vAlign w:val="center"/>
          </w:tcPr>
          <w:p w14:paraId="54A289AC" w14:textId="77777777" w:rsidR="006561BA" w:rsidRDefault="005B4ED6">
            <w:pPr>
              <w:pStyle w:val="AnnexTableCellLeft"/>
              <w:jc w:val="center"/>
            </w:pPr>
            <w:r>
              <w:t>J</w:t>
            </w:r>
          </w:p>
        </w:tc>
        <w:tc>
          <w:tcPr>
            <w:tcW w:w="574" w:type="dxa"/>
            <w:tcMar>
              <w:top w:w="40" w:type="dxa"/>
              <w:bottom w:w="40" w:type="dxa"/>
            </w:tcMar>
            <w:vAlign w:val="center"/>
          </w:tcPr>
          <w:p w14:paraId="7A887FD8" w14:textId="77777777" w:rsidR="006561BA" w:rsidRDefault="005B4ED6">
            <w:pPr>
              <w:pStyle w:val="AnnexTableCellLeft"/>
              <w:jc w:val="center"/>
            </w:pPr>
            <w:r>
              <w:t>J</w:t>
            </w:r>
          </w:p>
        </w:tc>
        <w:tc>
          <w:tcPr>
            <w:tcW w:w="574" w:type="dxa"/>
            <w:tcMar>
              <w:top w:w="40" w:type="dxa"/>
              <w:bottom w:w="40" w:type="dxa"/>
            </w:tcMar>
            <w:vAlign w:val="center"/>
          </w:tcPr>
          <w:p w14:paraId="619D850B" w14:textId="77777777" w:rsidR="006561BA" w:rsidRDefault="005B4ED6">
            <w:pPr>
              <w:pStyle w:val="AnnexTableCellLeft"/>
              <w:jc w:val="center"/>
            </w:pPr>
            <w:r>
              <w:t>J</w:t>
            </w:r>
          </w:p>
        </w:tc>
        <w:tc>
          <w:tcPr>
            <w:tcW w:w="576" w:type="dxa"/>
            <w:tcMar>
              <w:top w:w="40" w:type="dxa"/>
              <w:bottom w:w="40" w:type="dxa"/>
            </w:tcMar>
            <w:vAlign w:val="center"/>
          </w:tcPr>
          <w:p w14:paraId="7305CF55" w14:textId="77777777" w:rsidR="006561BA" w:rsidRDefault="005B4ED6">
            <w:pPr>
              <w:pStyle w:val="AnnexTableCellLeft"/>
              <w:jc w:val="center"/>
            </w:pPr>
            <w:r>
              <w:t>J</w:t>
            </w:r>
          </w:p>
        </w:tc>
        <w:tc>
          <w:tcPr>
            <w:tcW w:w="1200" w:type="dxa"/>
            <w:tcMar>
              <w:top w:w="40" w:type="dxa"/>
              <w:bottom w:w="40" w:type="dxa"/>
            </w:tcMar>
            <w:vAlign w:val="center"/>
          </w:tcPr>
          <w:p w14:paraId="40EFF600" w14:textId="77777777" w:rsidR="006561BA" w:rsidRDefault="005B4ED6">
            <w:pPr>
              <w:pStyle w:val="AnnexTableCellLeft"/>
              <w:jc w:val="center"/>
            </w:pPr>
            <w:r>
              <w:t>%</w:t>
            </w:r>
          </w:p>
        </w:tc>
        <w:tc>
          <w:tcPr>
            <w:tcW w:w="810" w:type="dxa"/>
            <w:tcMar>
              <w:top w:w="40" w:type="dxa"/>
              <w:bottom w:w="40" w:type="dxa"/>
            </w:tcMar>
            <w:vAlign w:val="center"/>
          </w:tcPr>
          <w:p w14:paraId="50BD3D3C" w14:textId="77777777" w:rsidR="006561BA" w:rsidRDefault="005B4ED6">
            <w:pPr>
              <w:pStyle w:val="AnnexTableCellLeft"/>
              <w:jc w:val="center"/>
            </w:pPr>
            <w:r>
              <w:t>Muliggjørende</w:t>
            </w:r>
          </w:p>
        </w:tc>
        <w:tc>
          <w:tcPr>
            <w:tcW w:w="810" w:type="dxa"/>
            <w:tcMar>
              <w:top w:w="40" w:type="dxa"/>
              <w:bottom w:w="40" w:type="dxa"/>
              <w:right w:w="0" w:type="dxa"/>
            </w:tcMar>
            <w:vAlign w:val="center"/>
          </w:tcPr>
          <w:p w14:paraId="06E2FB78" w14:textId="77777777" w:rsidR="006561BA" w:rsidRDefault="006561BA">
            <w:pPr>
              <w:pStyle w:val="AnnexTableCellLeft"/>
              <w:jc w:val="center"/>
            </w:pPr>
          </w:p>
        </w:tc>
      </w:tr>
      <w:tr w:rsidR="006561BA" w14:paraId="7E97D963" w14:textId="77777777">
        <w:tc>
          <w:tcPr>
            <w:tcW w:w="1664" w:type="dxa"/>
            <w:tcMar>
              <w:top w:w="40" w:type="dxa"/>
              <w:left w:w="0" w:type="dxa"/>
              <w:bottom w:w="40" w:type="dxa"/>
            </w:tcMar>
          </w:tcPr>
          <w:p w14:paraId="452AD966" w14:textId="77777777" w:rsidR="006561BA" w:rsidRDefault="005B4ED6">
            <w:pPr>
              <w:pStyle w:val="AnnexTableCellLeft"/>
            </w:pPr>
            <w:r>
              <w:t>Aktivitet 2</w:t>
            </w:r>
          </w:p>
        </w:tc>
        <w:tc>
          <w:tcPr>
            <w:tcW w:w="645" w:type="dxa"/>
            <w:tcMar>
              <w:top w:w="40" w:type="dxa"/>
              <w:bottom w:w="40" w:type="dxa"/>
            </w:tcMar>
          </w:tcPr>
          <w:p w14:paraId="17E2F8CC" w14:textId="77777777" w:rsidR="006561BA" w:rsidRDefault="006561BA">
            <w:pPr>
              <w:pStyle w:val="AnnexTableCellLeft"/>
            </w:pPr>
          </w:p>
        </w:tc>
        <w:tc>
          <w:tcPr>
            <w:tcW w:w="791" w:type="dxa"/>
            <w:tcMar>
              <w:top w:w="40" w:type="dxa"/>
              <w:bottom w:w="40" w:type="dxa"/>
            </w:tcMar>
          </w:tcPr>
          <w:p w14:paraId="796F5C4F" w14:textId="77777777" w:rsidR="006561BA" w:rsidRDefault="006561BA">
            <w:pPr>
              <w:pStyle w:val="AnnexTableCellLeft"/>
              <w:jc w:val="center"/>
            </w:pPr>
          </w:p>
        </w:tc>
        <w:tc>
          <w:tcPr>
            <w:tcW w:w="936" w:type="dxa"/>
            <w:tcMar>
              <w:top w:w="40" w:type="dxa"/>
              <w:bottom w:w="40" w:type="dxa"/>
            </w:tcMar>
            <w:vAlign w:val="center"/>
          </w:tcPr>
          <w:p w14:paraId="4035375D" w14:textId="77777777" w:rsidR="006561BA" w:rsidRDefault="005B4ED6">
            <w:pPr>
              <w:pStyle w:val="AnnexTableCellLeft"/>
              <w:jc w:val="center"/>
            </w:pPr>
            <w:r>
              <w:t>%</w:t>
            </w:r>
          </w:p>
        </w:tc>
        <w:tc>
          <w:tcPr>
            <w:tcW w:w="573" w:type="dxa"/>
            <w:tcMar>
              <w:top w:w="40" w:type="dxa"/>
              <w:bottom w:w="40" w:type="dxa"/>
            </w:tcMar>
            <w:vAlign w:val="center"/>
          </w:tcPr>
          <w:p w14:paraId="5499BD94" w14:textId="77777777" w:rsidR="006561BA" w:rsidRDefault="006561BA">
            <w:pPr>
              <w:pStyle w:val="AnnexTableCellLeft"/>
              <w:jc w:val="center"/>
            </w:pPr>
          </w:p>
        </w:tc>
        <w:tc>
          <w:tcPr>
            <w:tcW w:w="574" w:type="dxa"/>
            <w:tcMar>
              <w:top w:w="40" w:type="dxa"/>
              <w:bottom w:w="40" w:type="dxa"/>
            </w:tcMar>
            <w:vAlign w:val="center"/>
          </w:tcPr>
          <w:p w14:paraId="290ACBF5" w14:textId="77777777" w:rsidR="006561BA" w:rsidRDefault="006561BA">
            <w:pPr>
              <w:pStyle w:val="AnnexTableCellLeft"/>
              <w:jc w:val="center"/>
            </w:pPr>
          </w:p>
        </w:tc>
        <w:tc>
          <w:tcPr>
            <w:tcW w:w="574" w:type="dxa"/>
            <w:tcMar>
              <w:top w:w="40" w:type="dxa"/>
              <w:bottom w:w="40" w:type="dxa"/>
            </w:tcMar>
            <w:vAlign w:val="center"/>
          </w:tcPr>
          <w:p w14:paraId="1E3F2CC7" w14:textId="77777777" w:rsidR="006561BA" w:rsidRDefault="006561BA">
            <w:pPr>
              <w:pStyle w:val="AnnexTableCellLeft"/>
              <w:jc w:val="center"/>
            </w:pPr>
          </w:p>
        </w:tc>
        <w:tc>
          <w:tcPr>
            <w:tcW w:w="573" w:type="dxa"/>
            <w:tcMar>
              <w:top w:w="40" w:type="dxa"/>
              <w:bottom w:w="40" w:type="dxa"/>
            </w:tcMar>
            <w:vAlign w:val="center"/>
          </w:tcPr>
          <w:p w14:paraId="78A59FA9" w14:textId="77777777" w:rsidR="006561BA" w:rsidRDefault="006561BA">
            <w:pPr>
              <w:pStyle w:val="AnnexTableCellLeft"/>
              <w:jc w:val="center"/>
            </w:pPr>
          </w:p>
        </w:tc>
        <w:tc>
          <w:tcPr>
            <w:tcW w:w="574" w:type="dxa"/>
            <w:tcMar>
              <w:top w:w="40" w:type="dxa"/>
              <w:bottom w:w="40" w:type="dxa"/>
            </w:tcMar>
            <w:vAlign w:val="center"/>
          </w:tcPr>
          <w:p w14:paraId="04EB20A4" w14:textId="77777777" w:rsidR="006561BA" w:rsidRDefault="006561BA">
            <w:pPr>
              <w:pStyle w:val="AnnexTableCellLeft"/>
              <w:jc w:val="center"/>
            </w:pPr>
          </w:p>
        </w:tc>
        <w:tc>
          <w:tcPr>
            <w:tcW w:w="574" w:type="dxa"/>
            <w:tcMar>
              <w:top w:w="40" w:type="dxa"/>
              <w:bottom w:w="40" w:type="dxa"/>
            </w:tcMar>
            <w:vAlign w:val="center"/>
          </w:tcPr>
          <w:p w14:paraId="4B4FEC00" w14:textId="77777777" w:rsidR="006561BA" w:rsidRDefault="006561BA">
            <w:pPr>
              <w:pStyle w:val="AnnexTableCellLeft"/>
              <w:jc w:val="center"/>
            </w:pPr>
          </w:p>
        </w:tc>
        <w:tc>
          <w:tcPr>
            <w:tcW w:w="573" w:type="dxa"/>
            <w:tcMar>
              <w:top w:w="40" w:type="dxa"/>
              <w:bottom w:w="40" w:type="dxa"/>
            </w:tcMar>
            <w:vAlign w:val="center"/>
          </w:tcPr>
          <w:p w14:paraId="541D8D39" w14:textId="77777777" w:rsidR="006561BA" w:rsidRDefault="005B4ED6">
            <w:pPr>
              <w:pStyle w:val="AnnexTableCellLeft"/>
              <w:jc w:val="center"/>
            </w:pPr>
            <w:r>
              <w:t>J</w:t>
            </w:r>
          </w:p>
        </w:tc>
        <w:tc>
          <w:tcPr>
            <w:tcW w:w="574" w:type="dxa"/>
            <w:tcMar>
              <w:top w:w="40" w:type="dxa"/>
              <w:bottom w:w="40" w:type="dxa"/>
            </w:tcMar>
            <w:vAlign w:val="center"/>
          </w:tcPr>
          <w:p w14:paraId="0CBF99A7" w14:textId="77777777" w:rsidR="006561BA" w:rsidRDefault="005B4ED6">
            <w:pPr>
              <w:pStyle w:val="AnnexTableCellLeft"/>
              <w:jc w:val="center"/>
            </w:pPr>
            <w:r>
              <w:t>J</w:t>
            </w:r>
          </w:p>
        </w:tc>
        <w:tc>
          <w:tcPr>
            <w:tcW w:w="574" w:type="dxa"/>
            <w:tcMar>
              <w:top w:w="40" w:type="dxa"/>
              <w:bottom w:w="40" w:type="dxa"/>
            </w:tcMar>
            <w:vAlign w:val="center"/>
          </w:tcPr>
          <w:p w14:paraId="2D765C42" w14:textId="77777777" w:rsidR="006561BA" w:rsidRDefault="005B4ED6">
            <w:pPr>
              <w:pStyle w:val="AnnexTableCellLeft"/>
              <w:jc w:val="center"/>
            </w:pPr>
            <w:r>
              <w:t>J</w:t>
            </w:r>
          </w:p>
        </w:tc>
        <w:tc>
          <w:tcPr>
            <w:tcW w:w="573" w:type="dxa"/>
            <w:tcMar>
              <w:top w:w="40" w:type="dxa"/>
              <w:bottom w:w="40" w:type="dxa"/>
            </w:tcMar>
            <w:vAlign w:val="center"/>
          </w:tcPr>
          <w:p w14:paraId="30BE197C" w14:textId="77777777" w:rsidR="006561BA" w:rsidRDefault="005B4ED6">
            <w:pPr>
              <w:pStyle w:val="AnnexTableCellLeft"/>
              <w:jc w:val="center"/>
            </w:pPr>
            <w:r>
              <w:t>J</w:t>
            </w:r>
          </w:p>
        </w:tc>
        <w:tc>
          <w:tcPr>
            <w:tcW w:w="574" w:type="dxa"/>
            <w:tcMar>
              <w:top w:w="40" w:type="dxa"/>
              <w:bottom w:w="40" w:type="dxa"/>
            </w:tcMar>
            <w:vAlign w:val="center"/>
          </w:tcPr>
          <w:p w14:paraId="07E464CB" w14:textId="77777777" w:rsidR="006561BA" w:rsidRDefault="005B4ED6">
            <w:pPr>
              <w:pStyle w:val="AnnexTableCellLeft"/>
              <w:jc w:val="center"/>
            </w:pPr>
            <w:r>
              <w:t>J</w:t>
            </w:r>
          </w:p>
        </w:tc>
        <w:tc>
          <w:tcPr>
            <w:tcW w:w="574" w:type="dxa"/>
            <w:tcMar>
              <w:top w:w="40" w:type="dxa"/>
              <w:bottom w:w="40" w:type="dxa"/>
            </w:tcMar>
            <w:vAlign w:val="center"/>
          </w:tcPr>
          <w:p w14:paraId="5FFB82CE" w14:textId="77777777" w:rsidR="006561BA" w:rsidRDefault="005B4ED6">
            <w:pPr>
              <w:pStyle w:val="AnnexTableCellLeft"/>
              <w:jc w:val="center"/>
            </w:pPr>
            <w:r>
              <w:t>J</w:t>
            </w:r>
          </w:p>
        </w:tc>
        <w:tc>
          <w:tcPr>
            <w:tcW w:w="576" w:type="dxa"/>
            <w:tcMar>
              <w:top w:w="40" w:type="dxa"/>
              <w:bottom w:w="40" w:type="dxa"/>
            </w:tcMar>
            <w:vAlign w:val="center"/>
          </w:tcPr>
          <w:p w14:paraId="4ED6087A" w14:textId="77777777" w:rsidR="006561BA" w:rsidRDefault="005B4ED6">
            <w:pPr>
              <w:pStyle w:val="AnnexTableCellLeft"/>
              <w:jc w:val="center"/>
            </w:pPr>
            <w:r>
              <w:t>J</w:t>
            </w:r>
          </w:p>
        </w:tc>
        <w:tc>
          <w:tcPr>
            <w:tcW w:w="1200" w:type="dxa"/>
            <w:tcMar>
              <w:top w:w="40" w:type="dxa"/>
              <w:bottom w:w="40" w:type="dxa"/>
            </w:tcMar>
            <w:vAlign w:val="center"/>
          </w:tcPr>
          <w:p w14:paraId="041022E4" w14:textId="77777777" w:rsidR="006561BA" w:rsidRDefault="005B4ED6">
            <w:pPr>
              <w:pStyle w:val="AnnexTableCellLeft"/>
              <w:jc w:val="center"/>
            </w:pPr>
            <w:r>
              <w:t>%</w:t>
            </w:r>
          </w:p>
        </w:tc>
        <w:tc>
          <w:tcPr>
            <w:tcW w:w="810" w:type="dxa"/>
            <w:tcMar>
              <w:top w:w="40" w:type="dxa"/>
              <w:bottom w:w="40" w:type="dxa"/>
            </w:tcMar>
            <w:vAlign w:val="center"/>
          </w:tcPr>
          <w:p w14:paraId="7A172DE3" w14:textId="77777777" w:rsidR="006561BA" w:rsidRDefault="006561BA">
            <w:pPr>
              <w:pStyle w:val="AnnexTableCellLeft"/>
              <w:jc w:val="center"/>
            </w:pPr>
          </w:p>
        </w:tc>
        <w:tc>
          <w:tcPr>
            <w:tcW w:w="810" w:type="dxa"/>
            <w:tcMar>
              <w:top w:w="40" w:type="dxa"/>
              <w:bottom w:w="40" w:type="dxa"/>
              <w:right w:w="0" w:type="dxa"/>
            </w:tcMar>
            <w:vAlign w:val="center"/>
          </w:tcPr>
          <w:p w14:paraId="66484BFB" w14:textId="77777777" w:rsidR="006561BA" w:rsidRDefault="005B4ED6">
            <w:pPr>
              <w:pStyle w:val="AnnexTableCellLeft"/>
              <w:jc w:val="center"/>
            </w:pPr>
            <w:r>
              <w:t>Omstilling</w:t>
            </w:r>
          </w:p>
        </w:tc>
      </w:tr>
      <w:tr w:rsidR="006561BA" w14:paraId="5E7C0F31" w14:textId="77777777">
        <w:tc>
          <w:tcPr>
            <w:tcW w:w="2309" w:type="dxa"/>
            <w:gridSpan w:val="2"/>
            <w:tcMar>
              <w:top w:w="40" w:type="dxa"/>
              <w:left w:w="0" w:type="dxa"/>
              <w:bottom w:w="40" w:type="dxa"/>
            </w:tcMar>
          </w:tcPr>
          <w:p w14:paraId="227B98D0" w14:textId="77777777" w:rsidR="006561BA" w:rsidRDefault="005B4ED6">
            <w:pPr>
              <w:pStyle w:val="AnnexTableCellLeft"/>
              <w:jc w:val="left"/>
            </w:pPr>
            <w:r>
              <w:rPr>
                <w:b/>
              </w:rPr>
              <w:t>Omsetning for miljømessig bærekraftige (taksonomiforenlige) aktiviteter (A.1)</w:t>
            </w:r>
          </w:p>
        </w:tc>
        <w:tc>
          <w:tcPr>
            <w:tcW w:w="791" w:type="dxa"/>
            <w:tcMar>
              <w:top w:w="40" w:type="dxa"/>
              <w:bottom w:w="40" w:type="dxa"/>
            </w:tcMar>
          </w:tcPr>
          <w:p w14:paraId="7AA22220" w14:textId="77777777" w:rsidR="006561BA" w:rsidRDefault="006561BA">
            <w:pPr>
              <w:pStyle w:val="AnnexTableCellLeft"/>
              <w:jc w:val="center"/>
            </w:pPr>
          </w:p>
        </w:tc>
        <w:tc>
          <w:tcPr>
            <w:tcW w:w="936" w:type="dxa"/>
            <w:tcMar>
              <w:top w:w="40" w:type="dxa"/>
              <w:bottom w:w="40" w:type="dxa"/>
            </w:tcMar>
            <w:vAlign w:val="center"/>
          </w:tcPr>
          <w:p w14:paraId="3904192A" w14:textId="77777777" w:rsidR="006561BA" w:rsidRDefault="005B4ED6">
            <w:pPr>
              <w:pStyle w:val="AnnexTableCellLeft"/>
              <w:jc w:val="center"/>
            </w:pPr>
            <w:r>
              <w:rPr>
                <w:b/>
              </w:rPr>
              <w:t>%</w:t>
            </w:r>
          </w:p>
        </w:tc>
        <w:tc>
          <w:tcPr>
            <w:tcW w:w="573" w:type="dxa"/>
            <w:tcMar>
              <w:top w:w="40" w:type="dxa"/>
              <w:bottom w:w="40" w:type="dxa"/>
            </w:tcMar>
            <w:vAlign w:val="center"/>
          </w:tcPr>
          <w:p w14:paraId="6D463DB1" w14:textId="77777777" w:rsidR="006561BA" w:rsidRDefault="005B4ED6">
            <w:pPr>
              <w:pStyle w:val="AnnexTableCellLeft"/>
              <w:jc w:val="center"/>
            </w:pPr>
            <w:r>
              <w:rPr>
                <w:b/>
              </w:rPr>
              <w:t>%</w:t>
            </w:r>
          </w:p>
        </w:tc>
        <w:tc>
          <w:tcPr>
            <w:tcW w:w="574" w:type="dxa"/>
            <w:tcMar>
              <w:top w:w="40" w:type="dxa"/>
              <w:bottom w:w="40" w:type="dxa"/>
            </w:tcMar>
            <w:vAlign w:val="center"/>
          </w:tcPr>
          <w:p w14:paraId="3AB99C8C" w14:textId="77777777" w:rsidR="006561BA" w:rsidRDefault="005B4ED6">
            <w:pPr>
              <w:pStyle w:val="AnnexTableCellLeft"/>
              <w:jc w:val="center"/>
            </w:pPr>
            <w:r>
              <w:rPr>
                <w:b/>
              </w:rPr>
              <w:t>%</w:t>
            </w:r>
          </w:p>
        </w:tc>
        <w:tc>
          <w:tcPr>
            <w:tcW w:w="574" w:type="dxa"/>
            <w:tcMar>
              <w:top w:w="40" w:type="dxa"/>
              <w:bottom w:w="40" w:type="dxa"/>
            </w:tcMar>
            <w:vAlign w:val="center"/>
          </w:tcPr>
          <w:p w14:paraId="7DB77A67" w14:textId="77777777" w:rsidR="006561BA" w:rsidRDefault="005B4ED6">
            <w:pPr>
              <w:pStyle w:val="AnnexTableCellLeft"/>
              <w:jc w:val="center"/>
            </w:pPr>
            <w:r>
              <w:rPr>
                <w:b/>
              </w:rPr>
              <w:t>%</w:t>
            </w:r>
          </w:p>
        </w:tc>
        <w:tc>
          <w:tcPr>
            <w:tcW w:w="573" w:type="dxa"/>
            <w:tcMar>
              <w:top w:w="40" w:type="dxa"/>
              <w:bottom w:w="40" w:type="dxa"/>
            </w:tcMar>
            <w:vAlign w:val="center"/>
          </w:tcPr>
          <w:p w14:paraId="02DFAF91" w14:textId="77777777" w:rsidR="006561BA" w:rsidRDefault="005B4ED6">
            <w:pPr>
              <w:pStyle w:val="AnnexTableCellLeft"/>
              <w:jc w:val="center"/>
            </w:pPr>
            <w:r>
              <w:rPr>
                <w:b/>
              </w:rPr>
              <w:t>%</w:t>
            </w:r>
          </w:p>
        </w:tc>
        <w:tc>
          <w:tcPr>
            <w:tcW w:w="574" w:type="dxa"/>
            <w:tcMar>
              <w:top w:w="40" w:type="dxa"/>
              <w:bottom w:w="40" w:type="dxa"/>
            </w:tcMar>
            <w:vAlign w:val="center"/>
          </w:tcPr>
          <w:p w14:paraId="5A5F01C0" w14:textId="77777777" w:rsidR="006561BA" w:rsidRDefault="005B4ED6">
            <w:pPr>
              <w:pStyle w:val="AnnexTableCellLeft"/>
              <w:jc w:val="center"/>
            </w:pPr>
            <w:r>
              <w:rPr>
                <w:b/>
              </w:rPr>
              <w:t>%</w:t>
            </w:r>
          </w:p>
        </w:tc>
        <w:tc>
          <w:tcPr>
            <w:tcW w:w="574" w:type="dxa"/>
            <w:tcMar>
              <w:top w:w="40" w:type="dxa"/>
              <w:bottom w:w="40" w:type="dxa"/>
            </w:tcMar>
            <w:vAlign w:val="center"/>
          </w:tcPr>
          <w:p w14:paraId="09D305D0" w14:textId="77777777" w:rsidR="006561BA" w:rsidRDefault="005B4ED6">
            <w:pPr>
              <w:pStyle w:val="AnnexTableCellLeft"/>
              <w:jc w:val="center"/>
            </w:pPr>
            <w:r>
              <w:rPr>
                <w:b/>
              </w:rPr>
              <w:t>%</w:t>
            </w:r>
          </w:p>
        </w:tc>
        <w:tc>
          <w:tcPr>
            <w:tcW w:w="573" w:type="dxa"/>
            <w:tcMar>
              <w:top w:w="40" w:type="dxa"/>
              <w:bottom w:w="40" w:type="dxa"/>
            </w:tcMar>
            <w:vAlign w:val="center"/>
          </w:tcPr>
          <w:p w14:paraId="7F92A59F" w14:textId="77777777" w:rsidR="006561BA" w:rsidRDefault="005B4ED6">
            <w:pPr>
              <w:pStyle w:val="AnnexTableCellLeft"/>
              <w:jc w:val="center"/>
            </w:pPr>
            <w:r>
              <w:rPr>
                <w:b/>
              </w:rPr>
              <w:t>J</w:t>
            </w:r>
          </w:p>
        </w:tc>
        <w:tc>
          <w:tcPr>
            <w:tcW w:w="574" w:type="dxa"/>
            <w:tcMar>
              <w:top w:w="40" w:type="dxa"/>
              <w:bottom w:w="40" w:type="dxa"/>
            </w:tcMar>
            <w:vAlign w:val="center"/>
          </w:tcPr>
          <w:p w14:paraId="37E8B348" w14:textId="77777777" w:rsidR="006561BA" w:rsidRDefault="005B4ED6">
            <w:pPr>
              <w:pStyle w:val="AnnexTableCellLeft"/>
              <w:jc w:val="center"/>
            </w:pPr>
            <w:r>
              <w:rPr>
                <w:b/>
              </w:rPr>
              <w:t>J</w:t>
            </w:r>
          </w:p>
        </w:tc>
        <w:tc>
          <w:tcPr>
            <w:tcW w:w="574" w:type="dxa"/>
            <w:tcMar>
              <w:top w:w="40" w:type="dxa"/>
              <w:bottom w:w="40" w:type="dxa"/>
            </w:tcMar>
            <w:vAlign w:val="center"/>
          </w:tcPr>
          <w:p w14:paraId="7532A7FF" w14:textId="77777777" w:rsidR="006561BA" w:rsidRDefault="005B4ED6">
            <w:pPr>
              <w:pStyle w:val="AnnexTableCellLeft"/>
              <w:jc w:val="center"/>
            </w:pPr>
            <w:r>
              <w:rPr>
                <w:b/>
              </w:rPr>
              <w:t>J</w:t>
            </w:r>
          </w:p>
        </w:tc>
        <w:tc>
          <w:tcPr>
            <w:tcW w:w="573" w:type="dxa"/>
            <w:tcMar>
              <w:top w:w="40" w:type="dxa"/>
              <w:bottom w:w="40" w:type="dxa"/>
            </w:tcMar>
            <w:vAlign w:val="center"/>
          </w:tcPr>
          <w:p w14:paraId="3363CF7C" w14:textId="77777777" w:rsidR="006561BA" w:rsidRDefault="005B4ED6">
            <w:pPr>
              <w:pStyle w:val="AnnexTableCellLeft"/>
              <w:jc w:val="center"/>
            </w:pPr>
            <w:r>
              <w:rPr>
                <w:b/>
              </w:rPr>
              <w:t>J</w:t>
            </w:r>
          </w:p>
        </w:tc>
        <w:tc>
          <w:tcPr>
            <w:tcW w:w="574" w:type="dxa"/>
            <w:tcMar>
              <w:top w:w="40" w:type="dxa"/>
              <w:bottom w:w="40" w:type="dxa"/>
            </w:tcMar>
            <w:vAlign w:val="center"/>
          </w:tcPr>
          <w:p w14:paraId="171B869D" w14:textId="77777777" w:rsidR="006561BA" w:rsidRDefault="005B4ED6">
            <w:pPr>
              <w:pStyle w:val="AnnexTableCellLeft"/>
              <w:jc w:val="center"/>
            </w:pPr>
            <w:r>
              <w:rPr>
                <w:b/>
              </w:rPr>
              <w:t>J</w:t>
            </w:r>
          </w:p>
        </w:tc>
        <w:tc>
          <w:tcPr>
            <w:tcW w:w="574" w:type="dxa"/>
            <w:tcMar>
              <w:top w:w="40" w:type="dxa"/>
              <w:bottom w:w="40" w:type="dxa"/>
            </w:tcMar>
            <w:vAlign w:val="center"/>
          </w:tcPr>
          <w:p w14:paraId="16080237" w14:textId="77777777" w:rsidR="006561BA" w:rsidRDefault="005B4ED6">
            <w:pPr>
              <w:pStyle w:val="AnnexTableCellLeft"/>
              <w:jc w:val="center"/>
            </w:pPr>
            <w:r>
              <w:rPr>
                <w:b/>
              </w:rPr>
              <w:t>J</w:t>
            </w:r>
          </w:p>
        </w:tc>
        <w:tc>
          <w:tcPr>
            <w:tcW w:w="576" w:type="dxa"/>
            <w:tcMar>
              <w:top w:w="40" w:type="dxa"/>
              <w:bottom w:w="40" w:type="dxa"/>
            </w:tcMar>
            <w:vAlign w:val="center"/>
          </w:tcPr>
          <w:p w14:paraId="4C49AEE7" w14:textId="77777777" w:rsidR="006561BA" w:rsidRDefault="005B4ED6">
            <w:pPr>
              <w:pStyle w:val="AnnexTableCellLeft"/>
              <w:jc w:val="center"/>
            </w:pPr>
            <w:r>
              <w:rPr>
                <w:b/>
              </w:rPr>
              <w:t>J</w:t>
            </w:r>
          </w:p>
        </w:tc>
        <w:tc>
          <w:tcPr>
            <w:tcW w:w="1200" w:type="dxa"/>
            <w:tcMar>
              <w:top w:w="40" w:type="dxa"/>
              <w:bottom w:w="40" w:type="dxa"/>
            </w:tcMar>
            <w:vAlign w:val="center"/>
          </w:tcPr>
          <w:p w14:paraId="41C7B33A" w14:textId="77777777" w:rsidR="006561BA" w:rsidRDefault="005B4ED6">
            <w:pPr>
              <w:pStyle w:val="AnnexTableCellLeft"/>
              <w:jc w:val="center"/>
            </w:pPr>
            <w:r>
              <w:rPr>
                <w:b/>
              </w:rPr>
              <w:t>%</w:t>
            </w:r>
          </w:p>
        </w:tc>
        <w:tc>
          <w:tcPr>
            <w:tcW w:w="810" w:type="dxa"/>
            <w:shd w:val="clear" w:color="auto" w:fill="000000" w:themeFill="text1"/>
            <w:tcMar>
              <w:top w:w="40" w:type="dxa"/>
              <w:bottom w:w="40" w:type="dxa"/>
            </w:tcMar>
            <w:vAlign w:val="center"/>
          </w:tcPr>
          <w:p w14:paraId="253393B6" w14:textId="77777777" w:rsidR="006561BA" w:rsidRDefault="006561BA">
            <w:pPr>
              <w:pStyle w:val="AnnexTableCellLeft"/>
              <w:jc w:val="center"/>
            </w:pPr>
          </w:p>
        </w:tc>
        <w:tc>
          <w:tcPr>
            <w:tcW w:w="810" w:type="dxa"/>
            <w:shd w:val="clear" w:color="auto" w:fill="000000" w:themeFill="text1"/>
            <w:tcMar>
              <w:top w:w="40" w:type="dxa"/>
              <w:bottom w:w="40" w:type="dxa"/>
              <w:right w:w="0" w:type="dxa"/>
            </w:tcMar>
            <w:vAlign w:val="center"/>
          </w:tcPr>
          <w:p w14:paraId="46B66636" w14:textId="77777777" w:rsidR="006561BA" w:rsidRDefault="006561BA">
            <w:pPr>
              <w:pStyle w:val="AnnexTableCellLeft"/>
              <w:jc w:val="center"/>
            </w:pPr>
          </w:p>
        </w:tc>
      </w:tr>
      <w:tr w:rsidR="006561BA" w14:paraId="3AE7E16C" w14:textId="77777777">
        <w:tc>
          <w:tcPr>
            <w:tcW w:w="2309" w:type="dxa"/>
            <w:gridSpan w:val="2"/>
            <w:tcMar>
              <w:top w:w="40" w:type="dxa"/>
              <w:left w:w="0" w:type="dxa"/>
              <w:bottom w:w="40" w:type="dxa"/>
            </w:tcMar>
          </w:tcPr>
          <w:p w14:paraId="585FA204" w14:textId="77777777" w:rsidR="006561BA" w:rsidRDefault="005B4ED6">
            <w:pPr>
              <w:pStyle w:val="AnnexTableCellLeft"/>
              <w:jc w:val="right"/>
            </w:pPr>
            <w:r>
              <w:rPr>
                <w:b/>
              </w:rPr>
              <w:t>Hvorav muliggjørende</w:t>
            </w:r>
          </w:p>
        </w:tc>
        <w:tc>
          <w:tcPr>
            <w:tcW w:w="791" w:type="dxa"/>
            <w:tcMar>
              <w:top w:w="40" w:type="dxa"/>
              <w:bottom w:w="40" w:type="dxa"/>
            </w:tcMar>
          </w:tcPr>
          <w:p w14:paraId="67D75DC6" w14:textId="77777777" w:rsidR="006561BA" w:rsidRDefault="006561BA">
            <w:pPr>
              <w:pStyle w:val="AnnexTableCellLeft"/>
              <w:jc w:val="center"/>
            </w:pPr>
          </w:p>
        </w:tc>
        <w:tc>
          <w:tcPr>
            <w:tcW w:w="936" w:type="dxa"/>
            <w:tcMar>
              <w:top w:w="40" w:type="dxa"/>
              <w:bottom w:w="40" w:type="dxa"/>
            </w:tcMar>
            <w:vAlign w:val="center"/>
          </w:tcPr>
          <w:p w14:paraId="4C356B77" w14:textId="77777777" w:rsidR="006561BA" w:rsidRDefault="005B4ED6">
            <w:pPr>
              <w:pStyle w:val="AnnexTableCellLeft"/>
              <w:jc w:val="center"/>
            </w:pPr>
            <w:r>
              <w:t>%</w:t>
            </w:r>
          </w:p>
        </w:tc>
        <w:tc>
          <w:tcPr>
            <w:tcW w:w="573" w:type="dxa"/>
            <w:tcMar>
              <w:top w:w="40" w:type="dxa"/>
              <w:bottom w:w="40" w:type="dxa"/>
            </w:tcMar>
            <w:vAlign w:val="center"/>
          </w:tcPr>
          <w:p w14:paraId="38689BB5" w14:textId="77777777" w:rsidR="006561BA" w:rsidRDefault="005B4ED6">
            <w:pPr>
              <w:pStyle w:val="AnnexTableCellLeft"/>
              <w:jc w:val="center"/>
            </w:pPr>
            <w:r>
              <w:t>%</w:t>
            </w:r>
          </w:p>
        </w:tc>
        <w:tc>
          <w:tcPr>
            <w:tcW w:w="574" w:type="dxa"/>
            <w:tcMar>
              <w:top w:w="40" w:type="dxa"/>
              <w:bottom w:w="40" w:type="dxa"/>
            </w:tcMar>
            <w:vAlign w:val="center"/>
          </w:tcPr>
          <w:p w14:paraId="202A42AD" w14:textId="77777777" w:rsidR="006561BA" w:rsidRDefault="005B4ED6">
            <w:pPr>
              <w:pStyle w:val="AnnexTableCellLeft"/>
              <w:jc w:val="center"/>
            </w:pPr>
            <w:r>
              <w:t>%</w:t>
            </w:r>
          </w:p>
        </w:tc>
        <w:tc>
          <w:tcPr>
            <w:tcW w:w="574" w:type="dxa"/>
            <w:tcMar>
              <w:top w:w="40" w:type="dxa"/>
              <w:bottom w:w="40" w:type="dxa"/>
            </w:tcMar>
            <w:vAlign w:val="center"/>
          </w:tcPr>
          <w:p w14:paraId="104CAB1C" w14:textId="77777777" w:rsidR="006561BA" w:rsidRDefault="005B4ED6">
            <w:pPr>
              <w:pStyle w:val="AnnexTableCellLeft"/>
              <w:jc w:val="center"/>
            </w:pPr>
            <w:r>
              <w:t>%</w:t>
            </w:r>
          </w:p>
        </w:tc>
        <w:tc>
          <w:tcPr>
            <w:tcW w:w="573" w:type="dxa"/>
            <w:tcMar>
              <w:top w:w="40" w:type="dxa"/>
              <w:bottom w:w="40" w:type="dxa"/>
            </w:tcMar>
            <w:vAlign w:val="center"/>
          </w:tcPr>
          <w:p w14:paraId="684D16DA" w14:textId="77777777" w:rsidR="006561BA" w:rsidRDefault="005B4ED6">
            <w:pPr>
              <w:pStyle w:val="AnnexTableCellLeft"/>
              <w:jc w:val="center"/>
            </w:pPr>
            <w:r>
              <w:t>%</w:t>
            </w:r>
          </w:p>
        </w:tc>
        <w:tc>
          <w:tcPr>
            <w:tcW w:w="574" w:type="dxa"/>
            <w:tcMar>
              <w:top w:w="40" w:type="dxa"/>
              <w:bottom w:w="40" w:type="dxa"/>
            </w:tcMar>
            <w:vAlign w:val="center"/>
          </w:tcPr>
          <w:p w14:paraId="7072A68C" w14:textId="77777777" w:rsidR="006561BA" w:rsidRDefault="005B4ED6">
            <w:pPr>
              <w:pStyle w:val="AnnexTableCellLeft"/>
              <w:jc w:val="center"/>
            </w:pPr>
            <w:r>
              <w:t>%</w:t>
            </w:r>
          </w:p>
        </w:tc>
        <w:tc>
          <w:tcPr>
            <w:tcW w:w="574" w:type="dxa"/>
            <w:tcMar>
              <w:top w:w="40" w:type="dxa"/>
              <w:bottom w:w="40" w:type="dxa"/>
            </w:tcMar>
            <w:vAlign w:val="center"/>
          </w:tcPr>
          <w:p w14:paraId="796C44A3" w14:textId="77777777" w:rsidR="006561BA" w:rsidRDefault="005B4ED6">
            <w:pPr>
              <w:pStyle w:val="AnnexTableCellLeft"/>
              <w:jc w:val="center"/>
            </w:pPr>
            <w:r>
              <w:t>%</w:t>
            </w:r>
          </w:p>
        </w:tc>
        <w:tc>
          <w:tcPr>
            <w:tcW w:w="573" w:type="dxa"/>
            <w:tcMar>
              <w:top w:w="40" w:type="dxa"/>
              <w:bottom w:w="40" w:type="dxa"/>
            </w:tcMar>
            <w:vAlign w:val="center"/>
          </w:tcPr>
          <w:p w14:paraId="4992241D" w14:textId="77777777" w:rsidR="006561BA" w:rsidRDefault="005B4ED6">
            <w:pPr>
              <w:pStyle w:val="AnnexTableCellLeft"/>
              <w:jc w:val="center"/>
            </w:pPr>
            <w:r>
              <w:t>J</w:t>
            </w:r>
          </w:p>
        </w:tc>
        <w:tc>
          <w:tcPr>
            <w:tcW w:w="574" w:type="dxa"/>
            <w:tcMar>
              <w:top w:w="40" w:type="dxa"/>
              <w:bottom w:w="40" w:type="dxa"/>
            </w:tcMar>
            <w:vAlign w:val="center"/>
          </w:tcPr>
          <w:p w14:paraId="068052F7" w14:textId="77777777" w:rsidR="006561BA" w:rsidRDefault="005B4ED6">
            <w:pPr>
              <w:pStyle w:val="AnnexTableCellLeft"/>
              <w:jc w:val="center"/>
            </w:pPr>
            <w:r>
              <w:t>J</w:t>
            </w:r>
          </w:p>
        </w:tc>
        <w:tc>
          <w:tcPr>
            <w:tcW w:w="574" w:type="dxa"/>
            <w:tcMar>
              <w:top w:w="40" w:type="dxa"/>
              <w:bottom w:w="40" w:type="dxa"/>
            </w:tcMar>
            <w:vAlign w:val="center"/>
          </w:tcPr>
          <w:p w14:paraId="03FB8CD3" w14:textId="77777777" w:rsidR="006561BA" w:rsidRDefault="005B4ED6">
            <w:pPr>
              <w:pStyle w:val="AnnexTableCellLeft"/>
              <w:jc w:val="center"/>
            </w:pPr>
            <w:r>
              <w:t>J</w:t>
            </w:r>
          </w:p>
        </w:tc>
        <w:tc>
          <w:tcPr>
            <w:tcW w:w="573" w:type="dxa"/>
            <w:tcMar>
              <w:top w:w="40" w:type="dxa"/>
              <w:bottom w:w="40" w:type="dxa"/>
            </w:tcMar>
            <w:vAlign w:val="center"/>
          </w:tcPr>
          <w:p w14:paraId="64562BE1" w14:textId="77777777" w:rsidR="006561BA" w:rsidRDefault="005B4ED6">
            <w:pPr>
              <w:pStyle w:val="AnnexTableCellLeft"/>
              <w:jc w:val="center"/>
            </w:pPr>
            <w:r>
              <w:t>J</w:t>
            </w:r>
          </w:p>
        </w:tc>
        <w:tc>
          <w:tcPr>
            <w:tcW w:w="574" w:type="dxa"/>
            <w:tcMar>
              <w:top w:w="40" w:type="dxa"/>
              <w:bottom w:w="40" w:type="dxa"/>
            </w:tcMar>
            <w:vAlign w:val="center"/>
          </w:tcPr>
          <w:p w14:paraId="58DE3D8A" w14:textId="77777777" w:rsidR="006561BA" w:rsidRDefault="005B4ED6">
            <w:pPr>
              <w:pStyle w:val="AnnexTableCellLeft"/>
              <w:jc w:val="center"/>
            </w:pPr>
            <w:r>
              <w:t>J</w:t>
            </w:r>
          </w:p>
        </w:tc>
        <w:tc>
          <w:tcPr>
            <w:tcW w:w="574" w:type="dxa"/>
            <w:tcMar>
              <w:top w:w="40" w:type="dxa"/>
              <w:bottom w:w="40" w:type="dxa"/>
            </w:tcMar>
            <w:vAlign w:val="center"/>
          </w:tcPr>
          <w:p w14:paraId="60EBB910" w14:textId="77777777" w:rsidR="006561BA" w:rsidRDefault="005B4ED6">
            <w:pPr>
              <w:pStyle w:val="AnnexTableCellLeft"/>
              <w:jc w:val="center"/>
            </w:pPr>
            <w:r>
              <w:t>J</w:t>
            </w:r>
          </w:p>
        </w:tc>
        <w:tc>
          <w:tcPr>
            <w:tcW w:w="576" w:type="dxa"/>
            <w:tcMar>
              <w:top w:w="40" w:type="dxa"/>
              <w:bottom w:w="40" w:type="dxa"/>
            </w:tcMar>
            <w:vAlign w:val="center"/>
          </w:tcPr>
          <w:p w14:paraId="4E278429" w14:textId="77777777" w:rsidR="006561BA" w:rsidRDefault="005B4ED6">
            <w:pPr>
              <w:pStyle w:val="AnnexTableCellLeft"/>
              <w:jc w:val="center"/>
            </w:pPr>
            <w:r>
              <w:t>J</w:t>
            </w:r>
          </w:p>
        </w:tc>
        <w:tc>
          <w:tcPr>
            <w:tcW w:w="1200" w:type="dxa"/>
            <w:tcMar>
              <w:top w:w="40" w:type="dxa"/>
              <w:bottom w:w="40" w:type="dxa"/>
            </w:tcMar>
            <w:vAlign w:val="center"/>
          </w:tcPr>
          <w:p w14:paraId="5D060191" w14:textId="77777777" w:rsidR="006561BA" w:rsidRDefault="005B4ED6">
            <w:pPr>
              <w:pStyle w:val="AnnexTableCellLeft"/>
              <w:jc w:val="center"/>
            </w:pPr>
            <w:r>
              <w:t>%</w:t>
            </w:r>
          </w:p>
        </w:tc>
        <w:tc>
          <w:tcPr>
            <w:tcW w:w="810" w:type="dxa"/>
            <w:tcMar>
              <w:top w:w="40" w:type="dxa"/>
              <w:bottom w:w="40" w:type="dxa"/>
            </w:tcMar>
            <w:vAlign w:val="center"/>
          </w:tcPr>
          <w:p w14:paraId="4A770E5D" w14:textId="77777777" w:rsidR="006561BA" w:rsidRDefault="005B4ED6">
            <w:pPr>
              <w:pStyle w:val="AnnexTableCellLeft"/>
              <w:jc w:val="center"/>
            </w:pPr>
            <w:r>
              <w:t>Muliggjørende</w:t>
            </w:r>
          </w:p>
        </w:tc>
        <w:tc>
          <w:tcPr>
            <w:tcW w:w="810" w:type="dxa"/>
            <w:shd w:val="clear" w:color="auto" w:fill="000000" w:themeFill="text1"/>
            <w:tcMar>
              <w:top w:w="40" w:type="dxa"/>
              <w:bottom w:w="40" w:type="dxa"/>
              <w:right w:w="0" w:type="dxa"/>
            </w:tcMar>
            <w:vAlign w:val="center"/>
          </w:tcPr>
          <w:p w14:paraId="546ED4D5" w14:textId="77777777" w:rsidR="006561BA" w:rsidRDefault="006561BA">
            <w:pPr>
              <w:pStyle w:val="AnnexTableCellLeft"/>
              <w:jc w:val="center"/>
            </w:pPr>
          </w:p>
        </w:tc>
      </w:tr>
      <w:tr w:rsidR="006561BA" w14:paraId="28944434" w14:textId="77777777">
        <w:tc>
          <w:tcPr>
            <w:tcW w:w="2309" w:type="dxa"/>
            <w:gridSpan w:val="2"/>
            <w:tcMar>
              <w:top w:w="40" w:type="dxa"/>
              <w:left w:w="0" w:type="dxa"/>
              <w:bottom w:w="40" w:type="dxa"/>
            </w:tcMar>
          </w:tcPr>
          <w:p w14:paraId="6CBFB13E" w14:textId="77777777" w:rsidR="006561BA" w:rsidRDefault="005B4ED6">
            <w:pPr>
              <w:pStyle w:val="AnnexTableCellLeft"/>
              <w:jc w:val="right"/>
            </w:pPr>
            <w:r>
              <w:rPr>
                <w:b/>
              </w:rPr>
              <w:t>Hvorav omstilling</w:t>
            </w:r>
          </w:p>
        </w:tc>
        <w:tc>
          <w:tcPr>
            <w:tcW w:w="791" w:type="dxa"/>
            <w:tcMar>
              <w:top w:w="40" w:type="dxa"/>
              <w:bottom w:w="40" w:type="dxa"/>
            </w:tcMar>
          </w:tcPr>
          <w:p w14:paraId="10FF7C88" w14:textId="77777777" w:rsidR="006561BA" w:rsidRDefault="006561BA">
            <w:pPr>
              <w:pStyle w:val="AnnexTableCellLeft"/>
              <w:jc w:val="center"/>
            </w:pPr>
          </w:p>
        </w:tc>
        <w:tc>
          <w:tcPr>
            <w:tcW w:w="936" w:type="dxa"/>
            <w:tcMar>
              <w:top w:w="40" w:type="dxa"/>
              <w:bottom w:w="40" w:type="dxa"/>
            </w:tcMar>
            <w:vAlign w:val="center"/>
          </w:tcPr>
          <w:p w14:paraId="34591B30" w14:textId="77777777" w:rsidR="006561BA" w:rsidRDefault="005B4ED6">
            <w:pPr>
              <w:pStyle w:val="AnnexTableCellLeft"/>
              <w:jc w:val="center"/>
            </w:pPr>
            <w:r>
              <w:t>%</w:t>
            </w:r>
          </w:p>
        </w:tc>
        <w:tc>
          <w:tcPr>
            <w:tcW w:w="573" w:type="dxa"/>
            <w:tcMar>
              <w:top w:w="40" w:type="dxa"/>
              <w:bottom w:w="40" w:type="dxa"/>
            </w:tcMar>
            <w:vAlign w:val="center"/>
          </w:tcPr>
          <w:p w14:paraId="5974D99A" w14:textId="77777777" w:rsidR="006561BA" w:rsidRDefault="005B4ED6">
            <w:pPr>
              <w:pStyle w:val="AnnexTableCellLeft"/>
              <w:jc w:val="center"/>
            </w:pPr>
            <w:r>
              <w:t>%</w:t>
            </w:r>
          </w:p>
        </w:tc>
        <w:tc>
          <w:tcPr>
            <w:tcW w:w="574" w:type="dxa"/>
            <w:shd w:val="clear" w:color="auto" w:fill="000000" w:themeFill="text1"/>
            <w:tcMar>
              <w:top w:w="40" w:type="dxa"/>
              <w:bottom w:w="40" w:type="dxa"/>
            </w:tcMar>
            <w:vAlign w:val="center"/>
          </w:tcPr>
          <w:p w14:paraId="72CCC8A0" w14:textId="77777777" w:rsidR="006561BA" w:rsidRDefault="006561BA">
            <w:pPr>
              <w:pStyle w:val="AnnexTableCellLeft"/>
              <w:jc w:val="center"/>
            </w:pPr>
          </w:p>
        </w:tc>
        <w:tc>
          <w:tcPr>
            <w:tcW w:w="574" w:type="dxa"/>
            <w:shd w:val="clear" w:color="auto" w:fill="000000" w:themeFill="text1"/>
            <w:tcMar>
              <w:top w:w="40" w:type="dxa"/>
              <w:bottom w:w="40" w:type="dxa"/>
            </w:tcMar>
            <w:vAlign w:val="center"/>
          </w:tcPr>
          <w:p w14:paraId="3539A09B" w14:textId="77777777" w:rsidR="006561BA" w:rsidRDefault="006561BA">
            <w:pPr>
              <w:pStyle w:val="AnnexTableCellLeft"/>
              <w:jc w:val="center"/>
            </w:pPr>
          </w:p>
        </w:tc>
        <w:tc>
          <w:tcPr>
            <w:tcW w:w="573" w:type="dxa"/>
            <w:shd w:val="clear" w:color="auto" w:fill="000000" w:themeFill="text1"/>
            <w:tcMar>
              <w:top w:w="40" w:type="dxa"/>
              <w:bottom w:w="40" w:type="dxa"/>
            </w:tcMar>
            <w:vAlign w:val="center"/>
          </w:tcPr>
          <w:p w14:paraId="7ED32529" w14:textId="77777777" w:rsidR="006561BA" w:rsidRDefault="006561BA">
            <w:pPr>
              <w:pStyle w:val="AnnexTableCellLeft"/>
              <w:jc w:val="center"/>
            </w:pPr>
          </w:p>
        </w:tc>
        <w:tc>
          <w:tcPr>
            <w:tcW w:w="574" w:type="dxa"/>
            <w:shd w:val="clear" w:color="auto" w:fill="000000" w:themeFill="text1"/>
            <w:tcMar>
              <w:top w:w="40" w:type="dxa"/>
              <w:bottom w:w="40" w:type="dxa"/>
            </w:tcMar>
            <w:vAlign w:val="center"/>
          </w:tcPr>
          <w:p w14:paraId="05458158" w14:textId="77777777" w:rsidR="006561BA" w:rsidRDefault="006561BA">
            <w:pPr>
              <w:pStyle w:val="AnnexTableCellLeft"/>
              <w:jc w:val="center"/>
            </w:pPr>
          </w:p>
        </w:tc>
        <w:tc>
          <w:tcPr>
            <w:tcW w:w="574" w:type="dxa"/>
            <w:shd w:val="clear" w:color="auto" w:fill="000000" w:themeFill="text1"/>
            <w:tcMar>
              <w:top w:w="40" w:type="dxa"/>
              <w:bottom w:w="40" w:type="dxa"/>
            </w:tcMar>
            <w:vAlign w:val="center"/>
          </w:tcPr>
          <w:p w14:paraId="567FD2BA" w14:textId="77777777" w:rsidR="006561BA" w:rsidRDefault="006561BA">
            <w:pPr>
              <w:pStyle w:val="AnnexTableCellLeft"/>
              <w:jc w:val="center"/>
            </w:pPr>
          </w:p>
        </w:tc>
        <w:tc>
          <w:tcPr>
            <w:tcW w:w="573" w:type="dxa"/>
            <w:tcMar>
              <w:top w:w="40" w:type="dxa"/>
              <w:bottom w:w="40" w:type="dxa"/>
            </w:tcMar>
            <w:vAlign w:val="center"/>
          </w:tcPr>
          <w:p w14:paraId="00C40789" w14:textId="77777777" w:rsidR="006561BA" w:rsidRDefault="005B4ED6">
            <w:pPr>
              <w:pStyle w:val="AnnexTableCellLeft"/>
              <w:jc w:val="center"/>
            </w:pPr>
            <w:r>
              <w:t>J</w:t>
            </w:r>
          </w:p>
        </w:tc>
        <w:tc>
          <w:tcPr>
            <w:tcW w:w="574" w:type="dxa"/>
            <w:tcMar>
              <w:top w:w="40" w:type="dxa"/>
              <w:bottom w:w="40" w:type="dxa"/>
            </w:tcMar>
            <w:vAlign w:val="center"/>
          </w:tcPr>
          <w:p w14:paraId="7B61BDB3" w14:textId="77777777" w:rsidR="006561BA" w:rsidRDefault="005B4ED6">
            <w:pPr>
              <w:pStyle w:val="AnnexTableCellLeft"/>
              <w:jc w:val="center"/>
            </w:pPr>
            <w:r>
              <w:t>J</w:t>
            </w:r>
          </w:p>
        </w:tc>
        <w:tc>
          <w:tcPr>
            <w:tcW w:w="574" w:type="dxa"/>
            <w:tcMar>
              <w:top w:w="40" w:type="dxa"/>
              <w:bottom w:w="40" w:type="dxa"/>
            </w:tcMar>
            <w:vAlign w:val="center"/>
          </w:tcPr>
          <w:p w14:paraId="6FB77F4D" w14:textId="77777777" w:rsidR="006561BA" w:rsidRDefault="005B4ED6">
            <w:pPr>
              <w:pStyle w:val="AnnexTableCellLeft"/>
              <w:jc w:val="center"/>
            </w:pPr>
            <w:r>
              <w:t>J</w:t>
            </w:r>
          </w:p>
        </w:tc>
        <w:tc>
          <w:tcPr>
            <w:tcW w:w="573" w:type="dxa"/>
            <w:tcMar>
              <w:top w:w="40" w:type="dxa"/>
              <w:bottom w:w="40" w:type="dxa"/>
            </w:tcMar>
            <w:vAlign w:val="center"/>
          </w:tcPr>
          <w:p w14:paraId="6D9B9B57" w14:textId="77777777" w:rsidR="006561BA" w:rsidRDefault="005B4ED6">
            <w:pPr>
              <w:pStyle w:val="AnnexTableCellLeft"/>
              <w:jc w:val="center"/>
            </w:pPr>
            <w:r>
              <w:t>J</w:t>
            </w:r>
          </w:p>
        </w:tc>
        <w:tc>
          <w:tcPr>
            <w:tcW w:w="574" w:type="dxa"/>
            <w:tcMar>
              <w:top w:w="40" w:type="dxa"/>
              <w:bottom w:w="40" w:type="dxa"/>
            </w:tcMar>
            <w:vAlign w:val="center"/>
          </w:tcPr>
          <w:p w14:paraId="05A347E1" w14:textId="77777777" w:rsidR="006561BA" w:rsidRDefault="005B4ED6">
            <w:pPr>
              <w:pStyle w:val="AnnexTableCellLeft"/>
              <w:jc w:val="center"/>
            </w:pPr>
            <w:r>
              <w:t>J</w:t>
            </w:r>
          </w:p>
        </w:tc>
        <w:tc>
          <w:tcPr>
            <w:tcW w:w="574" w:type="dxa"/>
            <w:tcMar>
              <w:top w:w="40" w:type="dxa"/>
              <w:bottom w:w="40" w:type="dxa"/>
            </w:tcMar>
            <w:vAlign w:val="center"/>
          </w:tcPr>
          <w:p w14:paraId="64092C2C" w14:textId="77777777" w:rsidR="006561BA" w:rsidRDefault="005B4ED6">
            <w:pPr>
              <w:pStyle w:val="AnnexTableCellLeft"/>
              <w:jc w:val="center"/>
            </w:pPr>
            <w:r>
              <w:t>J</w:t>
            </w:r>
          </w:p>
        </w:tc>
        <w:tc>
          <w:tcPr>
            <w:tcW w:w="576" w:type="dxa"/>
            <w:tcMar>
              <w:top w:w="40" w:type="dxa"/>
              <w:bottom w:w="40" w:type="dxa"/>
            </w:tcMar>
            <w:vAlign w:val="center"/>
          </w:tcPr>
          <w:p w14:paraId="4EF07EFB" w14:textId="77777777" w:rsidR="006561BA" w:rsidRDefault="005B4ED6">
            <w:pPr>
              <w:pStyle w:val="AnnexTableCellLeft"/>
              <w:jc w:val="center"/>
            </w:pPr>
            <w:r>
              <w:t>J</w:t>
            </w:r>
          </w:p>
        </w:tc>
        <w:tc>
          <w:tcPr>
            <w:tcW w:w="1200" w:type="dxa"/>
            <w:tcMar>
              <w:top w:w="40" w:type="dxa"/>
              <w:bottom w:w="40" w:type="dxa"/>
            </w:tcMar>
            <w:vAlign w:val="center"/>
          </w:tcPr>
          <w:p w14:paraId="7B444BB5" w14:textId="77777777" w:rsidR="006561BA" w:rsidRDefault="005B4ED6">
            <w:pPr>
              <w:pStyle w:val="AnnexTableCellLeft"/>
              <w:jc w:val="center"/>
            </w:pPr>
            <w:r>
              <w:t>%</w:t>
            </w:r>
          </w:p>
        </w:tc>
        <w:tc>
          <w:tcPr>
            <w:tcW w:w="810" w:type="dxa"/>
            <w:shd w:val="clear" w:color="auto" w:fill="000000" w:themeFill="text1"/>
            <w:tcMar>
              <w:top w:w="40" w:type="dxa"/>
              <w:bottom w:w="40" w:type="dxa"/>
            </w:tcMar>
            <w:vAlign w:val="center"/>
          </w:tcPr>
          <w:p w14:paraId="06194782" w14:textId="77777777" w:rsidR="006561BA" w:rsidRDefault="006561BA">
            <w:pPr>
              <w:pStyle w:val="AnnexTableCellLeft"/>
              <w:jc w:val="center"/>
            </w:pPr>
          </w:p>
        </w:tc>
        <w:tc>
          <w:tcPr>
            <w:tcW w:w="810" w:type="dxa"/>
            <w:tcMar>
              <w:top w:w="40" w:type="dxa"/>
              <w:bottom w:w="40" w:type="dxa"/>
              <w:right w:w="0" w:type="dxa"/>
            </w:tcMar>
            <w:vAlign w:val="center"/>
          </w:tcPr>
          <w:p w14:paraId="12D8F74F" w14:textId="77777777" w:rsidR="006561BA" w:rsidRDefault="005B4ED6">
            <w:pPr>
              <w:pStyle w:val="AnnexTableCellLeft"/>
              <w:jc w:val="center"/>
            </w:pPr>
            <w:r>
              <w:t>Omstilling</w:t>
            </w:r>
          </w:p>
        </w:tc>
      </w:tr>
      <w:tr w:rsidR="006561BA" w14:paraId="0D50B5A1" w14:textId="77777777">
        <w:tc>
          <w:tcPr>
            <w:tcW w:w="14316" w:type="dxa"/>
            <w:gridSpan w:val="20"/>
            <w:tcMar>
              <w:top w:w="40" w:type="dxa"/>
              <w:left w:w="0" w:type="dxa"/>
              <w:bottom w:w="40" w:type="dxa"/>
              <w:right w:w="0" w:type="dxa"/>
            </w:tcMar>
          </w:tcPr>
          <w:p w14:paraId="5B0942B3" w14:textId="228D9FA2" w:rsidR="006561BA" w:rsidRDefault="005B4ED6">
            <w:pPr>
              <w:pStyle w:val="AnnexNumberedText"/>
              <w:spacing w:after="0"/>
              <w:ind w:left="453" w:hanging="453"/>
            </w:pPr>
            <w:r>
              <w:t>A.2.</w:t>
            </w:r>
            <w:r>
              <w:rPr>
                <w:b/>
              </w:rPr>
              <w:tab/>
              <w:t xml:space="preserve">Aktiviteter som er omfattet av taksonomien, men som ikke er miljømessig bærekraftige (ikke taksonomiforenlige </w:t>
            </w:r>
            <w:proofErr w:type="gramStart"/>
            <w:r>
              <w:rPr>
                <w:b/>
              </w:rPr>
              <w:t>aktiviteter)</w:t>
            </w:r>
            <w:r>
              <w:t>(</w:t>
            </w:r>
            <w:proofErr w:type="gramEnd"/>
            <w:r>
              <w:fldChar w:fldCharType="begin"/>
            </w:r>
            <w:r>
              <w:instrText xml:space="preserve"> REF NOTE_403 \h  \* MERGEFORMAT </w:instrText>
            </w:r>
            <w:r>
              <w:fldChar w:fldCharType="separate"/>
            </w:r>
            <w:r w:rsidR="00770AA2">
              <w:rPr>
                <w:vertAlign w:val="superscript"/>
              </w:rPr>
              <w:t>g</w:t>
            </w:r>
            <w:r>
              <w:fldChar w:fldCharType="end"/>
            </w:r>
            <w:r>
              <w:t>)</w:t>
            </w:r>
          </w:p>
        </w:tc>
      </w:tr>
      <w:tr w:rsidR="006561BA" w14:paraId="4EB473C0" w14:textId="77777777">
        <w:tc>
          <w:tcPr>
            <w:tcW w:w="4036" w:type="dxa"/>
            <w:gridSpan w:val="4"/>
            <w:tcMar>
              <w:top w:w="40" w:type="dxa"/>
              <w:left w:w="0" w:type="dxa"/>
              <w:bottom w:w="40" w:type="dxa"/>
            </w:tcMar>
          </w:tcPr>
          <w:p w14:paraId="6C54AAD7" w14:textId="77777777" w:rsidR="006561BA" w:rsidRDefault="006561BA">
            <w:pPr>
              <w:pStyle w:val="AnnexTableCellLeft"/>
            </w:pPr>
          </w:p>
        </w:tc>
        <w:tc>
          <w:tcPr>
            <w:tcW w:w="573" w:type="dxa"/>
            <w:tcMar>
              <w:top w:w="40" w:type="dxa"/>
              <w:bottom w:w="40" w:type="dxa"/>
            </w:tcMar>
            <w:vAlign w:val="center"/>
          </w:tcPr>
          <w:p w14:paraId="072AF3A5" w14:textId="7BD30B1B" w:rsidR="006561BA" w:rsidRDefault="005B4ED6">
            <w:pPr>
              <w:pStyle w:val="AnnexTableCellLeft"/>
              <w:jc w:val="center"/>
            </w:pPr>
            <w:r>
              <w:rPr>
                <w:i/>
              </w:rPr>
              <w:t>EL, N/EL</w:t>
            </w:r>
            <w:r>
              <w:t> (</w:t>
            </w:r>
            <w:r>
              <w:fldChar w:fldCharType="begin"/>
            </w:r>
            <w:r>
              <w:instrText xml:space="preserve"> REF NOTE_402 \h  \* MERGEFORMAT </w:instrText>
            </w:r>
            <w:r>
              <w:fldChar w:fldCharType="separate"/>
            </w:r>
            <w:r w:rsidR="00770AA2">
              <w:rPr>
                <w:vertAlign w:val="superscript"/>
              </w:rPr>
              <w:t>f</w:t>
            </w:r>
            <w:r>
              <w:fldChar w:fldCharType="end"/>
            </w:r>
            <w:r>
              <w:t>)</w:t>
            </w:r>
          </w:p>
        </w:tc>
        <w:tc>
          <w:tcPr>
            <w:tcW w:w="574" w:type="dxa"/>
            <w:tcMar>
              <w:top w:w="40" w:type="dxa"/>
              <w:bottom w:w="40" w:type="dxa"/>
            </w:tcMar>
            <w:vAlign w:val="center"/>
          </w:tcPr>
          <w:p w14:paraId="15D1A609" w14:textId="23EDFC83" w:rsidR="006561BA" w:rsidRDefault="005B4ED6">
            <w:pPr>
              <w:pStyle w:val="AnnexTableCellLeft"/>
              <w:jc w:val="center"/>
            </w:pPr>
            <w:r>
              <w:rPr>
                <w:i/>
              </w:rPr>
              <w:t>EL, N/EL</w:t>
            </w:r>
            <w:r>
              <w:t> (</w:t>
            </w:r>
            <w:r>
              <w:fldChar w:fldCharType="begin"/>
            </w:r>
            <w:r>
              <w:instrText xml:space="preserve"> REF NOTE_402 \h  \* MERGEFORMAT </w:instrText>
            </w:r>
            <w:r>
              <w:fldChar w:fldCharType="separate"/>
            </w:r>
            <w:r w:rsidR="00770AA2">
              <w:rPr>
                <w:vertAlign w:val="superscript"/>
              </w:rPr>
              <w:t>f</w:t>
            </w:r>
            <w:r>
              <w:fldChar w:fldCharType="end"/>
            </w:r>
            <w:r>
              <w:t>)</w:t>
            </w:r>
          </w:p>
        </w:tc>
        <w:tc>
          <w:tcPr>
            <w:tcW w:w="574" w:type="dxa"/>
            <w:tcMar>
              <w:top w:w="40" w:type="dxa"/>
              <w:bottom w:w="40" w:type="dxa"/>
            </w:tcMar>
            <w:vAlign w:val="center"/>
          </w:tcPr>
          <w:p w14:paraId="26DB5760" w14:textId="1C967717" w:rsidR="006561BA" w:rsidRDefault="005B4ED6">
            <w:pPr>
              <w:pStyle w:val="AnnexTableCellLeft"/>
              <w:jc w:val="center"/>
            </w:pPr>
            <w:r>
              <w:rPr>
                <w:i/>
              </w:rPr>
              <w:t>EL, N/EL</w:t>
            </w:r>
            <w:r>
              <w:t> (</w:t>
            </w:r>
            <w:r>
              <w:fldChar w:fldCharType="begin"/>
            </w:r>
            <w:r>
              <w:instrText xml:space="preserve"> REF NOTE_402 \h  \* MERGEFORMAT </w:instrText>
            </w:r>
            <w:r>
              <w:fldChar w:fldCharType="separate"/>
            </w:r>
            <w:r w:rsidR="00770AA2">
              <w:rPr>
                <w:vertAlign w:val="superscript"/>
              </w:rPr>
              <w:t>f</w:t>
            </w:r>
            <w:r>
              <w:fldChar w:fldCharType="end"/>
            </w:r>
            <w:r>
              <w:t>)</w:t>
            </w:r>
          </w:p>
        </w:tc>
        <w:tc>
          <w:tcPr>
            <w:tcW w:w="573" w:type="dxa"/>
            <w:tcMar>
              <w:top w:w="40" w:type="dxa"/>
              <w:bottom w:w="40" w:type="dxa"/>
            </w:tcMar>
            <w:vAlign w:val="center"/>
          </w:tcPr>
          <w:p w14:paraId="47B3C8E1" w14:textId="771ADF5A" w:rsidR="006561BA" w:rsidRDefault="005B4ED6">
            <w:pPr>
              <w:pStyle w:val="AnnexTableCellLeft"/>
              <w:jc w:val="center"/>
            </w:pPr>
            <w:r>
              <w:rPr>
                <w:i/>
              </w:rPr>
              <w:t>EL, N/EL</w:t>
            </w:r>
            <w:r>
              <w:t> (</w:t>
            </w:r>
            <w:r>
              <w:fldChar w:fldCharType="begin"/>
            </w:r>
            <w:r>
              <w:instrText xml:space="preserve"> REF NOTE_402 \h  \* MERGEFORMAT </w:instrText>
            </w:r>
            <w:r>
              <w:fldChar w:fldCharType="separate"/>
            </w:r>
            <w:r w:rsidR="00770AA2">
              <w:rPr>
                <w:vertAlign w:val="superscript"/>
              </w:rPr>
              <w:t>f</w:t>
            </w:r>
            <w:r>
              <w:fldChar w:fldCharType="end"/>
            </w:r>
            <w:r>
              <w:t>)</w:t>
            </w:r>
          </w:p>
        </w:tc>
        <w:tc>
          <w:tcPr>
            <w:tcW w:w="574" w:type="dxa"/>
            <w:tcMar>
              <w:top w:w="40" w:type="dxa"/>
              <w:bottom w:w="40" w:type="dxa"/>
            </w:tcMar>
            <w:vAlign w:val="center"/>
          </w:tcPr>
          <w:p w14:paraId="572E32C2" w14:textId="7C33128C" w:rsidR="006561BA" w:rsidRDefault="005B4ED6">
            <w:pPr>
              <w:pStyle w:val="AnnexTableCellLeft"/>
              <w:jc w:val="center"/>
            </w:pPr>
            <w:r>
              <w:rPr>
                <w:i/>
              </w:rPr>
              <w:t>EL, N/EL</w:t>
            </w:r>
            <w:r>
              <w:t> (</w:t>
            </w:r>
            <w:r>
              <w:fldChar w:fldCharType="begin"/>
            </w:r>
            <w:r>
              <w:instrText xml:space="preserve"> REF NOTE_402 \h  \* MERGEFORMAT </w:instrText>
            </w:r>
            <w:r>
              <w:fldChar w:fldCharType="separate"/>
            </w:r>
            <w:r w:rsidR="00770AA2">
              <w:rPr>
                <w:vertAlign w:val="superscript"/>
              </w:rPr>
              <w:t>f</w:t>
            </w:r>
            <w:r>
              <w:fldChar w:fldCharType="end"/>
            </w:r>
            <w:r>
              <w:t>)</w:t>
            </w:r>
          </w:p>
        </w:tc>
        <w:tc>
          <w:tcPr>
            <w:tcW w:w="574" w:type="dxa"/>
            <w:tcMar>
              <w:top w:w="40" w:type="dxa"/>
              <w:bottom w:w="40" w:type="dxa"/>
            </w:tcMar>
            <w:vAlign w:val="center"/>
          </w:tcPr>
          <w:p w14:paraId="225E2035" w14:textId="1A0E4A5A" w:rsidR="006561BA" w:rsidRDefault="005B4ED6">
            <w:pPr>
              <w:pStyle w:val="AnnexTableCellLeft"/>
              <w:jc w:val="center"/>
            </w:pPr>
            <w:r>
              <w:rPr>
                <w:i/>
              </w:rPr>
              <w:t>EL, N/EL</w:t>
            </w:r>
            <w:r>
              <w:t> (</w:t>
            </w:r>
            <w:r>
              <w:fldChar w:fldCharType="begin"/>
            </w:r>
            <w:r>
              <w:instrText xml:space="preserve"> REF NOTE_402 \h  \* MERGEFORMAT </w:instrText>
            </w:r>
            <w:r>
              <w:fldChar w:fldCharType="separate"/>
            </w:r>
            <w:r w:rsidR="00770AA2">
              <w:rPr>
                <w:vertAlign w:val="superscript"/>
              </w:rPr>
              <w:t>f</w:t>
            </w:r>
            <w:r>
              <w:fldChar w:fldCharType="end"/>
            </w:r>
            <w:r>
              <w:t>)</w:t>
            </w:r>
          </w:p>
        </w:tc>
        <w:tc>
          <w:tcPr>
            <w:tcW w:w="573" w:type="dxa"/>
            <w:shd w:val="clear" w:color="auto" w:fill="000000" w:themeFill="text1"/>
            <w:tcMar>
              <w:top w:w="40" w:type="dxa"/>
              <w:bottom w:w="40" w:type="dxa"/>
            </w:tcMar>
            <w:vAlign w:val="center"/>
          </w:tcPr>
          <w:p w14:paraId="10066208" w14:textId="77777777" w:rsidR="006561BA" w:rsidRDefault="006561BA">
            <w:pPr>
              <w:pStyle w:val="AnnexTableCellLeft"/>
              <w:jc w:val="center"/>
            </w:pPr>
          </w:p>
        </w:tc>
        <w:tc>
          <w:tcPr>
            <w:tcW w:w="574" w:type="dxa"/>
            <w:shd w:val="clear" w:color="auto" w:fill="000000" w:themeFill="text1"/>
            <w:tcMar>
              <w:top w:w="40" w:type="dxa"/>
              <w:bottom w:w="40" w:type="dxa"/>
            </w:tcMar>
            <w:vAlign w:val="center"/>
          </w:tcPr>
          <w:p w14:paraId="5FEB790A" w14:textId="77777777" w:rsidR="006561BA" w:rsidRDefault="006561BA">
            <w:pPr>
              <w:pStyle w:val="AnnexTableCellLeft"/>
              <w:jc w:val="center"/>
            </w:pPr>
          </w:p>
        </w:tc>
        <w:tc>
          <w:tcPr>
            <w:tcW w:w="574" w:type="dxa"/>
            <w:shd w:val="clear" w:color="auto" w:fill="000000" w:themeFill="text1"/>
            <w:tcMar>
              <w:top w:w="40" w:type="dxa"/>
              <w:bottom w:w="40" w:type="dxa"/>
            </w:tcMar>
            <w:vAlign w:val="center"/>
          </w:tcPr>
          <w:p w14:paraId="678F4DF2" w14:textId="77777777" w:rsidR="006561BA" w:rsidRDefault="006561BA">
            <w:pPr>
              <w:pStyle w:val="AnnexTableCellLeft"/>
              <w:jc w:val="center"/>
            </w:pPr>
          </w:p>
        </w:tc>
        <w:tc>
          <w:tcPr>
            <w:tcW w:w="573" w:type="dxa"/>
            <w:shd w:val="clear" w:color="auto" w:fill="000000" w:themeFill="text1"/>
            <w:tcMar>
              <w:top w:w="40" w:type="dxa"/>
              <w:bottom w:w="40" w:type="dxa"/>
            </w:tcMar>
            <w:vAlign w:val="center"/>
          </w:tcPr>
          <w:p w14:paraId="7FAE2A88" w14:textId="77777777" w:rsidR="006561BA" w:rsidRDefault="006561BA">
            <w:pPr>
              <w:pStyle w:val="AnnexTableCellLeft"/>
              <w:jc w:val="center"/>
            </w:pPr>
          </w:p>
        </w:tc>
        <w:tc>
          <w:tcPr>
            <w:tcW w:w="574" w:type="dxa"/>
            <w:shd w:val="clear" w:color="auto" w:fill="000000" w:themeFill="text1"/>
            <w:tcMar>
              <w:top w:w="40" w:type="dxa"/>
              <w:bottom w:w="40" w:type="dxa"/>
            </w:tcMar>
            <w:vAlign w:val="center"/>
          </w:tcPr>
          <w:p w14:paraId="57A299A4" w14:textId="77777777" w:rsidR="006561BA" w:rsidRDefault="006561BA">
            <w:pPr>
              <w:pStyle w:val="AnnexTableCellLeft"/>
              <w:jc w:val="center"/>
            </w:pPr>
          </w:p>
        </w:tc>
        <w:tc>
          <w:tcPr>
            <w:tcW w:w="574" w:type="dxa"/>
            <w:shd w:val="clear" w:color="auto" w:fill="000000" w:themeFill="text1"/>
            <w:tcMar>
              <w:top w:w="40" w:type="dxa"/>
              <w:bottom w:w="40" w:type="dxa"/>
            </w:tcMar>
            <w:vAlign w:val="center"/>
          </w:tcPr>
          <w:p w14:paraId="13ED1AB2" w14:textId="77777777" w:rsidR="006561BA" w:rsidRDefault="006561BA">
            <w:pPr>
              <w:pStyle w:val="AnnexTableCellLeft"/>
              <w:jc w:val="center"/>
            </w:pPr>
          </w:p>
        </w:tc>
        <w:tc>
          <w:tcPr>
            <w:tcW w:w="576" w:type="dxa"/>
            <w:shd w:val="clear" w:color="auto" w:fill="000000" w:themeFill="text1"/>
            <w:tcMar>
              <w:top w:w="40" w:type="dxa"/>
              <w:bottom w:w="40" w:type="dxa"/>
            </w:tcMar>
            <w:vAlign w:val="center"/>
          </w:tcPr>
          <w:p w14:paraId="0A25EAA5" w14:textId="77777777" w:rsidR="006561BA" w:rsidRDefault="006561BA">
            <w:pPr>
              <w:pStyle w:val="AnnexTableCellLeft"/>
              <w:jc w:val="center"/>
            </w:pPr>
          </w:p>
        </w:tc>
        <w:tc>
          <w:tcPr>
            <w:tcW w:w="1200" w:type="dxa"/>
            <w:shd w:val="clear" w:color="auto" w:fill="000000" w:themeFill="text1"/>
            <w:tcMar>
              <w:top w:w="40" w:type="dxa"/>
              <w:bottom w:w="40" w:type="dxa"/>
            </w:tcMar>
            <w:vAlign w:val="center"/>
          </w:tcPr>
          <w:p w14:paraId="6BA77675" w14:textId="77777777" w:rsidR="006561BA" w:rsidRDefault="006561BA">
            <w:pPr>
              <w:pStyle w:val="AnnexTableCellLeft"/>
              <w:jc w:val="center"/>
            </w:pPr>
          </w:p>
        </w:tc>
        <w:tc>
          <w:tcPr>
            <w:tcW w:w="810" w:type="dxa"/>
            <w:shd w:val="clear" w:color="auto" w:fill="000000" w:themeFill="text1"/>
            <w:tcMar>
              <w:top w:w="40" w:type="dxa"/>
              <w:bottom w:w="40" w:type="dxa"/>
            </w:tcMar>
            <w:vAlign w:val="center"/>
          </w:tcPr>
          <w:p w14:paraId="12786164" w14:textId="77777777" w:rsidR="006561BA" w:rsidRDefault="006561BA">
            <w:pPr>
              <w:pStyle w:val="AnnexTableCellLeft"/>
              <w:jc w:val="center"/>
            </w:pPr>
          </w:p>
        </w:tc>
        <w:tc>
          <w:tcPr>
            <w:tcW w:w="810" w:type="dxa"/>
            <w:shd w:val="clear" w:color="auto" w:fill="000000" w:themeFill="text1"/>
            <w:tcMar>
              <w:top w:w="40" w:type="dxa"/>
              <w:bottom w:w="40" w:type="dxa"/>
              <w:right w:w="0" w:type="dxa"/>
            </w:tcMar>
            <w:vAlign w:val="center"/>
          </w:tcPr>
          <w:p w14:paraId="2F3CE89C" w14:textId="77777777" w:rsidR="006561BA" w:rsidRDefault="006561BA">
            <w:pPr>
              <w:pStyle w:val="AnnexTableCellLeft"/>
              <w:jc w:val="center"/>
            </w:pPr>
          </w:p>
        </w:tc>
      </w:tr>
      <w:tr w:rsidR="006561BA" w14:paraId="2B9CBC42" w14:textId="77777777">
        <w:tc>
          <w:tcPr>
            <w:tcW w:w="1664" w:type="dxa"/>
            <w:tcMar>
              <w:top w:w="160" w:type="dxa"/>
              <w:left w:w="0" w:type="dxa"/>
              <w:bottom w:w="160" w:type="dxa"/>
            </w:tcMar>
          </w:tcPr>
          <w:p w14:paraId="7BC966BC" w14:textId="0FC69343" w:rsidR="006561BA" w:rsidRDefault="005B4ED6">
            <w:pPr>
              <w:pStyle w:val="AnnexTableCellLeft"/>
              <w:pageBreakBefore/>
            </w:pPr>
            <w:r>
              <w:lastRenderedPageBreak/>
              <w:t>Aktivitet 1</w:t>
            </w:r>
            <w:r w:rsidR="000028BA">
              <w:t xml:space="preserve"> </w:t>
            </w:r>
            <w:r>
              <w:t>(</w:t>
            </w:r>
            <w:r>
              <w:rPr>
                <w:vertAlign w:val="superscript"/>
              </w:rPr>
              <w:t>e</w:t>
            </w:r>
            <w:r>
              <w:t>)</w:t>
            </w:r>
          </w:p>
        </w:tc>
        <w:tc>
          <w:tcPr>
            <w:tcW w:w="645" w:type="dxa"/>
            <w:tcMar>
              <w:top w:w="160" w:type="dxa"/>
              <w:bottom w:w="160" w:type="dxa"/>
            </w:tcMar>
          </w:tcPr>
          <w:p w14:paraId="78774044" w14:textId="77777777" w:rsidR="006561BA" w:rsidRDefault="006561BA">
            <w:pPr>
              <w:pStyle w:val="AnnexTableCellLeft"/>
            </w:pPr>
          </w:p>
        </w:tc>
        <w:tc>
          <w:tcPr>
            <w:tcW w:w="791" w:type="dxa"/>
            <w:tcMar>
              <w:top w:w="160" w:type="dxa"/>
              <w:bottom w:w="160" w:type="dxa"/>
            </w:tcMar>
          </w:tcPr>
          <w:p w14:paraId="11E96838" w14:textId="77777777" w:rsidR="006561BA" w:rsidRDefault="006561BA">
            <w:pPr>
              <w:pStyle w:val="AnnexTableCellLeft"/>
            </w:pPr>
          </w:p>
        </w:tc>
        <w:tc>
          <w:tcPr>
            <w:tcW w:w="936" w:type="dxa"/>
            <w:tcMar>
              <w:top w:w="160" w:type="dxa"/>
              <w:bottom w:w="160" w:type="dxa"/>
            </w:tcMar>
            <w:vAlign w:val="center"/>
          </w:tcPr>
          <w:p w14:paraId="424FD508" w14:textId="77777777" w:rsidR="006561BA" w:rsidRDefault="005B4ED6">
            <w:pPr>
              <w:pStyle w:val="AnnexTableCellLeft"/>
              <w:jc w:val="center"/>
            </w:pPr>
            <w:r>
              <w:t>%</w:t>
            </w:r>
          </w:p>
        </w:tc>
        <w:tc>
          <w:tcPr>
            <w:tcW w:w="573" w:type="dxa"/>
            <w:tcMar>
              <w:top w:w="160" w:type="dxa"/>
              <w:bottom w:w="160" w:type="dxa"/>
            </w:tcMar>
            <w:vAlign w:val="center"/>
          </w:tcPr>
          <w:p w14:paraId="0BAC5F96" w14:textId="77777777" w:rsidR="006561BA" w:rsidRDefault="005B4ED6">
            <w:pPr>
              <w:pStyle w:val="AnnexTableCellLeft"/>
              <w:jc w:val="center"/>
            </w:pPr>
            <w:r>
              <w:rPr>
                <w:i/>
              </w:rPr>
              <w:t>EL</w:t>
            </w:r>
          </w:p>
        </w:tc>
        <w:tc>
          <w:tcPr>
            <w:tcW w:w="574" w:type="dxa"/>
            <w:tcMar>
              <w:top w:w="160" w:type="dxa"/>
              <w:bottom w:w="160" w:type="dxa"/>
            </w:tcMar>
            <w:vAlign w:val="center"/>
          </w:tcPr>
          <w:p w14:paraId="6EDBC280" w14:textId="77777777" w:rsidR="006561BA" w:rsidRDefault="005B4ED6">
            <w:pPr>
              <w:pStyle w:val="AnnexTableCellLeft"/>
              <w:jc w:val="center"/>
            </w:pPr>
            <w:r>
              <w:rPr>
                <w:i/>
              </w:rPr>
              <w:t>EL</w:t>
            </w:r>
          </w:p>
        </w:tc>
        <w:tc>
          <w:tcPr>
            <w:tcW w:w="574" w:type="dxa"/>
            <w:tcMar>
              <w:top w:w="160" w:type="dxa"/>
              <w:bottom w:w="160" w:type="dxa"/>
            </w:tcMar>
            <w:vAlign w:val="center"/>
          </w:tcPr>
          <w:p w14:paraId="7FC18D80" w14:textId="77777777" w:rsidR="006561BA" w:rsidRDefault="006561BA">
            <w:pPr>
              <w:pStyle w:val="AnnexTableCellLeft"/>
              <w:jc w:val="center"/>
            </w:pPr>
          </w:p>
        </w:tc>
        <w:tc>
          <w:tcPr>
            <w:tcW w:w="573" w:type="dxa"/>
            <w:tcMar>
              <w:top w:w="160" w:type="dxa"/>
              <w:bottom w:w="160" w:type="dxa"/>
            </w:tcMar>
            <w:vAlign w:val="center"/>
          </w:tcPr>
          <w:p w14:paraId="3F5E6202" w14:textId="77777777" w:rsidR="006561BA" w:rsidRDefault="006561BA">
            <w:pPr>
              <w:pStyle w:val="AnnexTableCellLeft"/>
              <w:jc w:val="center"/>
            </w:pPr>
          </w:p>
        </w:tc>
        <w:tc>
          <w:tcPr>
            <w:tcW w:w="574" w:type="dxa"/>
            <w:tcMar>
              <w:top w:w="160" w:type="dxa"/>
              <w:bottom w:w="160" w:type="dxa"/>
            </w:tcMar>
            <w:vAlign w:val="center"/>
          </w:tcPr>
          <w:p w14:paraId="22E2BFF8" w14:textId="77777777" w:rsidR="006561BA" w:rsidRDefault="005B4ED6">
            <w:pPr>
              <w:pStyle w:val="AnnexTableCellLeft"/>
              <w:jc w:val="center"/>
            </w:pPr>
            <w:r>
              <w:rPr>
                <w:i/>
              </w:rPr>
              <w:t>EL</w:t>
            </w:r>
          </w:p>
        </w:tc>
        <w:tc>
          <w:tcPr>
            <w:tcW w:w="574" w:type="dxa"/>
            <w:tcMar>
              <w:top w:w="160" w:type="dxa"/>
              <w:bottom w:w="160" w:type="dxa"/>
            </w:tcMar>
            <w:vAlign w:val="center"/>
          </w:tcPr>
          <w:p w14:paraId="6FEB4D61" w14:textId="77777777" w:rsidR="006561BA" w:rsidRDefault="006561BA">
            <w:pPr>
              <w:pStyle w:val="AnnexTableCellLeft"/>
              <w:jc w:val="center"/>
            </w:pPr>
          </w:p>
        </w:tc>
        <w:tc>
          <w:tcPr>
            <w:tcW w:w="573" w:type="dxa"/>
            <w:shd w:val="clear" w:color="auto" w:fill="000000" w:themeFill="text1"/>
            <w:tcMar>
              <w:top w:w="160" w:type="dxa"/>
              <w:bottom w:w="160" w:type="dxa"/>
            </w:tcMar>
            <w:vAlign w:val="center"/>
          </w:tcPr>
          <w:p w14:paraId="31047C99" w14:textId="77777777" w:rsidR="006561BA" w:rsidRDefault="006561BA">
            <w:pPr>
              <w:pStyle w:val="AnnexTableCellLeft"/>
              <w:jc w:val="center"/>
            </w:pPr>
          </w:p>
        </w:tc>
        <w:tc>
          <w:tcPr>
            <w:tcW w:w="574" w:type="dxa"/>
            <w:shd w:val="clear" w:color="auto" w:fill="000000" w:themeFill="text1"/>
            <w:tcMar>
              <w:top w:w="160" w:type="dxa"/>
              <w:bottom w:w="160" w:type="dxa"/>
            </w:tcMar>
            <w:vAlign w:val="center"/>
          </w:tcPr>
          <w:p w14:paraId="142CC4E3" w14:textId="77777777" w:rsidR="006561BA" w:rsidRDefault="006561BA">
            <w:pPr>
              <w:pStyle w:val="AnnexTableCellLeft"/>
              <w:jc w:val="center"/>
            </w:pPr>
          </w:p>
        </w:tc>
        <w:tc>
          <w:tcPr>
            <w:tcW w:w="574" w:type="dxa"/>
            <w:shd w:val="clear" w:color="auto" w:fill="000000" w:themeFill="text1"/>
            <w:tcMar>
              <w:top w:w="160" w:type="dxa"/>
              <w:bottom w:w="160" w:type="dxa"/>
            </w:tcMar>
            <w:vAlign w:val="center"/>
          </w:tcPr>
          <w:p w14:paraId="148A0100" w14:textId="77777777" w:rsidR="006561BA" w:rsidRDefault="006561BA">
            <w:pPr>
              <w:pStyle w:val="AnnexTableCellLeft"/>
              <w:jc w:val="center"/>
            </w:pPr>
          </w:p>
        </w:tc>
        <w:tc>
          <w:tcPr>
            <w:tcW w:w="573" w:type="dxa"/>
            <w:shd w:val="clear" w:color="auto" w:fill="000000" w:themeFill="text1"/>
            <w:tcMar>
              <w:top w:w="160" w:type="dxa"/>
              <w:bottom w:w="160" w:type="dxa"/>
            </w:tcMar>
            <w:vAlign w:val="center"/>
          </w:tcPr>
          <w:p w14:paraId="0D5509E3" w14:textId="77777777" w:rsidR="006561BA" w:rsidRDefault="006561BA">
            <w:pPr>
              <w:pStyle w:val="AnnexTableCellLeft"/>
              <w:jc w:val="center"/>
            </w:pPr>
          </w:p>
        </w:tc>
        <w:tc>
          <w:tcPr>
            <w:tcW w:w="574" w:type="dxa"/>
            <w:shd w:val="clear" w:color="auto" w:fill="000000" w:themeFill="text1"/>
            <w:tcMar>
              <w:top w:w="160" w:type="dxa"/>
              <w:bottom w:w="160" w:type="dxa"/>
            </w:tcMar>
            <w:vAlign w:val="center"/>
          </w:tcPr>
          <w:p w14:paraId="1268F560" w14:textId="77777777" w:rsidR="006561BA" w:rsidRDefault="006561BA">
            <w:pPr>
              <w:pStyle w:val="AnnexTableCellLeft"/>
              <w:jc w:val="center"/>
            </w:pPr>
          </w:p>
        </w:tc>
        <w:tc>
          <w:tcPr>
            <w:tcW w:w="574" w:type="dxa"/>
            <w:shd w:val="clear" w:color="auto" w:fill="000000" w:themeFill="text1"/>
            <w:tcMar>
              <w:top w:w="160" w:type="dxa"/>
              <w:bottom w:w="160" w:type="dxa"/>
            </w:tcMar>
            <w:vAlign w:val="center"/>
          </w:tcPr>
          <w:p w14:paraId="5F9A2848" w14:textId="77777777" w:rsidR="006561BA" w:rsidRDefault="006561BA">
            <w:pPr>
              <w:pStyle w:val="AnnexTableCellLeft"/>
              <w:jc w:val="center"/>
            </w:pPr>
          </w:p>
        </w:tc>
        <w:tc>
          <w:tcPr>
            <w:tcW w:w="576" w:type="dxa"/>
            <w:shd w:val="clear" w:color="auto" w:fill="000000" w:themeFill="text1"/>
            <w:tcMar>
              <w:top w:w="160" w:type="dxa"/>
              <w:bottom w:w="160" w:type="dxa"/>
            </w:tcMar>
            <w:vAlign w:val="center"/>
          </w:tcPr>
          <w:p w14:paraId="38084C24" w14:textId="77777777" w:rsidR="006561BA" w:rsidRDefault="006561BA">
            <w:pPr>
              <w:pStyle w:val="AnnexTableCellLeft"/>
              <w:jc w:val="center"/>
            </w:pPr>
          </w:p>
        </w:tc>
        <w:tc>
          <w:tcPr>
            <w:tcW w:w="1200" w:type="dxa"/>
            <w:tcMar>
              <w:top w:w="160" w:type="dxa"/>
              <w:bottom w:w="160" w:type="dxa"/>
            </w:tcMar>
            <w:vAlign w:val="center"/>
          </w:tcPr>
          <w:p w14:paraId="315DCFD4" w14:textId="77777777" w:rsidR="006561BA" w:rsidRDefault="005B4ED6">
            <w:pPr>
              <w:pStyle w:val="AnnexTableCellLeft"/>
              <w:jc w:val="center"/>
            </w:pPr>
            <w:r>
              <w:t>%</w:t>
            </w:r>
          </w:p>
        </w:tc>
        <w:tc>
          <w:tcPr>
            <w:tcW w:w="810" w:type="dxa"/>
            <w:shd w:val="clear" w:color="auto" w:fill="000000" w:themeFill="text1"/>
            <w:tcMar>
              <w:top w:w="160" w:type="dxa"/>
              <w:bottom w:w="160" w:type="dxa"/>
            </w:tcMar>
            <w:vAlign w:val="center"/>
          </w:tcPr>
          <w:p w14:paraId="76FACE2E" w14:textId="77777777" w:rsidR="006561BA" w:rsidRDefault="006561BA">
            <w:pPr>
              <w:pStyle w:val="AnnexTableCellLeft"/>
              <w:jc w:val="center"/>
            </w:pPr>
          </w:p>
        </w:tc>
        <w:tc>
          <w:tcPr>
            <w:tcW w:w="810" w:type="dxa"/>
            <w:shd w:val="clear" w:color="auto" w:fill="000000" w:themeFill="text1"/>
            <w:tcMar>
              <w:top w:w="160" w:type="dxa"/>
              <w:bottom w:w="160" w:type="dxa"/>
              <w:right w:w="0" w:type="dxa"/>
            </w:tcMar>
            <w:vAlign w:val="center"/>
          </w:tcPr>
          <w:p w14:paraId="0EC4B692" w14:textId="77777777" w:rsidR="006561BA" w:rsidRDefault="006561BA">
            <w:pPr>
              <w:pStyle w:val="AnnexTableCellLeft"/>
              <w:jc w:val="center"/>
            </w:pPr>
          </w:p>
        </w:tc>
      </w:tr>
      <w:tr w:rsidR="006561BA" w14:paraId="6DF9B147" w14:textId="77777777">
        <w:tc>
          <w:tcPr>
            <w:tcW w:w="2309" w:type="dxa"/>
            <w:gridSpan w:val="2"/>
            <w:tcMar>
              <w:top w:w="160" w:type="dxa"/>
              <w:left w:w="0" w:type="dxa"/>
              <w:bottom w:w="160" w:type="dxa"/>
            </w:tcMar>
          </w:tcPr>
          <w:p w14:paraId="36EEF2D0" w14:textId="77777777" w:rsidR="006561BA" w:rsidRDefault="005B4ED6">
            <w:pPr>
              <w:pStyle w:val="AnnexTableCellLeft"/>
            </w:pPr>
            <w:r>
              <w:rPr>
                <w:b/>
              </w:rPr>
              <w:t>Omsetning for aktiviteter som er omfattet av taksonomien, men som ikke er miljømessig bærekraftige (ikke taksonomiforenlige aktiviteter) (A.2)</w:t>
            </w:r>
          </w:p>
        </w:tc>
        <w:tc>
          <w:tcPr>
            <w:tcW w:w="791" w:type="dxa"/>
            <w:tcMar>
              <w:top w:w="160" w:type="dxa"/>
              <w:bottom w:w="160" w:type="dxa"/>
            </w:tcMar>
          </w:tcPr>
          <w:p w14:paraId="07E5F04E" w14:textId="77777777" w:rsidR="006561BA" w:rsidRDefault="006561BA">
            <w:pPr>
              <w:pStyle w:val="AnnexTableCellLeft"/>
            </w:pPr>
          </w:p>
        </w:tc>
        <w:tc>
          <w:tcPr>
            <w:tcW w:w="936" w:type="dxa"/>
            <w:tcMar>
              <w:top w:w="160" w:type="dxa"/>
              <w:bottom w:w="160" w:type="dxa"/>
            </w:tcMar>
            <w:vAlign w:val="center"/>
          </w:tcPr>
          <w:p w14:paraId="1B40928A" w14:textId="77777777" w:rsidR="006561BA" w:rsidRDefault="005B4ED6">
            <w:pPr>
              <w:pStyle w:val="AnnexTableCellLeft"/>
              <w:jc w:val="center"/>
            </w:pPr>
            <w:r>
              <w:t>%</w:t>
            </w:r>
          </w:p>
        </w:tc>
        <w:tc>
          <w:tcPr>
            <w:tcW w:w="573" w:type="dxa"/>
            <w:tcBorders>
              <w:bottom w:val="single" w:sz="4" w:space="0" w:color="auto"/>
            </w:tcBorders>
            <w:tcMar>
              <w:top w:w="160" w:type="dxa"/>
              <w:bottom w:w="160" w:type="dxa"/>
            </w:tcMar>
            <w:vAlign w:val="center"/>
          </w:tcPr>
          <w:p w14:paraId="17428670" w14:textId="77777777" w:rsidR="006561BA" w:rsidRDefault="005B4ED6">
            <w:pPr>
              <w:pStyle w:val="AnnexTableCellLeft"/>
              <w:jc w:val="center"/>
            </w:pPr>
            <w:r>
              <w:t>%</w:t>
            </w:r>
          </w:p>
        </w:tc>
        <w:tc>
          <w:tcPr>
            <w:tcW w:w="574" w:type="dxa"/>
            <w:tcBorders>
              <w:bottom w:val="single" w:sz="4" w:space="0" w:color="auto"/>
            </w:tcBorders>
            <w:tcMar>
              <w:top w:w="160" w:type="dxa"/>
              <w:bottom w:w="160" w:type="dxa"/>
            </w:tcMar>
            <w:vAlign w:val="center"/>
          </w:tcPr>
          <w:p w14:paraId="6E2C230B" w14:textId="77777777" w:rsidR="006561BA" w:rsidRDefault="005B4ED6">
            <w:pPr>
              <w:pStyle w:val="AnnexTableCellLeft"/>
              <w:jc w:val="center"/>
            </w:pPr>
            <w:r>
              <w:t>%</w:t>
            </w:r>
          </w:p>
        </w:tc>
        <w:tc>
          <w:tcPr>
            <w:tcW w:w="574" w:type="dxa"/>
            <w:tcBorders>
              <w:bottom w:val="single" w:sz="4" w:space="0" w:color="auto"/>
            </w:tcBorders>
            <w:tcMar>
              <w:top w:w="160" w:type="dxa"/>
              <w:bottom w:w="160" w:type="dxa"/>
            </w:tcMar>
            <w:vAlign w:val="center"/>
          </w:tcPr>
          <w:p w14:paraId="2E494B38" w14:textId="77777777" w:rsidR="006561BA" w:rsidRDefault="005B4ED6">
            <w:pPr>
              <w:pStyle w:val="AnnexTableCellLeft"/>
              <w:jc w:val="center"/>
            </w:pPr>
            <w:r>
              <w:t>%</w:t>
            </w:r>
          </w:p>
        </w:tc>
        <w:tc>
          <w:tcPr>
            <w:tcW w:w="573" w:type="dxa"/>
            <w:tcBorders>
              <w:bottom w:val="single" w:sz="4" w:space="0" w:color="auto"/>
            </w:tcBorders>
            <w:tcMar>
              <w:top w:w="160" w:type="dxa"/>
              <w:bottom w:w="160" w:type="dxa"/>
            </w:tcMar>
            <w:vAlign w:val="center"/>
          </w:tcPr>
          <w:p w14:paraId="4CD75E50" w14:textId="77777777" w:rsidR="006561BA" w:rsidRDefault="005B4ED6">
            <w:pPr>
              <w:pStyle w:val="AnnexTableCellLeft"/>
              <w:jc w:val="center"/>
            </w:pPr>
            <w:r>
              <w:t>%</w:t>
            </w:r>
          </w:p>
        </w:tc>
        <w:tc>
          <w:tcPr>
            <w:tcW w:w="574" w:type="dxa"/>
            <w:tcBorders>
              <w:bottom w:val="single" w:sz="4" w:space="0" w:color="auto"/>
            </w:tcBorders>
            <w:tcMar>
              <w:top w:w="160" w:type="dxa"/>
              <w:bottom w:w="160" w:type="dxa"/>
            </w:tcMar>
            <w:vAlign w:val="center"/>
          </w:tcPr>
          <w:p w14:paraId="7D49FB06" w14:textId="77777777" w:rsidR="006561BA" w:rsidRDefault="005B4ED6">
            <w:pPr>
              <w:pStyle w:val="AnnexTableCellLeft"/>
              <w:jc w:val="center"/>
            </w:pPr>
            <w:r>
              <w:t>%</w:t>
            </w:r>
          </w:p>
        </w:tc>
        <w:tc>
          <w:tcPr>
            <w:tcW w:w="574" w:type="dxa"/>
            <w:tcBorders>
              <w:bottom w:val="single" w:sz="4" w:space="0" w:color="auto"/>
            </w:tcBorders>
            <w:tcMar>
              <w:top w:w="160" w:type="dxa"/>
              <w:bottom w:w="160" w:type="dxa"/>
            </w:tcMar>
            <w:vAlign w:val="center"/>
          </w:tcPr>
          <w:p w14:paraId="1A301ED3" w14:textId="77777777" w:rsidR="006561BA" w:rsidRDefault="005B4ED6">
            <w:pPr>
              <w:pStyle w:val="AnnexTableCellLeft"/>
              <w:jc w:val="center"/>
            </w:pPr>
            <w:r>
              <w:t>%</w:t>
            </w:r>
          </w:p>
        </w:tc>
        <w:tc>
          <w:tcPr>
            <w:tcW w:w="573" w:type="dxa"/>
            <w:tcBorders>
              <w:bottom w:val="single" w:sz="4" w:space="0" w:color="auto"/>
            </w:tcBorders>
            <w:shd w:val="clear" w:color="auto" w:fill="000000" w:themeFill="text1"/>
            <w:tcMar>
              <w:top w:w="160" w:type="dxa"/>
              <w:bottom w:w="160" w:type="dxa"/>
            </w:tcMar>
            <w:vAlign w:val="center"/>
          </w:tcPr>
          <w:p w14:paraId="431B520E" w14:textId="77777777" w:rsidR="006561BA" w:rsidRDefault="006561BA">
            <w:pPr>
              <w:pStyle w:val="AnnexTableCellLeft"/>
              <w:jc w:val="center"/>
            </w:pPr>
          </w:p>
        </w:tc>
        <w:tc>
          <w:tcPr>
            <w:tcW w:w="574" w:type="dxa"/>
            <w:tcBorders>
              <w:bottom w:val="single" w:sz="4" w:space="0" w:color="auto"/>
            </w:tcBorders>
            <w:shd w:val="clear" w:color="auto" w:fill="000000" w:themeFill="text1"/>
            <w:tcMar>
              <w:top w:w="160" w:type="dxa"/>
              <w:bottom w:w="160" w:type="dxa"/>
            </w:tcMar>
            <w:vAlign w:val="center"/>
          </w:tcPr>
          <w:p w14:paraId="0A27AEEB" w14:textId="77777777" w:rsidR="006561BA" w:rsidRDefault="006561BA">
            <w:pPr>
              <w:pStyle w:val="AnnexTableCellLeft"/>
              <w:jc w:val="center"/>
            </w:pPr>
          </w:p>
        </w:tc>
        <w:tc>
          <w:tcPr>
            <w:tcW w:w="574" w:type="dxa"/>
            <w:tcBorders>
              <w:bottom w:val="single" w:sz="4" w:space="0" w:color="auto"/>
            </w:tcBorders>
            <w:shd w:val="clear" w:color="auto" w:fill="000000" w:themeFill="text1"/>
            <w:tcMar>
              <w:top w:w="160" w:type="dxa"/>
              <w:bottom w:w="160" w:type="dxa"/>
            </w:tcMar>
            <w:vAlign w:val="center"/>
          </w:tcPr>
          <w:p w14:paraId="2F6E19F4" w14:textId="77777777" w:rsidR="006561BA" w:rsidRDefault="006561BA">
            <w:pPr>
              <w:pStyle w:val="AnnexTableCellLeft"/>
              <w:jc w:val="center"/>
            </w:pPr>
          </w:p>
        </w:tc>
        <w:tc>
          <w:tcPr>
            <w:tcW w:w="573" w:type="dxa"/>
            <w:tcBorders>
              <w:bottom w:val="single" w:sz="4" w:space="0" w:color="auto"/>
            </w:tcBorders>
            <w:shd w:val="clear" w:color="auto" w:fill="000000" w:themeFill="text1"/>
            <w:tcMar>
              <w:top w:w="160" w:type="dxa"/>
              <w:bottom w:w="160" w:type="dxa"/>
            </w:tcMar>
            <w:vAlign w:val="center"/>
          </w:tcPr>
          <w:p w14:paraId="2DE68267" w14:textId="77777777" w:rsidR="006561BA" w:rsidRDefault="006561BA">
            <w:pPr>
              <w:pStyle w:val="AnnexTableCellLeft"/>
              <w:jc w:val="center"/>
            </w:pPr>
          </w:p>
        </w:tc>
        <w:tc>
          <w:tcPr>
            <w:tcW w:w="574" w:type="dxa"/>
            <w:tcBorders>
              <w:bottom w:val="single" w:sz="4" w:space="0" w:color="auto"/>
            </w:tcBorders>
            <w:shd w:val="clear" w:color="auto" w:fill="000000" w:themeFill="text1"/>
            <w:tcMar>
              <w:top w:w="160" w:type="dxa"/>
              <w:bottom w:w="160" w:type="dxa"/>
            </w:tcMar>
            <w:vAlign w:val="center"/>
          </w:tcPr>
          <w:p w14:paraId="7F257E4F" w14:textId="77777777" w:rsidR="006561BA" w:rsidRDefault="006561BA">
            <w:pPr>
              <w:pStyle w:val="AnnexTableCellLeft"/>
              <w:jc w:val="center"/>
            </w:pPr>
          </w:p>
        </w:tc>
        <w:tc>
          <w:tcPr>
            <w:tcW w:w="574" w:type="dxa"/>
            <w:tcBorders>
              <w:bottom w:val="single" w:sz="4" w:space="0" w:color="auto"/>
            </w:tcBorders>
            <w:shd w:val="clear" w:color="auto" w:fill="000000" w:themeFill="text1"/>
            <w:tcMar>
              <w:top w:w="160" w:type="dxa"/>
              <w:bottom w:w="160" w:type="dxa"/>
            </w:tcMar>
            <w:vAlign w:val="center"/>
          </w:tcPr>
          <w:p w14:paraId="5C6B952F" w14:textId="77777777" w:rsidR="006561BA" w:rsidRDefault="006561BA">
            <w:pPr>
              <w:pStyle w:val="AnnexTableCellLeft"/>
              <w:jc w:val="center"/>
            </w:pPr>
          </w:p>
        </w:tc>
        <w:tc>
          <w:tcPr>
            <w:tcW w:w="576" w:type="dxa"/>
            <w:tcBorders>
              <w:bottom w:val="single" w:sz="4" w:space="0" w:color="auto"/>
            </w:tcBorders>
            <w:shd w:val="clear" w:color="auto" w:fill="000000" w:themeFill="text1"/>
            <w:tcMar>
              <w:top w:w="160" w:type="dxa"/>
              <w:bottom w:w="160" w:type="dxa"/>
            </w:tcMar>
            <w:vAlign w:val="center"/>
          </w:tcPr>
          <w:p w14:paraId="264708EA" w14:textId="77777777" w:rsidR="006561BA" w:rsidRDefault="006561BA">
            <w:pPr>
              <w:pStyle w:val="AnnexTableCellLeft"/>
              <w:jc w:val="center"/>
            </w:pPr>
          </w:p>
        </w:tc>
        <w:tc>
          <w:tcPr>
            <w:tcW w:w="1200" w:type="dxa"/>
            <w:tcBorders>
              <w:bottom w:val="single" w:sz="4" w:space="0" w:color="auto"/>
            </w:tcBorders>
            <w:tcMar>
              <w:top w:w="160" w:type="dxa"/>
              <w:bottom w:w="160" w:type="dxa"/>
            </w:tcMar>
            <w:vAlign w:val="center"/>
          </w:tcPr>
          <w:p w14:paraId="0E2DAE83" w14:textId="77777777" w:rsidR="006561BA" w:rsidRDefault="005B4ED6">
            <w:pPr>
              <w:pStyle w:val="AnnexTableCellLeft"/>
              <w:jc w:val="center"/>
            </w:pPr>
            <w:r>
              <w:t>%</w:t>
            </w:r>
          </w:p>
        </w:tc>
        <w:tc>
          <w:tcPr>
            <w:tcW w:w="1620" w:type="dxa"/>
            <w:gridSpan w:val="2"/>
            <w:tcBorders>
              <w:bottom w:val="single" w:sz="4" w:space="0" w:color="auto"/>
            </w:tcBorders>
            <w:shd w:val="clear" w:color="auto" w:fill="000000" w:themeFill="text1"/>
            <w:tcMar>
              <w:top w:w="160" w:type="dxa"/>
              <w:bottom w:w="160" w:type="dxa"/>
              <w:right w:w="0" w:type="dxa"/>
            </w:tcMar>
            <w:vAlign w:val="center"/>
          </w:tcPr>
          <w:p w14:paraId="098C7F3B" w14:textId="77777777" w:rsidR="006561BA" w:rsidRDefault="006561BA">
            <w:pPr>
              <w:pStyle w:val="AnnexTableCellLeft"/>
              <w:jc w:val="center"/>
            </w:pPr>
          </w:p>
        </w:tc>
      </w:tr>
      <w:tr w:rsidR="006561BA" w14:paraId="3F1E39D1" w14:textId="77777777">
        <w:tc>
          <w:tcPr>
            <w:tcW w:w="2309" w:type="dxa"/>
            <w:gridSpan w:val="2"/>
            <w:tcBorders>
              <w:bottom w:val="single" w:sz="4" w:space="0" w:color="auto"/>
            </w:tcBorders>
            <w:tcMar>
              <w:top w:w="160" w:type="dxa"/>
              <w:left w:w="0" w:type="dxa"/>
              <w:bottom w:w="160" w:type="dxa"/>
            </w:tcMar>
          </w:tcPr>
          <w:p w14:paraId="1F12EF80" w14:textId="77777777" w:rsidR="006561BA" w:rsidRDefault="005B4ED6">
            <w:pPr>
              <w:pStyle w:val="AnnexNumberedText"/>
              <w:spacing w:after="0"/>
              <w:ind w:left="453" w:hanging="453"/>
            </w:pPr>
            <w:r>
              <w:t>A.</w:t>
            </w:r>
            <w:r>
              <w:rPr>
                <w:b/>
              </w:rPr>
              <w:tab/>
              <w:t xml:space="preserve">Omsetning for aktiviteter som er omfattet av taksonomien </w:t>
            </w:r>
            <w:r>
              <w:rPr>
                <w:b/>
                <w:i/>
              </w:rPr>
              <w:t>(A.1+A.2)</w:t>
            </w:r>
          </w:p>
        </w:tc>
        <w:tc>
          <w:tcPr>
            <w:tcW w:w="791" w:type="dxa"/>
            <w:tcBorders>
              <w:bottom w:val="single" w:sz="4" w:space="0" w:color="auto"/>
            </w:tcBorders>
            <w:tcMar>
              <w:top w:w="160" w:type="dxa"/>
              <w:bottom w:w="160" w:type="dxa"/>
            </w:tcMar>
          </w:tcPr>
          <w:p w14:paraId="347ABAF9" w14:textId="77777777" w:rsidR="006561BA" w:rsidRDefault="006561BA">
            <w:pPr>
              <w:pStyle w:val="AnnexTableCellLeft"/>
            </w:pPr>
          </w:p>
        </w:tc>
        <w:tc>
          <w:tcPr>
            <w:tcW w:w="936" w:type="dxa"/>
            <w:tcBorders>
              <w:bottom w:val="single" w:sz="4" w:space="0" w:color="auto"/>
            </w:tcBorders>
            <w:tcMar>
              <w:top w:w="160" w:type="dxa"/>
              <w:bottom w:w="160" w:type="dxa"/>
            </w:tcMar>
            <w:vAlign w:val="center"/>
          </w:tcPr>
          <w:p w14:paraId="6363A225" w14:textId="77777777" w:rsidR="006561BA" w:rsidRDefault="005B4ED6">
            <w:pPr>
              <w:pStyle w:val="AnnexTableCellLeft"/>
              <w:jc w:val="center"/>
            </w:pPr>
            <w:r>
              <w:t>%</w:t>
            </w:r>
          </w:p>
        </w:tc>
        <w:tc>
          <w:tcPr>
            <w:tcW w:w="573" w:type="dxa"/>
            <w:tcBorders>
              <w:bottom w:val="single" w:sz="4" w:space="0" w:color="auto"/>
            </w:tcBorders>
            <w:tcMar>
              <w:top w:w="160" w:type="dxa"/>
              <w:bottom w:w="160" w:type="dxa"/>
            </w:tcMar>
            <w:vAlign w:val="center"/>
          </w:tcPr>
          <w:p w14:paraId="00504E6C" w14:textId="77777777" w:rsidR="006561BA" w:rsidRDefault="005B4ED6">
            <w:pPr>
              <w:pStyle w:val="AnnexTableCellLeft"/>
              <w:jc w:val="center"/>
            </w:pPr>
            <w:r>
              <w:t>%</w:t>
            </w:r>
          </w:p>
        </w:tc>
        <w:tc>
          <w:tcPr>
            <w:tcW w:w="574" w:type="dxa"/>
            <w:tcBorders>
              <w:bottom w:val="single" w:sz="4" w:space="0" w:color="auto"/>
            </w:tcBorders>
            <w:tcMar>
              <w:top w:w="160" w:type="dxa"/>
              <w:bottom w:w="160" w:type="dxa"/>
            </w:tcMar>
            <w:vAlign w:val="center"/>
          </w:tcPr>
          <w:p w14:paraId="23DD24B5" w14:textId="77777777" w:rsidR="006561BA" w:rsidRDefault="005B4ED6">
            <w:pPr>
              <w:pStyle w:val="AnnexTableCellLeft"/>
              <w:jc w:val="center"/>
            </w:pPr>
            <w:r>
              <w:t>%</w:t>
            </w:r>
          </w:p>
        </w:tc>
        <w:tc>
          <w:tcPr>
            <w:tcW w:w="574" w:type="dxa"/>
            <w:tcBorders>
              <w:bottom w:val="single" w:sz="4" w:space="0" w:color="auto"/>
            </w:tcBorders>
            <w:tcMar>
              <w:top w:w="160" w:type="dxa"/>
              <w:bottom w:w="160" w:type="dxa"/>
            </w:tcMar>
            <w:vAlign w:val="center"/>
          </w:tcPr>
          <w:p w14:paraId="75D5F251" w14:textId="77777777" w:rsidR="006561BA" w:rsidRDefault="005B4ED6">
            <w:pPr>
              <w:pStyle w:val="AnnexTableCellLeft"/>
              <w:jc w:val="center"/>
            </w:pPr>
            <w:r>
              <w:t>%</w:t>
            </w:r>
          </w:p>
        </w:tc>
        <w:tc>
          <w:tcPr>
            <w:tcW w:w="573" w:type="dxa"/>
            <w:tcBorders>
              <w:bottom w:val="single" w:sz="4" w:space="0" w:color="auto"/>
            </w:tcBorders>
            <w:tcMar>
              <w:top w:w="160" w:type="dxa"/>
              <w:bottom w:w="160" w:type="dxa"/>
            </w:tcMar>
            <w:vAlign w:val="center"/>
          </w:tcPr>
          <w:p w14:paraId="2BBE0F5A" w14:textId="77777777" w:rsidR="006561BA" w:rsidRDefault="005B4ED6">
            <w:pPr>
              <w:pStyle w:val="AnnexTableCellLeft"/>
              <w:jc w:val="center"/>
            </w:pPr>
            <w:r>
              <w:t>%</w:t>
            </w:r>
          </w:p>
        </w:tc>
        <w:tc>
          <w:tcPr>
            <w:tcW w:w="574" w:type="dxa"/>
            <w:tcBorders>
              <w:bottom w:val="single" w:sz="4" w:space="0" w:color="auto"/>
            </w:tcBorders>
            <w:tcMar>
              <w:top w:w="160" w:type="dxa"/>
              <w:bottom w:w="160" w:type="dxa"/>
            </w:tcMar>
            <w:vAlign w:val="center"/>
          </w:tcPr>
          <w:p w14:paraId="355FC856" w14:textId="77777777" w:rsidR="006561BA" w:rsidRDefault="005B4ED6">
            <w:pPr>
              <w:pStyle w:val="AnnexTableCellLeft"/>
              <w:jc w:val="center"/>
            </w:pPr>
            <w:r>
              <w:t>%</w:t>
            </w:r>
          </w:p>
        </w:tc>
        <w:tc>
          <w:tcPr>
            <w:tcW w:w="574" w:type="dxa"/>
            <w:tcBorders>
              <w:bottom w:val="single" w:sz="4" w:space="0" w:color="auto"/>
            </w:tcBorders>
            <w:tcMar>
              <w:top w:w="160" w:type="dxa"/>
              <w:bottom w:w="160" w:type="dxa"/>
            </w:tcMar>
            <w:vAlign w:val="center"/>
          </w:tcPr>
          <w:p w14:paraId="36956083" w14:textId="77777777" w:rsidR="006561BA" w:rsidRDefault="005B4ED6">
            <w:pPr>
              <w:pStyle w:val="AnnexTableCellLeft"/>
              <w:jc w:val="center"/>
            </w:pPr>
            <w:r>
              <w:t>%</w:t>
            </w:r>
          </w:p>
        </w:tc>
        <w:tc>
          <w:tcPr>
            <w:tcW w:w="573" w:type="dxa"/>
            <w:tcBorders>
              <w:bottom w:val="single" w:sz="4" w:space="0" w:color="auto"/>
            </w:tcBorders>
            <w:shd w:val="clear" w:color="auto" w:fill="000000" w:themeFill="text1"/>
            <w:tcMar>
              <w:top w:w="160" w:type="dxa"/>
              <w:bottom w:w="160" w:type="dxa"/>
            </w:tcMar>
            <w:vAlign w:val="center"/>
          </w:tcPr>
          <w:p w14:paraId="1BA45031" w14:textId="77777777" w:rsidR="006561BA" w:rsidRDefault="006561BA">
            <w:pPr>
              <w:pStyle w:val="AnnexTableCellLeft"/>
              <w:jc w:val="center"/>
            </w:pPr>
          </w:p>
        </w:tc>
        <w:tc>
          <w:tcPr>
            <w:tcW w:w="574" w:type="dxa"/>
            <w:tcBorders>
              <w:bottom w:val="single" w:sz="4" w:space="0" w:color="auto"/>
            </w:tcBorders>
            <w:shd w:val="clear" w:color="auto" w:fill="000000" w:themeFill="text1"/>
            <w:tcMar>
              <w:top w:w="160" w:type="dxa"/>
              <w:bottom w:w="160" w:type="dxa"/>
            </w:tcMar>
            <w:vAlign w:val="center"/>
          </w:tcPr>
          <w:p w14:paraId="09A53009" w14:textId="77777777" w:rsidR="006561BA" w:rsidRDefault="006561BA">
            <w:pPr>
              <w:pStyle w:val="AnnexTableCellLeft"/>
              <w:jc w:val="center"/>
            </w:pPr>
          </w:p>
        </w:tc>
        <w:tc>
          <w:tcPr>
            <w:tcW w:w="574" w:type="dxa"/>
            <w:tcBorders>
              <w:bottom w:val="single" w:sz="4" w:space="0" w:color="auto"/>
            </w:tcBorders>
            <w:shd w:val="clear" w:color="auto" w:fill="000000" w:themeFill="text1"/>
            <w:tcMar>
              <w:top w:w="160" w:type="dxa"/>
              <w:bottom w:w="160" w:type="dxa"/>
            </w:tcMar>
            <w:vAlign w:val="center"/>
          </w:tcPr>
          <w:p w14:paraId="213080A5" w14:textId="77777777" w:rsidR="006561BA" w:rsidRDefault="006561BA">
            <w:pPr>
              <w:pStyle w:val="AnnexTableCellLeft"/>
              <w:jc w:val="center"/>
            </w:pPr>
          </w:p>
        </w:tc>
        <w:tc>
          <w:tcPr>
            <w:tcW w:w="573" w:type="dxa"/>
            <w:tcBorders>
              <w:bottom w:val="single" w:sz="4" w:space="0" w:color="auto"/>
            </w:tcBorders>
            <w:shd w:val="clear" w:color="auto" w:fill="000000" w:themeFill="text1"/>
            <w:tcMar>
              <w:top w:w="160" w:type="dxa"/>
              <w:bottom w:w="160" w:type="dxa"/>
            </w:tcMar>
            <w:vAlign w:val="center"/>
          </w:tcPr>
          <w:p w14:paraId="5CC3F655" w14:textId="77777777" w:rsidR="006561BA" w:rsidRDefault="006561BA">
            <w:pPr>
              <w:pStyle w:val="AnnexTableCellLeft"/>
              <w:jc w:val="center"/>
            </w:pPr>
          </w:p>
        </w:tc>
        <w:tc>
          <w:tcPr>
            <w:tcW w:w="574" w:type="dxa"/>
            <w:tcBorders>
              <w:bottom w:val="single" w:sz="4" w:space="0" w:color="auto"/>
            </w:tcBorders>
            <w:shd w:val="clear" w:color="auto" w:fill="000000" w:themeFill="text1"/>
            <w:tcMar>
              <w:top w:w="160" w:type="dxa"/>
              <w:bottom w:w="160" w:type="dxa"/>
            </w:tcMar>
            <w:vAlign w:val="center"/>
          </w:tcPr>
          <w:p w14:paraId="64CE0427" w14:textId="77777777" w:rsidR="006561BA" w:rsidRDefault="006561BA">
            <w:pPr>
              <w:pStyle w:val="AnnexTableCellLeft"/>
              <w:jc w:val="center"/>
            </w:pPr>
          </w:p>
        </w:tc>
        <w:tc>
          <w:tcPr>
            <w:tcW w:w="574" w:type="dxa"/>
            <w:tcBorders>
              <w:bottom w:val="single" w:sz="4" w:space="0" w:color="auto"/>
            </w:tcBorders>
            <w:shd w:val="clear" w:color="auto" w:fill="000000" w:themeFill="text1"/>
            <w:tcMar>
              <w:top w:w="160" w:type="dxa"/>
              <w:bottom w:w="160" w:type="dxa"/>
            </w:tcMar>
            <w:vAlign w:val="center"/>
          </w:tcPr>
          <w:p w14:paraId="4E822DE0" w14:textId="77777777" w:rsidR="006561BA" w:rsidRDefault="006561BA">
            <w:pPr>
              <w:pStyle w:val="AnnexTableCellLeft"/>
              <w:jc w:val="center"/>
            </w:pPr>
          </w:p>
        </w:tc>
        <w:tc>
          <w:tcPr>
            <w:tcW w:w="576" w:type="dxa"/>
            <w:tcBorders>
              <w:bottom w:val="single" w:sz="4" w:space="0" w:color="auto"/>
            </w:tcBorders>
            <w:shd w:val="clear" w:color="auto" w:fill="000000" w:themeFill="text1"/>
            <w:tcMar>
              <w:top w:w="160" w:type="dxa"/>
              <w:bottom w:w="160" w:type="dxa"/>
            </w:tcMar>
            <w:vAlign w:val="center"/>
          </w:tcPr>
          <w:p w14:paraId="7326BED1" w14:textId="77777777" w:rsidR="006561BA" w:rsidRDefault="006561BA">
            <w:pPr>
              <w:pStyle w:val="AnnexTableCellLeft"/>
              <w:jc w:val="center"/>
            </w:pPr>
          </w:p>
        </w:tc>
        <w:tc>
          <w:tcPr>
            <w:tcW w:w="1200" w:type="dxa"/>
            <w:tcBorders>
              <w:bottom w:val="single" w:sz="4" w:space="0" w:color="auto"/>
            </w:tcBorders>
            <w:tcMar>
              <w:top w:w="160" w:type="dxa"/>
              <w:bottom w:w="160" w:type="dxa"/>
            </w:tcMar>
            <w:vAlign w:val="center"/>
          </w:tcPr>
          <w:p w14:paraId="30734CF7" w14:textId="77777777" w:rsidR="006561BA" w:rsidRDefault="006561BA">
            <w:pPr>
              <w:pStyle w:val="AnnexTableCellLeft"/>
              <w:jc w:val="center"/>
            </w:pPr>
          </w:p>
        </w:tc>
        <w:tc>
          <w:tcPr>
            <w:tcW w:w="1620" w:type="dxa"/>
            <w:gridSpan w:val="2"/>
            <w:tcBorders>
              <w:bottom w:val="single" w:sz="4" w:space="0" w:color="auto"/>
            </w:tcBorders>
            <w:shd w:val="clear" w:color="auto" w:fill="000000" w:themeFill="text1"/>
            <w:tcMar>
              <w:top w:w="160" w:type="dxa"/>
              <w:bottom w:w="160" w:type="dxa"/>
              <w:right w:w="0" w:type="dxa"/>
            </w:tcMar>
            <w:vAlign w:val="center"/>
          </w:tcPr>
          <w:p w14:paraId="525C6F14" w14:textId="77777777" w:rsidR="006561BA" w:rsidRDefault="006561BA">
            <w:pPr>
              <w:pStyle w:val="AnnexTableCellLeft"/>
              <w:jc w:val="center"/>
            </w:pPr>
          </w:p>
        </w:tc>
      </w:tr>
      <w:tr w:rsidR="006561BA" w14:paraId="18532701" w14:textId="77777777">
        <w:tc>
          <w:tcPr>
            <w:tcW w:w="4036" w:type="dxa"/>
            <w:gridSpan w:val="4"/>
            <w:tcBorders>
              <w:right w:val="single" w:sz="4" w:space="0" w:color="auto"/>
            </w:tcBorders>
            <w:tcMar>
              <w:top w:w="160" w:type="dxa"/>
              <w:left w:w="0" w:type="dxa"/>
              <w:bottom w:w="160" w:type="dxa"/>
            </w:tcMar>
          </w:tcPr>
          <w:p w14:paraId="059CE1D1" w14:textId="77777777" w:rsidR="006561BA" w:rsidRDefault="005B4ED6">
            <w:pPr>
              <w:pStyle w:val="AnnexNumberedText"/>
              <w:spacing w:after="0" w:line="200" w:lineRule="exact"/>
              <w:ind w:left="453" w:hanging="453"/>
              <w:rPr>
                <w:sz w:val="16"/>
                <w:szCs w:val="16"/>
              </w:rPr>
            </w:pPr>
            <w:r>
              <w:rPr>
                <w:sz w:val="16"/>
              </w:rPr>
              <w:t>B.</w:t>
            </w:r>
            <w:r>
              <w:rPr>
                <w:b/>
                <w:sz w:val="16"/>
              </w:rPr>
              <w:tab/>
              <w:t>AKTIVITETER SOM IKKE ER OMFATTET AV TAKSONOMIEN</w:t>
            </w:r>
          </w:p>
        </w:tc>
        <w:tc>
          <w:tcPr>
            <w:tcW w:w="573" w:type="dxa"/>
            <w:tcBorders>
              <w:top w:val="single" w:sz="4" w:space="0" w:color="auto"/>
              <w:left w:val="single" w:sz="4" w:space="0" w:color="auto"/>
              <w:bottom w:val="nil"/>
              <w:right w:val="nil"/>
            </w:tcBorders>
            <w:tcMar>
              <w:top w:w="160" w:type="dxa"/>
              <w:bottom w:w="160" w:type="dxa"/>
            </w:tcMar>
          </w:tcPr>
          <w:p w14:paraId="6E8FCF10" w14:textId="77777777" w:rsidR="006561BA" w:rsidRDefault="006561BA">
            <w:pPr>
              <w:pStyle w:val="AnnexTableCellLeft"/>
              <w:spacing w:line="200" w:lineRule="exact"/>
              <w:rPr>
                <w:sz w:val="16"/>
                <w:szCs w:val="16"/>
              </w:rPr>
            </w:pPr>
          </w:p>
        </w:tc>
        <w:tc>
          <w:tcPr>
            <w:tcW w:w="574" w:type="dxa"/>
            <w:tcBorders>
              <w:top w:val="single" w:sz="4" w:space="0" w:color="auto"/>
              <w:left w:val="nil"/>
              <w:bottom w:val="nil"/>
              <w:right w:val="nil"/>
            </w:tcBorders>
            <w:tcMar>
              <w:top w:w="160" w:type="dxa"/>
              <w:bottom w:w="160" w:type="dxa"/>
            </w:tcMar>
          </w:tcPr>
          <w:p w14:paraId="1E07853C" w14:textId="77777777" w:rsidR="006561BA" w:rsidRDefault="006561BA">
            <w:pPr>
              <w:pStyle w:val="AnnexTableCellLeft"/>
              <w:spacing w:line="200" w:lineRule="exact"/>
              <w:rPr>
                <w:sz w:val="16"/>
                <w:szCs w:val="16"/>
              </w:rPr>
            </w:pPr>
          </w:p>
        </w:tc>
        <w:tc>
          <w:tcPr>
            <w:tcW w:w="574" w:type="dxa"/>
            <w:tcBorders>
              <w:top w:val="single" w:sz="4" w:space="0" w:color="auto"/>
              <w:left w:val="nil"/>
              <w:bottom w:val="nil"/>
              <w:right w:val="nil"/>
            </w:tcBorders>
            <w:tcMar>
              <w:top w:w="160" w:type="dxa"/>
              <w:bottom w:w="160" w:type="dxa"/>
            </w:tcMar>
          </w:tcPr>
          <w:p w14:paraId="218F2258" w14:textId="77777777" w:rsidR="006561BA" w:rsidRDefault="006561BA">
            <w:pPr>
              <w:pStyle w:val="AnnexTableCellLeft"/>
              <w:spacing w:line="200" w:lineRule="exact"/>
              <w:rPr>
                <w:sz w:val="16"/>
                <w:szCs w:val="16"/>
              </w:rPr>
            </w:pPr>
          </w:p>
        </w:tc>
        <w:tc>
          <w:tcPr>
            <w:tcW w:w="573" w:type="dxa"/>
            <w:tcBorders>
              <w:top w:val="single" w:sz="4" w:space="0" w:color="auto"/>
              <w:left w:val="nil"/>
              <w:bottom w:val="nil"/>
              <w:right w:val="nil"/>
            </w:tcBorders>
            <w:tcMar>
              <w:top w:w="160" w:type="dxa"/>
              <w:bottom w:w="160" w:type="dxa"/>
            </w:tcMar>
          </w:tcPr>
          <w:p w14:paraId="0B2551C1" w14:textId="77777777" w:rsidR="006561BA" w:rsidRDefault="006561BA">
            <w:pPr>
              <w:pStyle w:val="AnnexTableCellLeft"/>
              <w:spacing w:line="200" w:lineRule="exact"/>
              <w:rPr>
                <w:sz w:val="16"/>
                <w:szCs w:val="16"/>
              </w:rPr>
            </w:pPr>
          </w:p>
        </w:tc>
        <w:tc>
          <w:tcPr>
            <w:tcW w:w="574" w:type="dxa"/>
            <w:tcBorders>
              <w:top w:val="single" w:sz="4" w:space="0" w:color="auto"/>
              <w:left w:val="nil"/>
              <w:bottom w:val="nil"/>
              <w:right w:val="nil"/>
            </w:tcBorders>
            <w:tcMar>
              <w:top w:w="160" w:type="dxa"/>
              <w:bottom w:w="160" w:type="dxa"/>
            </w:tcMar>
          </w:tcPr>
          <w:p w14:paraId="31BE0D0A" w14:textId="77777777" w:rsidR="006561BA" w:rsidRDefault="006561BA">
            <w:pPr>
              <w:pStyle w:val="AnnexTableCellLeft"/>
              <w:spacing w:line="200" w:lineRule="exact"/>
              <w:rPr>
                <w:sz w:val="16"/>
                <w:szCs w:val="16"/>
              </w:rPr>
            </w:pPr>
          </w:p>
        </w:tc>
        <w:tc>
          <w:tcPr>
            <w:tcW w:w="574" w:type="dxa"/>
            <w:tcBorders>
              <w:top w:val="single" w:sz="4" w:space="0" w:color="auto"/>
              <w:left w:val="nil"/>
              <w:bottom w:val="nil"/>
              <w:right w:val="nil"/>
            </w:tcBorders>
            <w:tcMar>
              <w:top w:w="160" w:type="dxa"/>
              <w:bottom w:w="160" w:type="dxa"/>
            </w:tcMar>
          </w:tcPr>
          <w:p w14:paraId="63070DC0" w14:textId="77777777" w:rsidR="006561BA" w:rsidRDefault="006561BA">
            <w:pPr>
              <w:pStyle w:val="AnnexTableCellLeft"/>
              <w:spacing w:line="200" w:lineRule="exact"/>
              <w:rPr>
                <w:sz w:val="16"/>
                <w:szCs w:val="16"/>
              </w:rPr>
            </w:pPr>
          </w:p>
        </w:tc>
        <w:tc>
          <w:tcPr>
            <w:tcW w:w="573" w:type="dxa"/>
            <w:tcBorders>
              <w:top w:val="single" w:sz="4" w:space="0" w:color="auto"/>
              <w:left w:val="nil"/>
              <w:bottom w:val="nil"/>
              <w:right w:val="nil"/>
            </w:tcBorders>
            <w:tcMar>
              <w:top w:w="160" w:type="dxa"/>
              <w:bottom w:w="160" w:type="dxa"/>
            </w:tcMar>
          </w:tcPr>
          <w:p w14:paraId="20A765C7" w14:textId="77777777" w:rsidR="006561BA" w:rsidRDefault="006561BA">
            <w:pPr>
              <w:pStyle w:val="AnnexTableCellLeft"/>
              <w:spacing w:line="200" w:lineRule="exact"/>
              <w:rPr>
                <w:sz w:val="16"/>
                <w:szCs w:val="16"/>
              </w:rPr>
            </w:pPr>
          </w:p>
        </w:tc>
        <w:tc>
          <w:tcPr>
            <w:tcW w:w="574" w:type="dxa"/>
            <w:tcBorders>
              <w:top w:val="single" w:sz="4" w:space="0" w:color="auto"/>
              <w:left w:val="nil"/>
              <w:bottom w:val="nil"/>
              <w:right w:val="nil"/>
            </w:tcBorders>
            <w:tcMar>
              <w:top w:w="160" w:type="dxa"/>
              <w:bottom w:w="160" w:type="dxa"/>
            </w:tcMar>
          </w:tcPr>
          <w:p w14:paraId="50F853C4" w14:textId="77777777" w:rsidR="006561BA" w:rsidRDefault="006561BA">
            <w:pPr>
              <w:pStyle w:val="AnnexTableCellLeft"/>
              <w:spacing w:line="200" w:lineRule="exact"/>
              <w:rPr>
                <w:sz w:val="16"/>
                <w:szCs w:val="16"/>
              </w:rPr>
            </w:pPr>
          </w:p>
        </w:tc>
        <w:tc>
          <w:tcPr>
            <w:tcW w:w="574" w:type="dxa"/>
            <w:tcBorders>
              <w:top w:val="single" w:sz="4" w:space="0" w:color="auto"/>
              <w:left w:val="nil"/>
              <w:bottom w:val="nil"/>
              <w:right w:val="nil"/>
            </w:tcBorders>
            <w:tcMar>
              <w:top w:w="160" w:type="dxa"/>
              <w:bottom w:w="160" w:type="dxa"/>
            </w:tcMar>
          </w:tcPr>
          <w:p w14:paraId="61B26330" w14:textId="77777777" w:rsidR="006561BA" w:rsidRDefault="006561BA">
            <w:pPr>
              <w:pStyle w:val="AnnexTableCellLeft"/>
              <w:spacing w:line="200" w:lineRule="exact"/>
              <w:rPr>
                <w:sz w:val="16"/>
                <w:szCs w:val="16"/>
              </w:rPr>
            </w:pPr>
          </w:p>
        </w:tc>
        <w:tc>
          <w:tcPr>
            <w:tcW w:w="573" w:type="dxa"/>
            <w:tcBorders>
              <w:top w:val="single" w:sz="4" w:space="0" w:color="auto"/>
              <w:left w:val="nil"/>
              <w:bottom w:val="nil"/>
              <w:right w:val="nil"/>
            </w:tcBorders>
            <w:tcMar>
              <w:top w:w="160" w:type="dxa"/>
              <w:bottom w:w="160" w:type="dxa"/>
            </w:tcMar>
          </w:tcPr>
          <w:p w14:paraId="1394123D" w14:textId="77777777" w:rsidR="006561BA" w:rsidRDefault="006561BA">
            <w:pPr>
              <w:pStyle w:val="AnnexTableCellLeft"/>
              <w:spacing w:line="200" w:lineRule="exact"/>
              <w:rPr>
                <w:sz w:val="16"/>
                <w:szCs w:val="16"/>
              </w:rPr>
            </w:pPr>
          </w:p>
        </w:tc>
        <w:tc>
          <w:tcPr>
            <w:tcW w:w="574" w:type="dxa"/>
            <w:tcBorders>
              <w:top w:val="single" w:sz="4" w:space="0" w:color="auto"/>
              <w:left w:val="nil"/>
              <w:bottom w:val="nil"/>
              <w:right w:val="nil"/>
            </w:tcBorders>
            <w:tcMar>
              <w:top w:w="160" w:type="dxa"/>
              <w:bottom w:w="160" w:type="dxa"/>
            </w:tcMar>
          </w:tcPr>
          <w:p w14:paraId="328C73EB" w14:textId="77777777" w:rsidR="006561BA" w:rsidRDefault="006561BA">
            <w:pPr>
              <w:pStyle w:val="AnnexTableCellLeft"/>
              <w:spacing w:line="200" w:lineRule="exact"/>
              <w:rPr>
                <w:sz w:val="16"/>
                <w:szCs w:val="16"/>
              </w:rPr>
            </w:pPr>
          </w:p>
        </w:tc>
        <w:tc>
          <w:tcPr>
            <w:tcW w:w="574" w:type="dxa"/>
            <w:tcBorders>
              <w:top w:val="single" w:sz="4" w:space="0" w:color="auto"/>
              <w:left w:val="nil"/>
              <w:bottom w:val="nil"/>
              <w:right w:val="nil"/>
            </w:tcBorders>
            <w:tcMar>
              <w:top w:w="160" w:type="dxa"/>
              <w:bottom w:w="160" w:type="dxa"/>
            </w:tcMar>
          </w:tcPr>
          <w:p w14:paraId="5147DC55" w14:textId="77777777" w:rsidR="006561BA" w:rsidRDefault="006561BA">
            <w:pPr>
              <w:pStyle w:val="AnnexTableCellLeft"/>
              <w:spacing w:line="200" w:lineRule="exact"/>
              <w:rPr>
                <w:sz w:val="16"/>
                <w:szCs w:val="16"/>
              </w:rPr>
            </w:pPr>
          </w:p>
        </w:tc>
        <w:tc>
          <w:tcPr>
            <w:tcW w:w="576" w:type="dxa"/>
            <w:tcBorders>
              <w:top w:val="single" w:sz="4" w:space="0" w:color="auto"/>
              <w:left w:val="nil"/>
              <w:bottom w:val="nil"/>
              <w:right w:val="nil"/>
            </w:tcBorders>
            <w:tcMar>
              <w:top w:w="160" w:type="dxa"/>
              <w:bottom w:w="160" w:type="dxa"/>
            </w:tcMar>
          </w:tcPr>
          <w:p w14:paraId="4CDC7A2D" w14:textId="77777777" w:rsidR="006561BA" w:rsidRDefault="006561BA">
            <w:pPr>
              <w:pStyle w:val="AnnexTableCellLeft"/>
              <w:spacing w:line="200" w:lineRule="exact"/>
              <w:rPr>
                <w:sz w:val="16"/>
                <w:szCs w:val="16"/>
              </w:rPr>
            </w:pPr>
          </w:p>
        </w:tc>
        <w:tc>
          <w:tcPr>
            <w:tcW w:w="1200" w:type="dxa"/>
            <w:tcBorders>
              <w:top w:val="single" w:sz="4" w:space="0" w:color="auto"/>
              <w:left w:val="nil"/>
              <w:bottom w:val="nil"/>
              <w:right w:val="nil"/>
            </w:tcBorders>
            <w:tcMar>
              <w:top w:w="160" w:type="dxa"/>
              <w:bottom w:w="160" w:type="dxa"/>
            </w:tcMar>
          </w:tcPr>
          <w:p w14:paraId="4147ED42" w14:textId="77777777" w:rsidR="006561BA" w:rsidRDefault="006561BA">
            <w:pPr>
              <w:pStyle w:val="AnnexTableCellLeft"/>
              <w:spacing w:line="200" w:lineRule="exact"/>
              <w:rPr>
                <w:sz w:val="16"/>
                <w:szCs w:val="16"/>
              </w:rPr>
            </w:pPr>
          </w:p>
        </w:tc>
        <w:tc>
          <w:tcPr>
            <w:tcW w:w="810" w:type="dxa"/>
            <w:tcBorders>
              <w:top w:val="single" w:sz="4" w:space="0" w:color="auto"/>
              <w:left w:val="nil"/>
              <w:bottom w:val="nil"/>
              <w:right w:val="nil"/>
            </w:tcBorders>
            <w:shd w:val="clear" w:color="auto" w:fill="auto"/>
            <w:tcMar>
              <w:top w:w="160" w:type="dxa"/>
              <w:bottom w:w="160" w:type="dxa"/>
            </w:tcMar>
          </w:tcPr>
          <w:p w14:paraId="7F65DFCE" w14:textId="77777777" w:rsidR="006561BA" w:rsidRDefault="006561BA">
            <w:pPr>
              <w:pStyle w:val="AnnexTableCellLeft"/>
              <w:spacing w:line="200" w:lineRule="exact"/>
              <w:rPr>
                <w:sz w:val="16"/>
                <w:szCs w:val="16"/>
              </w:rPr>
            </w:pPr>
          </w:p>
        </w:tc>
        <w:tc>
          <w:tcPr>
            <w:tcW w:w="810" w:type="dxa"/>
            <w:tcBorders>
              <w:top w:val="single" w:sz="4" w:space="0" w:color="auto"/>
              <w:left w:val="nil"/>
              <w:bottom w:val="nil"/>
            </w:tcBorders>
            <w:shd w:val="clear" w:color="auto" w:fill="auto"/>
            <w:tcMar>
              <w:top w:w="160" w:type="dxa"/>
              <w:bottom w:w="160" w:type="dxa"/>
              <w:right w:w="0" w:type="dxa"/>
            </w:tcMar>
          </w:tcPr>
          <w:p w14:paraId="0247D215" w14:textId="77777777" w:rsidR="006561BA" w:rsidRDefault="006561BA">
            <w:pPr>
              <w:pStyle w:val="AnnexTableCellLeft"/>
              <w:spacing w:line="200" w:lineRule="exact"/>
              <w:rPr>
                <w:sz w:val="16"/>
                <w:szCs w:val="16"/>
              </w:rPr>
            </w:pPr>
          </w:p>
        </w:tc>
      </w:tr>
      <w:tr w:rsidR="006561BA" w14:paraId="543C7043" w14:textId="77777777">
        <w:tc>
          <w:tcPr>
            <w:tcW w:w="2309" w:type="dxa"/>
            <w:gridSpan w:val="2"/>
            <w:tcBorders>
              <w:bottom w:val="single" w:sz="4" w:space="0" w:color="auto"/>
            </w:tcBorders>
            <w:tcMar>
              <w:top w:w="160" w:type="dxa"/>
              <w:left w:w="0" w:type="dxa"/>
              <w:bottom w:w="160" w:type="dxa"/>
            </w:tcMar>
          </w:tcPr>
          <w:p w14:paraId="490C0DC2" w14:textId="77777777" w:rsidR="006561BA" w:rsidRDefault="005B4ED6">
            <w:pPr>
              <w:pStyle w:val="AnnexTableCellLeft"/>
            </w:pPr>
            <w:r>
              <w:rPr>
                <w:b/>
              </w:rPr>
              <w:t>Omsetning for aktiviteter som ikke er omfattet av taksonomien</w:t>
            </w:r>
          </w:p>
        </w:tc>
        <w:tc>
          <w:tcPr>
            <w:tcW w:w="791" w:type="dxa"/>
            <w:tcBorders>
              <w:bottom w:val="single" w:sz="4" w:space="0" w:color="auto"/>
            </w:tcBorders>
            <w:tcMar>
              <w:top w:w="160" w:type="dxa"/>
              <w:bottom w:w="160" w:type="dxa"/>
            </w:tcMar>
          </w:tcPr>
          <w:p w14:paraId="6E78A563" w14:textId="77777777" w:rsidR="006561BA" w:rsidRDefault="006561BA">
            <w:pPr>
              <w:pStyle w:val="AnnexTableCellLeft"/>
            </w:pPr>
          </w:p>
        </w:tc>
        <w:tc>
          <w:tcPr>
            <w:tcW w:w="936" w:type="dxa"/>
            <w:tcBorders>
              <w:bottom w:val="single" w:sz="4" w:space="0" w:color="auto"/>
              <w:right w:val="single" w:sz="4" w:space="0" w:color="auto"/>
            </w:tcBorders>
            <w:tcMar>
              <w:top w:w="160" w:type="dxa"/>
              <w:bottom w:w="160" w:type="dxa"/>
            </w:tcMar>
            <w:vAlign w:val="center"/>
          </w:tcPr>
          <w:p w14:paraId="256DC5F8" w14:textId="77777777" w:rsidR="006561BA" w:rsidRDefault="005B4ED6">
            <w:pPr>
              <w:pStyle w:val="AnnexTableCellLeft"/>
              <w:jc w:val="center"/>
            </w:pPr>
            <w:r>
              <w:t>%</w:t>
            </w:r>
          </w:p>
        </w:tc>
        <w:tc>
          <w:tcPr>
            <w:tcW w:w="573" w:type="dxa"/>
            <w:tcBorders>
              <w:top w:val="nil"/>
              <w:left w:val="single" w:sz="4" w:space="0" w:color="auto"/>
              <w:bottom w:val="nil"/>
              <w:right w:val="nil"/>
            </w:tcBorders>
            <w:tcMar>
              <w:top w:w="160" w:type="dxa"/>
              <w:bottom w:w="160" w:type="dxa"/>
            </w:tcMar>
          </w:tcPr>
          <w:p w14:paraId="7F50906F" w14:textId="77777777" w:rsidR="006561BA" w:rsidRDefault="006561BA">
            <w:pPr>
              <w:pStyle w:val="AnnexTableCellLeft"/>
            </w:pPr>
          </w:p>
        </w:tc>
        <w:tc>
          <w:tcPr>
            <w:tcW w:w="574" w:type="dxa"/>
            <w:tcBorders>
              <w:top w:val="nil"/>
              <w:left w:val="nil"/>
              <w:bottom w:val="nil"/>
              <w:right w:val="nil"/>
            </w:tcBorders>
            <w:tcMar>
              <w:top w:w="160" w:type="dxa"/>
              <w:bottom w:w="160" w:type="dxa"/>
            </w:tcMar>
          </w:tcPr>
          <w:p w14:paraId="50C1EE41" w14:textId="77777777" w:rsidR="006561BA" w:rsidRDefault="006561BA">
            <w:pPr>
              <w:pStyle w:val="AnnexTableCellLeft"/>
            </w:pPr>
          </w:p>
        </w:tc>
        <w:tc>
          <w:tcPr>
            <w:tcW w:w="574" w:type="dxa"/>
            <w:tcBorders>
              <w:top w:val="nil"/>
              <w:left w:val="nil"/>
              <w:bottom w:val="nil"/>
              <w:right w:val="nil"/>
            </w:tcBorders>
            <w:tcMar>
              <w:top w:w="160" w:type="dxa"/>
              <w:bottom w:w="160" w:type="dxa"/>
            </w:tcMar>
          </w:tcPr>
          <w:p w14:paraId="3ADE1E3D" w14:textId="77777777" w:rsidR="006561BA" w:rsidRDefault="006561BA">
            <w:pPr>
              <w:pStyle w:val="AnnexTableCellLeft"/>
            </w:pPr>
          </w:p>
        </w:tc>
        <w:tc>
          <w:tcPr>
            <w:tcW w:w="573" w:type="dxa"/>
            <w:tcBorders>
              <w:top w:val="nil"/>
              <w:left w:val="nil"/>
              <w:bottom w:val="nil"/>
              <w:right w:val="nil"/>
            </w:tcBorders>
            <w:tcMar>
              <w:top w:w="160" w:type="dxa"/>
              <w:bottom w:w="160" w:type="dxa"/>
            </w:tcMar>
          </w:tcPr>
          <w:p w14:paraId="763ACFD7" w14:textId="77777777" w:rsidR="006561BA" w:rsidRDefault="006561BA">
            <w:pPr>
              <w:pStyle w:val="AnnexTableCellLeft"/>
            </w:pPr>
          </w:p>
        </w:tc>
        <w:tc>
          <w:tcPr>
            <w:tcW w:w="574" w:type="dxa"/>
            <w:tcBorders>
              <w:top w:val="nil"/>
              <w:left w:val="nil"/>
              <w:bottom w:val="nil"/>
              <w:right w:val="nil"/>
            </w:tcBorders>
            <w:tcMar>
              <w:top w:w="160" w:type="dxa"/>
              <w:bottom w:w="160" w:type="dxa"/>
            </w:tcMar>
          </w:tcPr>
          <w:p w14:paraId="49446876" w14:textId="77777777" w:rsidR="006561BA" w:rsidRDefault="006561BA">
            <w:pPr>
              <w:pStyle w:val="AnnexTableCellLeft"/>
            </w:pPr>
          </w:p>
        </w:tc>
        <w:tc>
          <w:tcPr>
            <w:tcW w:w="574" w:type="dxa"/>
            <w:tcBorders>
              <w:top w:val="nil"/>
              <w:left w:val="nil"/>
              <w:bottom w:val="nil"/>
              <w:right w:val="nil"/>
            </w:tcBorders>
            <w:tcMar>
              <w:top w:w="160" w:type="dxa"/>
              <w:bottom w:w="160" w:type="dxa"/>
            </w:tcMar>
          </w:tcPr>
          <w:p w14:paraId="60684C5C" w14:textId="77777777" w:rsidR="006561BA" w:rsidRDefault="006561BA">
            <w:pPr>
              <w:pStyle w:val="AnnexTableCellLeft"/>
            </w:pPr>
          </w:p>
        </w:tc>
        <w:tc>
          <w:tcPr>
            <w:tcW w:w="573" w:type="dxa"/>
            <w:tcBorders>
              <w:top w:val="nil"/>
              <w:left w:val="nil"/>
              <w:bottom w:val="nil"/>
              <w:right w:val="nil"/>
            </w:tcBorders>
            <w:tcMar>
              <w:top w:w="160" w:type="dxa"/>
              <w:bottom w:w="160" w:type="dxa"/>
            </w:tcMar>
          </w:tcPr>
          <w:p w14:paraId="1C4648EE" w14:textId="77777777" w:rsidR="006561BA" w:rsidRDefault="006561BA">
            <w:pPr>
              <w:pStyle w:val="AnnexTableCellLeft"/>
            </w:pPr>
          </w:p>
        </w:tc>
        <w:tc>
          <w:tcPr>
            <w:tcW w:w="574" w:type="dxa"/>
            <w:tcBorders>
              <w:top w:val="nil"/>
              <w:left w:val="nil"/>
              <w:bottom w:val="nil"/>
              <w:right w:val="nil"/>
            </w:tcBorders>
            <w:tcMar>
              <w:top w:w="160" w:type="dxa"/>
              <w:bottom w:w="160" w:type="dxa"/>
            </w:tcMar>
          </w:tcPr>
          <w:p w14:paraId="4F688E54" w14:textId="77777777" w:rsidR="006561BA" w:rsidRDefault="006561BA">
            <w:pPr>
              <w:pStyle w:val="AnnexTableCellLeft"/>
            </w:pPr>
          </w:p>
        </w:tc>
        <w:tc>
          <w:tcPr>
            <w:tcW w:w="574" w:type="dxa"/>
            <w:tcBorders>
              <w:top w:val="nil"/>
              <w:left w:val="nil"/>
              <w:bottom w:val="nil"/>
              <w:right w:val="nil"/>
            </w:tcBorders>
            <w:tcMar>
              <w:top w:w="160" w:type="dxa"/>
              <w:bottom w:w="160" w:type="dxa"/>
            </w:tcMar>
          </w:tcPr>
          <w:p w14:paraId="79290B5F" w14:textId="77777777" w:rsidR="006561BA" w:rsidRDefault="006561BA">
            <w:pPr>
              <w:pStyle w:val="AnnexTableCellLeft"/>
            </w:pPr>
          </w:p>
        </w:tc>
        <w:tc>
          <w:tcPr>
            <w:tcW w:w="573" w:type="dxa"/>
            <w:tcBorders>
              <w:top w:val="nil"/>
              <w:left w:val="nil"/>
              <w:bottom w:val="nil"/>
              <w:right w:val="nil"/>
            </w:tcBorders>
            <w:tcMar>
              <w:top w:w="160" w:type="dxa"/>
              <w:bottom w:w="160" w:type="dxa"/>
            </w:tcMar>
          </w:tcPr>
          <w:p w14:paraId="36A63A11" w14:textId="77777777" w:rsidR="006561BA" w:rsidRDefault="006561BA">
            <w:pPr>
              <w:pStyle w:val="AnnexTableCellLeft"/>
            </w:pPr>
          </w:p>
        </w:tc>
        <w:tc>
          <w:tcPr>
            <w:tcW w:w="574" w:type="dxa"/>
            <w:tcBorders>
              <w:top w:val="nil"/>
              <w:left w:val="nil"/>
              <w:bottom w:val="nil"/>
              <w:right w:val="nil"/>
            </w:tcBorders>
            <w:tcMar>
              <w:top w:w="160" w:type="dxa"/>
              <w:bottom w:w="160" w:type="dxa"/>
            </w:tcMar>
          </w:tcPr>
          <w:p w14:paraId="220E7013" w14:textId="77777777" w:rsidR="006561BA" w:rsidRDefault="006561BA">
            <w:pPr>
              <w:pStyle w:val="AnnexTableCellLeft"/>
            </w:pPr>
          </w:p>
        </w:tc>
        <w:tc>
          <w:tcPr>
            <w:tcW w:w="574" w:type="dxa"/>
            <w:tcBorders>
              <w:top w:val="nil"/>
              <w:left w:val="nil"/>
              <w:bottom w:val="nil"/>
              <w:right w:val="nil"/>
            </w:tcBorders>
            <w:tcMar>
              <w:top w:w="160" w:type="dxa"/>
              <w:bottom w:w="160" w:type="dxa"/>
            </w:tcMar>
          </w:tcPr>
          <w:p w14:paraId="1EEE50D6" w14:textId="77777777" w:rsidR="006561BA" w:rsidRDefault="006561BA">
            <w:pPr>
              <w:pStyle w:val="AnnexTableCellLeft"/>
            </w:pPr>
          </w:p>
        </w:tc>
        <w:tc>
          <w:tcPr>
            <w:tcW w:w="576" w:type="dxa"/>
            <w:tcBorders>
              <w:top w:val="nil"/>
              <w:left w:val="nil"/>
              <w:bottom w:val="nil"/>
              <w:right w:val="nil"/>
            </w:tcBorders>
            <w:tcMar>
              <w:top w:w="160" w:type="dxa"/>
              <w:bottom w:w="160" w:type="dxa"/>
            </w:tcMar>
          </w:tcPr>
          <w:p w14:paraId="379FE39B" w14:textId="77777777" w:rsidR="006561BA" w:rsidRDefault="006561BA">
            <w:pPr>
              <w:pStyle w:val="AnnexTableCellLeft"/>
            </w:pPr>
          </w:p>
        </w:tc>
        <w:tc>
          <w:tcPr>
            <w:tcW w:w="1200" w:type="dxa"/>
            <w:tcBorders>
              <w:top w:val="nil"/>
              <w:left w:val="nil"/>
              <w:bottom w:val="nil"/>
              <w:right w:val="nil"/>
            </w:tcBorders>
            <w:tcMar>
              <w:top w:w="160" w:type="dxa"/>
              <w:bottom w:w="160" w:type="dxa"/>
            </w:tcMar>
          </w:tcPr>
          <w:p w14:paraId="0BEB7E30" w14:textId="77777777" w:rsidR="006561BA" w:rsidRDefault="006561BA">
            <w:pPr>
              <w:pStyle w:val="AnnexTableCellLeft"/>
            </w:pPr>
          </w:p>
        </w:tc>
        <w:tc>
          <w:tcPr>
            <w:tcW w:w="810" w:type="dxa"/>
            <w:tcBorders>
              <w:top w:val="nil"/>
              <w:left w:val="nil"/>
              <w:bottom w:val="nil"/>
              <w:right w:val="nil"/>
            </w:tcBorders>
            <w:shd w:val="clear" w:color="auto" w:fill="auto"/>
            <w:tcMar>
              <w:top w:w="160" w:type="dxa"/>
              <w:bottom w:w="160" w:type="dxa"/>
            </w:tcMar>
          </w:tcPr>
          <w:p w14:paraId="6454B8D9" w14:textId="77777777" w:rsidR="006561BA" w:rsidRDefault="006561BA">
            <w:pPr>
              <w:pStyle w:val="AnnexTableCellLeft"/>
            </w:pPr>
          </w:p>
        </w:tc>
        <w:tc>
          <w:tcPr>
            <w:tcW w:w="810" w:type="dxa"/>
            <w:tcBorders>
              <w:top w:val="nil"/>
              <w:left w:val="nil"/>
              <w:bottom w:val="nil"/>
            </w:tcBorders>
            <w:shd w:val="clear" w:color="auto" w:fill="auto"/>
            <w:tcMar>
              <w:top w:w="160" w:type="dxa"/>
              <w:bottom w:w="160" w:type="dxa"/>
              <w:right w:w="0" w:type="dxa"/>
            </w:tcMar>
          </w:tcPr>
          <w:p w14:paraId="21444CA1" w14:textId="77777777" w:rsidR="006561BA" w:rsidRDefault="006561BA">
            <w:pPr>
              <w:pStyle w:val="AnnexTableCellLeft"/>
            </w:pPr>
          </w:p>
        </w:tc>
      </w:tr>
      <w:tr w:rsidR="006561BA" w14:paraId="4A75A0A9" w14:textId="77777777">
        <w:tc>
          <w:tcPr>
            <w:tcW w:w="2309" w:type="dxa"/>
            <w:gridSpan w:val="2"/>
            <w:tcBorders>
              <w:bottom w:val="single" w:sz="2" w:space="0" w:color="auto"/>
            </w:tcBorders>
            <w:tcMar>
              <w:top w:w="160" w:type="dxa"/>
              <w:left w:w="0" w:type="dxa"/>
              <w:bottom w:w="160" w:type="dxa"/>
            </w:tcMar>
          </w:tcPr>
          <w:p w14:paraId="2DABA7E3" w14:textId="77777777" w:rsidR="006561BA" w:rsidRDefault="005B4ED6">
            <w:pPr>
              <w:pStyle w:val="AnnexTableCellLeft"/>
              <w:spacing w:line="200" w:lineRule="exact"/>
              <w:rPr>
                <w:sz w:val="16"/>
                <w:szCs w:val="16"/>
              </w:rPr>
            </w:pPr>
            <w:r>
              <w:rPr>
                <w:b/>
                <w:sz w:val="16"/>
              </w:rPr>
              <w:t>TOTALT</w:t>
            </w:r>
          </w:p>
        </w:tc>
        <w:tc>
          <w:tcPr>
            <w:tcW w:w="791" w:type="dxa"/>
            <w:tcBorders>
              <w:bottom w:val="single" w:sz="2" w:space="0" w:color="auto"/>
            </w:tcBorders>
            <w:tcMar>
              <w:top w:w="160" w:type="dxa"/>
              <w:bottom w:w="160" w:type="dxa"/>
            </w:tcMar>
          </w:tcPr>
          <w:p w14:paraId="2D54785F" w14:textId="77777777" w:rsidR="006561BA" w:rsidRDefault="006561BA">
            <w:pPr>
              <w:pStyle w:val="AnnexTableCellLeft"/>
            </w:pPr>
          </w:p>
        </w:tc>
        <w:tc>
          <w:tcPr>
            <w:tcW w:w="936" w:type="dxa"/>
            <w:tcBorders>
              <w:bottom w:val="single" w:sz="2" w:space="0" w:color="auto"/>
              <w:right w:val="single" w:sz="4" w:space="0" w:color="auto"/>
            </w:tcBorders>
            <w:tcMar>
              <w:top w:w="160" w:type="dxa"/>
              <w:bottom w:w="160" w:type="dxa"/>
            </w:tcMar>
            <w:vAlign w:val="center"/>
          </w:tcPr>
          <w:p w14:paraId="1C9AA43D" w14:textId="77777777" w:rsidR="006561BA" w:rsidRDefault="005B4ED6">
            <w:pPr>
              <w:pStyle w:val="AnnexTableCellLeft"/>
              <w:jc w:val="center"/>
            </w:pPr>
            <w:r>
              <w:rPr>
                <w:b/>
              </w:rPr>
              <w:t>100 %</w:t>
            </w:r>
          </w:p>
        </w:tc>
        <w:tc>
          <w:tcPr>
            <w:tcW w:w="573" w:type="dxa"/>
            <w:tcBorders>
              <w:top w:val="nil"/>
              <w:left w:val="single" w:sz="4" w:space="0" w:color="auto"/>
              <w:bottom w:val="nil"/>
              <w:right w:val="nil"/>
            </w:tcBorders>
            <w:tcMar>
              <w:top w:w="160" w:type="dxa"/>
              <w:bottom w:w="160" w:type="dxa"/>
            </w:tcMar>
          </w:tcPr>
          <w:p w14:paraId="739B75D3" w14:textId="77777777" w:rsidR="006561BA" w:rsidRDefault="006561BA">
            <w:pPr>
              <w:pStyle w:val="AnnexTableCellLeft"/>
            </w:pPr>
          </w:p>
        </w:tc>
        <w:tc>
          <w:tcPr>
            <w:tcW w:w="574" w:type="dxa"/>
            <w:tcBorders>
              <w:top w:val="nil"/>
              <w:left w:val="nil"/>
              <w:bottom w:val="nil"/>
              <w:right w:val="nil"/>
            </w:tcBorders>
            <w:tcMar>
              <w:top w:w="160" w:type="dxa"/>
              <w:bottom w:w="160" w:type="dxa"/>
            </w:tcMar>
          </w:tcPr>
          <w:p w14:paraId="2E040C4D" w14:textId="77777777" w:rsidR="006561BA" w:rsidRDefault="006561BA">
            <w:pPr>
              <w:pStyle w:val="AnnexTableCellLeft"/>
            </w:pPr>
          </w:p>
        </w:tc>
        <w:tc>
          <w:tcPr>
            <w:tcW w:w="574" w:type="dxa"/>
            <w:tcBorders>
              <w:top w:val="nil"/>
              <w:left w:val="nil"/>
              <w:bottom w:val="nil"/>
              <w:right w:val="nil"/>
            </w:tcBorders>
            <w:tcMar>
              <w:top w:w="160" w:type="dxa"/>
              <w:bottom w:w="160" w:type="dxa"/>
            </w:tcMar>
          </w:tcPr>
          <w:p w14:paraId="6C58A822" w14:textId="77777777" w:rsidR="006561BA" w:rsidRDefault="006561BA">
            <w:pPr>
              <w:pStyle w:val="AnnexTableCellLeft"/>
            </w:pPr>
          </w:p>
        </w:tc>
        <w:tc>
          <w:tcPr>
            <w:tcW w:w="573" w:type="dxa"/>
            <w:tcBorders>
              <w:top w:val="nil"/>
              <w:left w:val="nil"/>
              <w:bottom w:val="nil"/>
              <w:right w:val="nil"/>
            </w:tcBorders>
            <w:tcMar>
              <w:top w:w="160" w:type="dxa"/>
              <w:bottom w:w="160" w:type="dxa"/>
            </w:tcMar>
          </w:tcPr>
          <w:p w14:paraId="2037091B" w14:textId="77777777" w:rsidR="006561BA" w:rsidRDefault="006561BA">
            <w:pPr>
              <w:pStyle w:val="AnnexTableCellLeft"/>
            </w:pPr>
          </w:p>
        </w:tc>
        <w:tc>
          <w:tcPr>
            <w:tcW w:w="574" w:type="dxa"/>
            <w:tcBorders>
              <w:top w:val="nil"/>
              <w:left w:val="nil"/>
              <w:bottom w:val="nil"/>
              <w:right w:val="nil"/>
            </w:tcBorders>
            <w:tcMar>
              <w:top w:w="160" w:type="dxa"/>
              <w:bottom w:w="160" w:type="dxa"/>
            </w:tcMar>
          </w:tcPr>
          <w:p w14:paraId="7A6501E2" w14:textId="77777777" w:rsidR="006561BA" w:rsidRDefault="006561BA">
            <w:pPr>
              <w:pStyle w:val="AnnexTableCellLeft"/>
            </w:pPr>
          </w:p>
        </w:tc>
        <w:tc>
          <w:tcPr>
            <w:tcW w:w="574" w:type="dxa"/>
            <w:tcBorders>
              <w:top w:val="nil"/>
              <w:left w:val="nil"/>
              <w:bottom w:val="nil"/>
              <w:right w:val="nil"/>
            </w:tcBorders>
            <w:tcMar>
              <w:top w:w="160" w:type="dxa"/>
              <w:bottom w:w="160" w:type="dxa"/>
            </w:tcMar>
          </w:tcPr>
          <w:p w14:paraId="10063A55" w14:textId="77777777" w:rsidR="006561BA" w:rsidRDefault="006561BA">
            <w:pPr>
              <w:pStyle w:val="AnnexTableCellLeft"/>
            </w:pPr>
          </w:p>
        </w:tc>
        <w:tc>
          <w:tcPr>
            <w:tcW w:w="573" w:type="dxa"/>
            <w:tcBorders>
              <w:top w:val="nil"/>
              <w:left w:val="nil"/>
              <w:bottom w:val="nil"/>
              <w:right w:val="nil"/>
            </w:tcBorders>
            <w:tcMar>
              <w:top w:w="160" w:type="dxa"/>
              <w:bottom w:w="160" w:type="dxa"/>
            </w:tcMar>
          </w:tcPr>
          <w:p w14:paraId="59F892D6" w14:textId="77777777" w:rsidR="006561BA" w:rsidRDefault="006561BA">
            <w:pPr>
              <w:pStyle w:val="AnnexTableCellLeft"/>
            </w:pPr>
          </w:p>
        </w:tc>
        <w:tc>
          <w:tcPr>
            <w:tcW w:w="574" w:type="dxa"/>
            <w:tcBorders>
              <w:top w:val="nil"/>
              <w:left w:val="nil"/>
              <w:bottom w:val="nil"/>
              <w:right w:val="nil"/>
            </w:tcBorders>
            <w:tcMar>
              <w:top w:w="160" w:type="dxa"/>
              <w:bottom w:w="160" w:type="dxa"/>
            </w:tcMar>
          </w:tcPr>
          <w:p w14:paraId="30261248" w14:textId="77777777" w:rsidR="006561BA" w:rsidRDefault="006561BA">
            <w:pPr>
              <w:pStyle w:val="AnnexTableCellLeft"/>
            </w:pPr>
          </w:p>
        </w:tc>
        <w:tc>
          <w:tcPr>
            <w:tcW w:w="574" w:type="dxa"/>
            <w:tcBorders>
              <w:top w:val="nil"/>
              <w:left w:val="nil"/>
              <w:bottom w:val="nil"/>
              <w:right w:val="nil"/>
            </w:tcBorders>
            <w:tcMar>
              <w:top w:w="160" w:type="dxa"/>
              <w:bottom w:w="160" w:type="dxa"/>
            </w:tcMar>
          </w:tcPr>
          <w:p w14:paraId="3F981545" w14:textId="77777777" w:rsidR="006561BA" w:rsidRDefault="006561BA">
            <w:pPr>
              <w:pStyle w:val="AnnexTableCellLeft"/>
            </w:pPr>
          </w:p>
        </w:tc>
        <w:tc>
          <w:tcPr>
            <w:tcW w:w="573" w:type="dxa"/>
            <w:tcBorders>
              <w:top w:val="nil"/>
              <w:left w:val="nil"/>
              <w:bottom w:val="nil"/>
              <w:right w:val="nil"/>
            </w:tcBorders>
            <w:tcMar>
              <w:top w:w="160" w:type="dxa"/>
              <w:bottom w:w="160" w:type="dxa"/>
            </w:tcMar>
          </w:tcPr>
          <w:p w14:paraId="4874CBFC" w14:textId="77777777" w:rsidR="006561BA" w:rsidRDefault="006561BA">
            <w:pPr>
              <w:pStyle w:val="AnnexTableCellLeft"/>
            </w:pPr>
          </w:p>
        </w:tc>
        <w:tc>
          <w:tcPr>
            <w:tcW w:w="574" w:type="dxa"/>
            <w:tcBorders>
              <w:top w:val="nil"/>
              <w:left w:val="nil"/>
              <w:bottom w:val="nil"/>
              <w:right w:val="nil"/>
            </w:tcBorders>
            <w:tcMar>
              <w:top w:w="160" w:type="dxa"/>
              <w:bottom w:w="160" w:type="dxa"/>
            </w:tcMar>
          </w:tcPr>
          <w:p w14:paraId="43C26D2C" w14:textId="77777777" w:rsidR="006561BA" w:rsidRDefault="006561BA">
            <w:pPr>
              <w:pStyle w:val="AnnexTableCellLeft"/>
            </w:pPr>
          </w:p>
        </w:tc>
        <w:tc>
          <w:tcPr>
            <w:tcW w:w="574" w:type="dxa"/>
            <w:tcBorders>
              <w:top w:val="nil"/>
              <w:left w:val="nil"/>
              <w:bottom w:val="nil"/>
              <w:right w:val="nil"/>
            </w:tcBorders>
            <w:tcMar>
              <w:top w:w="160" w:type="dxa"/>
              <w:bottom w:w="160" w:type="dxa"/>
            </w:tcMar>
          </w:tcPr>
          <w:p w14:paraId="14E2F6AC" w14:textId="77777777" w:rsidR="006561BA" w:rsidRDefault="006561BA">
            <w:pPr>
              <w:pStyle w:val="AnnexTableCellLeft"/>
            </w:pPr>
          </w:p>
        </w:tc>
        <w:tc>
          <w:tcPr>
            <w:tcW w:w="576" w:type="dxa"/>
            <w:tcBorders>
              <w:top w:val="nil"/>
              <w:left w:val="nil"/>
              <w:bottom w:val="nil"/>
              <w:right w:val="nil"/>
            </w:tcBorders>
            <w:tcMar>
              <w:top w:w="160" w:type="dxa"/>
              <w:bottom w:w="160" w:type="dxa"/>
            </w:tcMar>
          </w:tcPr>
          <w:p w14:paraId="621DD51C" w14:textId="77777777" w:rsidR="006561BA" w:rsidRDefault="006561BA">
            <w:pPr>
              <w:pStyle w:val="AnnexTableCellLeft"/>
            </w:pPr>
          </w:p>
        </w:tc>
        <w:tc>
          <w:tcPr>
            <w:tcW w:w="1200" w:type="dxa"/>
            <w:tcBorders>
              <w:top w:val="nil"/>
              <w:left w:val="nil"/>
              <w:bottom w:val="nil"/>
              <w:right w:val="nil"/>
            </w:tcBorders>
            <w:tcMar>
              <w:top w:w="160" w:type="dxa"/>
              <w:bottom w:w="160" w:type="dxa"/>
            </w:tcMar>
          </w:tcPr>
          <w:p w14:paraId="2D858EF4" w14:textId="77777777" w:rsidR="006561BA" w:rsidRDefault="006561BA">
            <w:pPr>
              <w:pStyle w:val="AnnexTableCellLeft"/>
            </w:pPr>
          </w:p>
        </w:tc>
        <w:tc>
          <w:tcPr>
            <w:tcW w:w="810" w:type="dxa"/>
            <w:tcBorders>
              <w:top w:val="nil"/>
              <w:left w:val="nil"/>
              <w:bottom w:val="nil"/>
              <w:right w:val="nil"/>
            </w:tcBorders>
            <w:shd w:val="clear" w:color="auto" w:fill="auto"/>
            <w:tcMar>
              <w:top w:w="160" w:type="dxa"/>
              <w:bottom w:w="160" w:type="dxa"/>
            </w:tcMar>
          </w:tcPr>
          <w:p w14:paraId="77CA032D" w14:textId="77777777" w:rsidR="006561BA" w:rsidRDefault="006561BA">
            <w:pPr>
              <w:pStyle w:val="AnnexTableCellLeft"/>
            </w:pPr>
          </w:p>
        </w:tc>
        <w:tc>
          <w:tcPr>
            <w:tcW w:w="810" w:type="dxa"/>
            <w:tcBorders>
              <w:top w:val="nil"/>
              <w:left w:val="nil"/>
              <w:bottom w:val="nil"/>
            </w:tcBorders>
            <w:shd w:val="clear" w:color="auto" w:fill="auto"/>
            <w:tcMar>
              <w:top w:w="160" w:type="dxa"/>
              <w:bottom w:w="160" w:type="dxa"/>
              <w:right w:w="0" w:type="dxa"/>
            </w:tcMar>
          </w:tcPr>
          <w:p w14:paraId="1BE8BBB4" w14:textId="77777777" w:rsidR="006561BA" w:rsidRDefault="006561BA">
            <w:pPr>
              <w:pStyle w:val="AnnexTableCellLeft"/>
            </w:pPr>
          </w:p>
        </w:tc>
      </w:tr>
      <w:tr w:rsidR="006561BA" w14:paraId="39A748F0" w14:textId="77777777">
        <w:tc>
          <w:tcPr>
            <w:tcW w:w="14316" w:type="dxa"/>
            <w:gridSpan w:val="20"/>
            <w:tcBorders>
              <w:top w:val="nil"/>
              <w:bottom w:val="nil"/>
            </w:tcBorders>
            <w:tcMar>
              <w:top w:w="100" w:type="dxa"/>
              <w:left w:w="0" w:type="dxa"/>
              <w:bottom w:w="100" w:type="dxa"/>
              <w:right w:w="0" w:type="dxa"/>
            </w:tcMar>
          </w:tcPr>
          <w:p w14:paraId="1DA15D0C" w14:textId="77777777" w:rsidR="006561BA" w:rsidRDefault="005B4ED6">
            <w:pPr>
              <w:pStyle w:val="AnnexTableGrNotes"/>
              <w:spacing w:line="200" w:lineRule="exact"/>
              <w:ind w:left="278" w:hanging="278"/>
            </w:pPr>
            <w:r>
              <w:t>(</w:t>
            </w:r>
            <w:r>
              <w:rPr>
                <w:vertAlign w:val="superscript"/>
              </w:rPr>
              <w:t>a</w:t>
            </w:r>
            <w:r>
              <w:t>)</w:t>
            </w:r>
            <w:r>
              <w:tab/>
              <w:t>Koden utgjør forkortelsen for det relevante målet som den økonomiske aktiviteten kan bidra vesentlig til, samt avsnittsnummeret på aktiviteten i det relevante vedlegget som omfatter målet, det vil si følgende:</w:t>
            </w:r>
          </w:p>
          <w:p w14:paraId="527B4D2E" w14:textId="77777777" w:rsidR="006561BA" w:rsidRDefault="005B4ED6">
            <w:pPr>
              <w:pStyle w:val="AnnexTableGrNotes"/>
              <w:spacing w:line="200" w:lineRule="exact"/>
              <w:ind w:left="556" w:hanging="278"/>
            </w:pPr>
            <w:r>
              <w:t>—</w:t>
            </w:r>
            <w:r>
              <w:tab/>
              <w:t>Begrensning av klimaendringer: CCM</w:t>
            </w:r>
          </w:p>
          <w:p w14:paraId="5F4CC3E9" w14:textId="77777777" w:rsidR="006561BA" w:rsidRDefault="005B4ED6">
            <w:pPr>
              <w:pStyle w:val="AnnexTableGrNotes"/>
              <w:spacing w:line="200" w:lineRule="exact"/>
              <w:ind w:left="556" w:hanging="278"/>
            </w:pPr>
            <w:r>
              <w:t>—</w:t>
            </w:r>
            <w:r>
              <w:tab/>
              <w:t>Tilpasning til klimaendringer: CCA</w:t>
            </w:r>
          </w:p>
          <w:p w14:paraId="1F04B88F" w14:textId="77777777" w:rsidR="006561BA" w:rsidRDefault="005B4ED6">
            <w:pPr>
              <w:pStyle w:val="AnnexTableGrNotes"/>
              <w:spacing w:line="200" w:lineRule="exact"/>
              <w:ind w:left="556" w:hanging="278"/>
            </w:pPr>
            <w:r>
              <w:t>—</w:t>
            </w:r>
            <w:r>
              <w:tab/>
              <w:t>Vann- og havressurser: WTR</w:t>
            </w:r>
          </w:p>
          <w:p w14:paraId="1329038B" w14:textId="77777777" w:rsidR="006561BA" w:rsidRDefault="005B4ED6">
            <w:pPr>
              <w:pStyle w:val="AnnexTableGrNotes"/>
              <w:spacing w:line="200" w:lineRule="exact"/>
              <w:ind w:left="556" w:hanging="278"/>
            </w:pPr>
            <w:r>
              <w:t>—</w:t>
            </w:r>
            <w:r>
              <w:tab/>
              <w:t>Sirkulær økonomi: CE</w:t>
            </w:r>
          </w:p>
          <w:p w14:paraId="2779AAD0" w14:textId="77777777" w:rsidR="006561BA" w:rsidRDefault="005B4ED6">
            <w:pPr>
              <w:pStyle w:val="AnnexTableGrNotes"/>
              <w:spacing w:line="200" w:lineRule="exact"/>
              <w:ind w:left="556" w:hanging="278"/>
            </w:pPr>
            <w:r>
              <w:t>—</w:t>
            </w:r>
            <w:r>
              <w:tab/>
              <w:t>Forebygging og begrensning av forurensning: PPC</w:t>
            </w:r>
          </w:p>
          <w:p w14:paraId="019AB3B3" w14:textId="77777777" w:rsidR="006561BA" w:rsidRDefault="005B4ED6">
            <w:pPr>
              <w:pStyle w:val="AnnexTableGrNotes"/>
              <w:spacing w:line="200" w:lineRule="exact"/>
              <w:ind w:left="556" w:hanging="278"/>
            </w:pPr>
            <w:r>
              <w:t>—</w:t>
            </w:r>
            <w:r>
              <w:tab/>
              <w:t>Biologisk mangfold og økosystemer: BIO.</w:t>
            </w:r>
          </w:p>
          <w:p w14:paraId="26EC8E1B" w14:textId="77777777" w:rsidR="006561BA" w:rsidRDefault="005B4ED6">
            <w:pPr>
              <w:pStyle w:val="AnnexTableGrNotes"/>
              <w:spacing w:after="200" w:line="200" w:lineRule="exact"/>
              <w:ind w:left="278" w:firstLine="0"/>
              <w:rPr>
                <w:i/>
              </w:rPr>
            </w:pPr>
            <w:r>
              <w:rPr>
                <w:i/>
              </w:rPr>
              <w:t>Aktiviteten «</w:t>
            </w:r>
            <w:proofErr w:type="spellStart"/>
            <w:r>
              <w:rPr>
                <w:i/>
              </w:rPr>
              <w:t>Påskoging</w:t>
            </w:r>
            <w:proofErr w:type="spellEnd"/>
            <w:r>
              <w:rPr>
                <w:i/>
              </w:rPr>
              <w:t>» vil for eksempel ha koden: CCM 1.1.</w:t>
            </w:r>
          </w:p>
          <w:p w14:paraId="5C145E80" w14:textId="77777777" w:rsidR="006561BA" w:rsidRDefault="005B4ED6">
            <w:pPr>
              <w:pStyle w:val="AnnexTableGrNotes"/>
              <w:spacing w:line="200" w:lineRule="exact"/>
              <w:ind w:left="278" w:firstLine="0"/>
            </w:pPr>
            <w:r>
              <w:t>Dersom aktiviteten kan bidra vesentlig til mer enn ett mål, bør kodene for alle mål angis.</w:t>
            </w:r>
          </w:p>
          <w:p w14:paraId="147A3ECA" w14:textId="77777777" w:rsidR="006561BA" w:rsidRDefault="005B4ED6">
            <w:pPr>
              <w:pStyle w:val="AnnexTableGrNotes"/>
              <w:spacing w:after="200" w:line="200" w:lineRule="exact"/>
              <w:ind w:left="278" w:firstLine="0"/>
              <w:rPr>
                <w:i/>
              </w:rPr>
            </w:pPr>
            <w:r>
              <w:rPr>
                <w:i/>
              </w:rPr>
              <w:t>Dersom aktivitetsutøveren for eksempel rapporterer at aktiviteten «Oppføring av nye bygninger» bidrar vesentlig til begrensning av klimaendringer og til den sirkulære økonomien, er koden CCM 7.1. / CE 3.1.</w:t>
            </w:r>
          </w:p>
          <w:p w14:paraId="30C784EE" w14:textId="77777777" w:rsidR="006561BA" w:rsidRDefault="005B4ED6">
            <w:pPr>
              <w:pStyle w:val="AnnexTableGrNotes"/>
              <w:spacing w:after="200" w:line="200" w:lineRule="exact"/>
              <w:ind w:left="278" w:firstLine="0"/>
            </w:pPr>
            <w:r>
              <w:t>De samme kodene bør brukes i avsnitt A.1 og A.2 i denne malen.</w:t>
            </w:r>
          </w:p>
          <w:p w14:paraId="7143651E" w14:textId="77777777" w:rsidR="006561BA" w:rsidRDefault="005B4ED6">
            <w:pPr>
              <w:pStyle w:val="AnnexTableGrNotes"/>
              <w:spacing w:line="200" w:lineRule="exact"/>
              <w:ind w:left="278" w:hanging="278"/>
            </w:pPr>
            <w:r>
              <w:t>(</w:t>
            </w:r>
            <w:r>
              <w:rPr>
                <w:vertAlign w:val="superscript"/>
              </w:rPr>
              <w:t>b</w:t>
            </w:r>
            <w:r>
              <w:t>)</w:t>
            </w:r>
            <w:r>
              <w:tab/>
              <w:t>J – Ja, aktiviteten er omfattet av og forenlig med taksonomien for det relevante miljømålet</w:t>
            </w:r>
          </w:p>
          <w:p w14:paraId="418B14C1" w14:textId="77777777" w:rsidR="006561BA" w:rsidRDefault="005B4ED6">
            <w:pPr>
              <w:pStyle w:val="AnnexTableGrNotes"/>
              <w:spacing w:line="200" w:lineRule="exact"/>
              <w:ind w:left="278" w:firstLine="0"/>
            </w:pPr>
            <w:r>
              <w:t>N – Nei, aktiviteten er omfattet av, men ikke forenlig med taksonomien for det relevante miljømålet</w:t>
            </w:r>
          </w:p>
          <w:p w14:paraId="0FA7F679" w14:textId="77777777" w:rsidR="006561BA" w:rsidRDefault="005B4ED6">
            <w:pPr>
              <w:pStyle w:val="AnnexTableGrNotes"/>
              <w:spacing w:line="200" w:lineRule="exact"/>
              <w:ind w:left="278" w:firstLine="0"/>
            </w:pPr>
            <w:r>
              <w:t>N/EL – Ikke omfattet, aktiviteten er ikke omfattet av taksonomien for det relevante miljømålet.</w:t>
            </w:r>
          </w:p>
        </w:tc>
      </w:tr>
      <w:tr w:rsidR="006561BA" w14:paraId="02A10F97" w14:textId="77777777">
        <w:tc>
          <w:tcPr>
            <w:tcW w:w="14316" w:type="dxa"/>
            <w:gridSpan w:val="20"/>
            <w:tcBorders>
              <w:top w:val="single" w:sz="2" w:space="0" w:color="auto"/>
              <w:bottom w:val="nil"/>
            </w:tcBorders>
            <w:tcMar>
              <w:top w:w="100" w:type="dxa"/>
              <w:left w:w="0" w:type="dxa"/>
              <w:bottom w:w="100" w:type="dxa"/>
              <w:right w:w="0" w:type="dxa"/>
            </w:tcMar>
          </w:tcPr>
          <w:p w14:paraId="61A5F5E1" w14:textId="77777777" w:rsidR="006561BA" w:rsidRDefault="005B4ED6">
            <w:pPr>
              <w:pStyle w:val="AnnexTableGrNotes"/>
              <w:pageBreakBefore/>
              <w:spacing w:after="200" w:line="200" w:lineRule="exact"/>
              <w:ind w:left="278" w:hanging="278"/>
            </w:pPr>
            <w:r>
              <w:lastRenderedPageBreak/>
              <w:t>(</w:t>
            </w:r>
            <w:r>
              <w:rPr>
                <w:vertAlign w:val="superscript"/>
              </w:rPr>
              <w:t>c</w:t>
            </w:r>
            <w:r>
              <w:t>)</w:t>
            </w:r>
            <w:r>
              <w:tab/>
              <w:t>Dersom en økonomisk aktivitet bidrar vesentlig til flere miljømål, skal ikke-finansielle foretak angi med fet skrift det mest relevante miljømålet med henblikk på beregningen av finansforetaks KPI-er samtidig som dobbelttelling unngås. Finansforetak skal i sine respektive KPI-er, dersom bruken av provenyet fra finansieringen ikke er kjent, beregne finansieringen av økonomiske aktiviteter som bidrar til flere miljømål i henhold til det mest relevante miljømålet som ikke-finansielle foretak rapporterer med fet skrift i denne malen. Et miljømål kan bare rapporteres med fet skrift én gang i én rad for å unngå dobbelttelling av økonomiske aktiviteter i finansforetaks KPI-er. Dette gjelder ikke ved beregning av økonomiske aktiviteters taksonomiforenlighet for finansielle produkter definert i artikkel 2 nr. 12 i forordning (EU) 2019/2088. Ikke-finansielle foretak skal også rapportere i hvilket omfang hvert miljømål er omfattet av og forenlig med taksonomien, som inkluderer forenlighet med hvert miljømål for aktiviteter som bidrar vesentlig til flere mål ved hjelp av malen nedenfor:</w:t>
            </w:r>
          </w:p>
          <w:tbl>
            <w:tblPr>
              <w:tblStyle w:val="EFTATable"/>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25"/>
              <w:gridCol w:w="2244"/>
              <w:gridCol w:w="2292"/>
            </w:tblGrid>
            <w:tr w:rsidR="006561BA" w14:paraId="73386838" w14:textId="77777777">
              <w:tc>
                <w:tcPr>
                  <w:tcW w:w="1425" w:type="dxa"/>
                  <w:tcMar>
                    <w:left w:w="100" w:type="dxa"/>
                    <w:right w:w="100" w:type="dxa"/>
                  </w:tcMar>
                </w:tcPr>
                <w:p w14:paraId="36D698A6" w14:textId="77777777" w:rsidR="006561BA" w:rsidRPr="00770AA2" w:rsidRDefault="006561BA">
                  <w:pPr>
                    <w:pStyle w:val="AnnexTableGrNotes"/>
                    <w:pageBreakBefore/>
                    <w:spacing w:line="240" w:lineRule="exact"/>
                    <w:ind w:left="0" w:firstLine="0"/>
                    <w:rPr>
                      <w:noProof/>
                      <w:sz w:val="18"/>
                      <w:szCs w:val="18"/>
                    </w:rPr>
                  </w:pPr>
                </w:p>
              </w:tc>
              <w:tc>
                <w:tcPr>
                  <w:tcW w:w="4536" w:type="dxa"/>
                  <w:gridSpan w:val="2"/>
                  <w:tcMar>
                    <w:left w:w="100" w:type="dxa"/>
                    <w:right w:w="100" w:type="dxa"/>
                  </w:tcMar>
                  <w:vAlign w:val="center"/>
                </w:tcPr>
                <w:p w14:paraId="61AADEF6" w14:textId="77777777" w:rsidR="006561BA" w:rsidRDefault="005B4ED6">
                  <w:pPr>
                    <w:pStyle w:val="AnnexTableGrNotes"/>
                    <w:pageBreakBefore/>
                    <w:spacing w:line="240" w:lineRule="exact"/>
                    <w:ind w:left="0" w:firstLine="0"/>
                    <w:jc w:val="center"/>
                    <w:rPr>
                      <w:noProof/>
                      <w:sz w:val="18"/>
                      <w:szCs w:val="18"/>
                    </w:rPr>
                  </w:pPr>
                  <w:r>
                    <w:rPr>
                      <w:sz w:val="18"/>
                    </w:rPr>
                    <w:t>Andel av omsetning / samlet omsetning</w:t>
                  </w:r>
                </w:p>
              </w:tc>
            </w:tr>
            <w:tr w:rsidR="006561BA" w14:paraId="549ACF19" w14:textId="77777777">
              <w:tc>
                <w:tcPr>
                  <w:tcW w:w="1425" w:type="dxa"/>
                  <w:tcMar>
                    <w:left w:w="100" w:type="dxa"/>
                    <w:right w:w="100" w:type="dxa"/>
                  </w:tcMar>
                </w:tcPr>
                <w:p w14:paraId="560318EA" w14:textId="77777777" w:rsidR="006561BA" w:rsidRPr="00770AA2" w:rsidRDefault="006561BA">
                  <w:pPr>
                    <w:pStyle w:val="AnnexTableGrNotes"/>
                    <w:pageBreakBefore/>
                    <w:spacing w:line="240" w:lineRule="exact"/>
                    <w:ind w:left="0" w:firstLine="0"/>
                    <w:rPr>
                      <w:noProof/>
                      <w:sz w:val="18"/>
                      <w:szCs w:val="18"/>
                    </w:rPr>
                  </w:pPr>
                </w:p>
              </w:tc>
              <w:tc>
                <w:tcPr>
                  <w:tcW w:w="2244" w:type="dxa"/>
                  <w:tcMar>
                    <w:left w:w="100" w:type="dxa"/>
                    <w:right w:w="100" w:type="dxa"/>
                  </w:tcMar>
                  <w:vAlign w:val="center"/>
                </w:tcPr>
                <w:p w14:paraId="4FDFAA7D" w14:textId="77777777" w:rsidR="006561BA" w:rsidRDefault="005B4ED6">
                  <w:pPr>
                    <w:pStyle w:val="AnnexTableGrNotes"/>
                    <w:pageBreakBefore/>
                    <w:spacing w:line="240" w:lineRule="exact"/>
                    <w:ind w:left="0" w:firstLine="0"/>
                    <w:jc w:val="center"/>
                    <w:rPr>
                      <w:noProof/>
                      <w:sz w:val="18"/>
                      <w:szCs w:val="18"/>
                    </w:rPr>
                  </w:pPr>
                  <w:r>
                    <w:rPr>
                      <w:sz w:val="18"/>
                    </w:rPr>
                    <w:t>Taksonomiforenlighet per mål</w:t>
                  </w:r>
                </w:p>
              </w:tc>
              <w:tc>
                <w:tcPr>
                  <w:tcW w:w="2292" w:type="dxa"/>
                  <w:tcMar>
                    <w:left w:w="100" w:type="dxa"/>
                    <w:right w:w="100" w:type="dxa"/>
                  </w:tcMar>
                  <w:vAlign w:val="center"/>
                </w:tcPr>
                <w:p w14:paraId="529C6350" w14:textId="77777777" w:rsidR="006561BA" w:rsidRDefault="005B4ED6">
                  <w:pPr>
                    <w:pStyle w:val="AnnexTableGrNotes"/>
                    <w:pageBreakBefore/>
                    <w:spacing w:line="240" w:lineRule="exact"/>
                    <w:ind w:left="0" w:firstLine="0"/>
                    <w:jc w:val="center"/>
                    <w:rPr>
                      <w:noProof/>
                      <w:sz w:val="18"/>
                      <w:szCs w:val="18"/>
                    </w:rPr>
                  </w:pPr>
                  <w:r>
                    <w:rPr>
                      <w:sz w:val="18"/>
                    </w:rPr>
                    <w:t>Taksonomisamsvar per mål</w:t>
                  </w:r>
                </w:p>
              </w:tc>
            </w:tr>
            <w:tr w:rsidR="006561BA" w14:paraId="3DFBCF31" w14:textId="77777777">
              <w:tc>
                <w:tcPr>
                  <w:tcW w:w="1425" w:type="dxa"/>
                  <w:tcMar>
                    <w:left w:w="100" w:type="dxa"/>
                    <w:right w:w="100" w:type="dxa"/>
                  </w:tcMar>
                </w:tcPr>
                <w:p w14:paraId="5207E685" w14:textId="77777777" w:rsidR="006561BA" w:rsidRDefault="005B4ED6">
                  <w:pPr>
                    <w:pStyle w:val="AnnexTableGrNotes"/>
                    <w:pageBreakBefore/>
                    <w:spacing w:line="240" w:lineRule="exact"/>
                    <w:ind w:left="0" w:firstLine="0"/>
                    <w:rPr>
                      <w:noProof/>
                      <w:sz w:val="18"/>
                      <w:szCs w:val="18"/>
                    </w:rPr>
                  </w:pPr>
                  <w:r>
                    <w:rPr>
                      <w:sz w:val="18"/>
                    </w:rPr>
                    <w:t>CCM</w:t>
                  </w:r>
                </w:p>
              </w:tc>
              <w:tc>
                <w:tcPr>
                  <w:tcW w:w="2244" w:type="dxa"/>
                  <w:tcMar>
                    <w:left w:w="100" w:type="dxa"/>
                    <w:right w:w="100" w:type="dxa"/>
                  </w:tcMar>
                </w:tcPr>
                <w:p w14:paraId="14236080" w14:textId="77777777" w:rsidR="006561BA" w:rsidRDefault="005B4ED6">
                  <w:pPr>
                    <w:pStyle w:val="AnnexTableGrNotes"/>
                    <w:pageBreakBefore/>
                    <w:spacing w:line="240" w:lineRule="exact"/>
                    <w:ind w:left="0" w:firstLine="0"/>
                    <w:rPr>
                      <w:noProof/>
                      <w:sz w:val="18"/>
                      <w:szCs w:val="18"/>
                    </w:rPr>
                  </w:pPr>
                  <w:r>
                    <w:rPr>
                      <w:sz w:val="18"/>
                    </w:rPr>
                    <w:t>%</w:t>
                  </w:r>
                </w:p>
              </w:tc>
              <w:tc>
                <w:tcPr>
                  <w:tcW w:w="2292" w:type="dxa"/>
                  <w:tcMar>
                    <w:left w:w="100" w:type="dxa"/>
                    <w:right w:w="100" w:type="dxa"/>
                  </w:tcMar>
                </w:tcPr>
                <w:p w14:paraId="2C39BC5C" w14:textId="77777777" w:rsidR="006561BA" w:rsidRDefault="005B4ED6">
                  <w:pPr>
                    <w:pStyle w:val="AnnexTableGrNotes"/>
                    <w:pageBreakBefore/>
                    <w:spacing w:line="240" w:lineRule="exact"/>
                    <w:ind w:left="0" w:firstLine="0"/>
                    <w:rPr>
                      <w:noProof/>
                      <w:sz w:val="18"/>
                      <w:szCs w:val="18"/>
                    </w:rPr>
                  </w:pPr>
                  <w:r>
                    <w:rPr>
                      <w:sz w:val="18"/>
                    </w:rPr>
                    <w:t>%</w:t>
                  </w:r>
                </w:p>
              </w:tc>
            </w:tr>
            <w:tr w:rsidR="006561BA" w14:paraId="553E95DA" w14:textId="77777777">
              <w:tc>
                <w:tcPr>
                  <w:tcW w:w="1425" w:type="dxa"/>
                  <w:tcMar>
                    <w:left w:w="100" w:type="dxa"/>
                    <w:right w:w="100" w:type="dxa"/>
                  </w:tcMar>
                </w:tcPr>
                <w:p w14:paraId="0048665E" w14:textId="77777777" w:rsidR="006561BA" w:rsidRDefault="005B4ED6">
                  <w:pPr>
                    <w:pStyle w:val="AnnexTableGrNotes"/>
                    <w:pageBreakBefore/>
                    <w:spacing w:line="240" w:lineRule="exact"/>
                    <w:ind w:left="0" w:firstLine="0"/>
                    <w:rPr>
                      <w:noProof/>
                      <w:sz w:val="18"/>
                      <w:szCs w:val="18"/>
                    </w:rPr>
                  </w:pPr>
                  <w:r>
                    <w:rPr>
                      <w:sz w:val="18"/>
                    </w:rPr>
                    <w:t>CCA</w:t>
                  </w:r>
                </w:p>
              </w:tc>
              <w:tc>
                <w:tcPr>
                  <w:tcW w:w="2244" w:type="dxa"/>
                  <w:tcMar>
                    <w:left w:w="100" w:type="dxa"/>
                    <w:right w:w="100" w:type="dxa"/>
                  </w:tcMar>
                </w:tcPr>
                <w:p w14:paraId="748BD646" w14:textId="77777777" w:rsidR="006561BA" w:rsidRDefault="005B4ED6">
                  <w:pPr>
                    <w:pStyle w:val="AnnexTableGrNotes"/>
                    <w:pageBreakBefore/>
                    <w:spacing w:line="240" w:lineRule="exact"/>
                    <w:ind w:left="0" w:firstLine="0"/>
                    <w:rPr>
                      <w:noProof/>
                      <w:sz w:val="18"/>
                      <w:szCs w:val="18"/>
                    </w:rPr>
                  </w:pPr>
                  <w:r>
                    <w:rPr>
                      <w:sz w:val="18"/>
                    </w:rPr>
                    <w:t>%</w:t>
                  </w:r>
                </w:p>
              </w:tc>
              <w:tc>
                <w:tcPr>
                  <w:tcW w:w="2292" w:type="dxa"/>
                  <w:tcMar>
                    <w:left w:w="100" w:type="dxa"/>
                    <w:right w:w="100" w:type="dxa"/>
                  </w:tcMar>
                </w:tcPr>
                <w:p w14:paraId="33A82921" w14:textId="77777777" w:rsidR="006561BA" w:rsidRDefault="005B4ED6">
                  <w:pPr>
                    <w:pStyle w:val="AnnexTableGrNotes"/>
                    <w:pageBreakBefore/>
                    <w:spacing w:line="240" w:lineRule="exact"/>
                    <w:ind w:left="0" w:firstLine="0"/>
                    <w:rPr>
                      <w:noProof/>
                      <w:sz w:val="18"/>
                      <w:szCs w:val="18"/>
                    </w:rPr>
                  </w:pPr>
                  <w:r>
                    <w:rPr>
                      <w:sz w:val="18"/>
                    </w:rPr>
                    <w:t>%</w:t>
                  </w:r>
                </w:p>
              </w:tc>
            </w:tr>
            <w:tr w:rsidR="006561BA" w14:paraId="03F91AF1" w14:textId="77777777">
              <w:tc>
                <w:tcPr>
                  <w:tcW w:w="1425" w:type="dxa"/>
                  <w:tcMar>
                    <w:left w:w="100" w:type="dxa"/>
                    <w:right w:w="100" w:type="dxa"/>
                  </w:tcMar>
                </w:tcPr>
                <w:p w14:paraId="5D07B53E" w14:textId="77777777" w:rsidR="006561BA" w:rsidRDefault="005B4ED6">
                  <w:pPr>
                    <w:pStyle w:val="AnnexTableGrNotes"/>
                    <w:pageBreakBefore/>
                    <w:spacing w:line="240" w:lineRule="exact"/>
                    <w:ind w:left="0" w:firstLine="0"/>
                    <w:rPr>
                      <w:noProof/>
                      <w:sz w:val="18"/>
                      <w:szCs w:val="18"/>
                    </w:rPr>
                  </w:pPr>
                  <w:r>
                    <w:rPr>
                      <w:sz w:val="18"/>
                    </w:rPr>
                    <w:t>WTR</w:t>
                  </w:r>
                </w:p>
              </w:tc>
              <w:tc>
                <w:tcPr>
                  <w:tcW w:w="2244" w:type="dxa"/>
                  <w:tcMar>
                    <w:left w:w="100" w:type="dxa"/>
                    <w:right w:w="100" w:type="dxa"/>
                  </w:tcMar>
                </w:tcPr>
                <w:p w14:paraId="0BC0FEB1" w14:textId="77777777" w:rsidR="006561BA" w:rsidRDefault="005B4ED6">
                  <w:pPr>
                    <w:pStyle w:val="AnnexTableGrNotes"/>
                    <w:pageBreakBefore/>
                    <w:spacing w:line="240" w:lineRule="exact"/>
                    <w:ind w:left="0" w:firstLine="0"/>
                    <w:rPr>
                      <w:noProof/>
                      <w:sz w:val="18"/>
                      <w:szCs w:val="18"/>
                    </w:rPr>
                  </w:pPr>
                  <w:r>
                    <w:rPr>
                      <w:sz w:val="18"/>
                    </w:rPr>
                    <w:t>%</w:t>
                  </w:r>
                </w:p>
              </w:tc>
              <w:tc>
                <w:tcPr>
                  <w:tcW w:w="2292" w:type="dxa"/>
                  <w:tcMar>
                    <w:left w:w="100" w:type="dxa"/>
                    <w:right w:w="100" w:type="dxa"/>
                  </w:tcMar>
                </w:tcPr>
                <w:p w14:paraId="05F786C0" w14:textId="77777777" w:rsidR="006561BA" w:rsidRDefault="005B4ED6">
                  <w:pPr>
                    <w:pStyle w:val="AnnexTableGrNotes"/>
                    <w:pageBreakBefore/>
                    <w:spacing w:line="240" w:lineRule="exact"/>
                    <w:ind w:left="0" w:firstLine="0"/>
                    <w:rPr>
                      <w:noProof/>
                      <w:sz w:val="18"/>
                      <w:szCs w:val="18"/>
                    </w:rPr>
                  </w:pPr>
                  <w:r>
                    <w:rPr>
                      <w:sz w:val="18"/>
                    </w:rPr>
                    <w:t>%</w:t>
                  </w:r>
                </w:p>
              </w:tc>
            </w:tr>
            <w:tr w:rsidR="006561BA" w14:paraId="52BBB289" w14:textId="77777777">
              <w:tc>
                <w:tcPr>
                  <w:tcW w:w="1425" w:type="dxa"/>
                  <w:tcMar>
                    <w:left w:w="100" w:type="dxa"/>
                    <w:right w:w="100" w:type="dxa"/>
                  </w:tcMar>
                </w:tcPr>
                <w:p w14:paraId="068B42F5" w14:textId="77777777" w:rsidR="006561BA" w:rsidRDefault="005B4ED6">
                  <w:pPr>
                    <w:pStyle w:val="AnnexTableGrNotes"/>
                    <w:pageBreakBefore/>
                    <w:spacing w:line="240" w:lineRule="exact"/>
                    <w:ind w:left="0" w:firstLine="0"/>
                    <w:rPr>
                      <w:noProof/>
                      <w:sz w:val="18"/>
                      <w:szCs w:val="18"/>
                    </w:rPr>
                  </w:pPr>
                  <w:r>
                    <w:rPr>
                      <w:sz w:val="18"/>
                    </w:rPr>
                    <w:t>CE</w:t>
                  </w:r>
                </w:p>
              </w:tc>
              <w:tc>
                <w:tcPr>
                  <w:tcW w:w="2244" w:type="dxa"/>
                  <w:tcMar>
                    <w:left w:w="100" w:type="dxa"/>
                    <w:right w:w="100" w:type="dxa"/>
                  </w:tcMar>
                </w:tcPr>
                <w:p w14:paraId="27945559" w14:textId="77777777" w:rsidR="006561BA" w:rsidRDefault="005B4ED6">
                  <w:pPr>
                    <w:pStyle w:val="AnnexTableGrNotes"/>
                    <w:pageBreakBefore/>
                    <w:spacing w:line="240" w:lineRule="exact"/>
                    <w:ind w:left="0" w:firstLine="0"/>
                    <w:rPr>
                      <w:noProof/>
                      <w:sz w:val="18"/>
                      <w:szCs w:val="18"/>
                    </w:rPr>
                  </w:pPr>
                  <w:r>
                    <w:rPr>
                      <w:sz w:val="18"/>
                    </w:rPr>
                    <w:t>%</w:t>
                  </w:r>
                </w:p>
              </w:tc>
              <w:tc>
                <w:tcPr>
                  <w:tcW w:w="2292" w:type="dxa"/>
                  <w:tcMar>
                    <w:left w:w="100" w:type="dxa"/>
                    <w:right w:w="100" w:type="dxa"/>
                  </w:tcMar>
                </w:tcPr>
                <w:p w14:paraId="009AEE7C" w14:textId="77777777" w:rsidR="006561BA" w:rsidRDefault="005B4ED6">
                  <w:pPr>
                    <w:pStyle w:val="AnnexTableGrNotes"/>
                    <w:pageBreakBefore/>
                    <w:spacing w:line="240" w:lineRule="exact"/>
                    <w:ind w:left="0" w:firstLine="0"/>
                    <w:rPr>
                      <w:noProof/>
                      <w:sz w:val="18"/>
                      <w:szCs w:val="18"/>
                    </w:rPr>
                  </w:pPr>
                  <w:r>
                    <w:rPr>
                      <w:sz w:val="18"/>
                    </w:rPr>
                    <w:t>%</w:t>
                  </w:r>
                </w:p>
              </w:tc>
            </w:tr>
            <w:tr w:rsidR="006561BA" w14:paraId="1C917255" w14:textId="77777777">
              <w:tc>
                <w:tcPr>
                  <w:tcW w:w="1425" w:type="dxa"/>
                  <w:tcMar>
                    <w:left w:w="100" w:type="dxa"/>
                    <w:right w:w="100" w:type="dxa"/>
                  </w:tcMar>
                </w:tcPr>
                <w:p w14:paraId="05BD010C" w14:textId="77777777" w:rsidR="006561BA" w:rsidRDefault="005B4ED6">
                  <w:pPr>
                    <w:pStyle w:val="AnnexTableGrNotes"/>
                    <w:pageBreakBefore/>
                    <w:spacing w:line="240" w:lineRule="exact"/>
                    <w:ind w:left="0" w:firstLine="0"/>
                    <w:rPr>
                      <w:noProof/>
                      <w:sz w:val="18"/>
                      <w:szCs w:val="18"/>
                    </w:rPr>
                  </w:pPr>
                  <w:r>
                    <w:rPr>
                      <w:sz w:val="18"/>
                    </w:rPr>
                    <w:t>PPC</w:t>
                  </w:r>
                </w:p>
              </w:tc>
              <w:tc>
                <w:tcPr>
                  <w:tcW w:w="2244" w:type="dxa"/>
                  <w:tcMar>
                    <w:left w:w="100" w:type="dxa"/>
                    <w:right w:w="100" w:type="dxa"/>
                  </w:tcMar>
                </w:tcPr>
                <w:p w14:paraId="3EDDEF0B" w14:textId="77777777" w:rsidR="006561BA" w:rsidRDefault="005B4ED6">
                  <w:pPr>
                    <w:pStyle w:val="AnnexTableGrNotes"/>
                    <w:pageBreakBefore/>
                    <w:spacing w:line="240" w:lineRule="exact"/>
                    <w:ind w:left="0" w:firstLine="0"/>
                    <w:rPr>
                      <w:noProof/>
                      <w:sz w:val="18"/>
                      <w:szCs w:val="18"/>
                    </w:rPr>
                  </w:pPr>
                  <w:r>
                    <w:rPr>
                      <w:sz w:val="18"/>
                    </w:rPr>
                    <w:t>%</w:t>
                  </w:r>
                </w:p>
              </w:tc>
              <w:tc>
                <w:tcPr>
                  <w:tcW w:w="2292" w:type="dxa"/>
                  <w:tcMar>
                    <w:left w:w="100" w:type="dxa"/>
                    <w:right w:w="100" w:type="dxa"/>
                  </w:tcMar>
                </w:tcPr>
                <w:p w14:paraId="63284FFC" w14:textId="77777777" w:rsidR="006561BA" w:rsidRDefault="005B4ED6">
                  <w:pPr>
                    <w:pStyle w:val="AnnexTableGrNotes"/>
                    <w:pageBreakBefore/>
                    <w:spacing w:line="240" w:lineRule="exact"/>
                    <w:ind w:left="0" w:firstLine="0"/>
                    <w:rPr>
                      <w:noProof/>
                      <w:sz w:val="18"/>
                      <w:szCs w:val="18"/>
                    </w:rPr>
                  </w:pPr>
                  <w:r>
                    <w:rPr>
                      <w:sz w:val="18"/>
                    </w:rPr>
                    <w:t>%</w:t>
                  </w:r>
                </w:p>
              </w:tc>
            </w:tr>
            <w:tr w:rsidR="006561BA" w14:paraId="2ACBDEAE" w14:textId="77777777">
              <w:tc>
                <w:tcPr>
                  <w:tcW w:w="1425" w:type="dxa"/>
                  <w:tcMar>
                    <w:left w:w="100" w:type="dxa"/>
                    <w:right w:w="100" w:type="dxa"/>
                  </w:tcMar>
                </w:tcPr>
                <w:p w14:paraId="12DBDD0E" w14:textId="77777777" w:rsidR="006561BA" w:rsidRDefault="005B4ED6">
                  <w:pPr>
                    <w:pStyle w:val="AnnexTableGrNotes"/>
                    <w:pageBreakBefore/>
                    <w:spacing w:line="240" w:lineRule="exact"/>
                    <w:ind w:left="0" w:firstLine="0"/>
                    <w:rPr>
                      <w:noProof/>
                      <w:sz w:val="18"/>
                      <w:szCs w:val="18"/>
                    </w:rPr>
                  </w:pPr>
                  <w:r>
                    <w:rPr>
                      <w:sz w:val="18"/>
                    </w:rPr>
                    <w:t>BIO</w:t>
                  </w:r>
                </w:p>
              </w:tc>
              <w:tc>
                <w:tcPr>
                  <w:tcW w:w="2244" w:type="dxa"/>
                  <w:tcMar>
                    <w:left w:w="100" w:type="dxa"/>
                    <w:right w:w="100" w:type="dxa"/>
                  </w:tcMar>
                </w:tcPr>
                <w:p w14:paraId="17BC2214" w14:textId="77777777" w:rsidR="006561BA" w:rsidRDefault="005B4ED6">
                  <w:pPr>
                    <w:pStyle w:val="AnnexTableGrNotes"/>
                    <w:pageBreakBefore/>
                    <w:spacing w:line="240" w:lineRule="exact"/>
                    <w:ind w:left="0" w:firstLine="0"/>
                    <w:rPr>
                      <w:noProof/>
                      <w:sz w:val="18"/>
                      <w:szCs w:val="18"/>
                    </w:rPr>
                  </w:pPr>
                  <w:r>
                    <w:rPr>
                      <w:sz w:val="18"/>
                    </w:rPr>
                    <w:t>%</w:t>
                  </w:r>
                </w:p>
              </w:tc>
              <w:tc>
                <w:tcPr>
                  <w:tcW w:w="2292" w:type="dxa"/>
                  <w:tcMar>
                    <w:left w:w="100" w:type="dxa"/>
                    <w:right w:w="100" w:type="dxa"/>
                  </w:tcMar>
                </w:tcPr>
                <w:p w14:paraId="27741164" w14:textId="77777777" w:rsidR="006561BA" w:rsidRDefault="005B4ED6">
                  <w:pPr>
                    <w:pStyle w:val="AnnexTableGrNotes"/>
                    <w:pageBreakBefore/>
                    <w:spacing w:line="240" w:lineRule="exact"/>
                    <w:ind w:left="0" w:firstLine="0"/>
                    <w:rPr>
                      <w:noProof/>
                      <w:sz w:val="18"/>
                      <w:szCs w:val="18"/>
                    </w:rPr>
                  </w:pPr>
                  <w:r>
                    <w:rPr>
                      <w:sz w:val="18"/>
                    </w:rPr>
                    <w:t>%</w:t>
                  </w:r>
                </w:p>
              </w:tc>
            </w:tr>
          </w:tbl>
          <w:p w14:paraId="6A2A7946" w14:textId="77777777" w:rsidR="006561BA" w:rsidRDefault="005B4ED6">
            <w:pPr>
              <w:pStyle w:val="AnnexTableGrNotes"/>
              <w:pageBreakBefore/>
              <w:spacing w:before="100" w:after="120" w:line="200" w:lineRule="exact"/>
              <w:ind w:left="284" w:hanging="284"/>
            </w:pPr>
            <w:r>
              <w:t>(</w:t>
            </w:r>
            <w:r>
              <w:rPr>
                <w:vertAlign w:val="superscript"/>
              </w:rPr>
              <w:t>d</w:t>
            </w:r>
            <w:r>
              <w:t>)</w:t>
            </w:r>
            <w:r>
              <w:tab/>
              <w:t>Den samme aktiviteten kan bare være forenlig med et eller flere miljømål som den er omfattet av.</w:t>
            </w:r>
          </w:p>
          <w:p w14:paraId="7A7B57E1" w14:textId="77777777" w:rsidR="006561BA" w:rsidRDefault="005B4ED6">
            <w:pPr>
              <w:pStyle w:val="AnnexTableGrNotes"/>
              <w:pageBreakBefore/>
              <w:spacing w:after="120" w:line="200" w:lineRule="exact"/>
              <w:ind w:left="278" w:hanging="278"/>
            </w:pPr>
            <w:r>
              <w:t>(</w:t>
            </w:r>
            <w:r>
              <w:rPr>
                <w:vertAlign w:val="superscript"/>
              </w:rPr>
              <w:t>e</w:t>
            </w:r>
            <w:r>
              <w:t>)</w:t>
            </w:r>
            <w:r>
              <w:tab/>
              <w:t>Den samme aktiviteten kan være omfattet av og ikke være forenlig med de relevante miljømålene.</w:t>
            </w:r>
          </w:p>
          <w:p w14:paraId="68E750B1" w14:textId="77777777" w:rsidR="006561BA" w:rsidRDefault="005B4ED6">
            <w:pPr>
              <w:pStyle w:val="AnnexTableGrNotes"/>
              <w:pageBreakBefore/>
              <w:spacing w:line="200" w:lineRule="exact"/>
              <w:ind w:left="267" w:hanging="267"/>
            </w:pPr>
            <w:r>
              <w:t>(</w:t>
            </w:r>
            <w:bookmarkStart w:id="394" w:name="NOTE_402"/>
            <w:r>
              <w:rPr>
                <w:vertAlign w:val="superscript"/>
              </w:rPr>
              <w:t>f</w:t>
            </w:r>
            <w:bookmarkEnd w:id="394"/>
            <w:r>
              <w:t>)</w:t>
            </w:r>
            <w:r>
              <w:tab/>
              <w:t>EL – Aktivitet som er omfattet av taksonomien for det relevante målet</w:t>
            </w:r>
          </w:p>
          <w:p w14:paraId="0D0F7D2E" w14:textId="77777777" w:rsidR="006561BA" w:rsidRDefault="005B4ED6">
            <w:pPr>
              <w:pStyle w:val="AnnexTableGrNotes"/>
              <w:pageBreakBefore/>
              <w:spacing w:after="120" w:line="200" w:lineRule="exact"/>
              <w:ind w:left="534" w:hanging="267"/>
            </w:pPr>
            <w:r>
              <w:t>N/EL – Aktivitet som ikke er omfattet av taksonomien for det relevante målet.</w:t>
            </w:r>
          </w:p>
          <w:p w14:paraId="26421040" w14:textId="77777777" w:rsidR="006561BA" w:rsidRDefault="005B4ED6">
            <w:pPr>
              <w:pStyle w:val="AnnexTableGrNotes"/>
              <w:pageBreakBefore/>
              <w:spacing w:after="120" w:line="200" w:lineRule="exact"/>
              <w:ind w:left="284" w:hanging="284"/>
            </w:pPr>
            <w:r>
              <w:t>(</w:t>
            </w:r>
            <w:bookmarkStart w:id="395" w:name="NOTE_403"/>
            <w:r>
              <w:rPr>
                <w:vertAlign w:val="superscript"/>
              </w:rPr>
              <w:t>g</w:t>
            </w:r>
            <w:bookmarkEnd w:id="395"/>
            <w:r>
              <w:t>)</w:t>
            </w:r>
            <w:r>
              <w:tab/>
              <w:t>Aktiviteter skal bare rapporteres i avsnitt A.2 i denne malen dersom de ikke er forenlige med noen av de miljømålene som de er omfattet av. Aktiviteter som er forenlige med minst ett miljømål, skal rapporteres i avsnitt A.1 i denne malen.</w:t>
            </w:r>
          </w:p>
          <w:p w14:paraId="4F76261D" w14:textId="77777777" w:rsidR="006561BA" w:rsidRDefault="005B4ED6">
            <w:pPr>
              <w:pStyle w:val="AnnexTableGrNotes"/>
              <w:pageBreakBefore/>
              <w:spacing w:line="200" w:lineRule="exact"/>
              <w:ind w:left="278" w:hanging="278"/>
            </w:pPr>
            <w:r>
              <w:t>(</w:t>
            </w:r>
            <w:bookmarkStart w:id="396" w:name="NOTE_404"/>
            <w:r>
              <w:rPr>
                <w:vertAlign w:val="superscript"/>
              </w:rPr>
              <w:t>h</w:t>
            </w:r>
            <w:bookmarkEnd w:id="396"/>
            <w:r>
              <w:t>)</w:t>
            </w:r>
            <w:r>
              <w:tab/>
              <w:t>For at en aktivitet skal bli rapportert i avsnitt A.1, skal alle DNSH-kriterier og minstegarantier være oppfylt. For aktiviteter som er oppført i A2, kan ikke-finansielle foretak fylle ut kolonne 5–17 på frivillig basis. Ikke-finansielle foretak kan angi det vesentlige bidraget og DNSH-kriteriene som de oppfyller eller ikke oppfyller, i avsnitt A.2 ved å anvende a) for vesentlig bidrag – J/N- og N/EL-koder istedenfor EL og N/EL, og b) for DNSH – J/N-koder.</w:t>
            </w:r>
          </w:p>
        </w:tc>
      </w:tr>
    </w:tbl>
    <w:p w14:paraId="77DFBA4A" w14:textId="77777777" w:rsidR="006561BA" w:rsidRDefault="005B4ED6">
      <w:pPr>
        <w:shd w:val="clear" w:color="auto" w:fill="auto"/>
        <w:jc w:val="left"/>
        <w:rPr>
          <w:i/>
          <w:color w:val="auto"/>
          <w:sz w:val="16"/>
          <w14:ligatures w14:val="standard"/>
        </w:rPr>
      </w:pPr>
      <w:r>
        <w:br w:type="page"/>
      </w:r>
    </w:p>
    <w:p w14:paraId="5CFAB00E" w14:textId="77777777" w:rsidR="006561BA" w:rsidRDefault="005B4ED6" w:rsidP="00980A19">
      <w:pPr>
        <w:pStyle w:val="AnnexGrSeq1"/>
        <w:spacing w:after="0" w:line="240" w:lineRule="exact"/>
        <w:ind w:left="386"/>
        <w:rPr>
          <w:sz w:val="18"/>
        </w:rPr>
      </w:pPr>
      <w:r>
        <w:rPr>
          <w:i/>
          <w:sz w:val="18"/>
        </w:rPr>
        <w:lastRenderedPageBreak/>
        <w:t>Mal: Andel av investeringsutgiftene fra produkter eller tjenester som er forbundet med taksonomiforenlige økonomiske aktiviteter – opplysninger for år N</w:t>
      </w:r>
    </w:p>
    <w:tbl>
      <w:tblPr>
        <w:tblStyle w:val="EFTATable"/>
        <w:tblW w:w="14316" w:type="dxa"/>
        <w:tblInd w:w="12" w:type="dxa"/>
        <w:tblLayout w:type="fixed"/>
        <w:tblLook w:val="04A0" w:firstRow="1" w:lastRow="0" w:firstColumn="1" w:lastColumn="0" w:noHBand="0" w:noVBand="1"/>
      </w:tblPr>
      <w:tblGrid>
        <w:gridCol w:w="1584"/>
        <w:gridCol w:w="720"/>
        <w:gridCol w:w="792"/>
        <w:gridCol w:w="936"/>
        <w:gridCol w:w="575"/>
        <w:gridCol w:w="145"/>
        <w:gridCol w:w="430"/>
        <w:gridCol w:w="170"/>
        <w:gridCol w:w="405"/>
        <w:gridCol w:w="87"/>
        <w:gridCol w:w="488"/>
        <w:gridCol w:w="136"/>
        <w:gridCol w:w="348"/>
        <w:gridCol w:w="91"/>
        <w:gridCol w:w="377"/>
        <w:gridCol w:w="198"/>
        <w:gridCol w:w="306"/>
        <w:gridCol w:w="269"/>
        <w:gridCol w:w="175"/>
        <w:gridCol w:w="400"/>
        <w:gridCol w:w="140"/>
        <w:gridCol w:w="324"/>
        <w:gridCol w:w="111"/>
        <w:gridCol w:w="321"/>
        <w:gridCol w:w="254"/>
        <w:gridCol w:w="575"/>
        <w:gridCol w:w="575"/>
        <w:gridCol w:w="576"/>
        <w:gridCol w:w="1188"/>
        <w:gridCol w:w="810"/>
        <w:gridCol w:w="810"/>
      </w:tblGrid>
      <w:tr w:rsidR="006561BA" w14:paraId="220CFFA3" w14:textId="77777777">
        <w:trPr>
          <w:trHeight w:val="240"/>
        </w:trPr>
        <w:tc>
          <w:tcPr>
            <w:tcW w:w="1584" w:type="dxa"/>
            <w:tcMar>
              <w:top w:w="60" w:type="dxa"/>
              <w:left w:w="0" w:type="dxa"/>
              <w:bottom w:w="60" w:type="dxa"/>
            </w:tcMar>
            <w:vAlign w:val="center"/>
          </w:tcPr>
          <w:p w14:paraId="1840EDB8" w14:textId="77777777" w:rsidR="006561BA" w:rsidRDefault="005B4ED6">
            <w:pPr>
              <w:pStyle w:val="AnnexTableHeader"/>
              <w:spacing w:line="200" w:lineRule="exact"/>
            </w:pPr>
            <w:r>
              <w:rPr>
                <w:b/>
              </w:rPr>
              <w:t>Regnskapsår N</w:t>
            </w:r>
          </w:p>
        </w:tc>
        <w:tc>
          <w:tcPr>
            <w:tcW w:w="2448" w:type="dxa"/>
            <w:gridSpan w:val="3"/>
            <w:tcMar>
              <w:top w:w="60" w:type="dxa"/>
              <w:bottom w:w="60" w:type="dxa"/>
            </w:tcMar>
            <w:vAlign w:val="center"/>
          </w:tcPr>
          <w:p w14:paraId="0DEC5D26" w14:textId="77777777" w:rsidR="006561BA" w:rsidRDefault="005B4ED6">
            <w:pPr>
              <w:pStyle w:val="AnnexTableHeader"/>
              <w:spacing w:line="200" w:lineRule="exact"/>
            </w:pPr>
            <w:r>
              <w:rPr>
                <w:b/>
              </w:rPr>
              <w:t>År</w:t>
            </w:r>
          </w:p>
        </w:tc>
        <w:tc>
          <w:tcPr>
            <w:tcW w:w="3450" w:type="dxa"/>
            <w:gridSpan w:val="12"/>
            <w:tcMar>
              <w:top w:w="60" w:type="dxa"/>
              <w:bottom w:w="60" w:type="dxa"/>
            </w:tcMar>
            <w:vAlign w:val="center"/>
          </w:tcPr>
          <w:p w14:paraId="3FBE4236" w14:textId="77777777" w:rsidR="006561BA" w:rsidRDefault="005B4ED6">
            <w:pPr>
              <w:pStyle w:val="AnnexTableHeader"/>
              <w:spacing w:line="200" w:lineRule="exact"/>
            </w:pPr>
            <w:r>
              <w:rPr>
                <w:b/>
              </w:rPr>
              <w:t>Kriterier for vesentlig bidrag</w:t>
            </w:r>
          </w:p>
        </w:tc>
        <w:tc>
          <w:tcPr>
            <w:tcW w:w="3450" w:type="dxa"/>
            <w:gridSpan w:val="11"/>
            <w:tcMar>
              <w:top w:w="60" w:type="dxa"/>
              <w:bottom w:w="60" w:type="dxa"/>
            </w:tcMar>
            <w:vAlign w:val="center"/>
          </w:tcPr>
          <w:p w14:paraId="00FEEF6E" w14:textId="347C8ACB" w:rsidR="006561BA" w:rsidRDefault="005B4ED6">
            <w:pPr>
              <w:pStyle w:val="AnnexTableHeader"/>
              <w:spacing w:line="200" w:lineRule="exact"/>
            </w:pPr>
            <w:r>
              <w:rPr>
                <w:b/>
                <w:bCs/>
              </w:rPr>
              <w:t>Kriterier mht. at aktiviteten ikke er til betydelig skade (DNSH)</w:t>
            </w:r>
            <w:r>
              <w:t xml:space="preserve"> (</w:t>
            </w:r>
            <w:r>
              <w:fldChar w:fldCharType="begin"/>
            </w:r>
            <w:r>
              <w:instrText xml:space="preserve"> REF NOTE_412 \h  \* MERGEFORMAT </w:instrText>
            </w:r>
            <w:r>
              <w:fldChar w:fldCharType="separate"/>
            </w:r>
            <w:r w:rsidR="00770AA2">
              <w:rPr>
                <w:vertAlign w:val="superscript"/>
              </w:rPr>
              <w:t>h</w:t>
            </w:r>
            <w:r>
              <w:fldChar w:fldCharType="end"/>
            </w:r>
            <w:r>
              <w:t>)</w:t>
            </w:r>
          </w:p>
        </w:tc>
        <w:tc>
          <w:tcPr>
            <w:tcW w:w="576" w:type="dxa"/>
            <w:tcMar>
              <w:top w:w="60" w:type="dxa"/>
              <w:bottom w:w="60" w:type="dxa"/>
            </w:tcMar>
            <w:vAlign w:val="center"/>
          </w:tcPr>
          <w:p w14:paraId="4F341252" w14:textId="77777777" w:rsidR="006561BA" w:rsidRDefault="006561BA">
            <w:pPr>
              <w:pStyle w:val="AnnexTableHeader"/>
              <w:spacing w:line="200" w:lineRule="exact"/>
            </w:pPr>
          </w:p>
        </w:tc>
        <w:tc>
          <w:tcPr>
            <w:tcW w:w="1188" w:type="dxa"/>
            <w:tcMar>
              <w:top w:w="60" w:type="dxa"/>
              <w:bottom w:w="60" w:type="dxa"/>
            </w:tcMar>
            <w:vAlign w:val="center"/>
          </w:tcPr>
          <w:p w14:paraId="1BAFB8F2" w14:textId="77777777" w:rsidR="006561BA" w:rsidRDefault="006561BA">
            <w:pPr>
              <w:pStyle w:val="AnnexTableHeader"/>
              <w:spacing w:line="200" w:lineRule="exact"/>
            </w:pPr>
          </w:p>
        </w:tc>
        <w:tc>
          <w:tcPr>
            <w:tcW w:w="810" w:type="dxa"/>
            <w:tcMar>
              <w:top w:w="60" w:type="dxa"/>
              <w:bottom w:w="60" w:type="dxa"/>
            </w:tcMar>
            <w:vAlign w:val="center"/>
          </w:tcPr>
          <w:p w14:paraId="3F56E319" w14:textId="77777777" w:rsidR="006561BA" w:rsidRDefault="006561BA">
            <w:pPr>
              <w:pStyle w:val="AnnexTableHeader"/>
              <w:spacing w:line="200" w:lineRule="exact"/>
            </w:pPr>
          </w:p>
        </w:tc>
        <w:tc>
          <w:tcPr>
            <w:tcW w:w="810" w:type="dxa"/>
            <w:tcMar>
              <w:top w:w="60" w:type="dxa"/>
              <w:bottom w:w="60" w:type="dxa"/>
              <w:right w:w="0" w:type="dxa"/>
            </w:tcMar>
            <w:vAlign w:val="center"/>
          </w:tcPr>
          <w:p w14:paraId="0352FEFE" w14:textId="77777777" w:rsidR="006561BA" w:rsidRDefault="006561BA">
            <w:pPr>
              <w:pStyle w:val="AnnexTableHeader"/>
              <w:spacing w:line="200" w:lineRule="exact"/>
            </w:pPr>
          </w:p>
        </w:tc>
      </w:tr>
      <w:tr w:rsidR="006561BA" w14:paraId="5672F950" w14:textId="77777777">
        <w:trPr>
          <w:cantSplit/>
          <w:trHeight w:val="1618"/>
        </w:trPr>
        <w:tc>
          <w:tcPr>
            <w:tcW w:w="1584" w:type="dxa"/>
            <w:tcMar>
              <w:top w:w="60" w:type="dxa"/>
              <w:left w:w="0" w:type="dxa"/>
              <w:bottom w:w="60" w:type="dxa"/>
            </w:tcMar>
            <w:vAlign w:val="center"/>
          </w:tcPr>
          <w:p w14:paraId="67B7CDE2" w14:textId="77777777" w:rsidR="006561BA" w:rsidRDefault="005B4ED6">
            <w:pPr>
              <w:pStyle w:val="AnnexTableHeader"/>
              <w:spacing w:line="200" w:lineRule="exact"/>
            </w:pPr>
            <w:r>
              <w:rPr>
                <w:b/>
              </w:rPr>
              <w:t>Økonomiske aktiviteter (1)</w:t>
            </w:r>
          </w:p>
        </w:tc>
        <w:tc>
          <w:tcPr>
            <w:tcW w:w="720" w:type="dxa"/>
            <w:tcMar>
              <w:top w:w="60" w:type="dxa"/>
              <w:bottom w:w="60" w:type="dxa"/>
            </w:tcMar>
            <w:vAlign w:val="center"/>
          </w:tcPr>
          <w:p w14:paraId="11623464" w14:textId="4502E21A" w:rsidR="006561BA" w:rsidRDefault="005B4ED6">
            <w:pPr>
              <w:pStyle w:val="AnnexTableHeader"/>
              <w:spacing w:line="200" w:lineRule="exact"/>
            </w:pPr>
            <w:r>
              <w:t>K</w:t>
            </w:r>
            <w:r>
              <w:rPr>
                <w:b/>
              </w:rPr>
              <w:t>ode</w:t>
            </w:r>
            <w:r>
              <w:t>(</w:t>
            </w:r>
            <w:r>
              <w:fldChar w:fldCharType="begin"/>
            </w:r>
            <w:r>
              <w:instrText xml:space="preserve"> REF NOTE_405 \h  \* MERGEFORMAT </w:instrText>
            </w:r>
            <w:r>
              <w:fldChar w:fldCharType="separate"/>
            </w:r>
            <w:r w:rsidR="00770AA2">
              <w:rPr>
                <w:vertAlign w:val="superscript"/>
              </w:rPr>
              <w:t>a</w:t>
            </w:r>
            <w:r>
              <w:fldChar w:fldCharType="end"/>
            </w:r>
            <w:r>
              <w:t xml:space="preserve">) </w:t>
            </w:r>
            <w:r>
              <w:rPr>
                <w:b/>
              </w:rPr>
              <w:t>(2)</w:t>
            </w:r>
          </w:p>
        </w:tc>
        <w:tc>
          <w:tcPr>
            <w:tcW w:w="792" w:type="dxa"/>
            <w:tcMar>
              <w:top w:w="60" w:type="dxa"/>
              <w:bottom w:w="60" w:type="dxa"/>
            </w:tcMar>
            <w:vAlign w:val="center"/>
          </w:tcPr>
          <w:p w14:paraId="7F809945" w14:textId="77777777" w:rsidR="006561BA" w:rsidRDefault="005B4ED6">
            <w:pPr>
              <w:pStyle w:val="AnnexTableHeader"/>
              <w:spacing w:line="200" w:lineRule="exact"/>
            </w:pPr>
            <w:r>
              <w:rPr>
                <w:b/>
              </w:rPr>
              <w:t>Investeringsutgifter (3)</w:t>
            </w:r>
          </w:p>
        </w:tc>
        <w:tc>
          <w:tcPr>
            <w:tcW w:w="936" w:type="dxa"/>
            <w:tcMar>
              <w:top w:w="60" w:type="dxa"/>
              <w:bottom w:w="60" w:type="dxa"/>
            </w:tcMar>
            <w:vAlign w:val="center"/>
          </w:tcPr>
          <w:p w14:paraId="0384EE12" w14:textId="77777777" w:rsidR="006561BA" w:rsidRDefault="005B4ED6">
            <w:pPr>
              <w:pStyle w:val="AnnexTableHeader"/>
              <w:spacing w:line="200" w:lineRule="exact"/>
            </w:pPr>
            <w:r>
              <w:rPr>
                <w:b/>
              </w:rPr>
              <w:t>Andel av investeringsutgifter, år N (4)</w:t>
            </w:r>
          </w:p>
        </w:tc>
        <w:tc>
          <w:tcPr>
            <w:tcW w:w="575" w:type="dxa"/>
            <w:tcMar>
              <w:top w:w="60" w:type="dxa"/>
              <w:bottom w:w="60" w:type="dxa"/>
            </w:tcMar>
            <w:textDirection w:val="btLr"/>
            <w:vAlign w:val="center"/>
          </w:tcPr>
          <w:p w14:paraId="1DADE1B6" w14:textId="77777777" w:rsidR="006561BA" w:rsidRDefault="005B4ED6">
            <w:pPr>
              <w:pStyle w:val="AnnexTableHeader"/>
              <w:spacing w:line="200" w:lineRule="exact"/>
              <w:jc w:val="left"/>
            </w:pPr>
            <w:r>
              <w:rPr>
                <w:b/>
              </w:rPr>
              <w:t>Begrensning av klimaendringer (5)</w:t>
            </w:r>
          </w:p>
        </w:tc>
        <w:tc>
          <w:tcPr>
            <w:tcW w:w="575" w:type="dxa"/>
            <w:gridSpan w:val="2"/>
            <w:tcMar>
              <w:top w:w="60" w:type="dxa"/>
              <w:bottom w:w="60" w:type="dxa"/>
            </w:tcMar>
            <w:textDirection w:val="btLr"/>
            <w:vAlign w:val="center"/>
          </w:tcPr>
          <w:p w14:paraId="32B8CD4C" w14:textId="77777777" w:rsidR="006561BA" w:rsidRDefault="005B4ED6">
            <w:pPr>
              <w:pStyle w:val="AnnexTableHeader"/>
              <w:spacing w:line="200" w:lineRule="exact"/>
              <w:jc w:val="left"/>
            </w:pPr>
            <w:r>
              <w:rPr>
                <w:b/>
              </w:rPr>
              <w:t>Tilpasning til klimaendringer (6)</w:t>
            </w:r>
          </w:p>
        </w:tc>
        <w:tc>
          <w:tcPr>
            <w:tcW w:w="575" w:type="dxa"/>
            <w:gridSpan w:val="2"/>
            <w:tcMar>
              <w:top w:w="60" w:type="dxa"/>
              <w:bottom w:w="60" w:type="dxa"/>
            </w:tcMar>
            <w:textDirection w:val="btLr"/>
            <w:vAlign w:val="center"/>
          </w:tcPr>
          <w:p w14:paraId="76A8AFB4" w14:textId="77777777" w:rsidR="006561BA" w:rsidRDefault="005B4ED6">
            <w:pPr>
              <w:pStyle w:val="AnnexTableHeader"/>
              <w:spacing w:line="200" w:lineRule="exact"/>
              <w:jc w:val="left"/>
            </w:pPr>
            <w:r>
              <w:rPr>
                <w:b/>
              </w:rPr>
              <w:t>Vann (7)</w:t>
            </w:r>
          </w:p>
        </w:tc>
        <w:tc>
          <w:tcPr>
            <w:tcW w:w="575" w:type="dxa"/>
            <w:gridSpan w:val="2"/>
            <w:tcMar>
              <w:top w:w="60" w:type="dxa"/>
              <w:bottom w:w="60" w:type="dxa"/>
            </w:tcMar>
            <w:textDirection w:val="btLr"/>
            <w:vAlign w:val="center"/>
          </w:tcPr>
          <w:p w14:paraId="40697717" w14:textId="77777777" w:rsidR="006561BA" w:rsidRDefault="005B4ED6">
            <w:pPr>
              <w:pStyle w:val="AnnexTableHeader"/>
              <w:spacing w:line="200" w:lineRule="exact"/>
              <w:jc w:val="left"/>
            </w:pPr>
            <w:r>
              <w:rPr>
                <w:b/>
              </w:rPr>
              <w:t>Forurensning (8)</w:t>
            </w:r>
          </w:p>
        </w:tc>
        <w:tc>
          <w:tcPr>
            <w:tcW w:w="575" w:type="dxa"/>
            <w:gridSpan w:val="3"/>
            <w:tcMar>
              <w:top w:w="60" w:type="dxa"/>
              <w:bottom w:w="60" w:type="dxa"/>
            </w:tcMar>
            <w:textDirection w:val="btLr"/>
            <w:vAlign w:val="center"/>
          </w:tcPr>
          <w:p w14:paraId="290A7A02" w14:textId="77777777" w:rsidR="006561BA" w:rsidRDefault="005B4ED6">
            <w:pPr>
              <w:pStyle w:val="AnnexTableHeader"/>
              <w:spacing w:line="200" w:lineRule="exact"/>
              <w:jc w:val="left"/>
            </w:pPr>
            <w:r>
              <w:rPr>
                <w:b/>
              </w:rPr>
              <w:t>Sirkulær økonomi (9)</w:t>
            </w:r>
          </w:p>
        </w:tc>
        <w:tc>
          <w:tcPr>
            <w:tcW w:w="575" w:type="dxa"/>
            <w:gridSpan w:val="2"/>
            <w:tcMar>
              <w:top w:w="60" w:type="dxa"/>
              <w:bottom w:w="60" w:type="dxa"/>
            </w:tcMar>
            <w:textDirection w:val="btLr"/>
            <w:vAlign w:val="center"/>
          </w:tcPr>
          <w:p w14:paraId="11F7719A" w14:textId="77777777" w:rsidR="006561BA" w:rsidRDefault="005B4ED6">
            <w:pPr>
              <w:pStyle w:val="AnnexTableHeader"/>
              <w:spacing w:line="200" w:lineRule="exact"/>
              <w:jc w:val="left"/>
            </w:pPr>
            <w:r>
              <w:rPr>
                <w:b/>
              </w:rPr>
              <w:t>Biologisk mangfold (10)</w:t>
            </w:r>
          </w:p>
        </w:tc>
        <w:tc>
          <w:tcPr>
            <w:tcW w:w="575" w:type="dxa"/>
            <w:gridSpan w:val="2"/>
            <w:tcMar>
              <w:top w:w="60" w:type="dxa"/>
              <w:bottom w:w="60" w:type="dxa"/>
            </w:tcMar>
            <w:textDirection w:val="btLr"/>
            <w:vAlign w:val="center"/>
          </w:tcPr>
          <w:p w14:paraId="5CCDD060" w14:textId="77777777" w:rsidR="006561BA" w:rsidRDefault="005B4ED6">
            <w:pPr>
              <w:pStyle w:val="AnnexTableHeader"/>
              <w:spacing w:line="200" w:lineRule="exact"/>
              <w:jc w:val="left"/>
            </w:pPr>
            <w:r>
              <w:rPr>
                <w:b/>
              </w:rPr>
              <w:t>Begrensning av klimaendringer (11)</w:t>
            </w:r>
          </w:p>
        </w:tc>
        <w:tc>
          <w:tcPr>
            <w:tcW w:w="575" w:type="dxa"/>
            <w:gridSpan w:val="2"/>
            <w:tcMar>
              <w:top w:w="60" w:type="dxa"/>
              <w:bottom w:w="60" w:type="dxa"/>
            </w:tcMar>
            <w:textDirection w:val="btLr"/>
            <w:vAlign w:val="center"/>
          </w:tcPr>
          <w:p w14:paraId="5EBFCBE3" w14:textId="77777777" w:rsidR="006561BA" w:rsidRDefault="005B4ED6">
            <w:pPr>
              <w:pStyle w:val="AnnexTableHeader"/>
              <w:spacing w:line="200" w:lineRule="exact"/>
              <w:jc w:val="left"/>
            </w:pPr>
            <w:r>
              <w:rPr>
                <w:b/>
              </w:rPr>
              <w:t>Tilpasning til klimaendringer (12)</w:t>
            </w:r>
          </w:p>
        </w:tc>
        <w:tc>
          <w:tcPr>
            <w:tcW w:w="575" w:type="dxa"/>
            <w:gridSpan w:val="3"/>
            <w:tcMar>
              <w:top w:w="60" w:type="dxa"/>
              <w:bottom w:w="60" w:type="dxa"/>
            </w:tcMar>
            <w:textDirection w:val="btLr"/>
            <w:vAlign w:val="center"/>
          </w:tcPr>
          <w:p w14:paraId="7EFDBB92" w14:textId="77777777" w:rsidR="006561BA" w:rsidRDefault="005B4ED6">
            <w:pPr>
              <w:pStyle w:val="AnnexTableHeader"/>
              <w:spacing w:line="200" w:lineRule="exact"/>
              <w:jc w:val="left"/>
            </w:pPr>
            <w:r>
              <w:rPr>
                <w:b/>
              </w:rPr>
              <w:t>Vann (13)</w:t>
            </w:r>
          </w:p>
        </w:tc>
        <w:tc>
          <w:tcPr>
            <w:tcW w:w="575" w:type="dxa"/>
            <w:gridSpan w:val="2"/>
            <w:tcMar>
              <w:top w:w="60" w:type="dxa"/>
              <w:bottom w:w="60" w:type="dxa"/>
            </w:tcMar>
            <w:textDirection w:val="btLr"/>
            <w:vAlign w:val="center"/>
          </w:tcPr>
          <w:p w14:paraId="6711D6C2" w14:textId="77777777" w:rsidR="006561BA" w:rsidRDefault="005B4ED6">
            <w:pPr>
              <w:pStyle w:val="AnnexTableHeader"/>
              <w:spacing w:line="200" w:lineRule="exact"/>
              <w:jc w:val="left"/>
            </w:pPr>
            <w:r>
              <w:rPr>
                <w:b/>
              </w:rPr>
              <w:t>Forurensning (14)</w:t>
            </w:r>
          </w:p>
        </w:tc>
        <w:tc>
          <w:tcPr>
            <w:tcW w:w="575" w:type="dxa"/>
            <w:tcMar>
              <w:top w:w="60" w:type="dxa"/>
              <w:bottom w:w="60" w:type="dxa"/>
            </w:tcMar>
            <w:textDirection w:val="btLr"/>
            <w:vAlign w:val="center"/>
          </w:tcPr>
          <w:p w14:paraId="3268C118" w14:textId="77777777" w:rsidR="006561BA" w:rsidRDefault="005B4ED6">
            <w:pPr>
              <w:pStyle w:val="AnnexTableHeader"/>
              <w:spacing w:line="200" w:lineRule="exact"/>
              <w:jc w:val="left"/>
            </w:pPr>
            <w:r>
              <w:rPr>
                <w:b/>
              </w:rPr>
              <w:t>Sirkulær økonomi (15)</w:t>
            </w:r>
          </w:p>
        </w:tc>
        <w:tc>
          <w:tcPr>
            <w:tcW w:w="575" w:type="dxa"/>
            <w:tcMar>
              <w:top w:w="60" w:type="dxa"/>
              <w:bottom w:w="60" w:type="dxa"/>
            </w:tcMar>
            <w:textDirection w:val="btLr"/>
            <w:vAlign w:val="center"/>
          </w:tcPr>
          <w:p w14:paraId="77C48FC8" w14:textId="77777777" w:rsidR="006561BA" w:rsidRDefault="005B4ED6">
            <w:pPr>
              <w:pStyle w:val="AnnexTableHeader"/>
              <w:spacing w:line="200" w:lineRule="exact"/>
              <w:jc w:val="left"/>
            </w:pPr>
            <w:r>
              <w:rPr>
                <w:b/>
              </w:rPr>
              <w:t>Biologisk mangfold (16)</w:t>
            </w:r>
          </w:p>
        </w:tc>
        <w:tc>
          <w:tcPr>
            <w:tcW w:w="576" w:type="dxa"/>
            <w:tcMar>
              <w:top w:w="60" w:type="dxa"/>
              <w:bottom w:w="60" w:type="dxa"/>
            </w:tcMar>
            <w:textDirection w:val="btLr"/>
            <w:vAlign w:val="center"/>
          </w:tcPr>
          <w:p w14:paraId="4ACCD23C" w14:textId="77777777" w:rsidR="006561BA" w:rsidRDefault="005B4ED6">
            <w:pPr>
              <w:pStyle w:val="AnnexTableHeader"/>
              <w:spacing w:line="200" w:lineRule="exact"/>
              <w:jc w:val="left"/>
            </w:pPr>
            <w:r>
              <w:rPr>
                <w:b/>
              </w:rPr>
              <w:t>Minstegarantier (17)</w:t>
            </w:r>
          </w:p>
        </w:tc>
        <w:tc>
          <w:tcPr>
            <w:tcW w:w="1188" w:type="dxa"/>
            <w:tcMar>
              <w:top w:w="60" w:type="dxa"/>
              <w:bottom w:w="60" w:type="dxa"/>
            </w:tcMar>
            <w:vAlign w:val="center"/>
          </w:tcPr>
          <w:p w14:paraId="2EAA14E6" w14:textId="77777777" w:rsidR="006561BA" w:rsidRDefault="005B4ED6">
            <w:pPr>
              <w:pStyle w:val="AnnexTableHeader"/>
              <w:spacing w:line="200" w:lineRule="exact"/>
            </w:pPr>
            <w:r>
              <w:rPr>
                <w:b/>
              </w:rPr>
              <w:t>Taksonomiforenlig andel (A.1.) eller andel som er omfattet av taksonomien (A.2.), Investeringsutgifter, år N-1 (18)</w:t>
            </w:r>
          </w:p>
        </w:tc>
        <w:tc>
          <w:tcPr>
            <w:tcW w:w="810" w:type="dxa"/>
            <w:tcMar>
              <w:top w:w="60" w:type="dxa"/>
              <w:bottom w:w="60" w:type="dxa"/>
            </w:tcMar>
            <w:vAlign w:val="center"/>
          </w:tcPr>
          <w:p w14:paraId="4DF091DF" w14:textId="77777777" w:rsidR="006561BA" w:rsidRDefault="005B4ED6">
            <w:pPr>
              <w:pStyle w:val="AnnexTableHeader"/>
              <w:spacing w:line="200" w:lineRule="exact"/>
            </w:pPr>
            <w:r>
              <w:rPr>
                <w:b/>
              </w:rPr>
              <w:t>Kategori muliggjørende aktivitet (19)</w:t>
            </w:r>
          </w:p>
        </w:tc>
        <w:tc>
          <w:tcPr>
            <w:tcW w:w="810" w:type="dxa"/>
            <w:tcMar>
              <w:top w:w="60" w:type="dxa"/>
              <w:bottom w:w="60" w:type="dxa"/>
              <w:right w:w="0" w:type="dxa"/>
            </w:tcMar>
            <w:vAlign w:val="center"/>
          </w:tcPr>
          <w:p w14:paraId="2118FB72" w14:textId="77777777" w:rsidR="006561BA" w:rsidRDefault="005B4ED6">
            <w:pPr>
              <w:pStyle w:val="AnnexTableHeader"/>
              <w:spacing w:line="200" w:lineRule="exact"/>
            </w:pPr>
            <w:r>
              <w:rPr>
                <w:b/>
              </w:rPr>
              <w:t>Kategori omstillingsaktivitet (20)</w:t>
            </w:r>
          </w:p>
        </w:tc>
      </w:tr>
      <w:tr w:rsidR="006561BA" w14:paraId="3FC28A6C" w14:textId="77777777">
        <w:trPr>
          <w:trHeight w:val="240"/>
        </w:trPr>
        <w:tc>
          <w:tcPr>
            <w:tcW w:w="1584" w:type="dxa"/>
            <w:tcMar>
              <w:top w:w="60" w:type="dxa"/>
              <w:left w:w="0" w:type="dxa"/>
              <w:bottom w:w="60" w:type="dxa"/>
            </w:tcMar>
            <w:vAlign w:val="center"/>
          </w:tcPr>
          <w:p w14:paraId="13D3550C" w14:textId="77777777" w:rsidR="006561BA" w:rsidRDefault="005B4ED6">
            <w:pPr>
              <w:pStyle w:val="AnnexTableCellLeft"/>
              <w:jc w:val="center"/>
            </w:pPr>
            <w:r>
              <w:rPr>
                <w:i/>
              </w:rPr>
              <w:t>Tekst</w:t>
            </w:r>
          </w:p>
        </w:tc>
        <w:tc>
          <w:tcPr>
            <w:tcW w:w="720" w:type="dxa"/>
            <w:tcMar>
              <w:top w:w="60" w:type="dxa"/>
              <w:bottom w:w="60" w:type="dxa"/>
            </w:tcMar>
            <w:vAlign w:val="center"/>
          </w:tcPr>
          <w:p w14:paraId="2D725ED0" w14:textId="77777777" w:rsidR="006561BA" w:rsidRDefault="006561BA">
            <w:pPr>
              <w:pStyle w:val="AnnexTableCellLeft"/>
              <w:jc w:val="center"/>
            </w:pPr>
          </w:p>
        </w:tc>
        <w:tc>
          <w:tcPr>
            <w:tcW w:w="792" w:type="dxa"/>
            <w:tcMar>
              <w:top w:w="60" w:type="dxa"/>
              <w:bottom w:w="60" w:type="dxa"/>
            </w:tcMar>
            <w:vAlign w:val="center"/>
          </w:tcPr>
          <w:p w14:paraId="17AC26E9" w14:textId="77777777" w:rsidR="006561BA" w:rsidRDefault="005B4ED6">
            <w:pPr>
              <w:pStyle w:val="AnnexTableCellLeft"/>
              <w:jc w:val="center"/>
            </w:pPr>
            <w:r>
              <w:rPr>
                <w:i/>
              </w:rPr>
              <w:t>Valuta</w:t>
            </w:r>
          </w:p>
        </w:tc>
        <w:tc>
          <w:tcPr>
            <w:tcW w:w="936" w:type="dxa"/>
            <w:tcMar>
              <w:top w:w="60" w:type="dxa"/>
              <w:bottom w:w="60" w:type="dxa"/>
            </w:tcMar>
            <w:vAlign w:val="center"/>
          </w:tcPr>
          <w:p w14:paraId="425D67D9" w14:textId="77777777" w:rsidR="006561BA" w:rsidRDefault="005B4ED6">
            <w:pPr>
              <w:pStyle w:val="AnnexTableCellLeft"/>
              <w:jc w:val="center"/>
            </w:pPr>
            <w:r>
              <w:rPr>
                <w:i/>
              </w:rPr>
              <w:t>%</w:t>
            </w:r>
          </w:p>
        </w:tc>
        <w:tc>
          <w:tcPr>
            <w:tcW w:w="575" w:type="dxa"/>
            <w:tcMar>
              <w:top w:w="60" w:type="dxa"/>
              <w:bottom w:w="60" w:type="dxa"/>
            </w:tcMar>
            <w:vAlign w:val="center"/>
          </w:tcPr>
          <w:p w14:paraId="1465DA4F" w14:textId="2CCAF140" w:rsidR="006561BA" w:rsidRDefault="005B4ED6">
            <w:pPr>
              <w:pStyle w:val="AnnexTableCellLeft"/>
              <w:jc w:val="center"/>
            </w:pPr>
            <w:r>
              <w:rPr>
                <w:i/>
              </w:rPr>
              <w:t>J, N, N/EL</w:t>
            </w:r>
            <w:r>
              <w:t> (</w:t>
            </w:r>
            <w:r>
              <w:fldChar w:fldCharType="begin"/>
            </w:r>
            <w:r>
              <w:instrText xml:space="preserve"> REF NOTE_406 \h  \* MERGEFORMAT </w:instrText>
            </w:r>
            <w:r>
              <w:fldChar w:fldCharType="separate"/>
            </w:r>
            <w:r w:rsidR="00770AA2">
              <w:rPr>
                <w:vertAlign w:val="superscript"/>
              </w:rPr>
              <w:t>b</w:t>
            </w:r>
            <w:r>
              <w:fldChar w:fldCharType="end"/>
            </w:r>
            <w:r>
              <w:t>) (</w:t>
            </w:r>
            <w:r>
              <w:fldChar w:fldCharType="begin"/>
            </w:r>
            <w:r>
              <w:instrText xml:space="preserve"> REF NOTE_407 \h  \* MERGEFORMAT </w:instrText>
            </w:r>
            <w:r>
              <w:fldChar w:fldCharType="separate"/>
            </w:r>
            <w:r w:rsidR="00770AA2">
              <w:rPr>
                <w:vertAlign w:val="superscript"/>
              </w:rPr>
              <w:t>c</w:t>
            </w:r>
            <w:r>
              <w:fldChar w:fldCharType="end"/>
            </w:r>
            <w:r>
              <w:t>)</w:t>
            </w:r>
          </w:p>
        </w:tc>
        <w:tc>
          <w:tcPr>
            <w:tcW w:w="575" w:type="dxa"/>
            <w:gridSpan w:val="2"/>
            <w:tcMar>
              <w:top w:w="60" w:type="dxa"/>
              <w:bottom w:w="60" w:type="dxa"/>
            </w:tcMar>
            <w:vAlign w:val="center"/>
          </w:tcPr>
          <w:p w14:paraId="2274C073" w14:textId="524B050E" w:rsidR="006561BA" w:rsidRDefault="005B4ED6">
            <w:pPr>
              <w:pStyle w:val="AnnexTableCellLeft"/>
              <w:jc w:val="center"/>
            </w:pPr>
            <w:r>
              <w:rPr>
                <w:i/>
              </w:rPr>
              <w:t>J, N, N/EL</w:t>
            </w:r>
            <w:r>
              <w:t> (</w:t>
            </w:r>
            <w:r>
              <w:fldChar w:fldCharType="begin"/>
            </w:r>
            <w:r>
              <w:instrText xml:space="preserve"> REF NOTE_406 \h  \* MERGEFORMAT </w:instrText>
            </w:r>
            <w:r>
              <w:fldChar w:fldCharType="separate"/>
            </w:r>
            <w:r w:rsidR="00770AA2">
              <w:rPr>
                <w:vertAlign w:val="superscript"/>
              </w:rPr>
              <w:t>b</w:t>
            </w:r>
            <w:r>
              <w:fldChar w:fldCharType="end"/>
            </w:r>
            <w:r>
              <w:t>) (</w:t>
            </w:r>
            <w:r>
              <w:fldChar w:fldCharType="begin"/>
            </w:r>
            <w:r>
              <w:instrText xml:space="preserve"> REF NOTE_407 \h  \* MERGEFORMAT </w:instrText>
            </w:r>
            <w:r>
              <w:fldChar w:fldCharType="separate"/>
            </w:r>
            <w:r w:rsidR="00770AA2">
              <w:rPr>
                <w:vertAlign w:val="superscript"/>
              </w:rPr>
              <w:t>c</w:t>
            </w:r>
            <w:r>
              <w:fldChar w:fldCharType="end"/>
            </w:r>
            <w:r>
              <w:t>)</w:t>
            </w:r>
          </w:p>
        </w:tc>
        <w:tc>
          <w:tcPr>
            <w:tcW w:w="575" w:type="dxa"/>
            <w:gridSpan w:val="2"/>
            <w:tcMar>
              <w:top w:w="60" w:type="dxa"/>
              <w:bottom w:w="60" w:type="dxa"/>
            </w:tcMar>
            <w:vAlign w:val="center"/>
          </w:tcPr>
          <w:p w14:paraId="7407B4A5" w14:textId="07A4BB79" w:rsidR="006561BA" w:rsidRDefault="005B4ED6">
            <w:pPr>
              <w:pStyle w:val="AnnexTableCellLeft"/>
              <w:jc w:val="center"/>
            </w:pPr>
            <w:r>
              <w:rPr>
                <w:i/>
              </w:rPr>
              <w:t>J, N, N/EL</w:t>
            </w:r>
            <w:r>
              <w:t> (</w:t>
            </w:r>
            <w:r>
              <w:fldChar w:fldCharType="begin"/>
            </w:r>
            <w:r>
              <w:instrText xml:space="preserve"> REF NOTE_406 \h  \* MERGEFORMAT </w:instrText>
            </w:r>
            <w:r>
              <w:fldChar w:fldCharType="separate"/>
            </w:r>
            <w:r w:rsidR="00770AA2">
              <w:rPr>
                <w:vertAlign w:val="superscript"/>
              </w:rPr>
              <w:t>b</w:t>
            </w:r>
            <w:r>
              <w:fldChar w:fldCharType="end"/>
            </w:r>
            <w:r>
              <w:t>) (</w:t>
            </w:r>
            <w:r>
              <w:fldChar w:fldCharType="begin"/>
            </w:r>
            <w:r>
              <w:instrText xml:space="preserve"> REF NOTE_407 \h  \* MERGEFORMAT </w:instrText>
            </w:r>
            <w:r>
              <w:fldChar w:fldCharType="separate"/>
            </w:r>
            <w:r w:rsidR="00770AA2">
              <w:rPr>
                <w:vertAlign w:val="superscript"/>
              </w:rPr>
              <w:t>c</w:t>
            </w:r>
            <w:r>
              <w:fldChar w:fldCharType="end"/>
            </w:r>
            <w:r>
              <w:t>)</w:t>
            </w:r>
          </w:p>
        </w:tc>
        <w:tc>
          <w:tcPr>
            <w:tcW w:w="575" w:type="dxa"/>
            <w:gridSpan w:val="2"/>
            <w:tcMar>
              <w:top w:w="60" w:type="dxa"/>
              <w:bottom w:w="60" w:type="dxa"/>
            </w:tcMar>
            <w:vAlign w:val="center"/>
          </w:tcPr>
          <w:p w14:paraId="66AA18F9" w14:textId="1C661072" w:rsidR="006561BA" w:rsidRDefault="005B4ED6">
            <w:pPr>
              <w:pStyle w:val="AnnexTableCellLeft"/>
              <w:jc w:val="center"/>
            </w:pPr>
            <w:r>
              <w:rPr>
                <w:i/>
              </w:rPr>
              <w:t>J, N, N/EL</w:t>
            </w:r>
            <w:r>
              <w:t> (</w:t>
            </w:r>
            <w:r>
              <w:fldChar w:fldCharType="begin"/>
            </w:r>
            <w:r>
              <w:instrText xml:space="preserve"> REF NOTE_406 \h  \* MERGEFORMAT </w:instrText>
            </w:r>
            <w:r>
              <w:fldChar w:fldCharType="separate"/>
            </w:r>
            <w:r w:rsidR="00770AA2">
              <w:rPr>
                <w:vertAlign w:val="superscript"/>
              </w:rPr>
              <w:t>b</w:t>
            </w:r>
            <w:r>
              <w:fldChar w:fldCharType="end"/>
            </w:r>
            <w:r>
              <w:t>) (</w:t>
            </w:r>
            <w:r>
              <w:fldChar w:fldCharType="begin"/>
            </w:r>
            <w:r>
              <w:instrText xml:space="preserve"> REF NOTE_407 \h  \* MERGEFORMAT </w:instrText>
            </w:r>
            <w:r>
              <w:fldChar w:fldCharType="separate"/>
            </w:r>
            <w:r w:rsidR="00770AA2">
              <w:rPr>
                <w:vertAlign w:val="superscript"/>
              </w:rPr>
              <w:t>c</w:t>
            </w:r>
            <w:r>
              <w:fldChar w:fldCharType="end"/>
            </w:r>
            <w:r>
              <w:t>)</w:t>
            </w:r>
          </w:p>
        </w:tc>
        <w:tc>
          <w:tcPr>
            <w:tcW w:w="575" w:type="dxa"/>
            <w:gridSpan w:val="3"/>
            <w:tcMar>
              <w:top w:w="60" w:type="dxa"/>
              <w:bottom w:w="60" w:type="dxa"/>
            </w:tcMar>
            <w:vAlign w:val="center"/>
          </w:tcPr>
          <w:p w14:paraId="268CEC30" w14:textId="06C5B067" w:rsidR="006561BA" w:rsidRDefault="005B4ED6">
            <w:pPr>
              <w:pStyle w:val="AnnexTableCellLeft"/>
              <w:jc w:val="center"/>
            </w:pPr>
            <w:r>
              <w:rPr>
                <w:i/>
              </w:rPr>
              <w:t>J, N, N/EL</w:t>
            </w:r>
            <w:r>
              <w:t> (</w:t>
            </w:r>
            <w:r>
              <w:fldChar w:fldCharType="begin"/>
            </w:r>
            <w:r>
              <w:instrText xml:space="preserve"> REF NOTE_406 \h  \* MERGEFORMAT </w:instrText>
            </w:r>
            <w:r>
              <w:fldChar w:fldCharType="separate"/>
            </w:r>
            <w:r w:rsidR="00770AA2">
              <w:rPr>
                <w:vertAlign w:val="superscript"/>
              </w:rPr>
              <w:t>b</w:t>
            </w:r>
            <w:r>
              <w:fldChar w:fldCharType="end"/>
            </w:r>
            <w:r>
              <w:t>) (</w:t>
            </w:r>
            <w:r>
              <w:fldChar w:fldCharType="begin"/>
            </w:r>
            <w:r>
              <w:instrText xml:space="preserve"> REF NOTE_407 \h  \* MERGEFORMAT </w:instrText>
            </w:r>
            <w:r>
              <w:fldChar w:fldCharType="separate"/>
            </w:r>
            <w:r w:rsidR="00770AA2">
              <w:rPr>
                <w:vertAlign w:val="superscript"/>
              </w:rPr>
              <w:t>c</w:t>
            </w:r>
            <w:r>
              <w:fldChar w:fldCharType="end"/>
            </w:r>
            <w:r>
              <w:t>)</w:t>
            </w:r>
          </w:p>
        </w:tc>
        <w:tc>
          <w:tcPr>
            <w:tcW w:w="575" w:type="dxa"/>
            <w:gridSpan w:val="2"/>
            <w:tcMar>
              <w:top w:w="60" w:type="dxa"/>
              <w:bottom w:w="60" w:type="dxa"/>
            </w:tcMar>
            <w:vAlign w:val="center"/>
          </w:tcPr>
          <w:p w14:paraId="074DBE37" w14:textId="60170728" w:rsidR="006561BA" w:rsidRDefault="005B4ED6">
            <w:pPr>
              <w:pStyle w:val="AnnexTableCellLeft"/>
              <w:jc w:val="center"/>
            </w:pPr>
            <w:r>
              <w:rPr>
                <w:i/>
              </w:rPr>
              <w:t>J, N, N/EL</w:t>
            </w:r>
            <w:r>
              <w:t> (</w:t>
            </w:r>
            <w:r>
              <w:fldChar w:fldCharType="begin"/>
            </w:r>
            <w:r>
              <w:instrText xml:space="preserve"> REF NOTE_406 \h  \* MERGEFORMAT </w:instrText>
            </w:r>
            <w:r>
              <w:fldChar w:fldCharType="separate"/>
            </w:r>
            <w:r w:rsidR="00770AA2">
              <w:rPr>
                <w:vertAlign w:val="superscript"/>
              </w:rPr>
              <w:t>b</w:t>
            </w:r>
            <w:r>
              <w:fldChar w:fldCharType="end"/>
            </w:r>
            <w:r>
              <w:t>) (</w:t>
            </w:r>
            <w:r>
              <w:fldChar w:fldCharType="begin"/>
            </w:r>
            <w:r>
              <w:instrText xml:space="preserve"> REF NOTE_407 \h  \* MERGEFORMAT </w:instrText>
            </w:r>
            <w:r>
              <w:fldChar w:fldCharType="separate"/>
            </w:r>
            <w:r w:rsidR="00770AA2">
              <w:rPr>
                <w:vertAlign w:val="superscript"/>
              </w:rPr>
              <w:t>c</w:t>
            </w:r>
            <w:r>
              <w:fldChar w:fldCharType="end"/>
            </w:r>
            <w:r>
              <w:t>)</w:t>
            </w:r>
          </w:p>
        </w:tc>
        <w:tc>
          <w:tcPr>
            <w:tcW w:w="575" w:type="dxa"/>
            <w:gridSpan w:val="2"/>
            <w:tcMar>
              <w:top w:w="60" w:type="dxa"/>
              <w:bottom w:w="60" w:type="dxa"/>
            </w:tcMar>
            <w:vAlign w:val="center"/>
          </w:tcPr>
          <w:p w14:paraId="4C86F01D" w14:textId="77777777" w:rsidR="006561BA" w:rsidRDefault="005B4ED6">
            <w:pPr>
              <w:pStyle w:val="AnnexTableCellLeft"/>
              <w:jc w:val="center"/>
            </w:pPr>
            <w:r>
              <w:rPr>
                <w:i/>
              </w:rPr>
              <w:t>J/N</w:t>
            </w:r>
          </w:p>
        </w:tc>
        <w:tc>
          <w:tcPr>
            <w:tcW w:w="575" w:type="dxa"/>
            <w:gridSpan w:val="2"/>
            <w:tcMar>
              <w:top w:w="60" w:type="dxa"/>
              <w:bottom w:w="60" w:type="dxa"/>
            </w:tcMar>
            <w:vAlign w:val="center"/>
          </w:tcPr>
          <w:p w14:paraId="6FB661D9" w14:textId="77777777" w:rsidR="006561BA" w:rsidRDefault="005B4ED6">
            <w:pPr>
              <w:pStyle w:val="AnnexTableCellLeft"/>
              <w:jc w:val="center"/>
            </w:pPr>
            <w:r>
              <w:rPr>
                <w:i/>
              </w:rPr>
              <w:t>J/N</w:t>
            </w:r>
          </w:p>
        </w:tc>
        <w:tc>
          <w:tcPr>
            <w:tcW w:w="575" w:type="dxa"/>
            <w:gridSpan w:val="3"/>
            <w:tcMar>
              <w:top w:w="60" w:type="dxa"/>
              <w:bottom w:w="60" w:type="dxa"/>
            </w:tcMar>
            <w:vAlign w:val="center"/>
          </w:tcPr>
          <w:p w14:paraId="42D4AF74" w14:textId="77777777" w:rsidR="006561BA" w:rsidRDefault="005B4ED6">
            <w:pPr>
              <w:pStyle w:val="AnnexTableCellLeft"/>
              <w:jc w:val="center"/>
            </w:pPr>
            <w:r>
              <w:rPr>
                <w:i/>
              </w:rPr>
              <w:t>J/N</w:t>
            </w:r>
          </w:p>
        </w:tc>
        <w:tc>
          <w:tcPr>
            <w:tcW w:w="575" w:type="dxa"/>
            <w:gridSpan w:val="2"/>
            <w:tcMar>
              <w:top w:w="60" w:type="dxa"/>
              <w:bottom w:w="60" w:type="dxa"/>
            </w:tcMar>
            <w:vAlign w:val="center"/>
          </w:tcPr>
          <w:p w14:paraId="745BC516" w14:textId="77777777" w:rsidR="006561BA" w:rsidRDefault="005B4ED6">
            <w:pPr>
              <w:pStyle w:val="AnnexTableCellLeft"/>
              <w:jc w:val="center"/>
            </w:pPr>
            <w:r>
              <w:rPr>
                <w:i/>
              </w:rPr>
              <w:t>J/N</w:t>
            </w:r>
          </w:p>
        </w:tc>
        <w:tc>
          <w:tcPr>
            <w:tcW w:w="575" w:type="dxa"/>
            <w:tcMar>
              <w:top w:w="60" w:type="dxa"/>
              <w:bottom w:w="60" w:type="dxa"/>
            </w:tcMar>
            <w:vAlign w:val="center"/>
          </w:tcPr>
          <w:p w14:paraId="7FA4D5EC" w14:textId="77777777" w:rsidR="006561BA" w:rsidRDefault="005B4ED6">
            <w:pPr>
              <w:pStyle w:val="AnnexTableCellLeft"/>
              <w:jc w:val="center"/>
            </w:pPr>
            <w:r>
              <w:rPr>
                <w:i/>
              </w:rPr>
              <w:t>J/N</w:t>
            </w:r>
          </w:p>
        </w:tc>
        <w:tc>
          <w:tcPr>
            <w:tcW w:w="575" w:type="dxa"/>
            <w:tcMar>
              <w:top w:w="60" w:type="dxa"/>
              <w:bottom w:w="60" w:type="dxa"/>
            </w:tcMar>
            <w:vAlign w:val="center"/>
          </w:tcPr>
          <w:p w14:paraId="71AFC587" w14:textId="77777777" w:rsidR="006561BA" w:rsidRDefault="005B4ED6">
            <w:pPr>
              <w:pStyle w:val="AnnexTableCellLeft"/>
              <w:jc w:val="center"/>
            </w:pPr>
            <w:r>
              <w:rPr>
                <w:i/>
              </w:rPr>
              <w:t>J/N</w:t>
            </w:r>
          </w:p>
        </w:tc>
        <w:tc>
          <w:tcPr>
            <w:tcW w:w="576" w:type="dxa"/>
            <w:tcMar>
              <w:top w:w="60" w:type="dxa"/>
              <w:bottom w:w="60" w:type="dxa"/>
            </w:tcMar>
            <w:vAlign w:val="center"/>
          </w:tcPr>
          <w:p w14:paraId="7F39C38D" w14:textId="77777777" w:rsidR="006561BA" w:rsidRDefault="005B4ED6">
            <w:pPr>
              <w:pStyle w:val="AnnexTableCellLeft"/>
              <w:jc w:val="center"/>
            </w:pPr>
            <w:r>
              <w:rPr>
                <w:i/>
              </w:rPr>
              <w:t>J/N</w:t>
            </w:r>
          </w:p>
        </w:tc>
        <w:tc>
          <w:tcPr>
            <w:tcW w:w="1188" w:type="dxa"/>
            <w:tcMar>
              <w:top w:w="60" w:type="dxa"/>
              <w:bottom w:w="60" w:type="dxa"/>
            </w:tcMar>
            <w:vAlign w:val="center"/>
          </w:tcPr>
          <w:p w14:paraId="660FEDA2" w14:textId="77777777" w:rsidR="006561BA" w:rsidRDefault="005B4ED6">
            <w:pPr>
              <w:pStyle w:val="AnnexTableCellLeft"/>
              <w:jc w:val="center"/>
            </w:pPr>
            <w:r>
              <w:rPr>
                <w:i/>
              </w:rPr>
              <w:t>%</w:t>
            </w:r>
          </w:p>
        </w:tc>
        <w:tc>
          <w:tcPr>
            <w:tcW w:w="810" w:type="dxa"/>
            <w:tcMar>
              <w:top w:w="60" w:type="dxa"/>
              <w:bottom w:w="60" w:type="dxa"/>
            </w:tcMar>
            <w:vAlign w:val="center"/>
          </w:tcPr>
          <w:p w14:paraId="0C1C51F9" w14:textId="77777777" w:rsidR="006561BA" w:rsidRDefault="005B4ED6">
            <w:pPr>
              <w:pStyle w:val="AnnexTableCellLeft"/>
              <w:jc w:val="center"/>
            </w:pPr>
            <w:r>
              <w:rPr>
                <w:i/>
              </w:rPr>
              <w:t>Muliggjørende</w:t>
            </w:r>
          </w:p>
        </w:tc>
        <w:tc>
          <w:tcPr>
            <w:tcW w:w="810" w:type="dxa"/>
            <w:tcMar>
              <w:top w:w="60" w:type="dxa"/>
              <w:bottom w:w="60" w:type="dxa"/>
              <w:right w:w="0" w:type="dxa"/>
            </w:tcMar>
            <w:vAlign w:val="center"/>
          </w:tcPr>
          <w:p w14:paraId="35816312" w14:textId="77777777" w:rsidR="006561BA" w:rsidRDefault="005B4ED6">
            <w:pPr>
              <w:pStyle w:val="AnnexTableCellLeft"/>
              <w:jc w:val="center"/>
            </w:pPr>
            <w:r>
              <w:rPr>
                <w:i/>
              </w:rPr>
              <w:t>Omstilling</w:t>
            </w:r>
          </w:p>
        </w:tc>
      </w:tr>
      <w:tr w:rsidR="006561BA" w14:paraId="68C632C1" w14:textId="77777777">
        <w:tc>
          <w:tcPr>
            <w:tcW w:w="14316" w:type="dxa"/>
            <w:gridSpan w:val="31"/>
            <w:tcMar>
              <w:top w:w="60" w:type="dxa"/>
              <w:left w:w="0" w:type="dxa"/>
              <w:bottom w:w="60" w:type="dxa"/>
              <w:right w:w="0" w:type="dxa"/>
            </w:tcMar>
          </w:tcPr>
          <w:p w14:paraId="254525C1" w14:textId="77777777" w:rsidR="006561BA" w:rsidRDefault="005B4ED6">
            <w:pPr>
              <w:pStyle w:val="AnnexNumberedText"/>
              <w:spacing w:after="0" w:line="200" w:lineRule="exact"/>
              <w:ind w:left="453" w:hanging="453"/>
              <w:rPr>
                <w:sz w:val="16"/>
              </w:rPr>
            </w:pPr>
            <w:r>
              <w:rPr>
                <w:sz w:val="16"/>
              </w:rPr>
              <w:t>A.</w:t>
            </w:r>
            <w:r>
              <w:rPr>
                <w:b/>
                <w:sz w:val="16"/>
              </w:rPr>
              <w:tab/>
              <w:t>AKTIVITETER SOM ER OMFATTET AV TAKSONOMIEN</w:t>
            </w:r>
          </w:p>
        </w:tc>
      </w:tr>
      <w:tr w:rsidR="006561BA" w14:paraId="14ACAC94" w14:textId="77777777">
        <w:tc>
          <w:tcPr>
            <w:tcW w:w="14316" w:type="dxa"/>
            <w:gridSpan w:val="31"/>
            <w:tcMar>
              <w:top w:w="60" w:type="dxa"/>
              <w:left w:w="0" w:type="dxa"/>
              <w:bottom w:w="60" w:type="dxa"/>
              <w:right w:w="0" w:type="dxa"/>
            </w:tcMar>
          </w:tcPr>
          <w:p w14:paraId="1696078F" w14:textId="77777777" w:rsidR="006561BA" w:rsidRDefault="005B4ED6">
            <w:pPr>
              <w:pStyle w:val="AnnexNumberedText"/>
              <w:spacing w:after="0"/>
              <w:ind w:left="453" w:hanging="453"/>
            </w:pPr>
            <w:r>
              <w:t>A.1.</w:t>
            </w:r>
            <w:r>
              <w:rPr>
                <w:b/>
              </w:rPr>
              <w:tab/>
              <w:t>Miljømessig bærekraftige (taksonomiforenlige) aktiviteter</w:t>
            </w:r>
          </w:p>
        </w:tc>
      </w:tr>
      <w:tr w:rsidR="006561BA" w14:paraId="07347BF0" w14:textId="77777777">
        <w:tc>
          <w:tcPr>
            <w:tcW w:w="1584" w:type="dxa"/>
            <w:tcMar>
              <w:top w:w="60" w:type="dxa"/>
              <w:left w:w="0" w:type="dxa"/>
              <w:bottom w:w="60" w:type="dxa"/>
            </w:tcMar>
          </w:tcPr>
          <w:p w14:paraId="3F656303" w14:textId="77777777" w:rsidR="006561BA" w:rsidRDefault="005B4ED6">
            <w:pPr>
              <w:pStyle w:val="AnnexTableCellLeft"/>
            </w:pPr>
            <w:r>
              <w:t>Aktivitet 1</w:t>
            </w:r>
          </w:p>
        </w:tc>
        <w:tc>
          <w:tcPr>
            <w:tcW w:w="720" w:type="dxa"/>
            <w:tcMar>
              <w:top w:w="60" w:type="dxa"/>
              <w:bottom w:w="60" w:type="dxa"/>
            </w:tcMar>
          </w:tcPr>
          <w:p w14:paraId="2F943B3D" w14:textId="77777777" w:rsidR="006561BA" w:rsidRDefault="006561BA">
            <w:pPr>
              <w:pStyle w:val="AnnexTableCellLeft"/>
            </w:pPr>
          </w:p>
        </w:tc>
        <w:tc>
          <w:tcPr>
            <w:tcW w:w="792" w:type="dxa"/>
            <w:tcMar>
              <w:top w:w="60" w:type="dxa"/>
              <w:bottom w:w="60" w:type="dxa"/>
            </w:tcMar>
          </w:tcPr>
          <w:p w14:paraId="64B16222" w14:textId="77777777" w:rsidR="006561BA" w:rsidRDefault="006561BA">
            <w:pPr>
              <w:pStyle w:val="AnnexTableCellLeft"/>
            </w:pPr>
          </w:p>
        </w:tc>
        <w:tc>
          <w:tcPr>
            <w:tcW w:w="936" w:type="dxa"/>
            <w:tcMar>
              <w:top w:w="60" w:type="dxa"/>
              <w:bottom w:w="60" w:type="dxa"/>
            </w:tcMar>
            <w:vAlign w:val="center"/>
          </w:tcPr>
          <w:p w14:paraId="040E9D6E" w14:textId="77777777" w:rsidR="006561BA" w:rsidRDefault="005B4ED6">
            <w:pPr>
              <w:pStyle w:val="AnnexTableCellLeft"/>
              <w:jc w:val="center"/>
            </w:pPr>
            <w:r>
              <w:t>%</w:t>
            </w:r>
          </w:p>
        </w:tc>
        <w:tc>
          <w:tcPr>
            <w:tcW w:w="575" w:type="dxa"/>
            <w:tcMar>
              <w:top w:w="60" w:type="dxa"/>
              <w:bottom w:w="60" w:type="dxa"/>
            </w:tcMar>
            <w:vAlign w:val="center"/>
          </w:tcPr>
          <w:p w14:paraId="3FBA27BA" w14:textId="77777777" w:rsidR="006561BA" w:rsidRDefault="006561BA">
            <w:pPr>
              <w:pStyle w:val="AnnexTableCellLeft"/>
              <w:jc w:val="center"/>
            </w:pPr>
          </w:p>
        </w:tc>
        <w:tc>
          <w:tcPr>
            <w:tcW w:w="575" w:type="dxa"/>
            <w:gridSpan w:val="2"/>
            <w:tcMar>
              <w:top w:w="60" w:type="dxa"/>
              <w:bottom w:w="60" w:type="dxa"/>
            </w:tcMar>
            <w:vAlign w:val="center"/>
          </w:tcPr>
          <w:p w14:paraId="6392EF32" w14:textId="77777777" w:rsidR="006561BA" w:rsidRDefault="006561BA">
            <w:pPr>
              <w:pStyle w:val="AnnexTableCellLeft"/>
              <w:jc w:val="center"/>
            </w:pPr>
          </w:p>
        </w:tc>
        <w:tc>
          <w:tcPr>
            <w:tcW w:w="575" w:type="dxa"/>
            <w:gridSpan w:val="2"/>
            <w:tcMar>
              <w:top w:w="60" w:type="dxa"/>
              <w:bottom w:w="60" w:type="dxa"/>
            </w:tcMar>
            <w:vAlign w:val="center"/>
          </w:tcPr>
          <w:p w14:paraId="16EF4F32" w14:textId="77777777" w:rsidR="006561BA" w:rsidRDefault="006561BA">
            <w:pPr>
              <w:pStyle w:val="AnnexTableCellLeft"/>
              <w:jc w:val="center"/>
            </w:pPr>
          </w:p>
        </w:tc>
        <w:tc>
          <w:tcPr>
            <w:tcW w:w="575" w:type="dxa"/>
            <w:gridSpan w:val="2"/>
            <w:tcMar>
              <w:top w:w="60" w:type="dxa"/>
              <w:bottom w:w="60" w:type="dxa"/>
            </w:tcMar>
            <w:vAlign w:val="center"/>
          </w:tcPr>
          <w:p w14:paraId="75BDF891" w14:textId="77777777" w:rsidR="006561BA" w:rsidRDefault="006561BA">
            <w:pPr>
              <w:pStyle w:val="AnnexTableCellLeft"/>
              <w:jc w:val="center"/>
            </w:pPr>
          </w:p>
        </w:tc>
        <w:tc>
          <w:tcPr>
            <w:tcW w:w="575" w:type="dxa"/>
            <w:gridSpan w:val="3"/>
            <w:tcMar>
              <w:top w:w="60" w:type="dxa"/>
              <w:bottom w:w="60" w:type="dxa"/>
            </w:tcMar>
            <w:vAlign w:val="center"/>
          </w:tcPr>
          <w:p w14:paraId="13F5D6DA" w14:textId="77777777" w:rsidR="006561BA" w:rsidRDefault="006561BA">
            <w:pPr>
              <w:pStyle w:val="AnnexTableCellLeft"/>
              <w:jc w:val="center"/>
            </w:pPr>
          </w:p>
        </w:tc>
        <w:tc>
          <w:tcPr>
            <w:tcW w:w="575" w:type="dxa"/>
            <w:gridSpan w:val="2"/>
            <w:tcMar>
              <w:top w:w="60" w:type="dxa"/>
              <w:bottom w:w="60" w:type="dxa"/>
            </w:tcMar>
            <w:vAlign w:val="center"/>
          </w:tcPr>
          <w:p w14:paraId="59402C8E" w14:textId="77777777" w:rsidR="006561BA" w:rsidRDefault="006561BA">
            <w:pPr>
              <w:pStyle w:val="AnnexTableCellLeft"/>
              <w:jc w:val="center"/>
            </w:pPr>
          </w:p>
        </w:tc>
        <w:tc>
          <w:tcPr>
            <w:tcW w:w="575" w:type="dxa"/>
            <w:gridSpan w:val="2"/>
            <w:tcMar>
              <w:top w:w="60" w:type="dxa"/>
              <w:bottom w:w="60" w:type="dxa"/>
            </w:tcMar>
            <w:vAlign w:val="center"/>
          </w:tcPr>
          <w:p w14:paraId="0DFA28BE" w14:textId="77777777" w:rsidR="006561BA" w:rsidRDefault="005B4ED6">
            <w:pPr>
              <w:pStyle w:val="AnnexTableCellLeft"/>
              <w:jc w:val="center"/>
            </w:pPr>
            <w:r>
              <w:t>J</w:t>
            </w:r>
          </w:p>
        </w:tc>
        <w:tc>
          <w:tcPr>
            <w:tcW w:w="575" w:type="dxa"/>
            <w:gridSpan w:val="2"/>
            <w:tcMar>
              <w:top w:w="60" w:type="dxa"/>
              <w:bottom w:w="60" w:type="dxa"/>
            </w:tcMar>
            <w:vAlign w:val="center"/>
          </w:tcPr>
          <w:p w14:paraId="50F9BCBE" w14:textId="77777777" w:rsidR="006561BA" w:rsidRDefault="005B4ED6">
            <w:pPr>
              <w:pStyle w:val="AnnexTableCellLeft"/>
              <w:jc w:val="center"/>
            </w:pPr>
            <w:r>
              <w:t>J</w:t>
            </w:r>
          </w:p>
        </w:tc>
        <w:tc>
          <w:tcPr>
            <w:tcW w:w="575" w:type="dxa"/>
            <w:gridSpan w:val="3"/>
            <w:tcMar>
              <w:top w:w="60" w:type="dxa"/>
              <w:bottom w:w="60" w:type="dxa"/>
            </w:tcMar>
            <w:vAlign w:val="center"/>
          </w:tcPr>
          <w:p w14:paraId="17CA95F3" w14:textId="77777777" w:rsidR="006561BA" w:rsidRDefault="005B4ED6">
            <w:pPr>
              <w:pStyle w:val="AnnexTableCellLeft"/>
              <w:jc w:val="center"/>
            </w:pPr>
            <w:r>
              <w:t>J</w:t>
            </w:r>
          </w:p>
        </w:tc>
        <w:tc>
          <w:tcPr>
            <w:tcW w:w="575" w:type="dxa"/>
            <w:gridSpan w:val="2"/>
            <w:tcMar>
              <w:top w:w="60" w:type="dxa"/>
              <w:bottom w:w="60" w:type="dxa"/>
            </w:tcMar>
            <w:vAlign w:val="center"/>
          </w:tcPr>
          <w:p w14:paraId="51E74559" w14:textId="77777777" w:rsidR="006561BA" w:rsidRDefault="005B4ED6">
            <w:pPr>
              <w:pStyle w:val="AnnexTableCellLeft"/>
              <w:jc w:val="center"/>
            </w:pPr>
            <w:r>
              <w:t>J</w:t>
            </w:r>
          </w:p>
        </w:tc>
        <w:tc>
          <w:tcPr>
            <w:tcW w:w="575" w:type="dxa"/>
            <w:tcMar>
              <w:top w:w="60" w:type="dxa"/>
              <w:bottom w:w="60" w:type="dxa"/>
            </w:tcMar>
            <w:vAlign w:val="center"/>
          </w:tcPr>
          <w:p w14:paraId="305C3868" w14:textId="77777777" w:rsidR="006561BA" w:rsidRDefault="005B4ED6">
            <w:pPr>
              <w:pStyle w:val="AnnexTableCellLeft"/>
              <w:jc w:val="center"/>
            </w:pPr>
            <w:r>
              <w:t>J</w:t>
            </w:r>
          </w:p>
        </w:tc>
        <w:tc>
          <w:tcPr>
            <w:tcW w:w="575" w:type="dxa"/>
            <w:tcMar>
              <w:top w:w="60" w:type="dxa"/>
              <w:bottom w:w="60" w:type="dxa"/>
            </w:tcMar>
            <w:vAlign w:val="center"/>
          </w:tcPr>
          <w:p w14:paraId="5CECB5C9" w14:textId="77777777" w:rsidR="006561BA" w:rsidRDefault="005B4ED6">
            <w:pPr>
              <w:pStyle w:val="AnnexTableCellLeft"/>
              <w:jc w:val="center"/>
            </w:pPr>
            <w:r>
              <w:t>J</w:t>
            </w:r>
          </w:p>
        </w:tc>
        <w:tc>
          <w:tcPr>
            <w:tcW w:w="576" w:type="dxa"/>
            <w:tcMar>
              <w:top w:w="60" w:type="dxa"/>
              <w:bottom w:w="60" w:type="dxa"/>
            </w:tcMar>
            <w:vAlign w:val="center"/>
          </w:tcPr>
          <w:p w14:paraId="0006CF38" w14:textId="77777777" w:rsidR="006561BA" w:rsidRDefault="005B4ED6">
            <w:pPr>
              <w:pStyle w:val="AnnexTableCellLeft"/>
              <w:jc w:val="center"/>
            </w:pPr>
            <w:r>
              <w:t>J</w:t>
            </w:r>
          </w:p>
        </w:tc>
        <w:tc>
          <w:tcPr>
            <w:tcW w:w="1188" w:type="dxa"/>
            <w:tcMar>
              <w:top w:w="60" w:type="dxa"/>
              <w:bottom w:w="60" w:type="dxa"/>
            </w:tcMar>
            <w:vAlign w:val="center"/>
          </w:tcPr>
          <w:p w14:paraId="204839BD" w14:textId="77777777" w:rsidR="006561BA" w:rsidRDefault="005B4ED6">
            <w:pPr>
              <w:pStyle w:val="AnnexTableCellLeft"/>
              <w:jc w:val="center"/>
            </w:pPr>
            <w:r>
              <w:t>%</w:t>
            </w:r>
          </w:p>
        </w:tc>
        <w:tc>
          <w:tcPr>
            <w:tcW w:w="810" w:type="dxa"/>
            <w:tcMar>
              <w:top w:w="60" w:type="dxa"/>
              <w:bottom w:w="60" w:type="dxa"/>
            </w:tcMar>
            <w:vAlign w:val="center"/>
          </w:tcPr>
          <w:p w14:paraId="0DDBC974" w14:textId="77777777" w:rsidR="006561BA" w:rsidRDefault="006561BA">
            <w:pPr>
              <w:pStyle w:val="AnnexTableCellLeft"/>
              <w:jc w:val="center"/>
            </w:pPr>
          </w:p>
        </w:tc>
        <w:tc>
          <w:tcPr>
            <w:tcW w:w="810" w:type="dxa"/>
            <w:tcMar>
              <w:top w:w="60" w:type="dxa"/>
              <w:bottom w:w="60" w:type="dxa"/>
              <w:right w:w="0" w:type="dxa"/>
            </w:tcMar>
            <w:vAlign w:val="center"/>
          </w:tcPr>
          <w:p w14:paraId="43CC1453" w14:textId="77777777" w:rsidR="006561BA" w:rsidRDefault="006561BA">
            <w:pPr>
              <w:pStyle w:val="AnnexTableCellLeft"/>
              <w:jc w:val="center"/>
            </w:pPr>
          </w:p>
        </w:tc>
      </w:tr>
      <w:tr w:rsidR="006561BA" w14:paraId="278A74E4" w14:textId="77777777">
        <w:tc>
          <w:tcPr>
            <w:tcW w:w="1584" w:type="dxa"/>
            <w:tcMar>
              <w:top w:w="60" w:type="dxa"/>
              <w:left w:w="0" w:type="dxa"/>
              <w:bottom w:w="60" w:type="dxa"/>
            </w:tcMar>
          </w:tcPr>
          <w:p w14:paraId="03835A1E" w14:textId="36A5175F" w:rsidR="006561BA" w:rsidRDefault="005B4ED6">
            <w:pPr>
              <w:pStyle w:val="AnnexTableCellLeft"/>
            </w:pPr>
            <w:r>
              <w:t>Aktivitet 1 (</w:t>
            </w:r>
            <w:r>
              <w:fldChar w:fldCharType="begin"/>
            </w:r>
            <w:r>
              <w:instrText xml:space="preserve"> REF NOTE_408 \h  \* MERGEFORMAT </w:instrText>
            </w:r>
            <w:r>
              <w:fldChar w:fldCharType="separate"/>
            </w:r>
            <w:r w:rsidR="00770AA2">
              <w:rPr>
                <w:vertAlign w:val="superscript"/>
              </w:rPr>
              <w:t>d</w:t>
            </w:r>
            <w:r>
              <w:fldChar w:fldCharType="end"/>
            </w:r>
            <w:r>
              <w:t>)</w:t>
            </w:r>
          </w:p>
        </w:tc>
        <w:tc>
          <w:tcPr>
            <w:tcW w:w="720" w:type="dxa"/>
            <w:tcMar>
              <w:top w:w="60" w:type="dxa"/>
              <w:bottom w:w="60" w:type="dxa"/>
            </w:tcMar>
          </w:tcPr>
          <w:p w14:paraId="6124DFA7" w14:textId="77777777" w:rsidR="006561BA" w:rsidRDefault="006561BA">
            <w:pPr>
              <w:pStyle w:val="AnnexTableCellLeft"/>
            </w:pPr>
          </w:p>
        </w:tc>
        <w:tc>
          <w:tcPr>
            <w:tcW w:w="792" w:type="dxa"/>
            <w:tcMar>
              <w:top w:w="60" w:type="dxa"/>
              <w:bottom w:w="60" w:type="dxa"/>
            </w:tcMar>
          </w:tcPr>
          <w:p w14:paraId="5EA4F0B1" w14:textId="77777777" w:rsidR="006561BA" w:rsidRDefault="006561BA">
            <w:pPr>
              <w:pStyle w:val="AnnexTableCellLeft"/>
            </w:pPr>
          </w:p>
        </w:tc>
        <w:tc>
          <w:tcPr>
            <w:tcW w:w="936" w:type="dxa"/>
            <w:tcMar>
              <w:top w:w="60" w:type="dxa"/>
              <w:bottom w:w="60" w:type="dxa"/>
            </w:tcMar>
            <w:vAlign w:val="center"/>
          </w:tcPr>
          <w:p w14:paraId="78B2AD22" w14:textId="77777777" w:rsidR="006561BA" w:rsidRDefault="005B4ED6">
            <w:pPr>
              <w:pStyle w:val="AnnexTableCellLeft"/>
              <w:jc w:val="center"/>
            </w:pPr>
            <w:r>
              <w:t>%</w:t>
            </w:r>
          </w:p>
        </w:tc>
        <w:tc>
          <w:tcPr>
            <w:tcW w:w="575" w:type="dxa"/>
            <w:tcMar>
              <w:top w:w="60" w:type="dxa"/>
              <w:bottom w:w="60" w:type="dxa"/>
            </w:tcMar>
            <w:vAlign w:val="center"/>
          </w:tcPr>
          <w:p w14:paraId="79A8F4B3" w14:textId="77777777" w:rsidR="006561BA" w:rsidRDefault="006561BA">
            <w:pPr>
              <w:pStyle w:val="AnnexTableCellLeft"/>
              <w:jc w:val="center"/>
            </w:pPr>
          </w:p>
        </w:tc>
        <w:tc>
          <w:tcPr>
            <w:tcW w:w="575" w:type="dxa"/>
            <w:gridSpan w:val="2"/>
            <w:tcMar>
              <w:top w:w="60" w:type="dxa"/>
              <w:bottom w:w="60" w:type="dxa"/>
            </w:tcMar>
            <w:vAlign w:val="center"/>
          </w:tcPr>
          <w:p w14:paraId="61C060E6" w14:textId="77777777" w:rsidR="006561BA" w:rsidRDefault="006561BA">
            <w:pPr>
              <w:pStyle w:val="AnnexTableCellLeft"/>
              <w:jc w:val="center"/>
            </w:pPr>
          </w:p>
        </w:tc>
        <w:tc>
          <w:tcPr>
            <w:tcW w:w="575" w:type="dxa"/>
            <w:gridSpan w:val="2"/>
            <w:tcMar>
              <w:top w:w="60" w:type="dxa"/>
              <w:bottom w:w="60" w:type="dxa"/>
            </w:tcMar>
            <w:vAlign w:val="center"/>
          </w:tcPr>
          <w:p w14:paraId="2C524AB9" w14:textId="77777777" w:rsidR="006561BA" w:rsidRDefault="006561BA">
            <w:pPr>
              <w:pStyle w:val="AnnexTableCellLeft"/>
              <w:jc w:val="center"/>
            </w:pPr>
          </w:p>
        </w:tc>
        <w:tc>
          <w:tcPr>
            <w:tcW w:w="575" w:type="dxa"/>
            <w:gridSpan w:val="2"/>
            <w:tcMar>
              <w:top w:w="60" w:type="dxa"/>
              <w:bottom w:w="60" w:type="dxa"/>
            </w:tcMar>
            <w:vAlign w:val="center"/>
          </w:tcPr>
          <w:p w14:paraId="6C0955A6" w14:textId="77777777" w:rsidR="006561BA" w:rsidRDefault="006561BA">
            <w:pPr>
              <w:pStyle w:val="AnnexTableCellLeft"/>
              <w:jc w:val="center"/>
            </w:pPr>
          </w:p>
        </w:tc>
        <w:tc>
          <w:tcPr>
            <w:tcW w:w="575" w:type="dxa"/>
            <w:gridSpan w:val="3"/>
            <w:tcMar>
              <w:top w:w="60" w:type="dxa"/>
              <w:bottom w:w="60" w:type="dxa"/>
            </w:tcMar>
            <w:vAlign w:val="center"/>
          </w:tcPr>
          <w:p w14:paraId="3D27B538" w14:textId="77777777" w:rsidR="006561BA" w:rsidRDefault="006561BA">
            <w:pPr>
              <w:pStyle w:val="AnnexTableCellLeft"/>
              <w:jc w:val="center"/>
            </w:pPr>
          </w:p>
        </w:tc>
        <w:tc>
          <w:tcPr>
            <w:tcW w:w="575" w:type="dxa"/>
            <w:gridSpan w:val="2"/>
            <w:tcMar>
              <w:top w:w="60" w:type="dxa"/>
              <w:bottom w:w="60" w:type="dxa"/>
            </w:tcMar>
            <w:vAlign w:val="center"/>
          </w:tcPr>
          <w:p w14:paraId="375FFF2F" w14:textId="77777777" w:rsidR="006561BA" w:rsidRDefault="006561BA">
            <w:pPr>
              <w:pStyle w:val="AnnexTableCellLeft"/>
              <w:jc w:val="center"/>
            </w:pPr>
          </w:p>
        </w:tc>
        <w:tc>
          <w:tcPr>
            <w:tcW w:w="575" w:type="dxa"/>
            <w:gridSpan w:val="2"/>
            <w:tcMar>
              <w:top w:w="60" w:type="dxa"/>
              <w:bottom w:w="60" w:type="dxa"/>
            </w:tcMar>
            <w:vAlign w:val="center"/>
          </w:tcPr>
          <w:p w14:paraId="78CD7FBE" w14:textId="77777777" w:rsidR="006561BA" w:rsidRDefault="005B4ED6">
            <w:pPr>
              <w:pStyle w:val="AnnexTableCellLeft"/>
              <w:jc w:val="center"/>
            </w:pPr>
            <w:r>
              <w:t>J</w:t>
            </w:r>
          </w:p>
        </w:tc>
        <w:tc>
          <w:tcPr>
            <w:tcW w:w="575" w:type="dxa"/>
            <w:gridSpan w:val="2"/>
            <w:tcMar>
              <w:top w:w="60" w:type="dxa"/>
              <w:bottom w:w="60" w:type="dxa"/>
            </w:tcMar>
            <w:vAlign w:val="center"/>
          </w:tcPr>
          <w:p w14:paraId="7EAA9BC6" w14:textId="77777777" w:rsidR="006561BA" w:rsidRDefault="005B4ED6">
            <w:pPr>
              <w:pStyle w:val="AnnexTableCellLeft"/>
              <w:jc w:val="center"/>
            </w:pPr>
            <w:r>
              <w:t>J</w:t>
            </w:r>
          </w:p>
        </w:tc>
        <w:tc>
          <w:tcPr>
            <w:tcW w:w="575" w:type="dxa"/>
            <w:gridSpan w:val="3"/>
            <w:tcMar>
              <w:top w:w="60" w:type="dxa"/>
              <w:bottom w:w="60" w:type="dxa"/>
            </w:tcMar>
            <w:vAlign w:val="center"/>
          </w:tcPr>
          <w:p w14:paraId="7226EF97" w14:textId="77777777" w:rsidR="006561BA" w:rsidRDefault="005B4ED6">
            <w:pPr>
              <w:pStyle w:val="AnnexTableCellLeft"/>
              <w:jc w:val="center"/>
            </w:pPr>
            <w:r>
              <w:t>J</w:t>
            </w:r>
          </w:p>
        </w:tc>
        <w:tc>
          <w:tcPr>
            <w:tcW w:w="575" w:type="dxa"/>
            <w:gridSpan w:val="2"/>
            <w:tcMar>
              <w:top w:w="60" w:type="dxa"/>
              <w:bottom w:w="60" w:type="dxa"/>
            </w:tcMar>
            <w:vAlign w:val="center"/>
          </w:tcPr>
          <w:p w14:paraId="5AC26D03" w14:textId="77777777" w:rsidR="006561BA" w:rsidRDefault="005B4ED6">
            <w:pPr>
              <w:pStyle w:val="AnnexTableCellLeft"/>
              <w:jc w:val="center"/>
            </w:pPr>
            <w:r>
              <w:t>J</w:t>
            </w:r>
          </w:p>
        </w:tc>
        <w:tc>
          <w:tcPr>
            <w:tcW w:w="575" w:type="dxa"/>
            <w:tcMar>
              <w:top w:w="60" w:type="dxa"/>
              <w:bottom w:w="60" w:type="dxa"/>
            </w:tcMar>
            <w:vAlign w:val="center"/>
          </w:tcPr>
          <w:p w14:paraId="6FDD015A" w14:textId="77777777" w:rsidR="006561BA" w:rsidRDefault="005B4ED6">
            <w:pPr>
              <w:pStyle w:val="AnnexTableCellLeft"/>
              <w:jc w:val="center"/>
            </w:pPr>
            <w:r>
              <w:t>J</w:t>
            </w:r>
          </w:p>
        </w:tc>
        <w:tc>
          <w:tcPr>
            <w:tcW w:w="575" w:type="dxa"/>
            <w:tcMar>
              <w:top w:w="60" w:type="dxa"/>
              <w:bottom w:w="60" w:type="dxa"/>
            </w:tcMar>
            <w:vAlign w:val="center"/>
          </w:tcPr>
          <w:p w14:paraId="0C89BDCE" w14:textId="77777777" w:rsidR="006561BA" w:rsidRDefault="005B4ED6">
            <w:pPr>
              <w:pStyle w:val="AnnexTableCellLeft"/>
              <w:jc w:val="center"/>
            </w:pPr>
            <w:r>
              <w:t>J</w:t>
            </w:r>
          </w:p>
        </w:tc>
        <w:tc>
          <w:tcPr>
            <w:tcW w:w="576" w:type="dxa"/>
            <w:tcMar>
              <w:top w:w="60" w:type="dxa"/>
              <w:bottom w:w="60" w:type="dxa"/>
            </w:tcMar>
            <w:vAlign w:val="center"/>
          </w:tcPr>
          <w:p w14:paraId="1B432EBA" w14:textId="77777777" w:rsidR="006561BA" w:rsidRDefault="005B4ED6">
            <w:pPr>
              <w:pStyle w:val="AnnexTableCellLeft"/>
              <w:jc w:val="center"/>
            </w:pPr>
            <w:r>
              <w:t>J</w:t>
            </w:r>
          </w:p>
        </w:tc>
        <w:tc>
          <w:tcPr>
            <w:tcW w:w="1188" w:type="dxa"/>
            <w:tcMar>
              <w:top w:w="60" w:type="dxa"/>
              <w:bottom w:w="60" w:type="dxa"/>
            </w:tcMar>
            <w:vAlign w:val="center"/>
          </w:tcPr>
          <w:p w14:paraId="7B645375" w14:textId="77777777" w:rsidR="006561BA" w:rsidRDefault="005B4ED6">
            <w:pPr>
              <w:pStyle w:val="AnnexTableCellLeft"/>
              <w:jc w:val="center"/>
            </w:pPr>
            <w:r>
              <w:t>%</w:t>
            </w:r>
          </w:p>
        </w:tc>
        <w:tc>
          <w:tcPr>
            <w:tcW w:w="810" w:type="dxa"/>
            <w:tcMar>
              <w:top w:w="60" w:type="dxa"/>
              <w:bottom w:w="60" w:type="dxa"/>
            </w:tcMar>
            <w:vAlign w:val="center"/>
          </w:tcPr>
          <w:p w14:paraId="52E2B10E" w14:textId="77777777" w:rsidR="006561BA" w:rsidRDefault="005B4ED6">
            <w:pPr>
              <w:pStyle w:val="AnnexTableCellLeft"/>
              <w:jc w:val="center"/>
            </w:pPr>
            <w:r>
              <w:t>Muliggjørende</w:t>
            </w:r>
          </w:p>
        </w:tc>
        <w:tc>
          <w:tcPr>
            <w:tcW w:w="810" w:type="dxa"/>
            <w:tcMar>
              <w:top w:w="60" w:type="dxa"/>
              <w:bottom w:w="60" w:type="dxa"/>
              <w:right w:w="0" w:type="dxa"/>
            </w:tcMar>
            <w:vAlign w:val="center"/>
          </w:tcPr>
          <w:p w14:paraId="5DAF422C" w14:textId="77777777" w:rsidR="006561BA" w:rsidRDefault="006561BA">
            <w:pPr>
              <w:pStyle w:val="AnnexTableCellLeft"/>
              <w:jc w:val="center"/>
            </w:pPr>
          </w:p>
        </w:tc>
      </w:tr>
      <w:tr w:rsidR="006561BA" w14:paraId="0B254AD7" w14:textId="77777777">
        <w:tc>
          <w:tcPr>
            <w:tcW w:w="1584" w:type="dxa"/>
            <w:tcMar>
              <w:top w:w="60" w:type="dxa"/>
              <w:left w:w="0" w:type="dxa"/>
              <w:bottom w:w="60" w:type="dxa"/>
            </w:tcMar>
          </w:tcPr>
          <w:p w14:paraId="05B31FAE" w14:textId="77777777" w:rsidR="006561BA" w:rsidRDefault="005B4ED6">
            <w:pPr>
              <w:pStyle w:val="AnnexTableCellLeft"/>
            </w:pPr>
            <w:r>
              <w:t>Aktivitet 2</w:t>
            </w:r>
          </w:p>
        </w:tc>
        <w:tc>
          <w:tcPr>
            <w:tcW w:w="720" w:type="dxa"/>
            <w:tcMar>
              <w:top w:w="60" w:type="dxa"/>
              <w:bottom w:w="60" w:type="dxa"/>
            </w:tcMar>
          </w:tcPr>
          <w:p w14:paraId="43D30950" w14:textId="77777777" w:rsidR="006561BA" w:rsidRDefault="006561BA">
            <w:pPr>
              <w:pStyle w:val="AnnexTableCellLeft"/>
            </w:pPr>
          </w:p>
        </w:tc>
        <w:tc>
          <w:tcPr>
            <w:tcW w:w="792" w:type="dxa"/>
            <w:tcMar>
              <w:top w:w="60" w:type="dxa"/>
              <w:bottom w:w="60" w:type="dxa"/>
            </w:tcMar>
          </w:tcPr>
          <w:p w14:paraId="12191742" w14:textId="77777777" w:rsidR="006561BA" w:rsidRDefault="006561BA">
            <w:pPr>
              <w:pStyle w:val="AnnexTableCellLeft"/>
            </w:pPr>
          </w:p>
        </w:tc>
        <w:tc>
          <w:tcPr>
            <w:tcW w:w="936" w:type="dxa"/>
            <w:tcMar>
              <w:top w:w="60" w:type="dxa"/>
              <w:bottom w:w="60" w:type="dxa"/>
            </w:tcMar>
            <w:vAlign w:val="center"/>
          </w:tcPr>
          <w:p w14:paraId="679E069B" w14:textId="77777777" w:rsidR="006561BA" w:rsidRDefault="005B4ED6">
            <w:pPr>
              <w:pStyle w:val="AnnexTableCellLeft"/>
              <w:jc w:val="center"/>
            </w:pPr>
            <w:r>
              <w:t>%</w:t>
            </w:r>
          </w:p>
        </w:tc>
        <w:tc>
          <w:tcPr>
            <w:tcW w:w="575" w:type="dxa"/>
            <w:tcMar>
              <w:top w:w="60" w:type="dxa"/>
              <w:bottom w:w="60" w:type="dxa"/>
            </w:tcMar>
            <w:vAlign w:val="center"/>
          </w:tcPr>
          <w:p w14:paraId="34705B06" w14:textId="77777777" w:rsidR="006561BA" w:rsidRDefault="006561BA">
            <w:pPr>
              <w:pStyle w:val="AnnexTableCellLeft"/>
              <w:jc w:val="center"/>
            </w:pPr>
          </w:p>
        </w:tc>
        <w:tc>
          <w:tcPr>
            <w:tcW w:w="575" w:type="dxa"/>
            <w:gridSpan w:val="2"/>
            <w:tcMar>
              <w:top w:w="60" w:type="dxa"/>
              <w:bottom w:w="60" w:type="dxa"/>
            </w:tcMar>
            <w:vAlign w:val="center"/>
          </w:tcPr>
          <w:p w14:paraId="5560D28A" w14:textId="77777777" w:rsidR="006561BA" w:rsidRDefault="006561BA">
            <w:pPr>
              <w:pStyle w:val="AnnexTableCellLeft"/>
              <w:jc w:val="center"/>
            </w:pPr>
          </w:p>
        </w:tc>
        <w:tc>
          <w:tcPr>
            <w:tcW w:w="575" w:type="dxa"/>
            <w:gridSpan w:val="2"/>
            <w:tcMar>
              <w:top w:w="60" w:type="dxa"/>
              <w:bottom w:w="60" w:type="dxa"/>
            </w:tcMar>
            <w:vAlign w:val="center"/>
          </w:tcPr>
          <w:p w14:paraId="7E79DE68" w14:textId="77777777" w:rsidR="006561BA" w:rsidRDefault="006561BA">
            <w:pPr>
              <w:pStyle w:val="AnnexTableCellLeft"/>
              <w:jc w:val="center"/>
            </w:pPr>
          </w:p>
        </w:tc>
        <w:tc>
          <w:tcPr>
            <w:tcW w:w="575" w:type="dxa"/>
            <w:gridSpan w:val="2"/>
            <w:tcMar>
              <w:top w:w="60" w:type="dxa"/>
              <w:bottom w:w="60" w:type="dxa"/>
            </w:tcMar>
            <w:vAlign w:val="center"/>
          </w:tcPr>
          <w:p w14:paraId="245639AA" w14:textId="77777777" w:rsidR="006561BA" w:rsidRDefault="006561BA">
            <w:pPr>
              <w:pStyle w:val="AnnexTableCellLeft"/>
              <w:jc w:val="center"/>
            </w:pPr>
          </w:p>
        </w:tc>
        <w:tc>
          <w:tcPr>
            <w:tcW w:w="575" w:type="dxa"/>
            <w:gridSpan w:val="3"/>
            <w:tcMar>
              <w:top w:w="60" w:type="dxa"/>
              <w:bottom w:w="60" w:type="dxa"/>
            </w:tcMar>
            <w:vAlign w:val="center"/>
          </w:tcPr>
          <w:p w14:paraId="1AEEE83B" w14:textId="77777777" w:rsidR="006561BA" w:rsidRDefault="006561BA">
            <w:pPr>
              <w:pStyle w:val="AnnexTableCellLeft"/>
              <w:jc w:val="center"/>
            </w:pPr>
          </w:p>
        </w:tc>
        <w:tc>
          <w:tcPr>
            <w:tcW w:w="575" w:type="dxa"/>
            <w:gridSpan w:val="2"/>
            <w:tcMar>
              <w:top w:w="60" w:type="dxa"/>
              <w:bottom w:w="60" w:type="dxa"/>
            </w:tcMar>
            <w:vAlign w:val="center"/>
          </w:tcPr>
          <w:p w14:paraId="5A4FDF1F" w14:textId="77777777" w:rsidR="006561BA" w:rsidRDefault="006561BA">
            <w:pPr>
              <w:pStyle w:val="AnnexTableCellLeft"/>
              <w:jc w:val="center"/>
            </w:pPr>
          </w:p>
        </w:tc>
        <w:tc>
          <w:tcPr>
            <w:tcW w:w="575" w:type="dxa"/>
            <w:gridSpan w:val="2"/>
            <w:tcMar>
              <w:top w:w="60" w:type="dxa"/>
              <w:bottom w:w="60" w:type="dxa"/>
            </w:tcMar>
            <w:vAlign w:val="center"/>
          </w:tcPr>
          <w:p w14:paraId="452F913C" w14:textId="77777777" w:rsidR="006561BA" w:rsidRDefault="005B4ED6">
            <w:pPr>
              <w:pStyle w:val="AnnexTableCellLeft"/>
              <w:jc w:val="center"/>
            </w:pPr>
            <w:r>
              <w:t>J</w:t>
            </w:r>
          </w:p>
        </w:tc>
        <w:tc>
          <w:tcPr>
            <w:tcW w:w="575" w:type="dxa"/>
            <w:gridSpan w:val="2"/>
            <w:tcMar>
              <w:top w:w="60" w:type="dxa"/>
              <w:bottom w:w="60" w:type="dxa"/>
            </w:tcMar>
            <w:vAlign w:val="center"/>
          </w:tcPr>
          <w:p w14:paraId="4CE396FE" w14:textId="77777777" w:rsidR="006561BA" w:rsidRDefault="005B4ED6">
            <w:pPr>
              <w:pStyle w:val="AnnexTableCellLeft"/>
              <w:jc w:val="center"/>
            </w:pPr>
            <w:r>
              <w:t>J</w:t>
            </w:r>
          </w:p>
        </w:tc>
        <w:tc>
          <w:tcPr>
            <w:tcW w:w="575" w:type="dxa"/>
            <w:gridSpan w:val="3"/>
            <w:tcMar>
              <w:top w:w="60" w:type="dxa"/>
              <w:bottom w:w="60" w:type="dxa"/>
            </w:tcMar>
            <w:vAlign w:val="center"/>
          </w:tcPr>
          <w:p w14:paraId="52247333" w14:textId="77777777" w:rsidR="006561BA" w:rsidRDefault="005B4ED6">
            <w:pPr>
              <w:pStyle w:val="AnnexTableCellLeft"/>
              <w:jc w:val="center"/>
            </w:pPr>
            <w:r>
              <w:t>J</w:t>
            </w:r>
          </w:p>
        </w:tc>
        <w:tc>
          <w:tcPr>
            <w:tcW w:w="575" w:type="dxa"/>
            <w:gridSpan w:val="2"/>
            <w:tcMar>
              <w:top w:w="60" w:type="dxa"/>
              <w:bottom w:w="60" w:type="dxa"/>
            </w:tcMar>
            <w:vAlign w:val="center"/>
          </w:tcPr>
          <w:p w14:paraId="5B645F11" w14:textId="77777777" w:rsidR="006561BA" w:rsidRDefault="005B4ED6">
            <w:pPr>
              <w:pStyle w:val="AnnexTableCellLeft"/>
              <w:jc w:val="center"/>
            </w:pPr>
            <w:r>
              <w:t>J</w:t>
            </w:r>
          </w:p>
        </w:tc>
        <w:tc>
          <w:tcPr>
            <w:tcW w:w="575" w:type="dxa"/>
            <w:tcMar>
              <w:top w:w="60" w:type="dxa"/>
              <w:bottom w:w="60" w:type="dxa"/>
            </w:tcMar>
            <w:vAlign w:val="center"/>
          </w:tcPr>
          <w:p w14:paraId="349FEC76" w14:textId="77777777" w:rsidR="006561BA" w:rsidRDefault="005B4ED6">
            <w:pPr>
              <w:pStyle w:val="AnnexTableCellLeft"/>
              <w:jc w:val="center"/>
            </w:pPr>
            <w:r>
              <w:t>J</w:t>
            </w:r>
          </w:p>
        </w:tc>
        <w:tc>
          <w:tcPr>
            <w:tcW w:w="575" w:type="dxa"/>
            <w:tcMar>
              <w:top w:w="60" w:type="dxa"/>
              <w:bottom w:w="60" w:type="dxa"/>
            </w:tcMar>
            <w:vAlign w:val="center"/>
          </w:tcPr>
          <w:p w14:paraId="763F4A2C" w14:textId="77777777" w:rsidR="006561BA" w:rsidRDefault="005B4ED6">
            <w:pPr>
              <w:pStyle w:val="AnnexTableCellLeft"/>
              <w:jc w:val="center"/>
            </w:pPr>
            <w:r>
              <w:t>J</w:t>
            </w:r>
          </w:p>
        </w:tc>
        <w:tc>
          <w:tcPr>
            <w:tcW w:w="576" w:type="dxa"/>
            <w:tcMar>
              <w:top w:w="60" w:type="dxa"/>
              <w:bottom w:w="60" w:type="dxa"/>
            </w:tcMar>
            <w:vAlign w:val="center"/>
          </w:tcPr>
          <w:p w14:paraId="750D7BFB" w14:textId="77777777" w:rsidR="006561BA" w:rsidRDefault="005B4ED6">
            <w:pPr>
              <w:pStyle w:val="AnnexTableCellLeft"/>
              <w:jc w:val="center"/>
            </w:pPr>
            <w:r>
              <w:t>J</w:t>
            </w:r>
          </w:p>
        </w:tc>
        <w:tc>
          <w:tcPr>
            <w:tcW w:w="1188" w:type="dxa"/>
            <w:tcMar>
              <w:top w:w="60" w:type="dxa"/>
              <w:bottom w:w="60" w:type="dxa"/>
            </w:tcMar>
            <w:vAlign w:val="center"/>
          </w:tcPr>
          <w:p w14:paraId="215A5215" w14:textId="77777777" w:rsidR="006561BA" w:rsidRDefault="005B4ED6">
            <w:pPr>
              <w:pStyle w:val="AnnexTableCellLeft"/>
              <w:jc w:val="center"/>
            </w:pPr>
            <w:r>
              <w:t>%</w:t>
            </w:r>
          </w:p>
        </w:tc>
        <w:tc>
          <w:tcPr>
            <w:tcW w:w="810" w:type="dxa"/>
            <w:tcMar>
              <w:top w:w="60" w:type="dxa"/>
              <w:bottom w:w="60" w:type="dxa"/>
            </w:tcMar>
            <w:vAlign w:val="center"/>
          </w:tcPr>
          <w:p w14:paraId="210BB9E3" w14:textId="77777777" w:rsidR="006561BA" w:rsidRDefault="006561BA">
            <w:pPr>
              <w:pStyle w:val="AnnexTableCellLeft"/>
              <w:jc w:val="center"/>
            </w:pPr>
          </w:p>
        </w:tc>
        <w:tc>
          <w:tcPr>
            <w:tcW w:w="810" w:type="dxa"/>
            <w:tcMar>
              <w:top w:w="60" w:type="dxa"/>
              <w:bottom w:w="60" w:type="dxa"/>
              <w:right w:w="0" w:type="dxa"/>
            </w:tcMar>
            <w:vAlign w:val="center"/>
          </w:tcPr>
          <w:p w14:paraId="59E6ED2A" w14:textId="77777777" w:rsidR="006561BA" w:rsidRDefault="005B4ED6">
            <w:pPr>
              <w:pStyle w:val="AnnexTableCellLeft"/>
              <w:jc w:val="center"/>
            </w:pPr>
            <w:r>
              <w:t>Omstilling</w:t>
            </w:r>
          </w:p>
        </w:tc>
      </w:tr>
      <w:tr w:rsidR="006561BA" w14:paraId="156FBFDD" w14:textId="77777777">
        <w:tc>
          <w:tcPr>
            <w:tcW w:w="2304" w:type="dxa"/>
            <w:gridSpan w:val="2"/>
            <w:tcMar>
              <w:top w:w="60" w:type="dxa"/>
              <w:left w:w="0" w:type="dxa"/>
              <w:bottom w:w="60" w:type="dxa"/>
            </w:tcMar>
          </w:tcPr>
          <w:p w14:paraId="30B4C0C5" w14:textId="77777777" w:rsidR="006561BA" w:rsidRPr="00980A19" w:rsidRDefault="005B4ED6">
            <w:pPr>
              <w:pStyle w:val="AnnexTableCellLeft"/>
              <w:rPr>
                <w:spacing w:val="-2"/>
              </w:rPr>
            </w:pPr>
            <w:r w:rsidRPr="00980A19">
              <w:rPr>
                <w:b/>
                <w:spacing w:val="-2"/>
              </w:rPr>
              <w:t>Investeringsutgifter for miljømessig bærekraftige (taksonomiforenlige) aktiviteter (A.1)</w:t>
            </w:r>
          </w:p>
        </w:tc>
        <w:tc>
          <w:tcPr>
            <w:tcW w:w="792" w:type="dxa"/>
            <w:tcMar>
              <w:top w:w="60" w:type="dxa"/>
              <w:bottom w:w="60" w:type="dxa"/>
            </w:tcMar>
          </w:tcPr>
          <w:p w14:paraId="215414EB" w14:textId="77777777" w:rsidR="006561BA" w:rsidRDefault="006561BA">
            <w:pPr>
              <w:pStyle w:val="AnnexTableCellLeft"/>
            </w:pPr>
          </w:p>
        </w:tc>
        <w:tc>
          <w:tcPr>
            <w:tcW w:w="936" w:type="dxa"/>
            <w:tcMar>
              <w:top w:w="60" w:type="dxa"/>
              <w:bottom w:w="60" w:type="dxa"/>
            </w:tcMar>
            <w:vAlign w:val="center"/>
          </w:tcPr>
          <w:p w14:paraId="31B33C8F" w14:textId="77777777" w:rsidR="006561BA" w:rsidRDefault="005B4ED6">
            <w:pPr>
              <w:pStyle w:val="AnnexTableCellLeft"/>
              <w:jc w:val="center"/>
            </w:pPr>
            <w:r>
              <w:rPr>
                <w:b/>
              </w:rPr>
              <w:t>%</w:t>
            </w:r>
          </w:p>
        </w:tc>
        <w:tc>
          <w:tcPr>
            <w:tcW w:w="575" w:type="dxa"/>
            <w:tcMar>
              <w:top w:w="60" w:type="dxa"/>
              <w:bottom w:w="60" w:type="dxa"/>
            </w:tcMar>
            <w:vAlign w:val="center"/>
          </w:tcPr>
          <w:p w14:paraId="442714D6" w14:textId="77777777" w:rsidR="006561BA" w:rsidRDefault="005B4ED6">
            <w:pPr>
              <w:pStyle w:val="AnnexTableCellLeft"/>
              <w:jc w:val="center"/>
            </w:pPr>
            <w:r>
              <w:rPr>
                <w:b/>
              </w:rPr>
              <w:t>%</w:t>
            </w:r>
          </w:p>
        </w:tc>
        <w:tc>
          <w:tcPr>
            <w:tcW w:w="575" w:type="dxa"/>
            <w:gridSpan w:val="2"/>
            <w:tcMar>
              <w:top w:w="60" w:type="dxa"/>
              <w:bottom w:w="60" w:type="dxa"/>
            </w:tcMar>
            <w:vAlign w:val="center"/>
          </w:tcPr>
          <w:p w14:paraId="2A573C3F" w14:textId="77777777" w:rsidR="006561BA" w:rsidRDefault="005B4ED6">
            <w:pPr>
              <w:pStyle w:val="AnnexTableCellLeft"/>
              <w:jc w:val="center"/>
            </w:pPr>
            <w:r>
              <w:rPr>
                <w:b/>
              </w:rPr>
              <w:t>%</w:t>
            </w:r>
          </w:p>
        </w:tc>
        <w:tc>
          <w:tcPr>
            <w:tcW w:w="575" w:type="dxa"/>
            <w:gridSpan w:val="2"/>
            <w:tcMar>
              <w:top w:w="60" w:type="dxa"/>
              <w:bottom w:w="60" w:type="dxa"/>
            </w:tcMar>
            <w:vAlign w:val="center"/>
          </w:tcPr>
          <w:p w14:paraId="6FAF02F1" w14:textId="77777777" w:rsidR="006561BA" w:rsidRDefault="005B4ED6">
            <w:pPr>
              <w:pStyle w:val="AnnexTableCellLeft"/>
              <w:jc w:val="center"/>
            </w:pPr>
            <w:r>
              <w:rPr>
                <w:b/>
              </w:rPr>
              <w:t>%</w:t>
            </w:r>
          </w:p>
        </w:tc>
        <w:tc>
          <w:tcPr>
            <w:tcW w:w="575" w:type="dxa"/>
            <w:gridSpan w:val="2"/>
            <w:tcMar>
              <w:top w:w="60" w:type="dxa"/>
              <w:bottom w:w="60" w:type="dxa"/>
            </w:tcMar>
            <w:vAlign w:val="center"/>
          </w:tcPr>
          <w:p w14:paraId="2810D163" w14:textId="77777777" w:rsidR="006561BA" w:rsidRDefault="005B4ED6">
            <w:pPr>
              <w:pStyle w:val="AnnexTableCellLeft"/>
              <w:jc w:val="center"/>
            </w:pPr>
            <w:r>
              <w:rPr>
                <w:b/>
              </w:rPr>
              <w:t>%</w:t>
            </w:r>
          </w:p>
        </w:tc>
        <w:tc>
          <w:tcPr>
            <w:tcW w:w="575" w:type="dxa"/>
            <w:gridSpan w:val="3"/>
            <w:tcMar>
              <w:top w:w="60" w:type="dxa"/>
              <w:bottom w:w="60" w:type="dxa"/>
            </w:tcMar>
            <w:vAlign w:val="center"/>
          </w:tcPr>
          <w:p w14:paraId="283D83EE" w14:textId="77777777" w:rsidR="006561BA" w:rsidRDefault="005B4ED6">
            <w:pPr>
              <w:pStyle w:val="AnnexTableCellLeft"/>
              <w:jc w:val="center"/>
            </w:pPr>
            <w:r>
              <w:rPr>
                <w:b/>
              </w:rPr>
              <w:t>%</w:t>
            </w:r>
          </w:p>
        </w:tc>
        <w:tc>
          <w:tcPr>
            <w:tcW w:w="575" w:type="dxa"/>
            <w:gridSpan w:val="2"/>
            <w:tcMar>
              <w:top w:w="60" w:type="dxa"/>
              <w:bottom w:w="60" w:type="dxa"/>
            </w:tcMar>
            <w:vAlign w:val="center"/>
          </w:tcPr>
          <w:p w14:paraId="5AFB0771" w14:textId="77777777" w:rsidR="006561BA" w:rsidRDefault="005B4ED6">
            <w:pPr>
              <w:pStyle w:val="AnnexTableCellLeft"/>
              <w:jc w:val="center"/>
            </w:pPr>
            <w:r>
              <w:rPr>
                <w:b/>
              </w:rPr>
              <w:t>%</w:t>
            </w:r>
          </w:p>
        </w:tc>
        <w:tc>
          <w:tcPr>
            <w:tcW w:w="575" w:type="dxa"/>
            <w:gridSpan w:val="2"/>
            <w:tcMar>
              <w:top w:w="60" w:type="dxa"/>
              <w:bottom w:w="60" w:type="dxa"/>
            </w:tcMar>
            <w:vAlign w:val="center"/>
          </w:tcPr>
          <w:p w14:paraId="6B596CEA" w14:textId="77777777" w:rsidR="006561BA" w:rsidRDefault="005B4ED6">
            <w:pPr>
              <w:pStyle w:val="AnnexTableCellLeft"/>
              <w:jc w:val="center"/>
            </w:pPr>
            <w:r>
              <w:rPr>
                <w:b/>
              </w:rPr>
              <w:t>J</w:t>
            </w:r>
          </w:p>
        </w:tc>
        <w:tc>
          <w:tcPr>
            <w:tcW w:w="575" w:type="dxa"/>
            <w:gridSpan w:val="2"/>
            <w:tcMar>
              <w:top w:w="60" w:type="dxa"/>
              <w:bottom w:w="60" w:type="dxa"/>
            </w:tcMar>
            <w:vAlign w:val="center"/>
          </w:tcPr>
          <w:p w14:paraId="60B4384E" w14:textId="77777777" w:rsidR="006561BA" w:rsidRDefault="005B4ED6">
            <w:pPr>
              <w:pStyle w:val="AnnexTableCellLeft"/>
              <w:jc w:val="center"/>
            </w:pPr>
            <w:r>
              <w:rPr>
                <w:b/>
              </w:rPr>
              <w:t>J</w:t>
            </w:r>
          </w:p>
        </w:tc>
        <w:tc>
          <w:tcPr>
            <w:tcW w:w="575" w:type="dxa"/>
            <w:gridSpan w:val="3"/>
            <w:tcMar>
              <w:top w:w="60" w:type="dxa"/>
              <w:bottom w:w="60" w:type="dxa"/>
            </w:tcMar>
            <w:vAlign w:val="center"/>
          </w:tcPr>
          <w:p w14:paraId="7CE0E65E" w14:textId="77777777" w:rsidR="006561BA" w:rsidRDefault="005B4ED6">
            <w:pPr>
              <w:pStyle w:val="AnnexTableCellLeft"/>
              <w:jc w:val="center"/>
            </w:pPr>
            <w:r>
              <w:rPr>
                <w:b/>
              </w:rPr>
              <w:t>J</w:t>
            </w:r>
          </w:p>
        </w:tc>
        <w:tc>
          <w:tcPr>
            <w:tcW w:w="575" w:type="dxa"/>
            <w:gridSpan w:val="2"/>
            <w:tcMar>
              <w:top w:w="60" w:type="dxa"/>
              <w:bottom w:w="60" w:type="dxa"/>
            </w:tcMar>
            <w:vAlign w:val="center"/>
          </w:tcPr>
          <w:p w14:paraId="5AF2A2C7" w14:textId="77777777" w:rsidR="006561BA" w:rsidRDefault="005B4ED6">
            <w:pPr>
              <w:pStyle w:val="AnnexTableCellLeft"/>
              <w:jc w:val="center"/>
            </w:pPr>
            <w:r>
              <w:rPr>
                <w:b/>
              </w:rPr>
              <w:t>J</w:t>
            </w:r>
          </w:p>
        </w:tc>
        <w:tc>
          <w:tcPr>
            <w:tcW w:w="575" w:type="dxa"/>
            <w:tcMar>
              <w:top w:w="60" w:type="dxa"/>
              <w:bottom w:w="60" w:type="dxa"/>
            </w:tcMar>
            <w:vAlign w:val="center"/>
          </w:tcPr>
          <w:p w14:paraId="295B853C" w14:textId="77777777" w:rsidR="006561BA" w:rsidRDefault="005B4ED6">
            <w:pPr>
              <w:pStyle w:val="AnnexTableCellLeft"/>
              <w:jc w:val="center"/>
            </w:pPr>
            <w:r>
              <w:rPr>
                <w:b/>
              </w:rPr>
              <w:t>J</w:t>
            </w:r>
          </w:p>
        </w:tc>
        <w:tc>
          <w:tcPr>
            <w:tcW w:w="575" w:type="dxa"/>
            <w:tcMar>
              <w:top w:w="60" w:type="dxa"/>
              <w:bottom w:w="60" w:type="dxa"/>
            </w:tcMar>
            <w:vAlign w:val="center"/>
          </w:tcPr>
          <w:p w14:paraId="37131994" w14:textId="77777777" w:rsidR="006561BA" w:rsidRDefault="005B4ED6">
            <w:pPr>
              <w:pStyle w:val="AnnexTableCellLeft"/>
              <w:jc w:val="center"/>
            </w:pPr>
            <w:r>
              <w:rPr>
                <w:b/>
              </w:rPr>
              <w:t>J</w:t>
            </w:r>
          </w:p>
        </w:tc>
        <w:tc>
          <w:tcPr>
            <w:tcW w:w="576" w:type="dxa"/>
            <w:tcMar>
              <w:top w:w="60" w:type="dxa"/>
              <w:bottom w:w="60" w:type="dxa"/>
            </w:tcMar>
            <w:vAlign w:val="center"/>
          </w:tcPr>
          <w:p w14:paraId="72C900E1" w14:textId="77777777" w:rsidR="006561BA" w:rsidRDefault="005B4ED6">
            <w:pPr>
              <w:pStyle w:val="AnnexTableCellLeft"/>
              <w:jc w:val="center"/>
            </w:pPr>
            <w:r>
              <w:rPr>
                <w:b/>
              </w:rPr>
              <w:t>J</w:t>
            </w:r>
          </w:p>
        </w:tc>
        <w:tc>
          <w:tcPr>
            <w:tcW w:w="1188" w:type="dxa"/>
            <w:tcMar>
              <w:top w:w="60" w:type="dxa"/>
              <w:bottom w:w="60" w:type="dxa"/>
            </w:tcMar>
            <w:vAlign w:val="center"/>
          </w:tcPr>
          <w:p w14:paraId="2433A7D5" w14:textId="77777777" w:rsidR="006561BA" w:rsidRDefault="005B4ED6">
            <w:pPr>
              <w:pStyle w:val="AnnexTableCellLeft"/>
              <w:jc w:val="center"/>
            </w:pPr>
            <w:r>
              <w:rPr>
                <w:b/>
              </w:rPr>
              <w:t>%</w:t>
            </w:r>
          </w:p>
        </w:tc>
        <w:tc>
          <w:tcPr>
            <w:tcW w:w="810" w:type="dxa"/>
            <w:shd w:val="clear" w:color="auto" w:fill="000000" w:themeFill="text1"/>
            <w:tcMar>
              <w:top w:w="60" w:type="dxa"/>
              <w:bottom w:w="60" w:type="dxa"/>
            </w:tcMar>
            <w:vAlign w:val="center"/>
          </w:tcPr>
          <w:p w14:paraId="6CBA6606" w14:textId="77777777" w:rsidR="006561BA" w:rsidRDefault="006561BA">
            <w:pPr>
              <w:pStyle w:val="AnnexTableCellLeft"/>
              <w:jc w:val="center"/>
            </w:pPr>
          </w:p>
        </w:tc>
        <w:tc>
          <w:tcPr>
            <w:tcW w:w="810" w:type="dxa"/>
            <w:shd w:val="clear" w:color="auto" w:fill="000000" w:themeFill="text1"/>
            <w:tcMar>
              <w:top w:w="60" w:type="dxa"/>
              <w:bottom w:w="60" w:type="dxa"/>
              <w:right w:w="0" w:type="dxa"/>
            </w:tcMar>
            <w:vAlign w:val="center"/>
          </w:tcPr>
          <w:p w14:paraId="45E8F79B" w14:textId="77777777" w:rsidR="006561BA" w:rsidRDefault="006561BA">
            <w:pPr>
              <w:pStyle w:val="AnnexTableCellLeft"/>
              <w:jc w:val="center"/>
            </w:pPr>
          </w:p>
        </w:tc>
      </w:tr>
      <w:tr w:rsidR="006561BA" w14:paraId="318E2F6B" w14:textId="77777777">
        <w:tc>
          <w:tcPr>
            <w:tcW w:w="2304" w:type="dxa"/>
            <w:gridSpan w:val="2"/>
            <w:tcMar>
              <w:top w:w="60" w:type="dxa"/>
              <w:left w:w="0" w:type="dxa"/>
              <w:bottom w:w="60" w:type="dxa"/>
            </w:tcMar>
          </w:tcPr>
          <w:p w14:paraId="7B2050DB" w14:textId="77777777" w:rsidR="006561BA" w:rsidRDefault="005B4ED6">
            <w:pPr>
              <w:pStyle w:val="AnnexTableCellLeft"/>
              <w:jc w:val="right"/>
            </w:pPr>
            <w:r>
              <w:rPr>
                <w:b/>
              </w:rPr>
              <w:t>Hvorav muliggjørende</w:t>
            </w:r>
          </w:p>
        </w:tc>
        <w:tc>
          <w:tcPr>
            <w:tcW w:w="792" w:type="dxa"/>
            <w:tcMar>
              <w:top w:w="60" w:type="dxa"/>
              <w:bottom w:w="60" w:type="dxa"/>
            </w:tcMar>
          </w:tcPr>
          <w:p w14:paraId="21CADE04" w14:textId="77777777" w:rsidR="006561BA" w:rsidRDefault="006561BA">
            <w:pPr>
              <w:pStyle w:val="AnnexTableCellLeft"/>
            </w:pPr>
          </w:p>
        </w:tc>
        <w:tc>
          <w:tcPr>
            <w:tcW w:w="936" w:type="dxa"/>
            <w:tcMar>
              <w:top w:w="60" w:type="dxa"/>
              <w:bottom w:w="60" w:type="dxa"/>
            </w:tcMar>
            <w:vAlign w:val="center"/>
          </w:tcPr>
          <w:p w14:paraId="7EB40E0D" w14:textId="77777777" w:rsidR="006561BA" w:rsidRDefault="005B4ED6">
            <w:pPr>
              <w:pStyle w:val="AnnexTableCellLeft"/>
              <w:jc w:val="center"/>
            </w:pPr>
            <w:r>
              <w:t>%</w:t>
            </w:r>
          </w:p>
        </w:tc>
        <w:tc>
          <w:tcPr>
            <w:tcW w:w="575" w:type="dxa"/>
            <w:tcMar>
              <w:top w:w="60" w:type="dxa"/>
              <w:bottom w:w="60" w:type="dxa"/>
            </w:tcMar>
            <w:vAlign w:val="center"/>
          </w:tcPr>
          <w:p w14:paraId="5C8BF751" w14:textId="77777777" w:rsidR="006561BA" w:rsidRDefault="005B4ED6">
            <w:pPr>
              <w:pStyle w:val="AnnexTableCellLeft"/>
              <w:jc w:val="center"/>
            </w:pPr>
            <w:r>
              <w:t>%</w:t>
            </w:r>
          </w:p>
        </w:tc>
        <w:tc>
          <w:tcPr>
            <w:tcW w:w="575" w:type="dxa"/>
            <w:gridSpan w:val="2"/>
            <w:tcMar>
              <w:top w:w="60" w:type="dxa"/>
              <w:bottom w:w="60" w:type="dxa"/>
            </w:tcMar>
            <w:vAlign w:val="center"/>
          </w:tcPr>
          <w:p w14:paraId="009BBC2A" w14:textId="77777777" w:rsidR="006561BA" w:rsidRDefault="005B4ED6">
            <w:pPr>
              <w:pStyle w:val="AnnexTableCellLeft"/>
              <w:jc w:val="center"/>
            </w:pPr>
            <w:r>
              <w:t>%</w:t>
            </w:r>
          </w:p>
        </w:tc>
        <w:tc>
          <w:tcPr>
            <w:tcW w:w="575" w:type="dxa"/>
            <w:gridSpan w:val="2"/>
            <w:tcMar>
              <w:top w:w="60" w:type="dxa"/>
              <w:bottom w:w="60" w:type="dxa"/>
            </w:tcMar>
            <w:vAlign w:val="center"/>
          </w:tcPr>
          <w:p w14:paraId="718E53A6" w14:textId="77777777" w:rsidR="006561BA" w:rsidRDefault="005B4ED6">
            <w:pPr>
              <w:pStyle w:val="AnnexTableCellLeft"/>
              <w:jc w:val="center"/>
            </w:pPr>
            <w:r>
              <w:t>%</w:t>
            </w:r>
          </w:p>
        </w:tc>
        <w:tc>
          <w:tcPr>
            <w:tcW w:w="575" w:type="dxa"/>
            <w:gridSpan w:val="2"/>
            <w:tcMar>
              <w:top w:w="60" w:type="dxa"/>
              <w:bottom w:w="60" w:type="dxa"/>
            </w:tcMar>
            <w:vAlign w:val="center"/>
          </w:tcPr>
          <w:p w14:paraId="7C2BF094" w14:textId="77777777" w:rsidR="006561BA" w:rsidRDefault="005B4ED6">
            <w:pPr>
              <w:pStyle w:val="AnnexTableCellLeft"/>
              <w:jc w:val="center"/>
            </w:pPr>
            <w:r>
              <w:t>%</w:t>
            </w:r>
          </w:p>
        </w:tc>
        <w:tc>
          <w:tcPr>
            <w:tcW w:w="575" w:type="dxa"/>
            <w:gridSpan w:val="3"/>
            <w:tcMar>
              <w:top w:w="60" w:type="dxa"/>
              <w:bottom w:w="60" w:type="dxa"/>
            </w:tcMar>
            <w:vAlign w:val="center"/>
          </w:tcPr>
          <w:p w14:paraId="3CB94B16" w14:textId="77777777" w:rsidR="006561BA" w:rsidRDefault="005B4ED6">
            <w:pPr>
              <w:pStyle w:val="AnnexTableCellLeft"/>
              <w:jc w:val="center"/>
            </w:pPr>
            <w:r>
              <w:t>%</w:t>
            </w:r>
          </w:p>
        </w:tc>
        <w:tc>
          <w:tcPr>
            <w:tcW w:w="575" w:type="dxa"/>
            <w:gridSpan w:val="2"/>
            <w:tcMar>
              <w:top w:w="60" w:type="dxa"/>
              <w:bottom w:w="60" w:type="dxa"/>
            </w:tcMar>
            <w:vAlign w:val="center"/>
          </w:tcPr>
          <w:p w14:paraId="2B82656F" w14:textId="77777777" w:rsidR="006561BA" w:rsidRDefault="005B4ED6">
            <w:pPr>
              <w:pStyle w:val="AnnexTableCellLeft"/>
              <w:jc w:val="center"/>
            </w:pPr>
            <w:r>
              <w:t>%</w:t>
            </w:r>
          </w:p>
        </w:tc>
        <w:tc>
          <w:tcPr>
            <w:tcW w:w="575" w:type="dxa"/>
            <w:gridSpan w:val="2"/>
            <w:tcMar>
              <w:top w:w="60" w:type="dxa"/>
              <w:bottom w:w="60" w:type="dxa"/>
            </w:tcMar>
            <w:vAlign w:val="center"/>
          </w:tcPr>
          <w:p w14:paraId="447A1004" w14:textId="77777777" w:rsidR="006561BA" w:rsidRDefault="005B4ED6">
            <w:pPr>
              <w:pStyle w:val="AnnexTableCellLeft"/>
              <w:jc w:val="center"/>
            </w:pPr>
            <w:r>
              <w:t>J</w:t>
            </w:r>
          </w:p>
        </w:tc>
        <w:tc>
          <w:tcPr>
            <w:tcW w:w="575" w:type="dxa"/>
            <w:gridSpan w:val="2"/>
            <w:tcMar>
              <w:top w:w="60" w:type="dxa"/>
              <w:bottom w:w="60" w:type="dxa"/>
            </w:tcMar>
            <w:vAlign w:val="center"/>
          </w:tcPr>
          <w:p w14:paraId="19C5483D" w14:textId="77777777" w:rsidR="006561BA" w:rsidRDefault="005B4ED6">
            <w:pPr>
              <w:pStyle w:val="AnnexTableCellLeft"/>
              <w:jc w:val="center"/>
            </w:pPr>
            <w:r>
              <w:t>J</w:t>
            </w:r>
          </w:p>
        </w:tc>
        <w:tc>
          <w:tcPr>
            <w:tcW w:w="575" w:type="dxa"/>
            <w:gridSpan w:val="3"/>
            <w:tcMar>
              <w:top w:w="60" w:type="dxa"/>
              <w:bottom w:w="60" w:type="dxa"/>
            </w:tcMar>
            <w:vAlign w:val="center"/>
          </w:tcPr>
          <w:p w14:paraId="40711D62" w14:textId="77777777" w:rsidR="006561BA" w:rsidRDefault="005B4ED6">
            <w:pPr>
              <w:pStyle w:val="AnnexTableCellLeft"/>
              <w:jc w:val="center"/>
            </w:pPr>
            <w:r>
              <w:t>J</w:t>
            </w:r>
          </w:p>
        </w:tc>
        <w:tc>
          <w:tcPr>
            <w:tcW w:w="575" w:type="dxa"/>
            <w:gridSpan w:val="2"/>
            <w:tcMar>
              <w:top w:w="60" w:type="dxa"/>
              <w:bottom w:w="60" w:type="dxa"/>
            </w:tcMar>
            <w:vAlign w:val="center"/>
          </w:tcPr>
          <w:p w14:paraId="4E810E8B" w14:textId="77777777" w:rsidR="006561BA" w:rsidRDefault="005B4ED6">
            <w:pPr>
              <w:pStyle w:val="AnnexTableCellLeft"/>
              <w:jc w:val="center"/>
            </w:pPr>
            <w:r>
              <w:t>J</w:t>
            </w:r>
          </w:p>
        </w:tc>
        <w:tc>
          <w:tcPr>
            <w:tcW w:w="575" w:type="dxa"/>
            <w:tcMar>
              <w:top w:w="60" w:type="dxa"/>
              <w:bottom w:w="60" w:type="dxa"/>
            </w:tcMar>
            <w:vAlign w:val="center"/>
          </w:tcPr>
          <w:p w14:paraId="4817D173" w14:textId="77777777" w:rsidR="006561BA" w:rsidRDefault="005B4ED6">
            <w:pPr>
              <w:pStyle w:val="AnnexTableCellLeft"/>
              <w:jc w:val="center"/>
            </w:pPr>
            <w:r>
              <w:t>J</w:t>
            </w:r>
          </w:p>
        </w:tc>
        <w:tc>
          <w:tcPr>
            <w:tcW w:w="575" w:type="dxa"/>
            <w:tcMar>
              <w:top w:w="60" w:type="dxa"/>
              <w:bottom w:w="60" w:type="dxa"/>
            </w:tcMar>
            <w:vAlign w:val="center"/>
          </w:tcPr>
          <w:p w14:paraId="54CAF248" w14:textId="77777777" w:rsidR="006561BA" w:rsidRDefault="005B4ED6">
            <w:pPr>
              <w:pStyle w:val="AnnexTableCellLeft"/>
              <w:jc w:val="center"/>
            </w:pPr>
            <w:r>
              <w:t>J</w:t>
            </w:r>
          </w:p>
        </w:tc>
        <w:tc>
          <w:tcPr>
            <w:tcW w:w="576" w:type="dxa"/>
            <w:tcMar>
              <w:top w:w="60" w:type="dxa"/>
              <w:bottom w:w="60" w:type="dxa"/>
            </w:tcMar>
            <w:vAlign w:val="center"/>
          </w:tcPr>
          <w:p w14:paraId="08BD9544" w14:textId="77777777" w:rsidR="006561BA" w:rsidRDefault="005B4ED6">
            <w:pPr>
              <w:pStyle w:val="AnnexTableCellLeft"/>
              <w:jc w:val="center"/>
            </w:pPr>
            <w:r>
              <w:t>J</w:t>
            </w:r>
          </w:p>
        </w:tc>
        <w:tc>
          <w:tcPr>
            <w:tcW w:w="1188" w:type="dxa"/>
            <w:tcMar>
              <w:top w:w="60" w:type="dxa"/>
              <w:bottom w:w="60" w:type="dxa"/>
            </w:tcMar>
            <w:vAlign w:val="center"/>
          </w:tcPr>
          <w:p w14:paraId="6C1414C3" w14:textId="77777777" w:rsidR="006561BA" w:rsidRDefault="005B4ED6">
            <w:pPr>
              <w:pStyle w:val="AnnexTableCellLeft"/>
              <w:jc w:val="center"/>
            </w:pPr>
            <w:r>
              <w:t>%</w:t>
            </w:r>
          </w:p>
        </w:tc>
        <w:tc>
          <w:tcPr>
            <w:tcW w:w="810" w:type="dxa"/>
            <w:tcMar>
              <w:top w:w="60" w:type="dxa"/>
              <w:bottom w:w="60" w:type="dxa"/>
            </w:tcMar>
            <w:vAlign w:val="center"/>
          </w:tcPr>
          <w:p w14:paraId="596D6C7B" w14:textId="77777777" w:rsidR="006561BA" w:rsidRDefault="005B4ED6">
            <w:pPr>
              <w:pStyle w:val="AnnexTableCellLeft"/>
              <w:jc w:val="center"/>
            </w:pPr>
            <w:r>
              <w:t>Muliggjørende</w:t>
            </w:r>
          </w:p>
        </w:tc>
        <w:tc>
          <w:tcPr>
            <w:tcW w:w="810" w:type="dxa"/>
            <w:shd w:val="clear" w:color="auto" w:fill="000000" w:themeFill="text1"/>
            <w:tcMar>
              <w:top w:w="60" w:type="dxa"/>
              <w:bottom w:w="60" w:type="dxa"/>
              <w:right w:w="0" w:type="dxa"/>
            </w:tcMar>
            <w:vAlign w:val="center"/>
          </w:tcPr>
          <w:p w14:paraId="55E79D66" w14:textId="77777777" w:rsidR="006561BA" w:rsidRDefault="006561BA">
            <w:pPr>
              <w:pStyle w:val="AnnexTableCellLeft"/>
              <w:jc w:val="center"/>
            </w:pPr>
          </w:p>
        </w:tc>
      </w:tr>
      <w:tr w:rsidR="006561BA" w14:paraId="18CF748F" w14:textId="77777777">
        <w:tc>
          <w:tcPr>
            <w:tcW w:w="2304" w:type="dxa"/>
            <w:gridSpan w:val="2"/>
            <w:tcMar>
              <w:top w:w="60" w:type="dxa"/>
              <w:left w:w="0" w:type="dxa"/>
              <w:bottom w:w="60" w:type="dxa"/>
            </w:tcMar>
          </w:tcPr>
          <w:p w14:paraId="36BDDBC9" w14:textId="77777777" w:rsidR="006561BA" w:rsidRDefault="005B4ED6">
            <w:pPr>
              <w:pStyle w:val="AnnexTableCellLeft"/>
              <w:jc w:val="right"/>
            </w:pPr>
            <w:r>
              <w:rPr>
                <w:b/>
              </w:rPr>
              <w:t>Hvorav omstilling</w:t>
            </w:r>
          </w:p>
        </w:tc>
        <w:tc>
          <w:tcPr>
            <w:tcW w:w="792" w:type="dxa"/>
            <w:tcMar>
              <w:top w:w="60" w:type="dxa"/>
              <w:bottom w:w="60" w:type="dxa"/>
            </w:tcMar>
          </w:tcPr>
          <w:p w14:paraId="2CA5858A" w14:textId="77777777" w:rsidR="006561BA" w:rsidRDefault="006561BA">
            <w:pPr>
              <w:pStyle w:val="AnnexTableCellLeft"/>
            </w:pPr>
          </w:p>
        </w:tc>
        <w:tc>
          <w:tcPr>
            <w:tcW w:w="936" w:type="dxa"/>
            <w:tcMar>
              <w:top w:w="60" w:type="dxa"/>
              <w:bottom w:w="60" w:type="dxa"/>
            </w:tcMar>
            <w:vAlign w:val="center"/>
          </w:tcPr>
          <w:p w14:paraId="6500B89A" w14:textId="77777777" w:rsidR="006561BA" w:rsidRDefault="005B4ED6">
            <w:pPr>
              <w:pStyle w:val="AnnexTableCellLeft"/>
              <w:jc w:val="center"/>
            </w:pPr>
            <w:r>
              <w:t>%</w:t>
            </w:r>
          </w:p>
        </w:tc>
        <w:tc>
          <w:tcPr>
            <w:tcW w:w="575" w:type="dxa"/>
            <w:tcMar>
              <w:top w:w="60" w:type="dxa"/>
              <w:bottom w:w="60" w:type="dxa"/>
            </w:tcMar>
            <w:vAlign w:val="center"/>
          </w:tcPr>
          <w:p w14:paraId="67B6D1FF" w14:textId="77777777" w:rsidR="006561BA" w:rsidRDefault="005B4ED6">
            <w:pPr>
              <w:pStyle w:val="AnnexTableCellLeft"/>
              <w:jc w:val="center"/>
            </w:pPr>
            <w:r>
              <w:t>%</w:t>
            </w:r>
          </w:p>
        </w:tc>
        <w:tc>
          <w:tcPr>
            <w:tcW w:w="575" w:type="dxa"/>
            <w:gridSpan w:val="2"/>
            <w:shd w:val="clear" w:color="auto" w:fill="000000" w:themeFill="text1"/>
            <w:tcMar>
              <w:top w:w="60" w:type="dxa"/>
              <w:bottom w:w="60" w:type="dxa"/>
            </w:tcMar>
            <w:vAlign w:val="center"/>
          </w:tcPr>
          <w:p w14:paraId="6BA30C9C" w14:textId="77777777" w:rsidR="006561BA" w:rsidRDefault="006561BA">
            <w:pPr>
              <w:pStyle w:val="AnnexTableCellLeft"/>
              <w:jc w:val="center"/>
            </w:pPr>
          </w:p>
        </w:tc>
        <w:tc>
          <w:tcPr>
            <w:tcW w:w="575" w:type="dxa"/>
            <w:gridSpan w:val="2"/>
            <w:shd w:val="clear" w:color="auto" w:fill="000000" w:themeFill="text1"/>
            <w:tcMar>
              <w:top w:w="60" w:type="dxa"/>
              <w:bottom w:w="60" w:type="dxa"/>
            </w:tcMar>
            <w:vAlign w:val="center"/>
          </w:tcPr>
          <w:p w14:paraId="6927A8DE" w14:textId="77777777" w:rsidR="006561BA" w:rsidRDefault="006561BA">
            <w:pPr>
              <w:pStyle w:val="AnnexTableCellLeft"/>
              <w:jc w:val="center"/>
            </w:pPr>
          </w:p>
        </w:tc>
        <w:tc>
          <w:tcPr>
            <w:tcW w:w="575" w:type="dxa"/>
            <w:gridSpan w:val="2"/>
            <w:shd w:val="clear" w:color="auto" w:fill="000000" w:themeFill="text1"/>
            <w:tcMar>
              <w:top w:w="60" w:type="dxa"/>
              <w:bottom w:w="60" w:type="dxa"/>
            </w:tcMar>
            <w:vAlign w:val="center"/>
          </w:tcPr>
          <w:p w14:paraId="31863194" w14:textId="77777777" w:rsidR="006561BA" w:rsidRDefault="006561BA">
            <w:pPr>
              <w:pStyle w:val="AnnexTableCellLeft"/>
              <w:jc w:val="center"/>
            </w:pPr>
          </w:p>
        </w:tc>
        <w:tc>
          <w:tcPr>
            <w:tcW w:w="575" w:type="dxa"/>
            <w:gridSpan w:val="3"/>
            <w:shd w:val="clear" w:color="auto" w:fill="000000" w:themeFill="text1"/>
            <w:tcMar>
              <w:top w:w="60" w:type="dxa"/>
              <w:bottom w:w="60" w:type="dxa"/>
            </w:tcMar>
            <w:vAlign w:val="center"/>
          </w:tcPr>
          <w:p w14:paraId="0428C7F2" w14:textId="77777777" w:rsidR="006561BA" w:rsidRDefault="006561BA">
            <w:pPr>
              <w:pStyle w:val="AnnexTableCellLeft"/>
              <w:jc w:val="center"/>
            </w:pPr>
          </w:p>
        </w:tc>
        <w:tc>
          <w:tcPr>
            <w:tcW w:w="575" w:type="dxa"/>
            <w:gridSpan w:val="2"/>
            <w:shd w:val="clear" w:color="auto" w:fill="000000" w:themeFill="text1"/>
            <w:tcMar>
              <w:top w:w="60" w:type="dxa"/>
              <w:bottom w:w="60" w:type="dxa"/>
            </w:tcMar>
            <w:vAlign w:val="center"/>
          </w:tcPr>
          <w:p w14:paraId="2B8B45D7" w14:textId="77777777" w:rsidR="006561BA" w:rsidRDefault="006561BA">
            <w:pPr>
              <w:pStyle w:val="AnnexTableCellLeft"/>
              <w:jc w:val="center"/>
            </w:pPr>
          </w:p>
        </w:tc>
        <w:tc>
          <w:tcPr>
            <w:tcW w:w="575" w:type="dxa"/>
            <w:gridSpan w:val="2"/>
            <w:tcMar>
              <w:top w:w="60" w:type="dxa"/>
              <w:bottom w:w="60" w:type="dxa"/>
            </w:tcMar>
            <w:vAlign w:val="center"/>
          </w:tcPr>
          <w:p w14:paraId="1903020E" w14:textId="77777777" w:rsidR="006561BA" w:rsidRDefault="005B4ED6">
            <w:pPr>
              <w:pStyle w:val="AnnexTableCellLeft"/>
              <w:jc w:val="center"/>
            </w:pPr>
            <w:r>
              <w:t>J</w:t>
            </w:r>
          </w:p>
        </w:tc>
        <w:tc>
          <w:tcPr>
            <w:tcW w:w="575" w:type="dxa"/>
            <w:gridSpan w:val="2"/>
            <w:tcMar>
              <w:top w:w="60" w:type="dxa"/>
              <w:bottom w:w="60" w:type="dxa"/>
            </w:tcMar>
            <w:vAlign w:val="center"/>
          </w:tcPr>
          <w:p w14:paraId="2372885D" w14:textId="77777777" w:rsidR="006561BA" w:rsidRDefault="005B4ED6">
            <w:pPr>
              <w:pStyle w:val="AnnexTableCellLeft"/>
              <w:jc w:val="center"/>
            </w:pPr>
            <w:r>
              <w:t>J</w:t>
            </w:r>
          </w:p>
        </w:tc>
        <w:tc>
          <w:tcPr>
            <w:tcW w:w="575" w:type="dxa"/>
            <w:gridSpan w:val="3"/>
            <w:tcMar>
              <w:top w:w="60" w:type="dxa"/>
              <w:bottom w:w="60" w:type="dxa"/>
            </w:tcMar>
            <w:vAlign w:val="center"/>
          </w:tcPr>
          <w:p w14:paraId="7BE610E1" w14:textId="77777777" w:rsidR="006561BA" w:rsidRDefault="005B4ED6">
            <w:pPr>
              <w:pStyle w:val="AnnexTableCellLeft"/>
              <w:jc w:val="center"/>
            </w:pPr>
            <w:r>
              <w:t>J</w:t>
            </w:r>
          </w:p>
        </w:tc>
        <w:tc>
          <w:tcPr>
            <w:tcW w:w="575" w:type="dxa"/>
            <w:gridSpan w:val="2"/>
            <w:tcMar>
              <w:top w:w="60" w:type="dxa"/>
              <w:bottom w:w="60" w:type="dxa"/>
            </w:tcMar>
            <w:vAlign w:val="center"/>
          </w:tcPr>
          <w:p w14:paraId="44227150" w14:textId="77777777" w:rsidR="006561BA" w:rsidRDefault="005B4ED6">
            <w:pPr>
              <w:pStyle w:val="AnnexTableCellLeft"/>
              <w:jc w:val="center"/>
            </w:pPr>
            <w:r>
              <w:t>J</w:t>
            </w:r>
          </w:p>
        </w:tc>
        <w:tc>
          <w:tcPr>
            <w:tcW w:w="575" w:type="dxa"/>
            <w:tcMar>
              <w:top w:w="60" w:type="dxa"/>
              <w:bottom w:w="60" w:type="dxa"/>
            </w:tcMar>
            <w:vAlign w:val="center"/>
          </w:tcPr>
          <w:p w14:paraId="7861E15A" w14:textId="77777777" w:rsidR="006561BA" w:rsidRDefault="005B4ED6">
            <w:pPr>
              <w:pStyle w:val="AnnexTableCellLeft"/>
              <w:jc w:val="center"/>
            </w:pPr>
            <w:r>
              <w:t>J</w:t>
            </w:r>
          </w:p>
        </w:tc>
        <w:tc>
          <w:tcPr>
            <w:tcW w:w="575" w:type="dxa"/>
            <w:tcMar>
              <w:top w:w="60" w:type="dxa"/>
              <w:bottom w:w="60" w:type="dxa"/>
            </w:tcMar>
            <w:vAlign w:val="center"/>
          </w:tcPr>
          <w:p w14:paraId="5E0F2AFC" w14:textId="77777777" w:rsidR="006561BA" w:rsidRDefault="005B4ED6">
            <w:pPr>
              <w:pStyle w:val="AnnexTableCellLeft"/>
              <w:jc w:val="center"/>
            </w:pPr>
            <w:r>
              <w:t>J</w:t>
            </w:r>
          </w:p>
        </w:tc>
        <w:tc>
          <w:tcPr>
            <w:tcW w:w="576" w:type="dxa"/>
            <w:tcMar>
              <w:top w:w="60" w:type="dxa"/>
              <w:bottom w:w="60" w:type="dxa"/>
            </w:tcMar>
            <w:vAlign w:val="center"/>
          </w:tcPr>
          <w:p w14:paraId="06F0F7F7" w14:textId="77777777" w:rsidR="006561BA" w:rsidRDefault="005B4ED6">
            <w:pPr>
              <w:pStyle w:val="AnnexTableCellLeft"/>
              <w:jc w:val="center"/>
            </w:pPr>
            <w:r>
              <w:t>J</w:t>
            </w:r>
          </w:p>
        </w:tc>
        <w:tc>
          <w:tcPr>
            <w:tcW w:w="1188" w:type="dxa"/>
            <w:tcMar>
              <w:top w:w="60" w:type="dxa"/>
              <w:bottom w:w="60" w:type="dxa"/>
            </w:tcMar>
            <w:vAlign w:val="center"/>
          </w:tcPr>
          <w:p w14:paraId="65658037" w14:textId="77777777" w:rsidR="006561BA" w:rsidRDefault="005B4ED6">
            <w:pPr>
              <w:pStyle w:val="AnnexTableCellLeft"/>
              <w:jc w:val="center"/>
            </w:pPr>
            <w:r>
              <w:t>%</w:t>
            </w:r>
          </w:p>
        </w:tc>
        <w:tc>
          <w:tcPr>
            <w:tcW w:w="810" w:type="dxa"/>
            <w:shd w:val="clear" w:color="auto" w:fill="000000" w:themeFill="text1"/>
            <w:tcMar>
              <w:top w:w="60" w:type="dxa"/>
              <w:bottom w:w="60" w:type="dxa"/>
            </w:tcMar>
            <w:vAlign w:val="center"/>
          </w:tcPr>
          <w:p w14:paraId="01F4B4BF" w14:textId="77777777" w:rsidR="006561BA" w:rsidRDefault="006561BA">
            <w:pPr>
              <w:pStyle w:val="AnnexTableCellLeft"/>
              <w:jc w:val="center"/>
            </w:pPr>
          </w:p>
        </w:tc>
        <w:tc>
          <w:tcPr>
            <w:tcW w:w="810" w:type="dxa"/>
            <w:tcMar>
              <w:top w:w="60" w:type="dxa"/>
              <w:bottom w:w="60" w:type="dxa"/>
              <w:right w:w="0" w:type="dxa"/>
            </w:tcMar>
            <w:vAlign w:val="center"/>
          </w:tcPr>
          <w:p w14:paraId="23C6B30B" w14:textId="77777777" w:rsidR="006561BA" w:rsidRDefault="005B4ED6">
            <w:pPr>
              <w:pStyle w:val="AnnexTableCellLeft"/>
              <w:jc w:val="center"/>
            </w:pPr>
            <w:r>
              <w:t>Omstilling</w:t>
            </w:r>
          </w:p>
        </w:tc>
      </w:tr>
      <w:tr w:rsidR="006561BA" w14:paraId="3750F3E0" w14:textId="77777777">
        <w:tc>
          <w:tcPr>
            <w:tcW w:w="14316" w:type="dxa"/>
            <w:gridSpan w:val="31"/>
            <w:tcMar>
              <w:top w:w="60" w:type="dxa"/>
              <w:left w:w="0" w:type="dxa"/>
              <w:bottom w:w="60" w:type="dxa"/>
              <w:right w:w="0" w:type="dxa"/>
            </w:tcMar>
          </w:tcPr>
          <w:p w14:paraId="69B747F8" w14:textId="603BD6CA" w:rsidR="006561BA" w:rsidRDefault="005B4ED6">
            <w:pPr>
              <w:pStyle w:val="AnnexNumberedText"/>
              <w:spacing w:after="0"/>
              <w:ind w:left="453" w:hanging="453"/>
            </w:pPr>
            <w:r>
              <w:t>A.2.</w:t>
            </w:r>
            <w:r>
              <w:rPr>
                <w:b/>
              </w:rPr>
              <w:tab/>
              <w:t>Aktiviteter som er omfattet av taksonomien, men som ikke er miljømessig bærekraftige (ikke taksonomiforenlige aktiviteter)</w:t>
            </w:r>
            <w:r w:rsidR="007E65F6">
              <w:rPr>
                <w:b/>
              </w:rPr>
              <w:t xml:space="preserve"> </w:t>
            </w:r>
            <w:r>
              <w:t>(</w:t>
            </w:r>
            <w:r>
              <w:fldChar w:fldCharType="begin"/>
            </w:r>
            <w:r>
              <w:instrText xml:space="preserve"> REF NOTE_411 \h  \* MERGEFORMAT </w:instrText>
            </w:r>
            <w:r>
              <w:fldChar w:fldCharType="separate"/>
            </w:r>
            <w:r w:rsidR="00770AA2">
              <w:rPr>
                <w:vertAlign w:val="superscript"/>
              </w:rPr>
              <w:t>g</w:t>
            </w:r>
            <w:r>
              <w:fldChar w:fldCharType="end"/>
            </w:r>
            <w:r>
              <w:t>)</w:t>
            </w:r>
          </w:p>
        </w:tc>
      </w:tr>
      <w:tr w:rsidR="006561BA" w14:paraId="3453FCEB" w14:textId="77777777">
        <w:tc>
          <w:tcPr>
            <w:tcW w:w="4032" w:type="dxa"/>
            <w:gridSpan w:val="4"/>
            <w:tcMar>
              <w:top w:w="60" w:type="dxa"/>
              <w:left w:w="0" w:type="dxa"/>
              <w:bottom w:w="60" w:type="dxa"/>
            </w:tcMar>
          </w:tcPr>
          <w:p w14:paraId="37A898BD" w14:textId="77777777" w:rsidR="006561BA" w:rsidRDefault="006561BA">
            <w:pPr>
              <w:pStyle w:val="AnnexTableCellLeft"/>
            </w:pPr>
          </w:p>
        </w:tc>
        <w:tc>
          <w:tcPr>
            <w:tcW w:w="575" w:type="dxa"/>
            <w:tcMar>
              <w:top w:w="60" w:type="dxa"/>
              <w:bottom w:w="60" w:type="dxa"/>
            </w:tcMar>
            <w:vAlign w:val="center"/>
          </w:tcPr>
          <w:p w14:paraId="59F8659F" w14:textId="7E6F0A97" w:rsidR="006561BA" w:rsidRDefault="005B4ED6">
            <w:pPr>
              <w:pStyle w:val="AnnexTableCellLeft"/>
              <w:jc w:val="center"/>
            </w:pPr>
            <w:r>
              <w:rPr>
                <w:i/>
              </w:rPr>
              <w:t xml:space="preserve">EL, N/EL </w:t>
            </w:r>
            <w:r>
              <w:t>(</w:t>
            </w:r>
            <w:r>
              <w:fldChar w:fldCharType="begin"/>
            </w:r>
            <w:r>
              <w:instrText xml:space="preserve"> REF NOTE_410 \h  \* MERGEFORMAT </w:instrText>
            </w:r>
            <w:r>
              <w:fldChar w:fldCharType="separate"/>
            </w:r>
            <w:r w:rsidR="00770AA2">
              <w:rPr>
                <w:vertAlign w:val="superscript"/>
              </w:rPr>
              <w:t>f</w:t>
            </w:r>
            <w:r>
              <w:fldChar w:fldCharType="end"/>
            </w:r>
            <w:r>
              <w:t>)</w:t>
            </w:r>
          </w:p>
        </w:tc>
        <w:tc>
          <w:tcPr>
            <w:tcW w:w="575" w:type="dxa"/>
            <w:gridSpan w:val="2"/>
            <w:tcMar>
              <w:top w:w="60" w:type="dxa"/>
              <w:bottom w:w="60" w:type="dxa"/>
            </w:tcMar>
            <w:vAlign w:val="center"/>
          </w:tcPr>
          <w:p w14:paraId="295F723C" w14:textId="47242150" w:rsidR="006561BA" w:rsidRDefault="005B4ED6">
            <w:pPr>
              <w:pStyle w:val="AnnexTableCellLeft"/>
              <w:jc w:val="center"/>
            </w:pPr>
            <w:r>
              <w:rPr>
                <w:i/>
              </w:rPr>
              <w:t xml:space="preserve">EL, N/EL </w:t>
            </w:r>
            <w:r>
              <w:t>(</w:t>
            </w:r>
            <w:r>
              <w:fldChar w:fldCharType="begin"/>
            </w:r>
            <w:r>
              <w:instrText xml:space="preserve"> REF NOTE_410 \h  \* MERGEFORMAT </w:instrText>
            </w:r>
            <w:r>
              <w:fldChar w:fldCharType="separate"/>
            </w:r>
            <w:r w:rsidR="00770AA2">
              <w:rPr>
                <w:vertAlign w:val="superscript"/>
              </w:rPr>
              <w:t>f</w:t>
            </w:r>
            <w:r>
              <w:fldChar w:fldCharType="end"/>
            </w:r>
            <w:r>
              <w:t>)</w:t>
            </w:r>
          </w:p>
        </w:tc>
        <w:tc>
          <w:tcPr>
            <w:tcW w:w="575" w:type="dxa"/>
            <w:gridSpan w:val="2"/>
            <w:tcMar>
              <w:top w:w="60" w:type="dxa"/>
              <w:bottom w:w="60" w:type="dxa"/>
            </w:tcMar>
            <w:vAlign w:val="center"/>
          </w:tcPr>
          <w:p w14:paraId="4DAE29BC" w14:textId="746C86E8" w:rsidR="006561BA" w:rsidRDefault="005B4ED6">
            <w:pPr>
              <w:pStyle w:val="AnnexTableCellLeft"/>
              <w:jc w:val="center"/>
            </w:pPr>
            <w:r>
              <w:rPr>
                <w:i/>
              </w:rPr>
              <w:t xml:space="preserve">EL, N/EL </w:t>
            </w:r>
            <w:r>
              <w:t>(</w:t>
            </w:r>
            <w:r>
              <w:fldChar w:fldCharType="begin"/>
            </w:r>
            <w:r>
              <w:instrText xml:space="preserve"> REF NOTE_410 \h  \* MERGEFORMAT </w:instrText>
            </w:r>
            <w:r>
              <w:fldChar w:fldCharType="separate"/>
            </w:r>
            <w:r w:rsidR="00770AA2">
              <w:rPr>
                <w:vertAlign w:val="superscript"/>
              </w:rPr>
              <w:t>f</w:t>
            </w:r>
            <w:r>
              <w:fldChar w:fldCharType="end"/>
            </w:r>
            <w:r>
              <w:t>)</w:t>
            </w:r>
          </w:p>
        </w:tc>
        <w:tc>
          <w:tcPr>
            <w:tcW w:w="575" w:type="dxa"/>
            <w:gridSpan w:val="2"/>
            <w:tcMar>
              <w:top w:w="60" w:type="dxa"/>
              <w:bottom w:w="60" w:type="dxa"/>
            </w:tcMar>
            <w:vAlign w:val="center"/>
          </w:tcPr>
          <w:p w14:paraId="2D83E525" w14:textId="73D91637" w:rsidR="006561BA" w:rsidRDefault="005B4ED6">
            <w:pPr>
              <w:pStyle w:val="AnnexTableCellLeft"/>
              <w:jc w:val="center"/>
            </w:pPr>
            <w:r>
              <w:rPr>
                <w:i/>
              </w:rPr>
              <w:t xml:space="preserve">EL, N/EL </w:t>
            </w:r>
            <w:r>
              <w:t>(</w:t>
            </w:r>
            <w:r>
              <w:fldChar w:fldCharType="begin"/>
            </w:r>
            <w:r>
              <w:instrText xml:space="preserve"> REF NOTE_410 \h  \* MERGEFORMAT </w:instrText>
            </w:r>
            <w:r>
              <w:fldChar w:fldCharType="separate"/>
            </w:r>
            <w:r w:rsidR="00770AA2">
              <w:rPr>
                <w:vertAlign w:val="superscript"/>
              </w:rPr>
              <w:t>f</w:t>
            </w:r>
            <w:r>
              <w:fldChar w:fldCharType="end"/>
            </w:r>
            <w:r>
              <w:t>)</w:t>
            </w:r>
          </w:p>
        </w:tc>
        <w:tc>
          <w:tcPr>
            <w:tcW w:w="575" w:type="dxa"/>
            <w:gridSpan w:val="3"/>
            <w:tcMar>
              <w:top w:w="60" w:type="dxa"/>
              <w:bottom w:w="60" w:type="dxa"/>
            </w:tcMar>
            <w:vAlign w:val="center"/>
          </w:tcPr>
          <w:p w14:paraId="37FA79BC" w14:textId="4B7DC7E7" w:rsidR="006561BA" w:rsidRDefault="005B4ED6">
            <w:pPr>
              <w:pStyle w:val="AnnexTableCellLeft"/>
              <w:jc w:val="center"/>
            </w:pPr>
            <w:r>
              <w:rPr>
                <w:i/>
              </w:rPr>
              <w:t xml:space="preserve">EL, N/EL </w:t>
            </w:r>
            <w:r>
              <w:t>(</w:t>
            </w:r>
            <w:r>
              <w:fldChar w:fldCharType="begin"/>
            </w:r>
            <w:r>
              <w:instrText xml:space="preserve"> REF NOTE_410 \h  \* MERGEFORMAT </w:instrText>
            </w:r>
            <w:r>
              <w:fldChar w:fldCharType="separate"/>
            </w:r>
            <w:r w:rsidR="00770AA2">
              <w:rPr>
                <w:vertAlign w:val="superscript"/>
              </w:rPr>
              <w:t>f</w:t>
            </w:r>
            <w:r>
              <w:fldChar w:fldCharType="end"/>
            </w:r>
            <w:r>
              <w:t>)</w:t>
            </w:r>
          </w:p>
        </w:tc>
        <w:tc>
          <w:tcPr>
            <w:tcW w:w="575" w:type="dxa"/>
            <w:gridSpan w:val="2"/>
            <w:tcMar>
              <w:top w:w="60" w:type="dxa"/>
              <w:bottom w:w="60" w:type="dxa"/>
            </w:tcMar>
            <w:vAlign w:val="center"/>
          </w:tcPr>
          <w:p w14:paraId="1F1CEB1B" w14:textId="3A74CFA3" w:rsidR="006561BA" w:rsidRDefault="005B4ED6">
            <w:pPr>
              <w:pStyle w:val="AnnexTableCellLeft"/>
              <w:jc w:val="center"/>
            </w:pPr>
            <w:r>
              <w:rPr>
                <w:i/>
              </w:rPr>
              <w:t xml:space="preserve">EL, N/EL </w:t>
            </w:r>
            <w:r>
              <w:t>(</w:t>
            </w:r>
            <w:r>
              <w:fldChar w:fldCharType="begin"/>
            </w:r>
            <w:r>
              <w:instrText xml:space="preserve"> REF NOTE_410 \h  \* MERGEFORMAT </w:instrText>
            </w:r>
            <w:r>
              <w:fldChar w:fldCharType="separate"/>
            </w:r>
            <w:r w:rsidR="00770AA2">
              <w:rPr>
                <w:vertAlign w:val="superscript"/>
              </w:rPr>
              <w:t>f</w:t>
            </w:r>
            <w:r>
              <w:fldChar w:fldCharType="end"/>
            </w:r>
            <w:r>
              <w:t>)</w:t>
            </w:r>
          </w:p>
        </w:tc>
        <w:tc>
          <w:tcPr>
            <w:tcW w:w="575" w:type="dxa"/>
            <w:gridSpan w:val="2"/>
            <w:shd w:val="clear" w:color="auto" w:fill="000000" w:themeFill="text1"/>
            <w:tcMar>
              <w:top w:w="60" w:type="dxa"/>
              <w:bottom w:w="60" w:type="dxa"/>
            </w:tcMar>
            <w:vAlign w:val="center"/>
          </w:tcPr>
          <w:p w14:paraId="33741B10" w14:textId="77777777" w:rsidR="006561BA" w:rsidRDefault="006561BA">
            <w:pPr>
              <w:pStyle w:val="AnnexTableCellLeft"/>
              <w:jc w:val="center"/>
            </w:pPr>
          </w:p>
        </w:tc>
        <w:tc>
          <w:tcPr>
            <w:tcW w:w="575" w:type="dxa"/>
            <w:gridSpan w:val="2"/>
            <w:shd w:val="clear" w:color="auto" w:fill="000000" w:themeFill="text1"/>
            <w:tcMar>
              <w:top w:w="60" w:type="dxa"/>
              <w:bottom w:w="60" w:type="dxa"/>
            </w:tcMar>
            <w:vAlign w:val="center"/>
          </w:tcPr>
          <w:p w14:paraId="083F0DC2" w14:textId="77777777" w:rsidR="006561BA" w:rsidRDefault="006561BA">
            <w:pPr>
              <w:pStyle w:val="AnnexTableCellLeft"/>
              <w:jc w:val="center"/>
            </w:pPr>
          </w:p>
        </w:tc>
        <w:tc>
          <w:tcPr>
            <w:tcW w:w="575" w:type="dxa"/>
            <w:gridSpan w:val="3"/>
            <w:shd w:val="clear" w:color="auto" w:fill="000000" w:themeFill="text1"/>
            <w:tcMar>
              <w:top w:w="60" w:type="dxa"/>
              <w:bottom w:w="60" w:type="dxa"/>
            </w:tcMar>
            <w:vAlign w:val="center"/>
          </w:tcPr>
          <w:p w14:paraId="75FF6FE4" w14:textId="77777777" w:rsidR="006561BA" w:rsidRDefault="006561BA">
            <w:pPr>
              <w:pStyle w:val="AnnexTableCellLeft"/>
              <w:jc w:val="center"/>
            </w:pPr>
          </w:p>
        </w:tc>
        <w:tc>
          <w:tcPr>
            <w:tcW w:w="575" w:type="dxa"/>
            <w:gridSpan w:val="2"/>
            <w:shd w:val="clear" w:color="auto" w:fill="000000" w:themeFill="text1"/>
            <w:tcMar>
              <w:top w:w="60" w:type="dxa"/>
              <w:bottom w:w="60" w:type="dxa"/>
            </w:tcMar>
            <w:vAlign w:val="center"/>
          </w:tcPr>
          <w:p w14:paraId="6374624E" w14:textId="77777777" w:rsidR="006561BA" w:rsidRDefault="006561BA">
            <w:pPr>
              <w:pStyle w:val="AnnexTableCellLeft"/>
              <w:jc w:val="center"/>
            </w:pPr>
          </w:p>
        </w:tc>
        <w:tc>
          <w:tcPr>
            <w:tcW w:w="575" w:type="dxa"/>
            <w:shd w:val="clear" w:color="auto" w:fill="000000" w:themeFill="text1"/>
            <w:tcMar>
              <w:top w:w="60" w:type="dxa"/>
              <w:bottom w:w="60" w:type="dxa"/>
            </w:tcMar>
            <w:vAlign w:val="center"/>
          </w:tcPr>
          <w:p w14:paraId="02EC3A82" w14:textId="77777777" w:rsidR="006561BA" w:rsidRDefault="006561BA">
            <w:pPr>
              <w:pStyle w:val="AnnexTableCellLeft"/>
              <w:jc w:val="center"/>
            </w:pPr>
          </w:p>
        </w:tc>
        <w:tc>
          <w:tcPr>
            <w:tcW w:w="575" w:type="dxa"/>
            <w:shd w:val="clear" w:color="auto" w:fill="000000" w:themeFill="text1"/>
            <w:tcMar>
              <w:top w:w="60" w:type="dxa"/>
              <w:bottom w:w="60" w:type="dxa"/>
            </w:tcMar>
            <w:vAlign w:val="center"/>
          </w:tcPr>
          <w:p w14:paraId="3B8D3D7B" w14:textId="77777777" w:rsidR="006561BA" w:rsidRDefault="006561BA">
            <w:pPr>
              <w:pStyle w:val="AnnexTableCellLeft"/>
              <w:jc w:val="center"/>
            </w:pPr>
          </w:p>
        </w:tc>
        <w:tc>
          <w:tcPr>
            <w:tcW w:w="576" w:type="dxa"/>
            <w:shd w:val="clear" w:color="auto" w:fill="000000" w:themeFill="text1"/>
            <w:tcMar>
              <w:top w:w="60" w:type="dxa"/>
              <w:bottom w:w="60" w:type="dxa"/>
            </w:tcMar>
            <w:vAlign w:val="center"/>
          </w:tcPr>
          <w:p w14:paraId="347C70A0" w14:textId="77777777" w:rsidR="006561BA" w:rsidRDefault="006561BA">
            <w:pPr>
              <w:pStyle w:val="AnnexTableCellLeft"/>
              <w:jc w:val="center"/>
            </w:pPr>
          </w:p>
        </w:tc>
        <w:tc>
          <w:tcPr>
            <w:tcW w:w="1188" w:type="dxa"/>
            <w:shd w:val="clear" w:color="auto" w:fill="000000" w:themeFill="text1"/>
            <w:tcMar>
              <w:top w:w="60" w:type="dxa"/>
              <w:bottom w:w="60" w:type="dxa"/>
            </w:tcMar>
          </w:tcPr>
          <w:p w14:paraId="24F98BE9" w14:textId="77777777" w:rsidR="006561BA" w:rsidRDefault="006561BA">
            <w:pPr>
              <w:pStyle w:val="AnnexTableCellLeft"/>
            </w:pPr>
          </w:p>
        </w:tc>
        <w:tc>
          <w:tcPr>
            <w:tcW w:w="810" w:type="dxa"/>
            <w:shd w:val="clear" w:color="auto" w:fill="000000" w:themeFill="text1"/>
            <w:tcMar>
              <w:top w:w="60" w:type="dxa"/>
              <w:bottom w:w="60" w:type="dxa"/>
            </w:tcMar>
          </w:tcPr>
          <w:p w14:paraId="14791EB2" w14:textId="77777777" w:rsidR="006561BA" w:rsidRDefault="006561BA">
            <w:pPr>
              <w:pStyle w:val="AnnexTableCellLeft"/>
            </w:pPr>
          </w:p>
        </w:tc>
        <w:tc>
          <w:tcPr>
            <w:tcW w:w="810" w:type="dxa"/>
            <w:shd w:val="clear" w:color="auto" w:fill="000000" w:themeFill="text1"/>
            <w:tcMar>
              <w:top w:w="60" w:type="dxa"/>
              <w:bottom w:w="60" w:type="dxa"/>
              <w:right w:w="0" w:type="dxa"/>
            </w:tcMar>
          </w:tcPr>
          <w:p w14:paraId="059B5D39" w14:textId="77777777" w:rsidR="006561BA" w:rsidRDefault="006561BA">
            <w:pPr>
              <w:pStyle w:val="AnnexTableCellLeft"/>
            </w:pPr>
          </w:p>
        </w:tc>
      </w:tr>
      <w:tr w:rsidR="006561BA" w14:paraId="3E2DC19B" w14:textId="77777777">
        <w:tc>
          <w:tcPr>
            <w:tcW w:w="1584" w:type="dxa"/>
            <w:tcMar>
              <w:top w:w="60" w:type="dxa"/>
              <w:left w:w="0" w:type="dxa"/>
              <w:bottom w:w="60" w:type="dxa"/>
            </w:tcMar>
          </w:tcPr>
          <w:p w14:paraId="151A9977" w14:textId="3A053C16" w:rsidR="006561BA" w:rsidRDefault="005B4ED6">
            <w:pPr>
              <w:pStyle w:val="AnnexTableCellLeft"/>
            </w:pPr>
            <w:r>
              <w:t>Aktivitet 1 (</w:t>
            </w:r>
            <w:r>
              <w:fldChar w:fldCharType="begin"/>
            </w:r>
            <w:r>
              <w:instrText xml:space="preserve"> REF NOTE_409 \h  \* MERGEFORMAT </w:instrText>
            </w:r>
            <w:r>
              <w:fldChar w:fldCharType="separate"/>
            </w:r>
            <w:r w:rsidR="00770AA2">
              <w:rPr>
                <w:vertAlign w:val="superscript"/>
              </w:rPr>
              <w:t>e</w:t>
            </w:r>
            <w:r>
              <w:fldChar w:fldCharType="end"/>
            </w:r>
            <w:r>
              <w:t>)</w:t>
            </w:r>
          </w:p>
        </w:tc>
        <w:tc>
          <w:tcPr>
            <w:tcW w:w="720" w:type="dxa"/>
            <w:tcMar>
              <w:top w:w="60" w:type="dxa"/>
              <w:bottom w:w="60" w:type="dxa"/>
            </w:tcMar>
          </w:tcPr>
          <w:p w14:paraId="387E38C2" w14:textId="77777777" w:rsidR="006561BA" w:rsidRDefault="006561BA">
            <w:pPr>
              <w:pStyle w:val="AnnexTableCellLeft"/>
            </w:pPr>
          </w:p>
        </w:tc>
        <w:tc>
          <w:tcPr>
            <w:tcW w:w="792" w:type="dxa"/>
            <w:tcMar>
              <w:top w:w="60" w:type="dxa"/>
              <w:bottom w:w="60" w:type="dxa"/>
            </w:tcMar>
          </w:tcPr>
          <w:p w14:paraId="5D542BBD" w14:textId="77777777" w:rsidR="006561BA" w:rsidRDefault="006561BA">
            <w:pPr>
              <w:pStyle w:val="AnnexTableCellLeft"/>
            </w:pPr>
          </w:p>
        </w:tc>
        <w:tc>
          <w:tcPr>
            <w:tcW w:w="936" w:type="dxa"/>
            <w:tcMar>
              <w:top w:w="60" w:type="dxa"/>
              <w:bottom w:w="60" w:type="dxa"/>
            </w:tcMar>
          </w:tcPr>
          <w:p w14:paraId="011ED385" w14:textId="77777777" w:rsidR="006561BA" w:rsidRDefault="005B4ED6">
            <w:pPr>
              <w:pStyle w:val="AnnexTableCellLeft"/>
              <w:jc w:val="center"/>
            </w:pPr>
            <w:r>
              <w:t>%</w:t>
            </w:r>
          </w:p>
        </w:tc>
        <w:tc>
          <w:tcPr>
            <w:tcW w:w="575" w:type="dxa"/>
            <w:tcMar>
              <w:top w:w="60" w:type="dxa"/>
              <w:bottom w:w="60" w:type="dxa"/>
            </w:tcMar>
            <w:vAlign w:val="center"/>
          </w:tcPr>
          <w:p w14:paraId="16A55156" w14:textId="77777777" w:rsidR="006561BA" w:rsidRDefault="006561BA">
            <w:pPr>
              <w:pStyle w:val="AnnexTableCellLeft"/>
              <w:jc w:val="center"/>
            </w:pPr>
          </w:p>
        </w:tc>
        <w:tc>
          <w:tcPr>
            <w:tcW w:w="575" w:type="dxa"/>
            <w:gridSpan w:val="2"/>
            <w:tcMar>
              <w:top w:w="60" w:type="dxa"/>
              <w:bottom w:w="60" w:type="dxa"/>
            </w:tcMar>
            <w:vAlign w:val="center"/>
          </w:tcPr>
          <w:p w14:paraId="5F2E16AD" w14:textId="77777777" w:rsidR="006561BA" w:rsidRDefault="006561BA">
            <w:pPr>
              <w:pStyle w:val="AnnexTableCellLeft"/>
              <w:jc w:val="center"/>
            </w:pPr>
          </w:p>
        </w:tc>
        <w:tc>
          <w:tcPr>
            <w:tcW w:w="575" w:type="dxa"/>
            <w:gridSpan w:val="2"/>
            <w:tcMar>
              <w:top w:w="60" w:type="dxa"/>
              <w:bottom w:w="60" w:type="dxa"/>
            </w:tcMar>
            <w:vAlign w:val="center"/>
          </w:tcPr>
          <w:p w14:paraId="0628C64D" w14:textId="77777777" w:rsidR="006561BA" w:rsidRDefault="006561BA">
            <w:pPr>
              <w:pStyle w:val="AnnexTableCellLeft"/>
              <w:jc w:val="center"/>
            </w:pPr>
          </w:p>
        </w:tc>
        <w:tc>
          <w:tcPr>
            <w:tcW w:w="575" w:type="dxa"/>
            <w:gridSpan w:val="2"/>
            <w:tcMar>
              <w:top w:w="60" w:type="dxa"/>
              <w:bottom w:w="60" w:type="dxa"/>
            </w:tcMar>
            <w:vAlign w:val="center"/>
          </w:tcPr>
          <w:p w14:paraId="654C32DD" w14:textId="77777777" w:rsidR="006561BA" w:rsidRDefault="006561BA">
            <w:pPr>
              <w:pStyle w:val="AnnexTableCellLeft"/>
              <w:jc w:val="center"/>
            </w:pPr>
          </w:p>
        </w:tc>
        <w:tc>
          <w:tcPr>
            <w:tcW w:w="575" w:type="dxa"/>
            <w:gridSpan w:val="3"/>
            <w:tcMar>
              <w:top w:w="60" w:type="dxa"/>
              <w:bottom w:w="60" w:type="dxa"/>
            </w:tcMar>
            <w:vAlign w:val="center"/>
          </w:tcPr>
          <w:p w14:paraId="37483FA6" w14:textId="77777777" w:rsidR="006561BA" w:rsidRDefault="006561BA">
            <w:pPr>
              <w:pStyle w:val="AnnexTableCellLeft"/>
              <w:jc w:val="center"/>
            </w:pPr>
          </w:p>
        </w:tc>
        <w:tc>
          <w:tcPr>
            <w:tcW w:w="575" w:type="dxa"/>
            <w:gridSpan w:val="2"/>
            <w:tcMar>
              <w:top w:w="60" w:type="dxa"/>
              <w:bottom w:w="60" w:type="dxa"/>
            </w:tcMar>
            <w:vAlign w:val="center"/>
          </w:tcPr>
          <w:p w14:paraId="69BE8457" w14:textId="77777777" w:rsidR="006561BA" w:rsidRDefault="006561BA">
            <w:pPr>
              <w:pStyle w:val="AnnexTableCellLeft"/>
              <w:jc w:val="center"/>
            </w:pPr>
          </w:p>
        </w:tc>
        <w:tc>
          <w:tcPr>
            <w:tcW w:w="575" w:type="dxa"/>
            <w:gridSpan w:val="2"/>
            <w:shd w:val="clear" w:color="auto" w:fill="000000" w:themeFill="text1"/>
            <w:tcMar>
              <w:top w:w="60" w:type="dxa"/>
              <w:bottom w:w="60" w:type="dxa"/>
            </w:tcMar>
            <w:vAlign w:val="center"/>
          </w:tcPr>
          <w:p w14:paraId="4CE7F0EB" w14:textId="77777777" w:rsidR="006561BA" w:rsidRDefault="006561BA">
            <w:pPr>
              <w:pStyle w:val="AnnexTableCellLeft"/>
              <w:jc w:val="center"/>
            </w:pPr>
          </w:p>
        </w:tc>
        <w:tc>
          <w:tcPr>
            <w:tcW w:w="575" w:type="dxa"/>
            <w:gridSpan w:val="2"/>
            <w:shd w:val="clear" w:color="auto" w:fill="000000" w:themeFill="text1"/>
            <w:tcMar>
              <w:top w:w="60" w:type="dxa"/>
              <w:bottom w:w="60" w:type="dxa"/>
            </w:tcMar>
            <w:vAlign w:val="center"/>
          </w:tcPr>
          <w:p w14:paraId="7912561D" w14:textId="77777777" w:rsidR="006561BA" w:rsidRDefault="006561BA">
            <w:pPr>
              <w:pStyle w:val="AnnexTableCellLeft"/>
              <w:jc w:val="center"/>
            </w:pPr>
          </w:p>
        </w:tc>
        <w:tc>
          <w:tcPr>
            <w:tcW w:w="575" w:type="dxa"/>
            <w:gridSpan w:val="3"/>
            <w:shd w:val="clear" w:color="auto" w:fill="000000" w:themeFill="text1"/>
            <w:tcMar>
              <w:top w:w="60" w:type="dxa"/>
              <w:bottom w:w="60" w:type="dxa"/>
            </w:tcMar>
            <w:vAlign w:val="center"/>
          </w:tcPr>
          <w:p w14:paraId="4F7E8235" w14:textId="77777777" w:rsidR="006561BA" w:rsidRDefault="006561BA">
            <w:pPr>
              <w:pStyle w:val="AnnexTableCellLeft"/>
              <w:jc w:val="center"/>
            </w:pPr>
          </w:p>
        </w:tc>
        <w:tc>
          <w:tcPr>
            <w:tcW w:w="575" w:type="dxa"/>
            <w:gridSpan w:val="2"/>
            <w:shd w:val="clear" w:color="auto" w:fill="000000" w:themeFill="text1"/>
            <w:tcMar>
              <w:top w:w="60" w:type="dxa"/>
              <w:bottom w:w="60" w:type="dxa"/>
            </w:tcMar>
            <w:vAlign w:val="center"/>
          </w:tcPr>
          <w:p w14:paraId="435605D8" w14:textId="77777777" w:rsidR="006561BA" w:rsidRDefault="006561BA">
            <w:pPr>
              <w:pStyle w:val="AnnexTableCellLeft"/>
              <w:jc w:val="center"/>
            </w:pPr>
          </w:p>
        </w:tc>
        <w:tc>
          <w:tcPr>
            <w:tcW w:w="575" w:type="dxa"/>
            <w:shd w:val="clear" w:color="auto" w:fill="000000" w:themeFill="text1"/>
            <w:tcMar>
              <w:top w:w="60" w:type="dxa"/>
              <w:bottom w:w="60" w:type="dxa"/>
            </w:tcMar>
            <w:vAlign w:val="center"/>
          </w:tcPr>
          <w:p w14:paraId="562AFA19" w14:textId="77777777" w:rsidR="006561BA" w:rsidRDefault="006561BA">
            <w:pPr>
              <w:pStyle w:val="AnnexTableCellLeft"/>
              <w:jc w:val="center"/>
            </w:pPr>
          </w:p>
        </w:tc>
        <w:tc>
          <w:tcPr>
            <w:tcW w:w="575" w:type="dxa"/>
            <w:shd w:val="clear" w:color="auto" w:fill="000000" w:themeFill="text1"/>
            <w:tcMar>
              <w:top w:w="60" w:type="dxa"/>
              <w:bottom w:w="60" w:type="dxa"/>
            </w:tcMar>
            <w:vAlign w:val="center"/>
          </w:tcPr>
          <w:p w14:paraId="49C967A0" w14:textId="77777777" w:rsidR="006561BA" w:rsidRDefault="006561BA">
            <w:pPr>
              <w:pStyle w:val="AnnexTableCellLeft"/>
              <w:jc w:val="center"/>
            </w:pPr>
          </w:p>
        </w:tc>
        <w:tc>
          <w:tcPr>
            <w:tcW w:w="576" w:type="dxa"/>
            <w:shd w:val="clear" w:color="auto" w:fill="000000" w:themeFill="text1"/>
            <w:tcMar>
              <w:top w:w="60" w:type="dxa"/>
              <w:bottom w:w="60" w:type="dxa"/>
            </w:tcMar>
            <w:vAlign w:val="center"/>
          </w:tcPr>
          <w:p w14:paraId="4E993719" w14:textId="77777777" w:rsidR="006561BA" w:rsidRDefault="006561BA">
            <w:pPr>
              <w:pStyle w:val="AnnexTableCellLeft"/>
              <w:jc w:val="center"/>
            </w:pPr>
          </w:p>
        </w:tc>
        <w:tc>
          <w:tcPr>
            <w:tcW w:w="1188" w:type="dxa"/>
            <w:tcMar>
              <w:top w:w="60" w:type="dxa"/>
              <w:bottom w:w="60" w:type="dxa"/>
            </w:tcMar>
            <w:vAlign w:val="center"/>
          </w:tcPr>
          <w:p w14:paraId="66E388FB" w14:textId="77777777" w:rsidR="006561BA" w:rsidRDefault="005B4ED6">
            <w:pPr>
              <w:pStyle w:val="AnnexTableCellLeft"/>
              <w:jc w:val="center"/>
            </w:pPr>
            <w:r>
              <w:t>%</w:t>
            </w:r>
          </w:p>
        </w:tc>
        <w:tc>
          <w:tcPr>
            <w:tcW w:w="810" w:type="dxa"/>
            <w:shd w:val="clear" w:color="auto" w:fill="000000" w:themeFill="text1"/>
            <w:tcMar>
              <w:top w:w="60" w:type="dxa"/>
              <w:bottom w:w="60" w:type="dxa"/>
            </w:tcMar>
            <w:vAlign w:val="center"/>
          </w:tcPr>
          <w:p w14:paraId="420AE94A" w14:textId="77777777" w:rsidR="006561BA" w:rsidRDefault="006561BA">
            <w:pPr>
              <w:pStyle w:val="AnnexTableCellLeft"/>
              <w:jc w:val="center"/>
            </w:pPr>
          </w:p>
        </w:tc>
        <w:tc>
          <w:tcPr>
            <w:tcW w:w="810" w:type="dxa"/>
            <w:shd w:val="clear" w:color="auto" w:fill="000000" w:themeFill="text1"/>
            <w:tcMar>
              <w:top w:w="60" w:type="dxa"/>
              <w:bottom w:w="60" w:type="dxa"/>
              <w:right w:w="0" w:type="dxa"/>
            </w:tcMar>
            <w:vAlign w:val="center"/>
          </w:tcPr>
          <w:p w14:paraId="37A48922" w14:textId="77777777" w:rsidR="006561BA" w:rsidRDefault="006561BA">
            <w:pPr>
              <w:pStyle w:val="AnnexTableCellLeft"/>
              <w:jc w:val="center"/>
            </w:pPr>
          </w:p>
        </w:tc>
      </w:tr>
      <w:tr w:rsidR="006561BA" w14:paraId="050F190A" w14:textId="77777777">
        <w:tc>
          <w:tcPr>
            <w:tcW w:w="2304" w:type="dxa"/>
            <w:gridSpan w:val="2"/>
            <w:tcMar>
              <w:top w:w="100" w:type="dxa"/>
              <w:left w:w="0" w:type="dxa"/>
              <w:bottom w:w="100" w:type="dxa"/>
            </w:tcMar>
          </w:tcPr>
          <w:p w14:paraId="7C69327E" w14:textId="77777777" w:rsidR="006561BA" w:rsidRDefault="005B4ED6">
            <w:pPr>
              <w:pStyle w:val="AnnexTableCellLeft"/>
              <w:pageBreakBefore/>
            </w:pPr>
            <w:r>
              <w:rPr>
                <w:b/>
              </w:rPr>
              <w:lastRenderedPageBreak/>
              <w:t>Investeringsutgifter for aktiviteter som er omfattet av taksonomien, men som ikke er miljømessig bærekraftige (ikke taksonomiforenlige aktiviteter) (A.2)</w:t>
            </w:r>
          </w:p>
        </w:tc>
        <w:tc>
          <w:tcPr>
            <w:tcW w:w="792" w:type="dxa"/>
            <w:tcMar>
              <w:top w:w="100" w:type="dxa"/>
              <w:bottom w:w="100" w:type="dxa"/>
            </w:tcMar>
          </w:tcPr>
          <w:p w14:paraId="6AC30E25" w14:textId="77777777" w:rsidR="006561BA" w:rsidRDefault="006561BA">
            <w:pPr>
              <w:pStyle w:val="AnnexTableCellLeft"/>
            </w:pPr>
          </w:p>
        </w:tc>
        <w:tc>
          <w:tcPr>
            <w:tcW w:w="936" w:type="dxa"/>
            <w:tcMar>
              <w:top w:w="100" w:type="dxa"/>
              <w:bottom w:w="100" w:type="dxa"/>
            </w:tcMar>
            <w:vAlign w:val="center"/>
          </w:tcPr>
          <w:p w14:paraId="5802A3BE" w14:textId="77777777" w:rsidR="006561BA" w:rsidRDefault="005B4ED6">
            <w:pPr>
              <w:pStyle w:val="AnnexTableCellLeft"/>
              <w:jc w:val="center"/>
            </w:pPr>
            <w:r>
              <w:t>%</w:t>
            </w:r>
          </w:p>
        </w:tc>
        <w:tc>
          <w:tcPr>
            <w:tcW w:w="720" w:type="dxa"/>
            <w:gridSpan w:val="2"/>
            <w:tcBorders>
              <w:bottom w:val="single" w:sz="4" w:space="0" w:color="auto"/>
            </w:tcBorders>
            <w:tcMar>
              <w:top w:w="100" w:type="dxa"/>
              <w:bottom w:w="100" w:type="dxa"/>
            </w:tcMar>
            <w:vAlign w:val="center"/>
          </w:tcPr>
          <w:p w14:paraId="785084FD" w14:textId="77777777" w:rsidR="006561BA" w:rsidRDefault="005B4ED6">
            <w:pPr>
              <w:pStyle w:val="AnnexTableCellLeft"/>
              <w:jc w:val="center"/>
            </w:pPr>
            <w:r>
              <w:t>%</w:t>
            </w:r>
          </w:p>
        </w:tc>
        <w:tc>
          <w:tcPr>
            <w:tcW w:w="600" w:type="dxa"/>
            <w:gridSpan w:val="2"/>
            <w:tcBorders>
              <w:bottom w:val="single" w:sz="4" w:space="0" w:color="auto"/>
            </w:tcBorders>
            <w:tcMar>
              <w:top w:w="100" w:type="dxa"/>
              <w:bottom w:w="100" w:type="dxa"/>
            </w:tcMar>
            <w:vAlign w:val="center"/>
          </w:tcPr>
          <w:p w14:paraId="440ADD5D" w14:textId="77777777" w:rsidR="006561BA" w:rsidRDefault="005B4ED6">
            <w:pPr>
              <w:pStyle w:val="AnnexTableCellLeft"/>
              <w:jc w:val="center"/>
            </w:pPr>
            <w:r>
              <w:t>%</w:t>
            </w:r>
          </w:p>
        </w:tc>
        <w:tc>
          <w:tcPr>
            <w:tcW w:w="492" w:type="dxa"/>
            <w:gridSpan w:val="2"/>
            <w:tcBorders>
              <w:bottom w:val="single" w:sz="4" w:space="0" w:color="auto"/>
            </w:tcBorders>
            <w:tcMar>
              <w:top w:w="100" w:type="dxa"/>
              <w:bottom w:w="100" w:type="dxa"/>
            </w:tcMar>
            <w:vAlign w:val="center"/>
          </w:tcPr>
          <w:p w14:paraId="6FDB1193" w14:textId="77777777" w:rsidR="006561BA" w:rsidRDefault="005B4ED6">
            <w:pPr>
              <w:pStyle w:val="AnnexTableCellLeft"/>
              <w:jc w:val="center"/>
            </w:pPr>
            <w:r>
              <w:t>%</w:t>
            </w:r>
          </w:p>
        </w:tc>
        <w:tc>
          <w:tcPr>
            <w:tcW w:w="624" w:type="dxa"/>
            <w:gridSpan w:val="2"/>
            <w:tcBorders>
              <w:bottom w:val="single" w:sz="4" w:space="0" w:color="auto"/>
            </w:tcBorders>
            <w:tcMar>
              <w:top w:w="100" w:type="dxa"/>
              <w:bottom w:w="100" w:type="dxa"/>
            </w:tcMar>
            <w:vAlign w:val="center"/>
          </w:tcPr>
          <w:p w14:paraId="423E179C" w14:textId="77777777" w:rsidR="006561BA" w:rsidRDefault="005B4ED6">
            <w:pPr>
              <w:pStyle w:val="AnnexTableCellLeft"/>
              <w:jc w:val="center"/>
            </w:pPr>
            <w:r>
              <w:t>%</w:t>
            </w:r>
          </w:p>
        </w:tc>
        <w:tc>
          <w:tcPr>
            <w:tcW w:w="348" w:type="dxa"/>
            <w:tcBorders>
              <w:bottom w:val="single" w:sz="4" w:space="0" w:color="auto"/>
            </w:tcBorders>
            <w:tcMar>
              <w:top w:w="100" w:type="dxa"/>
              <w:bottom w:w="100" w:type="dxa"/>
            </w:tcMar>
            <w:vAlign w:val="center"/>
          </w:tcPr>
          <w:p w14:paraId="631C8207" w14:textId="77777777" w:rsidR="006561BA" w:rsidRDefault="005B4ED6">
            <w:pPr>
              <w:pStyle w:val="AnnexTableCellLeft"/>
              <w:jc w:val="center"/>
            </w:pPr>
            <w:r>
              <w:t>%</w:t>
            </w:r>
          </w:p>
        </w:tc>
        <w:tc>
          <w:tcPr>
            <w:tcW w:w="468" w:type="dxa"/>
            <w:gridSpan w:val="2"/>
            <w:tcBorders>
              <w:bottom w:val="single" w:sz="4" w:space="0" w:color="auto"/>
            </w:tcBorders>
            <w:tcMar>
              <w:top w:w="100" w:type="dxa"/>
              <w:bottom w:w="100" w:type="dxa"/>
            </w:tcMar>
            <w:vAlign w:val="center"/>
          </w:tcPr>
          <w:p w14:paraId="57B535E3" w14:textId="77777777" w:rsidR="006561BA" w:rsidRDefault="005B4ED6">
            <w:pPr>
              <w:pStyle w:val="AnnexTableCellLeft"/>
              <w:jc w:val="center"/>
            </w:pPr>
            <w:r>
              <w:t>%</w:t>
            </w:r>
          </w:p>
        </w:tc>
        <w:tc>
          <w:tcPr>
            <w:tcW w:w="504" w:type="dxa"/>
            <w:gridSpan w:val="2"/>
            <w:tcBorders>
              <w:bottom w:val="single" w:sz="4" w:space="0" w:color="auto"/>
            </w:tcBorders>
            <w:shd w:val="clear" w:color="auto" w:fill="000000" w:themeFill="text1"/>
            <w:tcMar>
              <w:top w:w="100" w:type="dxa"/>
              <w:bottom w:w="100" w:type="dxa"/>
            </w:tcMar>
            <w:vAlign w:val="center"/>
          </w:tcPr>
          <w:p w14:paraId="5DE11C28" w14:textId="77777777" w:rsidR="006561BA" w:rsidRDefault="006561BA">
            <w:pPr>
              <w:pStyle w:val="AnnexTableCellLeft"/>
              <w:jc w:val="center"/>
            </w:pPr>
          </w:p>
        </w:tc>
        <w:tc>
          <w:tcPr>
            <w:tcW w:w="444" w:type="dxa"/>
            <w:gridSpan w:val="2"/>
            <w:tcBorders>
              <w:bottom w:val="single" w:sz="4" w:space="0" w:color="auto"/>
            </w:tcBorders>
            <w:shd w:val="clear" w:color="auto" w:fill="000000" w:themeFill="text1"/>
            <w:tcMar>
              <w:top w:w="100" w:type="dxa"/>
              <w:bottom w:w="100" w:type="dxa"/>
            </w:tcMar>
            <w:vAlign w:val="center"/>
          </w:tcPr>
          <w:p w14:paraId="20020A71" w14:textId="77777777" w:rsidR="006561BA" w:rsidRDefault="006561BA">
            <w:pPr>
              <w:pStyle w:val="AnnexTableCellLeft"/>
              <w:jc w:val="center"/>
            </w:pPr>
          </w:p>
        </w:tc>
        <w:tc>
          <w:tcPr>
            <w:tcW w:w="540" w:type="dxa"/>
            <w:gridSpan w:val="2"/>
            <w:tcBorders>
              <w:bottom w:val="single" w:sz="4" w:space="0" w:color="auto"/>
            </w:tcBorders>
            <w:shd w:val="clear" w:color="auto" w:fill="000000" w:themeFill="text1"/>
            <w:tcMar>
              <w:top w:w="100" w:type="dxa"/>
              <w:bottom w:w="100" w:type="dxa"/>
            </w:tcMar>
            <w:vAlign w:val="center"/>
          </w:tcPr>
          <w:p w14:paraId="095757B6" w14:textId="77777777" w:rsidR="006561BA" w:rsidRDefault="006561BA">
            <w:pPr>
              <w:pStyle w:val="AnnexTableCellLeft"/>
              <w:jc w:val="center"/>
            </w:pPr>
          </w:p>
        </w:tc>
        <w:tc>
          <w:tcPr>
            <w:tcW w:w="324" w:type="dxa"/>
            <w:tcBorders>
              <w:bottom w:val="single" w:sz="4" w:space="0" w:color="auto"/>
            </w:tcBorders>
            <w:shd w:val="clear" w:color="auto" w:fill="000000" w:themeFill="text1"/>
            <w:tcMar>
              <w:top w:w="100" w:type="dxa"/>
              <w:bottom w:w="100" w:type="dxa"/>
            </w:tcMar>
            <w:vAlign w:val="center"/>
          </w:tcPr>
          <w:p w14:paraId="76CC9F9B" w14:textId="77777777" w:rsidR="006561BA" w:rsidRDefault="006561BA">
            <w:pPr>
              <w:pStyle w:val="AnnexTableCellLeft"/>
              <w:jc w:val="center"/>
            </w:pPr>
          </w:p>
        </w:tc>
        <w:tc>
          <w:tcPr>
            <w:tcW w:w="432" w:type="dxa"/>
            <w:gridSpan w:val="2"/>
            <w:tcBorders>
              <w:bottom w:val="single" w:sz="4" w:space="0" w:color="auto"/>
            </w:tcBorders>
            <w:shd w:val="clear" w:color="auto" w:fill="000000" w:themeFill="text1"/>
            <w:tcMar>
              <w:top w:w="100" w:type="dxa"/>
              <w:bottom w:w="100" w:type="dxa"/>
            </w:tcMar>
            <w:vAlign w:val="center"/>
          </w:tcPr>
          <w:p w14:paraId="2313E9E2" w14:textId="77777777" w:rsidR="006561BA" w:rsidRDefault="006561BA">
            <w:pPr>
              <w:pStyle w:val="AnnexTableCellLeft"/>
              <w:jc w:val="center"/>
            </w:pPr>
          </w:p>
        </w:tc>
        <w:tc>
          <w:tcPr>
            <w:tcW w:w="1404" w:type="dxa"/>
            <w:gridSpan w:val="3"/>
            <w:tcBorders>
              <w:bottom w:val="single" w:sz="4" w:space="0" w:color="auto"/>
            </w:tcBorders>
            <w:shd w:val="clear" w:color="auto" w:fill="000000" w:themeFill="text1"/>
            <w:tcMar>
              <w:top w:w="100" w:type="dxa"/>
              <w:bottom w:w="100" w:type="dxa"/>
            </w:tcMar>
            <w:vAlign w:val="center"/>
          </w:tcPr>
          <w:p w14:paraId="4E003E38" w14:textId="77777777" w:rsidR="006561BA" w:rsidRDefault="006561BA">
            <w:pPr>
              <w:pStyle w:val="AnnexTableCellLeft"/>
              <w:jc w:val="center"/>
            </w:pPr>
          </w:p>
        </w:tc>
        <w:tc>
          <w:tcPr>
            <w:tcW w:w="576" w:type="dxa"/>
            <w:tcBorders>
              <w:bottom w:val="single" w:sz="4" w:space="0" w:color="auto"/>
            </w:tcBorders>
            <w:shd w:val="clear" w:color="auto" w:fill="000000" w:themeFill="text1"/>
            <w:tcMar>
              <w:top w:w="100" w:type="dxa"/>
              <w:bottom w:w="100" w:type="dxa"/>
            </w:tcMar>
            <w:vAlign w:val="center"/>
          </w:tcPr>
          <w:p w14:paraId="7A5FD03E" w14:textId="77777777" w:rsidR="006561BA" w:rsidRDefault="006561BA">
            <w:pPr>
              <w:pStyle w:val="AnnexTableCellLeft"/>
              <w:jc w:val="center"/>
            </w:pPr>
          </w:p>
        </w:tc>
        <w:tc>
          <w:tcPr>
            <w:tcW w:w="1188" w:type="dxa"/>
            <w:tcBorders>
              <w:bottom w:val="single" w:sz="4" w:space="0" w:color="auto"/>
            </w:tcBorders>
            <w:tcMar>
              <w:top w:w="100" w:type="dxa"/>
              <w:bottom w:w="100" w:type="dxa"/>
            </w:tcMar>
            <w:vAlign w:val="center"/>
          </w:tcPr>
          <w:p w14:paraId="48C4DBED" w14:textId="77777777" w:rsidR="006561BA" w:rsidRDefault="005B4ED6">
            <w:pPr>
              <w:pStyle w:val="AnnexTableCellLeft"/>
              <w:jc w:val="center"/>
            </w:pPr>
            <w:r>
              <w:t>%</w:t>
            </w:r>
          </w:p>
        </w:tc>
        <w:tc>
          <w:tcPr>
            <w:tcW w:w="1620" w:type="dxa"/>
            <w:gridSpan w:val="2"/>
            <w:tcBorders>
              <w:bottom w:val="single" w:sz="4" w:space="0" w:color="auto"/>
            </w:tcBorders>
            <w:shd w:val="clear" w:color="auto" w:fill="000000" w:themeFill="text1"/>
            <w:tcMar>
              <w:top w:w="100" w:type="dxa"/>
              <w:bottom w:w="100" w:type="dxa"/>
              <w:right w:w="0" w:type="dxa"/>
            </w:tcMar>
            <w:vAlign w:val="center"/>
          </w:tcPr>
          <w:p w14:paraId="4335E13F" w14:textId="77777777" w:rsidR="006561BA" w:rsidRDefault="006561BA">
            <w:pPr>
              <w:pStyle w:val="AnnexTableCellLeft"/>
              <w:jc w:val="center"/>
            </w:pPr>
          </w:p>
        </w:tc>
      </w:tr>
      <w:tr w:rsidR="006561BA" w14:paraId="0D9FAB5B" w14:textId="77777777">
        <w:tc>
          <w:tcPr>
            <w:tcW w:w="2304" w:type="dxa"/>
            <w:gridSpan w:val="2"/>
            <w:tcBorders>
              <w:bottom w:val="single" w:sz="4" w:space="0" w:color="auto"/>
            </w:tcBorders>
            <w:tcMar>
              <w:top w:w="100" w:type="dxa"/>
              <w:left w:w="0" w:type="dxa"/>
              <w:bottom w:w="100" w:type="dxa"/>
            </w:tcMar>
          </w:tcPr>
          <w:p w14:paraId="2F403E5F" w14:textId="77777777" w:rsidR="006561BA" w:rsidRDefault="005B4ED6">
            <w:pPr>
              <w:pStyle w:val="AnnexNumberedText"/>
              <w:spacing w:after="0"/>
              <w:ind w:left="453" w:hanging="453"/>
            </w:pPr>
            <w:r>
              <w:t>A.</w:t>
            </w:r>
            <w:r>
              <w:rPr>
                <w:b/>
              </w:rPr>
              <w:tab/>
              <w:t xml:space="preserve">Investeringsutgifter for aktiviteter som er omfattet av taksonomien </w:t>
            </w:r>
            <w:r>
              <w:rPr>
                <w:b/>
                <w:i/>
              </w:rPr>
              <w:t>(A.1+A.2)</w:t>
            </w:r>
          </w:p>
        </w:tc>
        <w:tc>
          <w:tcPr>
            <w:tcW w:w="792" w:type="dxa"/>
            <w:tcBorders>
              <w:bottom w:val="single" w:sz="4" w:space="0" w:color="auto"/>
            </w:tcBorders>
            <w:tcMar>
              <w:top w:w="100" w:type="dxa"/>
              <w:bottom w:w="100" w:type="dxa"/>
            </w:tcMar>
          </w:tcPr>
          <w:p w14:paraId="4EA57CA8" w14:textId="77777777" w:rsidR="006561BA" w:rsidRDefault="006561BA">
            <w:pPr>
              <w:pStyle w:val="AnnexTableCellLeft"/>
            </w:pPr>
          </w:p>
        </w:tc>
        <w:tc>
          <w:tcPr>
            <w:tcW w:w="936" w:type="dxa"/>
            <w:tcBorders>
              <w:bottom w:val="single" w:sz="4" w:space="0" w:color="auto"/>
            </w:tcBorders>
            <w:tcMar>
              <w:top w:w="100" w:type="dxa"/>
              <w:bottom w:w="100" w:type="dxa"/>
            </w:tcMar>
            <w:vAlign w:val="center"/>
          </w:tcPr>
          <w:p w14:paraId="3DAC1113" w14:textId="77777777" w:rsidR="006561BA" w:rsidRDefault="005B4ED6">
            <w:pPr>
              <w:pStyle w:val="AnnexTableCellLeft"/>
              <w:jc w:val="center"/>
            </w:pPr>
            <w:r>
              <w:t>%</w:t>
            </w:r>
          </w:p>
        </w:tc>
        <w:tc>
          <w:tcPr>
            <w:tcW w:w="720" w:type="dxa"/>
            <w:gridSpan w:val="2"/>
            <w:tcBorders>
              <w:bottom w:val="single" w:sz="2" w:space="0" w:color="auto"/>
            </w:tcBorders>
            <w:tcMar>
              <w:top w:w="100" w:type="dxa"/>
              <w:bottom w:w="100" w:type="dxa"/>
            </w:tcMar>
            <w:vAlign w:val="center"/>
          </w:tcPr>
          <w:p w14:paraId="0D17C9CA" w14:textId="77777777" w:rsidR="006561BA" w:rsidRDefault="005B4ED6">
            <w:pPr>
              <w:pStyle w:val="AnnexTableCellLeft"/>
              <w:jc w:val="center"/>
            </w:pPr>
            <w:r>
              <w:t>%</w:t>
            </w:r>
          </w:p>
        </w:tc>
        <w:tc>
          <w:tcPr>
            <w:tcW w:w="600" w:type="dxa"/>
            <w:gridSpan w:val="2"/>
            <w:tcBorders>
              <w:bottom w:val="single" w:sz="2" w:space="0" w:color="auto"/>
            </w:tcBorders>
            <w:tcMar>
              <w:top w:w="100" w:type="dxa"/>
              <w:bottom w:w="100" w:type="dxa"/>
            </w:tcMar>
            <w:vAlign w:val="center"/>
          </w:tcPr>
          <w:p w14:paraId="64A51396" w14:textId="77777777" w:rsidR="006561BA" w:rsidRDefault="005B4ED6">
            <w:pPr>
              <w:pStyle w:val="AnnexTableCellLeft"/>
              <w:jc w:val="center"/>
            </w:pPr>
            <w:r>
              <w:t>%</w:t>
            </w:r>
          </w:p>
        </w:tc>
        <w:tc>
          <w:tcPr>
            <w:tcW w:w="492" w:type="dxa"/>
            <w:gridSpan w:val="2"/>
            <w:tcBorders>
              <w:bottom w:val="single" w:sz="2" w:space="0" w:color="auto"/>
            </w:tcBorders>
            <w:tcMar>
              <w:top w:w="100" w:type="dxa"/>
              <w:bottom w:w="100" w:type="dxa"/>
            </w:tcMar>
            <w:vAlign w:val="center"/>
          </w:tcPr>
          <w:p w14:paraId="2BED4D17" w14:textId="77777777" w:rsidR="006561BA" w:rsidRDefault="005B4ED6">
            <w:pPr>
              <w:pStyle w:val="AnnexTableCellLeft"/>
              <w:jc w:val="center"/>
            </w:pPr>
            <w:r>
              <w:t>%</w:t>
            </w:r>
          </w:p>
        </w:tc>
        <w:tc>
          <w:tcPr>
            <w:tcW w:w="624" w:type="dxa"/>
            <w:gridSpan w:val="2"/>
            <w:tcBorders>
              <w:bottom w:val="single" w:sz="2" w:space="0" w:color="auto"/>
            </w:tcBorders>
            <w:tcMar>
              <w:top w:w="100" w:type="dxa"/>
              <w:bottom w:w="100" w:type="dxa"/>
            </w:tcMar>
            <w:vAlign w:val="center"/>
          </w:tcPr>
          <w:p w14:paraId="49B33EE6" w14:textId="77777777" w:rsidR="006561BA" w:rsidRDefault="005B4ED6">
            <w:pPr>
              <w:pStyle w:val="AnnexTableCellLeft"/>
              <w:jc w:val="center"/>
            </w:pPr>
            <w:r>
              <w:t>%</w:t>
            </w:r>
          </w:p>
        </w:tc>
        <w:tc>
          <w:tcPr>
            <w:tcW w:w="348" w:type="dxa"/>
            <w:tcBorders>
              <w:bottom w:val="single" w:sz="2" w:space="0" w:color="auto"/>
            </w:tcBorders>
            <w:tcMar>
              <w:top w:w="100" w:type="dxa"/>
              <w:bottom w:w="100" w:type="dxa"/>
            </w:tcMar>
            <w:vAlign w:val="center"/>
          </w:tcPr>
          <w:p w14:paraId="7C80EBB2" w14:textId="77777777" w:rsidR="006561BA" w:rsidRDefault="005B4ED6">
            <w:pPr>
              <w:pStyle w:val="AnnexTableCellLeft"/>
              <w:jc w:val="center"/>
            </w:pPr>
            <w:r>
              <w:t>%</w:t>
            </w:r>
          </w:p>
        </w:tc>
        <w:tc>
          <w:tcPr>
            <w:tcW w:w="468" w:type="dxa"/>
            <w:gridSpan w:val="2"/>
            <w:tcBorders>
              <w:bottom w:val="single" w:sz="2" w:space="0" w:color="auto"/>
            </w:tcBorders>
            <w:tcMar>
              <w:top w:w="100" w:type="dxa"/>
              <w:bottom w:w="100" w:type="dxa"/>
            </w:tcMar>
            <w:vAlign w:val="center"/>
          </w:tcPr>
          <w:p w14:paraId="78DF0C50" w14:textId="77777777" w:rsidR="006561BA" w:rsidRDefault="005B4ED6">
            <w:pPr>
              <w:pStyle w:val="AnnexTableCellLeft"/>
              <w:jc w:val="center"/>
            </w:pPr>
            <w:r>
              <w:t>%</w:t>
            </w:r>
          </w:p>
        </w:tc>
        <w:tc>
          <w:tcPr>
            <w:tcW w:w="504" w:type="dxa"/>
            <w:gridSpan w:val="2"/>
            <w:tcBorders>
              <w:bottom w:val="single" w:sz="2" w:space="0" w:color="auto"/>
            </w:tcBorders>
            <w:shd w:val="clear" w:color="auto" w:fill="000000" w:themeFill="text1"/>
            <w:tcMar>
              <w:top w:w="100" w:type="dxa"/>
              <w:bottom w:w="100" w:type="dxa"/>
            </w:tcMar>
            <w:vAlign w:val="center"/>
          </w:tcPr>
          <w:p w14:paraId="1FE8549F" w14:textId="77777777" w:rsidR="006561BA" w:rsidRDefault="006561BA">
            <w:pPr>
              <w:pStyle w:val="AnnexTableCellLeft"/>
              <w:jc w:val="center"/>
            </w:pPr>
          </w:p>
        </w:tc>
        <w:tc>
          <w:tcPr>
            <w:tcW w:w="444" w:type="dxa"/>
            <w:gridSpan w:val="2"/>
            <w:tcBorders>
              <w:bottom w:val="single" w:sz="2" w:space="0" w:color="auto"/>
            </w:tcBorders>
            <w:shd w:val="clear" w:color="auto" w:fill="000000" w:themeFill="text1"/>
            <w:tcMar>
              <w:top w:w="100" w:type="dxa"/>
              <w:bottom w:w="100" w:type="dxa"/>
            </w:tcMar>
            <w:vAlign w:val="center"/>
          </w:tcPr>
          <w:p w14:paraId="2F031F78" w14:textId="77777777" w:rsidR="006561BA" w:rsidRDefault="006561BA">
            <w:pPr>
              <w:pStyle w:val="AnnexTableCellLeft"/>
              <w:jc w:val="center"/>
            </w:pPr>
          </w:p>
        </w:tc>
        <w:tc>
          <w:tcPr>
            <w:tcW w:w="540" w:type="dxa"/>
            <w:gridSpan w:val="2"/>
            <w:tcBorders>
              <w:bottom w:val="single" w:sz="2" w:space="0" w:color="auto"/>
            </w:tcBorders>
            <w:shd w:val="clear" w:color="auto" w:fill="000000" w:themeFill="text1"/>
            <w:tcMar>
              <w:top w:w="100" w:type="dxa"/>
              <w:bottom w:w="100" w:type="dxa"/>
            </w:tcMar>
            <w:vAlign w:val="center"/>
          </w:tcPr>
          <w:p w14:paraId="25DB11EA" w14:textId="77777777" w:rsidR="006561BA" w:rsidRDefault="006561BA">
            <w:pPr>
              <w:pStyle w:val="AnnexTableCellLeft"/>
              <w:jc w:val="center"/>
            </w:pPr>
          </w:p>
        </w:tc>
        <w:tc>
          <w:tcPr>
            <w:tcW w:w="324" w:type="dxa"/>
            <w:tcBorders>
              <w:bottom w:val="single" w:sz="2" w:space="0" w:color="auto"/>
            </w:tcBorders>
            <w:shd w:val="clear" w:color="auto" w:fill="000000" w:themeFill="text1"/>
            <w:tcMar>
              <w:top w:w="100" w:type="dxa"/>
              <w:bottom w:w="100" w:type="dxa"/>
            </w:tcMar>
            <w:vAlign w:val="center"/>
          </w:tcPr>
          <w:p w14:paraId="604B173F" w14:textId="77777777" w:rsidR="006561BA" w:rsidRDefault="006561BA">
            <w:pPr>
              <w:pStyle w:val="AnnexTableCellLeft"/>
              <w:jc w:val="center"/>
            </w:pPr>
          </w:p>
        </w:tc>
        <w:tc>
          <w:tcPr>
            <w:tcW w:w="432" w:type="dxa"/>
            <w:gridSpan w:val="2"/>
            <w:tcBorders>
              <w:bottom w:val="single" w:sz="2" w:space="0" w:color="auto"/>
            </w:tcBorders>
            <w:shd w:val="clear" w:color="auto" w:fill="000000" w:themeFill="text1"/>
            <w:tcMar>
              <w:top w:w="100" w:type="dxa"/>
              <w:bottom w:w="100" w:type="dxa"/>
            </w:tcMar>
            <w:vAlign w:val="center"/>
          </w:tcPr>
          <w:p w14:paraId="3BC7B28A" w14:textId="77777777" w:rsidR="006561BA" w:rsidRDefault="006561BA">
            <w:pPr>
              <w:pStyle w:val="AnnexTableCellLeft"/>
              <w:jc w:val="center"/>
            </w:pPr>
          </w:p>
        </w:tc>
        <w:tc>
          <w:tcPr>
            <w:tcW w:w="1404" w:type="dxa"/>
            <w:gridSpan w:val="3"/>
            <w:tcBorders>
              <w:bottom w:val="single" w:sz="2" w:space="0" w:color="auto"/>
            </w:tcBorders>
            <w:shd w:val="clear" w:color="auto" w:fill="000000" w:themeFill="text1"/>
            <w:tcMar>
              <w:top w:w="100" w:type="dxa"/>
              <w:bottom w:w="100" w:type="dxa"/>
            </w:tcMar>
            <w:vAlign w:val="center"/>
          </w:tcPr>
          <w:p w14:paraId="77192C20" w14:textId="77777777" w:rsidR="006561BA" w:rsidRDefault="006561BA">
            <w:pPr>
              <w:pStyle w:val="AnnexTableCellLeft"/>
              <w:jc w:val="center"/>
            </w:pPr>
          </w:p>
        </w:tc>
        <w:tc>
          <w:tcPr>
            <w:tcW w:w="576" w:type="dxa"/>
            <w:tcBorders>
              <w:bottom w:val="single" w:sz="2" w:space="0" w:color="auto"/>
            </w:tcBorders>
            <w:shd w:val="clear" w:color="auto" w:fill="000000" w:themeFill="text1"/>
            <w:tcMar>
              <w:top w:w="100" w:type="dxa"/>
              <w:bottom w:w="100" w:type="dxa"/>
            </w:tcMar>
            <w:vAlign w:val="center"/>
          </w:tcPr>
          <w:p w14:paraId="1BBEB938" w14:textId="77777777" w:rsidR="006561BA" w:rsidRDefault="006561BA">
            <w:pPr>
              <w:pStyle w:val="AnnexTableCellLeft"/>
              <w:jc w:val="center"/>
            </w:pPr>
          </w:p>
        </w:tc>
        <w:tc>
          <w:tcPr>
            <w:tcW w:w="1188" w:type="dxa"/>
            <w:tcBorders>
              <w:bottom w:val="single" w:sz="2" w:space="0" w:color="auto"/>
            </w:tcBorders>
            <w:tcMar>
              <w:top w:w="100" w:type="dxa"/>
              <w:bottom w:w="100" w:type="dxa"/>
            </w:tcMar>
            <w:vAlign w:val="center"/>
          </w:tcPr>
          <w:p w14:paraId="7ED45AE7" w14:textId="77777777" w:rsidR="006561BA" w:rsidRDefault="006561BA">
            <w:pPr>
              <w:pStyle w:val="AnnexTableCellLeft"/>
              <w:jc w:val="center"/>
            </w:pPr>
          </w:p>
        </w:tc>
        <w:tc>
          <w:tcPr>
            <w:tcW w:w="1620" w:type="dxa"/>
            <w:gridSpan w:val="2"/>
            <w:tcBorders>
              <w:bottom w:val="single" w:sz="2" w:space="0" w:color="auto"/>
            </w:tcBorders>
            <w:shd w:val="clear" w:color="auto" w:fill="000000" w:themeFill="text1"/>
            <w:tcMar>
              <w:top w:w="100" w:type="dxa"/>
              <w:bottom w:w="100" w:type="dxa"/>
              <w:right w:w="0" w:type="dxa"/>
            </w:tcMar>
            <w:vAlign w:val="center"/>
          </w:tcPr>
          <w:p w14:paraId="33B04DA6" w14:textId="77777777" w:rsidR="006561BA" w:rsidRDefault="006561BA">
            <w:pPr>
              <w:pStyle w:val="AnnexTableCellLeft"/>
              <w:jc w:val="center"/>
            </w:pPr>
          </w:p>
        </w:tc>
      </w:tr>
      <w:tr w:rsidR="006561BA" w14:paraId="0B225BB8" w14:textId="77777777">
        <w:tc>
          <w:tcPr>
            <w:tcW w:w="4032" w:type="dxa"/>
            <w:gridSpan w:val="4"/>
            <w:tcBorders>
              <w:right w:val="single" w:sz="2" w:space="0" w:color="auto"/>
            </w:tcBorders>
            <w:tcMar>
              <w:top w:w="100" w:type="dxa"/>
              <w:left w:w="0" w:type="dxa"/>
              <w:bottom w:w="100" w:type="dxa"/>
            </w:tcMar>
          </w:tcPr>
          <w:p w14:paraId="417D7190" w14:textId="77777777" w:rsidR="006561BA" w:rsidRDefault="005B4ED6">
            <w:pPr>
              <w:pStyle w:val="AnnexNumberedText"/>
              <w:spacing w:after="0" w:line="200" w:lineRule="exact"/>
              <w:ind w:left="453" w:hanging="453"/>
              <w:rPr>
                <w:sz w:val="16"/>
              </w:rPr>
            </w:pPr>
            <w:r>
              <w:rPr>
                <w:sz w:val="16"/>
              </w:rPr>
              <w:t>B.</w:t>
            </w:r>
            <w:r>
              <w:rPr>
                <w:b/>
                <w:sz w:val="16"/>
              </w:rPr>
              <w:tab/>
              <w:t>AKTIVITETER SOM IKKE ER OMFATTET AV TAKSONOMIEN</w:t>
            </w:r>
          </w:p>
        </w:tc>
        <w:tc>
          <w:tcPr>
            <w:tcW w:w="720" w:type="dxa"/>
            <w:gridSpan w:val="2"/>
            <w:tcBorders>
              <w:top w:val="single" w:sz="2" w:space="0" w:color="auto"/>
              <w:left w:val="single" w:sz="2" w:space="0" w:color="auto"/>
              <w:bottom w:val="nil"/>
              <w:right w:val="nil"/>
            </w:tcBorders>
            <w:tcMar>
              <w:top w:w="100" w:type="dxa"/>
              <w:bottom w:w="100" w:type="dxa"/>
            </w:tcMar>
          </w:tcPr>
          <w:p w14:paraId="047A814D" w14:textId="77777777" w:rsidR="006561BA" w:rsidRDefault="006561BA">
            <w:pPr>
              <w:pStyle w:val="AnnexTableCellLeft"/>
              <w:spacing w:line="200" w:lineRule="exact"/>
              <w:rPr>
                <w:sz w:val="16"/>
              </w:rPr>
            </w:pPr>
          </w:p>
        </w:tc>
        <w:tc>
          <w:tcPr>
            <w:tcW w:w="600" w:type="dxa"/>
            <w:gridSpan w:val="2"/>
            <w:tcBorders>
              <w:top w:val="single" w:sz="2" w:space="0" w:color="auto"/>
              <w:left w:val="nil"/>
              <w:bottom w:val="nil"/>
              <w:right w:val="nil"/>
            </w:tcBorders>
            <w:tcMar>
              <w:top w:w="100" w:type="dxa"/>
              <w:bottom w:w="100" w:type="dxa"/>
            </w:tcMar>
          </w:tcPr>
          <w:p w14:paraId="6ABF0E3C" w14:textId="77777777" w:rsidR="006561BA" w:rsidRDefault="006561BA">
            <w:pPr>
              <w:pStyle w:val="AnnexTableCellLeft"/>
              <w:spacing w:line="200" w:lineRule="exact"/>
              <w:rPr>
                <w:sz w:val="16"/>
              </w:rPr>
            </w:pPr>
          </w:p>
        </w:tc>
        <w:tc>
          <w:tcPr>
            <w:tcW w:w="492" w:type="dxa"/>
            <w:gridSpan w:val="2"/>
            <w:tcBorders>
              <w:top w:val="single" w:sz="2" w:space="0" w:color="auto"/>
              <w:left w:val="nil"/>
              <w:bottom w:val="nil"/>
              <w:right w:val="nil"/>
            </w:tcBorders>
            <w:tcMar>
              <w:top w:w="100" w:type="dxa"/>
              <w:bottom w:w="100" w:type="dxa"/>
            </w:tcMar>
          </w:tcPr>
          <w:p w14:paraId="3E91F488" w14:textId="77777777" w:rsidR="006561BA" w:rsidRDefault="006561BA">
            <w:pPr>
              <w:pStyle w:val="AnnexTableCellLeft"/>
              <w:spacing w:line="200" w:lineRule="exact"/>
              <w:rPr>
                <w:sz w:val="16"/>
              </w:rPr>
            </w:pPr>
          </w:p>
        </w:tc>
        <w:tc>
          <w:tcPr>
            <w:tcW w:w="624" w:type="dxa"/>
            <w:gridSpan w:val="2"/>
            <w:tcBorders>
              <w:top w:val="single" w:sz="2" w:space="0" w:color="auto"/>
              <w:left w:val="nil"/>
              <w:bottom w:val="nil"/>
              <w:right w:val="nil"/>
            </w:tcBorders>
            <w:tcMar>
              <w:top w:w="100" w:type="dxa"/>
              <w:bottom w:w="100" w:type="dxa"/>
            </w:tcMar>
          </w:tcPr>
          <w:p w14:paraId="005ECBFE" w14:textId="77777777" w:rsidR="006561BA" w:rsidRDefault="006561BA">
            <w:pPr>
              <w:pStyle w:val="AnnexTableCellLeft"/>
              <w:spacing w:line="200" w:lineRule="exact"/>
              <w:rPr>
                <w:sz w:val="16"/>
              </w:rPr>
            </w:pPr>
          </w:p>
        </w:tc>
        <w:tc>
          <w:tcPr>
            <w:tcW w:w="348" w:type="dxa"/>
            <w:tcBorders>
              <w:top w:val="single" w:sz="2" w:space="0" w:color="auto"/>
              <w:left w:val="nil"/>
              <w:bottom w:val="nil"/>
              <w:right w:val="nil"/>
            </w:tcBorders>
            <w:tcMar>
              <w:top w:w="100" w:type="dxa"/>
              <w:bottom w:w="100" w:type="dxa"/>
            </w:tcMar>
          </w:tcPr>
          <w:p w14:paraId="4FC486CB" w14:textId="77777777" w:rsidR="006561BA" w:rsidRDefault="006561BA">
            <w:pPr>
              <w:pStyle w:val="AnnexTableCellLeft"/>
              <w:spacing w:line="200" w:lineRule="exact"/>
              <w:rPr>
                <w:sz w:val="16"/>
              </w:rPr>
            </w:pPr>
          </w:p>
        </w:tc>
        <w:tc>
          <w:tcPr>
            <w:tcW w:w="468" w:type="dxa"/>
            <w:gridSpan w:val="2"/>
            <w:tcBorders>
              <w:top w:val="single" w:sz="2" w:space="0" w:color="auto"/>
              <w:left w:val="nil"/>
              <w:bottom w:val="nil"/>
              <w:right w:val="nil"/>
            </w:tcBorders>
            <w:tcMar>
              <w:top w:w="100" w:type="dxa"/>
              <w:bottom w:w="100" w:type="dxa"/>
            </w:tcMar>
          </w:tcPr>
          <w:p w14:paraId="41740A71" w14:textId="77777777" w:rsidR="006561BA" w:rsidRDefault="006561BA">
            <w:pPr>
              <w:pStyle w:val="AnnexTableCellLeft"/>
              <w:spacing w:line="200" w:lineRule="exact"/>
              <w:rPr>
                <w:sz w:val="16"/>
              </w:rPr>
            </w:pPr>
          </w:p>
        </w:tc>
        <w:tc>
          <w:tcPr>
            <w:tcW w:w="504" w:type="dxa"/>
            <w:gridSpan w:val="2"/>
            <w:tcBorders>
              <w:top w:val="single" w:sz="2" w:space="0" w:color="auto"/>
              <w:left w:val="nil"/>
              <w:bottom w:val="nil"/>
              <w:right w:val="nil"/>
            </w:tcBorders>
            <w:tcMar>
              <w:top w:w="100" w:type="dxa"/>
              <w:bottom w:w="100" w:type="dxa"/>
            </w:tcMar>
          </w:tcPr>
          <w:p w14:paraId="1BC15A1C" w14:textId="77777777" w:rsidR="006561BA" w:rsidRDefault="006561BA">
            <w:pPr>
              <w:pStyle w:val="AnnexTableCellLeft"/>
              <w:spacing w:line="200" w:lineRule="exact"/>
              <w:rPr>
                <w:sz w:val="16"/>
              </w:rPr>
            </w:pPr>
          </w:p>
        </w:tc>
        <w:tc>
          <w:tcPr>
            <w:tcW w:w="444" w:type="dxa"/>
            <w:gridSpan w:val="2"/>
            <w:tcBorders>
              <w:top w:val="single" w:sz="2" w:space="0" w:color="auto"/>
              <w:left w:val="nil"/>
              <w:bottom w:val="nil"/>
              <w:right w:val="nil"/>
            </w:tcBorders>
            <w:tcMar>
              <w:top w:w="100" w:type="dxa"/>
              <w:bottom w:w="100" w:type="dxa"/>
            </w:tcMar>
          </w:tcPr>
          <w:p w14:paraId="63AA9B78" w14:textId="77777777" w:rsidR="006561BA" w:rsidRDefault="006561BA">
            <w:pPr>
              <w:pStyle w:val="AnnexTableCellLeft"/>
              <w:spacing w:line="200" w:lineRule="exact"/>
              <w:rPr>
                <w:sz w:val="16"/>
              </w:rPr>
            </w:pPr>
          </w:p>
        </w:tc>
        <w:tc>
          <w:tcPr>
            <w:tcW w:w="540" w:type="dxa"/>
            <w:gridSpan w:val="2"/>
            <w:tcBorders>
              <w:top w:val="single" w:sz="2" w:space="0" w:color="auto"/>
              <w:left w:val="nil"/>
              <w:bottom w:val="nil"/>
              <w:right w:val="nil"/>
            </w:tcBorders>
            <w:tcMar>
              <w:top w:w="100" w:type="dxa"/>
              <w:bottom w:w="100" w:type="dxa"/>
            </w:tcMar>
          </w:tcPr>
          <w:p w14:paraId="231B2662" w14:textId="77777777" w:rsidR="006561BA" w:rsidRDefault="006561BA">
            <w:pPr>
              <w:pStyle w:val="AnnexTableCellLeft"/>
              <w:spacing w:line="200" w:lineRule="exact"/>
              <w:rPr>
                <w:sz w:val="16"/>
              </w:rPr>
            </w:pPr>
          </w:p>
        </w:tc>
        <w:tc>
          <w:tcPr>
            <w:tcW w:w="324" w:type="dxa"/>
            <w:tcBorders>
              <w:top w:val="single" w:sz="2" w:space="0" w:color="auto"/>
              <w:left w:val="nil"/>
              <w:bottom w:val="nil"/>
              <w:right w:val="nil"/>
            </w:tcBorders>
            <w:tcMar>
              <w:top w:w="100" w:type="dxa"/>
              <w:bottom w:w="100" w:type="dxa"/>
            </w:tcMar>
          </w:tcPr>
          <w:p w14:paraId="639C44A2" w14:textId="77777777" w:rsidR="006561BA" w:rsidRDefault="006561BA">
            <w:pPr>
              <w:pStyle w:val="AnnexTableCellLeft"/>
              <w:spacing w:line="200" w:lineRule="exact"/>
              <w:rPr>
                <w:sz w:val="16"/>
              </w:rPr>
            </w:pPr>
          </w:p>
        </w:tc>
        <w:tc>
          <w:tcPr>
            <w:tcW w:w="432" w:type="dxa"/>
            <w:gridSpan w:val="2"/>
            <w:tcBorders>
              <w:top w:val="single" w:sz="2" w:space="0" w:color="auto"/>
              <w:left w:val="nil"/>
              <w:bottom w:val="nil"/>
              <w:right w:val="nil"/>
            </w:tcBorders>
            <w:tcMar>
              <w:top w:w="100" w:type="dxa"/>
              <w:bottom w:w="100" w:type="dxa"/>
            </w:tcMar>
          </w:tcPr>
          <w:p w14:paraId="7D01DC2E" w14:textId="77777777" w:rsidR="006561BA" w:rsidRDefault="006561BA">
            <w:pPr>
              <w:pStyle w:val="AnnexTableCellLeft"/>
              <w:spacing w:line="200" w:lineRule="exact"/>
              <w:rPr>
                <w:sz w:val="16"/>
              </w:rPr>
            </w:pPr>
          </w:p>
        </w:tc>
        <w:tc>
          <w:tcPr>
            <w:tcW w:w="1404" w:type="dxa"/>
            <w:gridSpan w:val="3"/>
            <w:tcBorders>
              <w:top w:val="single" w:sz="2" w:space="0" w:color="auto"/>
              <w:left w:val="nil"/>
              <w:bottom w:val="nil"/>
              <w:right w:val="nil"/>
            </w:tcBorders>
            <w:tcMar>
              <w:top w:w="100" w:type="dxa"/>
              <w:bottom w:w="100" w:type="dxa"/>
            </w:tcMar>
          </w:tcPr>
          <w:p w14:paraId="4B68CF0A" w14:textId="77777777" w:rsidR="006561BA" w:rsidRDefault="006561BA">
            <w:pPr>
              <w:pStyle w:val="AnnexTableCellLeft"/>
              <w:spacing w:line="200" w:lineRule="exact"/>
              <w:rPr>
                <w:sz w:val="16"/>
              </w:rPr>
            </w:pPr>
          </w:p>
        </w:tc>
        <w:tc>
          <w:tcPr>
            <w:tcW w:w="576" w:type="dxa"/>
            <w:tcBorders>
              <w:top w:val="single" w:sz="2" w:space="0" w:color="auto"/>
              <w:left w:val="nil"/>
              <w:bottom w:val="nil"/>
              <w:right w:val="nil"/>
            </w:tcBorders>
            <w:tcMar>
              <w:top w:w="100" w:type="dxa"/>
              <w:bottom w:w="100" w:type="dxa"/>
            </w:tcMar>
          </w:tcPr>
          <w:p w14:paraId="0EDB9611" w14:textId="77777777" w:rsidR="006561BA" w:rsidRDefault="006561BA">
            <w:pPr>
              <w:pStyle w:val="AnnexTableCellLeft"/>
              <w:spacing w:line="200" w:lineRule="exact"/>
              <w:rPr>
                <w:sz w:val="16"/>
              </w:rPr>
            </w:pPr>
          </w:p>
        </w:tc>
        <w:tc>
          <w:tcPr>
            <w:tcW w:w="1188" w:type="dxa"/>
            <w:tcBorders>
              <w:top w:val="single" w:sz="2" w:space="0" w:color="auto"/>
              <w:left w:val="nil"/>
              <w:bottom w:val="nil"/>
              <w:right w:val="nil"/>
            </w:tcBorders>
            <w:tcMar>
              <w:top w:w="100" w:type="dxa"/>
              <w:bottom w:w="100" w:type="dxa"/>
            </w:tcMar>
          </w:tcPr>
          <w:p w14:paraId="1918BF14" w14:textId="77777777" w:rsidR="006561BA" w:rsidRDefault="006561BA">
            <w:pPr>
              <w:pStyle w:val="AnnexTableCellLeft"/>
              <w:spacing w:line="200" w:lineRule="exact"/>
              <w:rPr>
                <w:sz w:val="16"/>
              </w:rPr>
            </w:pPr>
          </w:p>
        </w:tc>
        <w:tc>
          <w:tcPr>
            <w:tcW w:w="810" w:type="dxa"/>
            <w:tcBorders>
              <w:top w:val="single" w:sz="2" w:space="0" w:color="auto"/>
              <w:left w:val="nil"/>
              <w:bottom w:val="nil"/>
              <w:right w:val="nil"/>
            </w:tcBorders>
            <w:tcMar>
              <w:top w:w="100" w:type="dxa"/>
              <w:bottom w:w="100" w:type="dxa"/>
            </w:tcMar>
          </w:tcPr>
          <w:p w14:paraId="65671EE1" w14:textId="77777777" w:rsidR="006561BA" w:rsidRDefault="006561BA">
            <w:pPr>
              <w:pStyle w:val="AnnexTableCellLeft"/>
              <w:spacing w:line="200" w:lineRule="exact"/>
              <w:rPr>
                <w:sz w:val="16"/>
              </w:rPr>
            </w:pPr>
          </w:p>
        </w:tc>
        <w:tc>
          <w:tcPr>
            <w:tcW w:w="810" w:type="dxa"/>
            <w:tcBorders>
              <w:top w:val="single" w:sz="2" w:space="0" w:color="auto"/>
              <w:left w:val="nil"/>
              <w:bottom w:val="nil"/>
              <w:right w:val="nil"/>
            </w:tcBorders>
            <w:tcMar>
              <w:top w:w="100" w:type="dxa"/>
              <w:bottom w:w="100" w:type="dxa"/>
              <w:right w:w="0" w:type="dxa"/>
            </w:tcMar>
          </w:tcPr>
          <w:p w14:paraId="40189BEB" w14:textId="77777777" w:rsidR="006561BA" w:rsidRDefault="006561BA">
            <w:pPr>
              <w:pStyle w:val="AnnexTableCellLeft"/>
              <w:spacing w:line="200" w:lineRule="exact"/>
              <w:rPr>
                <w:sz w:val="16"/>
              </w:rPr>
            </w:pPr>
          </w:p>
        </w:tc>
      </w:tr>
      <w:tr w:rsidR="006561BA" w14:paraId="1401845E" w14:textId="77777777">
        <w:tc>
          <w:tcPr>
            <w:tcW w:w="2304" w:type="dxa"/>
            <w:gridSpan w:val="2"/>
            <w:tcBorders>
              <w:bottom w:val="single" w:sz="4" w:space="0" w:color="auto"/>
            </w:tcBorders>
            <w:tcMar>
              <w:top w:w="100" w:type="dxa"/>
              <w:left w:w="0" w:type="dxa"/>
              <w:bottom w:w="100" w:type="dxa"/>
            </w:tcMar>
          </w:tcPr>
          <w:p w14:paraId="4025510D" w14:textId="77777777" w:rsidR="006561BA" w:rsidRDefault="005B4ED6">
            <w:pPr>
              <w:pStyle w:val="AnnexTableCellLeft"/>
            </w:pPr>
            <w:r>
              <w:rPr>
                <w:b/>
              </w:rPr>
              <w:t>Investeringsutgifter for aktiviteter som ikke er omfattet av taksonomien</w:t>
            </w:r>
          </w:p>
        </w:tc>
        <w:tc>
          <w:tcPr>
            <w:tcW w:w="792" w:type="dxa"/>
            <w:tcBorders>
              <w:bottom w:val="single" w:sz="4" w:space="0" w:color="auto"/>
            </w:tcBorders>
            <w:tcMar>
              <w:top w:w="100" w:type="dxa"/>
              <w:bottom w:w="100" w:type="dxa"/>
            </w:tcMar>
          </w:tcPr>
          <w:p w14:paraId="72A323D4" w14:textId="77777777" w:rsidR="006561BA" w:rsidRDefault="006561BA">
            <w:pPr>
              <w:pStyle w:val="AnnexTableCellLeft"/>
            </w:pPr>
          </w:p>
        </w:tc>
        <w:tc>
          <w:tcPr>
            <w:tcW w:w="936" w:type="dxa"/>
            <w:tcBorders>
              <w:bottom w:val="single" w:sz="4" w:space="0" w:color="auto"/>
              <w:right w:val="single" w:sz="2" w:space="0" w:color="auto"/>
            </w:tcBorders>
            <w:tcMar>
              <w:top w:w="100" w:type="dxa"/>
              <w:bottom w:w="100" w:type="dxa"/>
            </w:tcMar>
            <w:vAlign w:val="center"/>
          </w:tcPr>
          <w:p w14:paraId="77A2807C" w14:textId="77777777" w:rsidR="006561BA" w:rsidRDefault="005B4ED6">
            <w:pPr>
              <w:pStyle w:val="AnnexTableCellLeft"/>
              <w:jc w:val="center"/>
            </w:pPr>
            <w:r>
              <w:t>%</w:t>
            </w:r>
          </w:p>
        </w:tc>
        <w:tc>
          <w:tcPr>
            <w:tcW w:w="720" w:type="dxa"/>
            <w:gridSpan w:val="2"/>
            <w:tcBorders>
              <w:top w:val="nil"/>
              <w:left w:val="single" w:sz="2" w:space="0" w:color="auto"/>
              <w:bottom w:val="nil"/>
              <w:right w:val="nil"/>
            </w:tcBorders>
            <w:tcMar>
              <w:top w:w="100" w:type="dxa"/>
              <w:bottom w:w="100" w:type="dxa"/>
            </w:tcMar>
            <w:vAlign w:val="center"/>
          </w:tcPr>
          <w:p w14:paraId="30281AA5" w14:textId="77777777" w:rsidR="006561BA" w:rsidRDefault="006561BA">
            <w:pPr>
              <w:pStyle w:val="AnnexTableCellLeft"/>
              <w:jc w:val="center"/>
            </w:pPr>
          </w:p>
        </w:tc>
        <w:tc>
          <w:tcPr>
            <w:tcW w:w="600" w:type="dxa"/>
            <w:gridSpan w:val="2"/>
            <w:tcBorders>
              <w:top w:val="nil"/>
              <w:left w:val="nil"/>
              <w:bottom w:val="nil"/>
              <w:right w:val="nil"/>
            </w:tcBorders>
            <w:tcMar>
              <w:top w:w="100" w:type="dxa"/>
              <w:bottom w:w="100" w:type="dxa"/>
            </w:tcMar>
            <w:vAlign w:val="center"/>
          </w:tcPr>
          <w:p w14:paraId="0D9300B0" w14:textId="77777777" w:rsidR="006561BA" w:rsidRDefault="006561BA">
            <w:pPr>
              <w:pStyle w:val="AnnexTableCellLeft"/>
              <w:jc w:val="center"/>
            </w:pPr>
          </w:p>
        </w:tc>
        <w:tc>
          <w:tcPr>
            <w:tcW w:w="492" w:type="dxa"/>
            <w:gridSpan w:val="2"/>
            <w:tcBorders>
              <w:top w:val="nil"/>
              <w:left w:val="nil"/>
              <w:bottom w:val="nil"/>
              <w:right w:val="nil"/>
            </w:tcBorders>
            <w:tcMar>
              <w:top w:w="100" w:type="dxa"/>
              <w:bottom w:w="100" w:type="dxa"/>
            </w:tcMar>
            <w:vAlign w:val="center"/>
          </w:tcPr>
          <w:p w14:paraId="5B8E241F" w14:textId="77777777" w:rsidR="006561BA" w:rsidRDefault="006561BA">
            <w:pPr>
              <w:pStyle w:val="AnnexTableCellLeft"/>
              <w:jc w:val="center"/>
            </w:pPr>
          </w:p>
        </w:tc>
        <w:tc>
          <w:tcPr>
            <w:tcW w:w="624" w:type="dxa"/>
            <w:gridSpan w:val="2"/>
            <w:tcBorders>
              <w:top w:val="nil"/>
              <w:left w:val="nil"/>
              <w:bottom w:val="nil"/>
              <w:right w:val="nil"/>
            </w:tcBorders>
            <w:tcMar>
              <w:top w:w="100" w:type="dxa"/>
              <w:bottom w:w="100" w:type="dxa"/>
            </w:tcMar>
            <w:vAlign w:val="center"/>
          </w:tcPr>
          <w:p w14:paraId="770C9E56" w14:textId="77777777" w:rsidR="006561BA" w:rsidRDefault="006561BA">
            <w:pPr>
              <w:pStyle w:val="AnnexTableCellLeft"/>
              <w:jc w:val="center"/>
            </w:pPr>
          </w:p>
        </w:tc>
        <w:tc>
          <w:tcPr>
            <w:tcW w:w="348" w:type="dxa"/>
            <w:tcBorders>
              <w:top w:val="nil"/>
              <w:left w:val="nil"/>
              <w:bottom w:val="nil"/>
              <w:right w:val="nil"/>
            </w:tcBorders>
            <w:tcMar>
              <w:top w:w="100" w:type="dxa"/>
              <w:bottom w:w="100" w:type="dxa"/>
            </w:tcMar>
            <w:vAlign w:val="center"/>
          </w:tcPr>
          <w:p w14:paraId="3A234AB8" w14:textId="77777777" w:rsidR="006561BA" w:rsidRDefault="006561BA">
            <w:pPr>
              <w:pStyle w:val="AnnexTableCellLeft"/>
              <w:jc w:val="center"/>
            </w:pPr>
          </w:p>
        </w:tc>
        <w:tc>
          <w:tcPr>
            <w:tcW w:w="468" w:type="dxa"/>
            <w:gridSpan w:val="2"/>
            <w:tcBorders>
              <w:top w:val="nil"/>
              <w:left w:val="nil"/>
              <w:bottom w:val="nil"/>
              <w:right w:val="nil"/>
            </w:tcBorders>
            <w:tcMar>
              <w:top w:w="100" w:type="dxa"/>
              <w:bottom w:w="100" w:type="dxa"/>
            </w:tcMar>
            <w:vAlign w:val="center"/>
          </w:tcPr>
          <w:p w14:paraId="76F649E2" w14:textId="77777777" w:rsidR="006561BA" w:rsidRDefault="006561BA">
            <w:pPr>
              <w:pStyle w:val="AnnexTableCellLeft"/>
              <w:jc w:val="center"/>
            </w:pPr>
          </w:p>
        </w:tc>
        <w:tc>
          <w:tcPr>
            <w:tcW w:w="504" w:type="dxa"/>
            <w:gridSpan w:val="2"/>
            <w:tcBorders>
              <w:top w:val="nil"/>
              <w:left w:val="nil"/>
              <w:bottom w:val="nil"/>
              <w:right w:val="nil"/>
            </w:tcBorders>
            <w:tcMar>
              <w:top w:w="100" w:type="dxa"/>
              <w:bottom w:w="100" w:type="dxa"/>
            </w:tcMar>
            <w:vAlign w:val="center"/>
          </w:tcPr>
          <w:p w14:paraId="617D6985" w14:textId="77777777" w:rsidR="006561BA" w:rsidRDefault="006561BA">
            <w:pPr>
              <w:pStyle w:val="AnnexTableCellLeft"/>
              <w:jc w:val="center"/>
            </w:pPr>
          </w:p>
        </w:tc>
        <w:tc>
          <w:tcPr>
            <w:tcW w:w="444" w:type="dxa"/>
            <w:gridSpan w:val="2"/>
            <w:tcBorders>
              <w:top w:val="nil"/>
              <w:left w:val="nil"/>
              <w:bottom w:val="nil"/>
              <w:right w:val="nil"/>
            </w:tcBorders>
            <w:tcMar>
              <w:top w:w="100" w:type="dxa"/>
              <w:bottom w:w="100" w:type="dxa"/>
            </w:tcMar>
            <w:vAlign w:val="center"/>
          </w:tcPr>
          <w:p w14:paraId="23460E6D" w14:textId="77777777" w:rsidR="006561BA" w:rsidRDefault="006561BA">
            <w:pPr>
              <w:pStyle w:val="AnnexTableCellLeft"/>
              <w:jc w:val="center"/>
            </w:pPr>
          </w:p>
        </w:tc>
        <w:tc>
          <w:tcPr>
            <w:tcW w:w="540" w:type="dxa"/>
            <w:gridSpan w:val="2"/>
            <w:tcBorders>
              <w:top w:val="nil"/>
              <w:left w:val="nil"/>
              <w:bottom w:val="nil"/>
              <w:right w:val="nil"/>
            </w:tcBorders>
            <w:tcMar>
              <w:top w:w="100" w:type="dxa"/>
              <w:bottom w:w="100" w:type="dxa"/>
            </w:tcMar>
            <w:vAlign w:val="center"/>
          </w:tcPr>
          <w:p w14:paraId="51A42FC8" w14:textId="77777777" w:rsidR="006561BA" w:rsidRDefault="006561BA">
            <w:pPr>
              <w:pStyle w:val="AnnexTableCellLeft"/>
              <w:jc w:val="center"/>
            </w:pPr>
          </w:p>
        </w:tc>
        <w:tc>
          <w:tcPr>
            <w:tcW w:w="324" w:type="dxa"/>
            <w:tcBorders>
              <w:top w:val="nil"/>
              <w:left w:val="nil"/>
              <w:bottom w:val="nil"/>
              <w:right w:val="nil"/>
            </w:tcBorders>
            <w:tcMar>
              <w:top w:w="100" w:type="dxa"/>
              <w:bottom w:w="100" w:type="dxa"/>
            </w:tcMar>
            <w:vAlign w:val="center"/>
          </w:tcPr>
          <w:p w14:paraId="22C9F0BD" w14:textId="77777777" w:rsidR="006561BA" w:rsidRDefault="006561BA">
            <w:pPr>
              <w:pStyle w:val="AnnexTableCellLeft"/>
              <w:jc w:val="center"/>
            </w:pPr>
          </w:p>
        </w:tc>
        <w:tc>
          <w:tcPr>
            <w:tcW w:w="432" w:type="dxa"/>
            <w:gridSpan w:val="2"/>
            <w:tcBorders>
              <w:top w:val="nil"/>
              <w:left w:val="nil"/>
              <w:bottom w:val="nil"/>
              <w:right w:val="nil"/>
            </w:tcBorders>
            <w:tcMar>
              <w:top w:w="100" w:type="dxa"/>
              <w:bottom w:w="100" w:type="dxa"/>
            </w:tcMar>
            <w:vAlign w:val="center"/>
          </w:tcPr>
          <w:p w14:paraId="38253769" w14:textId="77777777" w:rsidR="006561BA" w:rsidRDefault="006561BA">
            <w:pPr>
              <w:pStyle w:val="AnnexTableCellLeft"/>
              <w:jc w:val="center"/>
            </w:pPr>
          </w:p>
        </w:tc>
        <w:tc>
          <w:tcPr>
            <w:tcW w:w="1404" w:type="dxa"/>
            <w:gridSpan w:val="3"/>
            <w:tcBorders>
              <w:top w:val="nil"/>
              <w:left w:val="nil"/>
              <w:bottom w:val="nil"/>
              <w:right w:val="nil"/>
            </w:tcBorders>
            <w:tcMar>
              <w:top w:w="100" w:type="dxa"/>
              <w:bottom w:w="100" w:type="dxa"/>
            </w:tcMar>
            <w:vAlign w:val="center"/>
          </w:tcPr>
          <w:p w14:paraId="06CB8C31" w14:textId="77777777" w:rsidR="006561BA" w:rsidRDefault="006561BA">
            <w:pPr>
              <w:pStyle w:val="AnnexTableCellLeft"/>
              <w:jc w:val="center"/>
            </w:pPr>
          </w:p>
        </w:tc>
        <w:tc>
          <w:tcPr>
            <w:tcW w:w="576" w:type="dxa"/>
            <w:tcBorders>
              <w:top w:val="nil"/>
              <w:left w:val="nil"/>
              <w:bottom w:val="nil"/>
              <w:right w:val="nil"/>
            </w:tcBorders>
            <w:tcMar>
              <w:top w:w="100" w:type="dxa"/>
              <w:bottom w:w="100" w:type="dxa"/>
            </w:tcMar>
            <w:vAlign w:val="center"/>
          </w:tcPr>
          <w:p w14:paraId="49CDED7F" w14:textId="77777777" w:rsidR="006561BA" w:rsidRDefault="006561BA">
            <w:pPr>
              <w:pStyle w:val="AnnexTableCellLeft"/>
              <w:jc w:val="center"/>
            </w:pPr>
          </w:p>
        </w:tc>
        <w:tc>
          <w:tcPr>
            <w:tcW w:w="1188" w:type="dxa"/>
            <w:tcBorders>
              <w:top w:val="nil"/>
              <w:left w:val="nil"/>
              <w:bottom w:val="nil"/>
              <w:right w:val="nil"/>
            </w:tcBorders>
            <w:tcMar>
              <w:top w:w="100" w:type="dxa"/>
              <w:bottom w:w="100" w:type="dxa"/>
            </w:tcMar>
            <w:vAlign w:val="center"/>
          </w:tcPr>
          <w:p w14:paraId="7C1CF5BA" w14:textId="77777777" w:rsidR="006561BA" w:rsidRDefault="006561BA">
            <w:pPr>
              <w:pStyle w:val="AnnexTableCellLeft"/>
              <w:jc w:val="center"/>
            </w:pPr>
          </w:p>
        </w:tc>
        <w:tc>
          <w:tcPr>
            <w:tcW w:w="810" w:type="dxa"/>
            <w:tcBorders>
              <w:top w:val="nil"/>
              <w:left w:val="nil"/>
              <w:bottom w:val="nil"/>
              <w:right w:val="nil"/>
            </w:tcBorders>
            <w:tcMar>
              <w:top w:w="100" w:type="dxa"/>
              <w:bottom w:w="100" w:type="dxa"/>
            </w:tcMar>
            <w:vAlign w:val="center"/>
          </w:tcPr>
          <w:p w14:paraId="7E0BE38B" w14:textId="77777777" w:rsidR="006561BA" w:rsidRDefault="006561BA">
            <w:pPr>
              <w:pStyle w:val="AnnexTableCellLeft"/>
              <w:jc w:val="center"/>
            </w:pPr>
          </w:p>
        </w:tc>
        <w:tc>
          <w:tcPr>
            <w:tcW w:w="810" w:type="dxa"/>
            <w:tcBorders>
              <w:top w:val="nil"/>
              <w:left w:val="nil"/>
              <w:bottom w:val="nil"/>
              <w:right w:val="nil"/>
            </w:tcBorders>
            <w:tcMar>
              <w:top w:w="100" w:type="dxa"/>
              <w:bottom w:w="100" w:type="dxa"/>
              <w:right w:w="0" w:type="dxa"/>
            </w:tcMar>
            <w:vAlign w:val="center"/>
          </w:tcPr>
          <w:p w14:paraId="292538D1" w14:textId="77777777" w:rsidR="006561BA" w:rsidRDefault="006561BA">
            <w:pPr>
              <w:pStyle w:val="AnnexTableCellLeft"/>
              <w:jc w:val="center"/>
            </w:pPr>
          </w:p>
        </w:tc>
      </w:tr>
      <w:tr w:rsidR="006561BA" w14:paraId="4348988B" w14:textId="77777777">
        <w:tc>
          <w:tcPr>
            <w:tcW w:w="2304" w:type="dxa"/>
            <w:gridSpan w:val="2"/>
            <w:tcBorders>
              <w:bottom w:val="single" w:sz="2" w:space="0" w:color="auto"/>
            </w:tcBorders>
            <w:tcMar>
              <w:top w:w="100" w:type="dxa"/>
              <w:left w:w="0" w:type="dxa"/>
              <w:bottom w:w="100" w:type="dxa"/>
            </w:tcMar>
          </w:tcPr>
          <w:p w14:paraId="193FC6D8" w14:textId="77777777" w:rsidR="006561BA" w:rsidRDefault="005B4ED6">
            <w:pPr>
              <w:pStyle w:val="AnnexTableCellLeft"/>
            </w:pPr>
            <w:r>
              <w:rPr>
                <w:b/>
                <w:sz w:val="16"/>
              </w:rPr>
              <w:t>TOTALT</w:t>
            </w:r>
          </w:p>
        </w:tc>
        <w:tc>
          <w:tcPr>
            <w:tcW w:w="792" w:type="dxa"/>
            <w:tcBorders>
              <w:bottom w:val="single" w:sz="2" w:space="0" w:color="auto"/>
            </w:tcBorders>
            <w:tcMar>
              <w:top w:w="100" w:type="dxa"/>
              <w:bottom w:w="100" w:type="dxa"/>
            </w:tcMar>
          </w:tcPr>
          <w:p w14:paraId="3EBC04E4" w14:textId="77777777" w:rsidR="006561BA" w:rsidRDefault="006561BA">
            <w:pPr>
              <w:pStyle w:val="AnnexTableCellLeft"/>
            </w:pPr>
          </w:p>
        </w:tc>
        <w:tc>
          <w:tcPr>
            <w:tcW w:w="936" w:type="dxa"/>
            <w:tcBorders>
              <w:bottom w:val="single" w:sz="2" w:space="0" w:color="auto"/>
              <w:right w:val="single" w:sz="2" w:space="0" w:color="auto"/>
            </w:tcBorders>
            <w:tcMar>
              <w:top w:w="100" w:type="dxa"/>
              <w:bottom w:w="100" w:type="dxa"/>
            </w:tcMar>
            <w:vAlign w:val="center"/>
          </w:tcPr>
          <w:p w14:paraId="4E14700D" w14:textId="77777777" w:rsidR="006561BA" w:rsidRDefault="005B4ED6">
            <w:pPr>
              <w:pStyle w:val="AnnexTableCellLeft"/>
              <w:jc w:val="center"/>
            </w:pPr>
            <w:r>
              <w:rPr>
                <w:b/>
              </w:rPr>
              <w:t>100 %</w:t>
            </w:r>
          </w:p>
        </w:tc>
        <w:tc>
          <w:tcPr>
            <w:tcW w:w="720" w:type="dxa"/>
            <w:gridSpan w:val="2"/>
            <w:tcBorders>
              <w:top w:val="nil"/>
              <w:left w:val="single" w:sz="2" w:space="0" w:color="auto"/>
              <w:bottom w:val="nil"/>
              <w:right w:val="nil"/>
            </w:tcBorders>
            <w:tcMar>
              <w:top w:w="100" w:type="dxa"/>
              <w:bottom w:w="100" w:type="dxa"/>
            </w:tcMar>
            <w:vAlign w:val="center"/>
          </w:tcPr>
          <w:p w14:paraId="011B78AB" w14:textId="77777777" w:rsidR="006561BA" w:rsidRDefault="006561BA">
            <w:pPr>
              <w:pStyle w:val="AnnexTableCellLeft"/>
              <w:jc w:val="center"/>
            </w:pPr>
          </w:p>
        </w:tc>
        <w:tc>
          <w:tcPr>
            <w:tcW w:w="600" w:type="dxa"/>
            <w:gridSpan w:val="2"/>
            <w:tcBorders>
              <w:top w:val="nil"/>
              <w:left w:val="nil"/>
              <w:bottom w:val="nil"/>
              <w:right w:val="nil"/>
            </w:tcBorders>
            <w:tcMar>
              <w:top w:w="100" w:type="dxa"/>
              <w:bottom w:w="100" w:type="dxa"/>
            </w:tcMar>
            <w:vAlign w:val="center"/>
          </w:tcPr>
          <w:p w14:paraId="15F0F8B6" w14:textId="77777777" w:rsidR="006561BA" w:rsidRDefault="006561BA">
            <w:pPr>
              <w:pStyle w:val="AnnexTableCellLeft"/>
              <w:jc w:val="center"/>
            </w:pPr>
          </w:p>
        </w:tc>
        <w:tc>
          <w:tcPr>
            <w:tcW w:w="492" w:type="dxa"/>
            <w:gridSpan w:val="2"/>
            <w:tcBorders>
              <w:top w:val="nil"/>
              <w:left w:val="nil"/>
              <w:bottom w:val="nil"/>
              <w:right w:val="nil"/>
            </w:tcBorders>
            <w:tcMar>
              <w:top w:w="100" w:type="dxa"/>
              <w:bottom w:w="100" w:type="dxa"/>
            </w:tcMar>
            <w:vAlign w:val="center"/>
          </w:tcPr>
          <w:p w14:paraId="5882279F" w14:textId="77777777" w:rsidR="006561BA" w:rsidRDefault="006561BA">
            <w:pPr>
              <w:pStyle w:val="AnnexTableCellLeft"/>
              <w:jc w:val="center"/>
            </w:pPr>
          </w:p>
        </w:tc>
        <w:tc>
          <w:tcPr>
            <w:tcW w:w="624" w:type="dxa"/>
            <w:gridSpan w:val="2"/>
            <w:tcBorders>
              <w:top w:val="nil"/>
              <w:left w:val="nil"/>
              <w:bottom w:val="nil"/>
              <w:right w:val="nil"/>
            </w:tcBorders>
            <w:tcMar>
              <w:top w:w="100" w:type="dxa"/>
              <w:bottom w:w="100" w:type="dxa"/>
            </w:tcMar>
            <w:vAlign w:val="center"/>
          </w:tcPr>
          <w:p w14:paraId="1436EB60" w14:textId="77777777" w:rsidR="006561BA" w:rsidRDefault="006561BA">
            <w:pPr>
              <w:pStyle w:val="AnnexTableCellLeft"/>
              <w:jc w:val="center"/>
            </w:pPr>
          </w:p>
        </w:tc>
        <w:tc>
          <w:tcPr>
            <w:tcW w:w="348" w:type="dxa"/>
            <w:tcBorders>
              <w:top w:val="nil"/>
              <w:left w:val="nil"/>
              <w:bottom w:val="nil"/>
              <w:right w:val="nil"/>
            </w:tcBorders>
            <w:tcMar>
              <w:top w:w="100" w:type="dxa"/>
              <w:bottom w:w="100" w:type="dxa"/>
            </w:tcMar>
            <w:vAlign w:val="center"/>
          </w:tcPr>
          <w:p w14:paraId="19F06D30" w14:textId="77777777" w:rsidR="006561BA" w:rsidRDefault="006561BA">
            <w:pPr>
              <w:pStyle w:val="AnnexTableCellLeft"/>
              <w:jc w:val="center"/>
            </w:pPr>
          </w:p>
        </w:tc>
        <w:tc>
          <w:tcPr>
            <w:tcW w:w="468" w:type="dxa"/>
            <w:gridSpan w:val="2"/>
            <w:tcBorders>
              <w:top w:val="nil"/>
              <w:left w:val="nil"/>
              <w:bottom w:val="nil"/>
              <w:right w:val="nil"/>
            </w:tcBorders>
            <w:tcMar>
              <w:top w:w="100" w:type="dxa"/>
              <w:bottom w:w="100" w:type="dxa"/>
            </w:tcMar>
            <w:vAlign w:val="center"/>
          </w:tcPr>
          <w:p w14:paraId="37997D77" w14:textId="77777777" w:rsidR="006561BA" w:rsidRDefault="006561BA">
            <w:pPr>
              <w:pStyle w:val="AnnexTableCellLeft"/>
              <w:jc w:val="center"/>
            </w:pPr>
          </w:p>
        </w:tc>
        <w:tc>
          <w:tcPr>
            <w:tcW w:w="504" w:type="dxa"/>
            <w:gridSpan w:val="2"/>
            <w:tcBorders>
              <w:top w:val="nil"/>
              <w:left w:val="nil"/>
              <w:bottom w:val="nil"/>
              <w:right w:val="nil"/>
            </w:tcBorders>
            <w:tcMar>
              <w:top w:w="100" w:type="dxa"/>
              <w:bottom w:w="100" w:type="dxa"/>
            </w:tcMar>
            <w:vAlign w:val="center"/>
          </w:tcPr>
          <w:p w14:paraId="166F0C75" w14:textId="77777777" w:rsidR="006561BA" w:rsidRDefault="006561BA">
            <w:pPr>
              <w:pStyle w:val="AnnexTableCellLeft"/>
              <w:jc w:val="center"/>
            </w:pPr>
          </w:p>
        </w:tc>
        <w:tc>
          <w:tcPr>
            <w:tcW w:w="444" w:type="dxa"/>
            <w:gridSpan w:val="2"/>
            <w:tcBorders>
              <w:top w:val="nil"/>
              <w:left w:val="nil"/>
              <w:bottom w:val="nil"/>
              <w:right w:val="nil"/>
            </w:tcBorders>
            <w:tcMar>
              <w:top w:w="100" w:type="dxa"/>
              <w:bottom w:w="100" w:type="dxa"/>
            </w:tcMar>
            <w:vAlign w:val="center"/>
          </w:tcPr>
          <w:p w14:paraId="3D3DB042" w14:textId="77777777" w:rsidR="006561BA" w:rsidRDefault="006561BA">
            <w:pPr>
              <w:pStyle w:val="AnnexTableCellLeft"/>
              <w:jc w:val="center"/>
            </w:pPr>
          </w:p>
        </w:tc>
        <w:tc>
          <w:tcPr>
            <w:tcW w:w="540" w:type="dxa"/>
            <w:gridSpan w:val="2"/>
            <w:tcBorders>
              <w:top w:val="nil"/>
              <w:left w:val="nil"/>
              <w:bottom w:val="nil"/>
              <w:right w:val="nil"/>
            </w:tcBorders>
            <w:tcMar>
              <w:top w:w="100" w:type="dxa"/>
              <w:bottom w:w="100" w:type="dxa"/>
            </w:tcMar>
            <w:vAlign w:val="center"/>
          </w:tcPr>
          <w:p w14:paraId="029F9FF5" w14:textId="77777777" w:rsidR="006561BA" w:rsidRDefault="006561BA">
            <w:pPr>
              <w:pStyle w:val="AnnexTableCellLeft"/>
              <w:jc w:val="center"/>
            </w:pPr>
          </w:p>
        </w:tc>
        <w:tc>
          <w:tcPr>
            <w:tcW w:w="324" w:type="dxa"/>
            <w:tcBorders>
              <w:top w:val="nil"/>
              <w:left w:val="nil"/>
              <w:bottom w:val="nil"/>
              <w:right w:val="nil"/>
            </w:tcBorders>
            <w:tcMar>
              <w:top w:w="100" w:type="dxa"/>
              <w:bottom w:w="100" w:type="dxa"/>
            </w:tcMar>
            <w:vAlign w:val="center"/>
          </w:tcPr>
          <w:p w14:paraId="40C83486" w14:textId="77777777" w:rsidR="006561BA" w:rsidRDefault="006561BA">
            <w:pPr>
              <w:pStyle w:val="AnnexTableCellLeft"/>
              <w:jc w:val="center"/>
            </w:pPr>
          </w:p>
        </w:tc>
        <w:tc>
          <w:tcPr>
            <w:tcW w:w="432" w:type="dxa"/>
            <w:gridSpan w:val="2"/>
            <w:tcBorders>
              <w:top w:val="nil"/>
              <w:left w:val="nil"/>
              <w:bottom w:val="nil"/>
              <w:right w:val="nil"/>
            </w:tcBorders>
            <w:tcMar>
              <w:top w:w="100" w:type="dxa"/>
              <w:bottom w:w="100" w:type="dxa"/>
            </w:tcMar>
            <w:vAlign w:val="center"/>
          </w:tcPr>
          <w:p w14:paraId="5B93CD33" w14:textId="77777777" w:rsidR="006561BA" w:rsidRDefault="006561BA">
            <w:pPr>
              <w:pStyle w:val="AnnexTableCellLeft"/>
              <w:jc w:val="center"/>
            </w:pPr>
          </w:p>
        </w:tc>
        <w:tc>
          <w:tcPr>
            <w:tcW w:w="1404" w:type="dxa"/>
            <w:gridSpan w:val="3"/>
            <w:tcBorders>
              <w:top w:val="nil"/>
              <w:left w:val="nil"/>
              <w:bottom w:val="nil"/>
              <w:right w:val="nil"/>
            </w:tcBorders>
            <w:tcMar>
              <w:top w:w="100" w:type="dxa"/>
              <w:bottom w:w="100" w:type="dxa"/>
            </w:tcMar>
            <w:vAlign w:val="center"/>
          </w:tcPr>
          <w:p w14:paraId="50340A2C" w14:textId="77777777" w:rsidR="006561BA" w:rsidRDefault="006561BA">
            <w:pPr>
              <w:pStyle w:val="AnnexTableCellLeft"/>
              <w:jc w:val="center"/>
            </w:pPr>
          </w:p>
        </w:tc>
        <w:tc>
          <w:tcPr>
            <w:tcW w:w="576" w:type="dxa"/>
            <w:tcBorders>
              <w:top w:val="nil"/>
              <w:left w:val="nil"/>
              <w:bottom w:val="nil"/>
              <w:right w:val="nil"/>
            </w:tcBorders>
            <w:tcMar>
              <w:top w:w="100" w:type="dxa"/>
              <w:bottom w:w="100" w:type="dxa"/>
            </w:tcMar>
            <w:vAlign w:val="center"/>
          </w:tcPr>
          <w:p w14:paraId="7777225B" w14:textId="77777777" w:rsidR="006561BA" w:rsidRDefault="006561BA">
            <w:pPr>
              <w:pStyle w:val="AnnexTableCellLeft"/>
              <w:jc w:val="center"/>
            </w:pPr>
          </w:p>
        </w:tc>
        <w:tc>
          <w:tcPr>
            <w:tcW w:w="1188" w:type="dxa"/>
            <w:tcBorders>
              <w:top w:val="nil"/>
              <w:left w:val="nil"/>
              <w:bottom w:val="nil"/>
              <w:right w:val="nil"/>
            </w:tcBorders>
            <w:tcMar>
              <w:top w:w="100" w:type="dxa"/>
              <w:bottom w:w="100" w:type="dxa"/>
            </w:tcMar>
            <w:vAlign w:val="center"/>
          </w:tcPr>
          <w:p w14:paraId="306DFE3C" w14:textId="77777777" w:rsidR="006561BA" w:rsidRDefault="006561BA">
            <w:pPr>
              <w:pStyle w:val="AnnexTableCellLeft"/>
              <w:jc w:val="center"/>
            </w:pPr>
          </w:p>
        </w:tc>
        <w:tc>
          <w:tcPr>
            <w:tcW w:w="810" w:type="dxa"/>
            <w:tcBorders>
              <w:top w:val="nil"/>
              <w:left w:val="nil"/>
              <w:bottom w:val="nil"/>
              <w:right w:val="nil"/>
            </w:tcBorders>
            <w:tcMar>
              <w:top w:w="100" w:type="dxa"/>
              <w:bottom w:w="100" w:type="dxa"/>
            </w:tcMar>
            <w:vAlign w:val="center"/>
          </w:tcPr>
          <w:p w14:paraId="06BF2356" w14:textId="77777777" w:rsidR="006561BA" w:rsidRDefault="006561BA">
            <w:pPr>
              <w:pStyle w:val="AnnexTableCellLeft"/>
              <w:jc w:val="center"/>
            </w:pPr>
          </w:p>
        </w:tc>
        <w:tc>
          <w:tcPr>
            <w:tcW w:w="810" w:type="dxa"/>
            <w:tcBorders>
              <w:top w:val="nil"/>
              <w:left w:val="nil"/>
              <w:bottom w:val="nil"/>
              <w:right w:val="nil"/>
            </w:tcBorders>
            <w:tcMar>
              <w:top w:w="100" w:type="dxa"/>
              <w:bottom w:w="100" w:type="dxa"/>
              <w:right w:w="0" w:type="dxa"/>
            </w:tcMar>
            <w:vAlign w:val="center"/>
          </w:tcPr>
          <w:p w14:paraId="6DBB3E0E" w14:textId="77777777" w:rsidR="006561BA" w:rsidRDefault="006561BA">
            <w:pPr>
              <w:pStyle w:val="AnnexTableCellLeft"/>
              <w:jc w:val="center"/>
            </w:pPr>
          </w:p>
        </w:tc>
      </w:tr>
      <w:tr w:rsidR="006561BA" w14:paraId="4A67448F" w14:textId="77777777">
        <w:tc>
          <w:tcPr>
            <w:tcW w:w="14316" w:type="dxa"/>
            <w:gridSpan w:val="31"/>
            <w:tcBorders>
              <w:top w:val="nil"/>
              <w:bottom w:val="nil"/>
            </w:tcBorders>
            <w:tcMar>
              <w:top w:w="60" w:type="dxa"/>
              <w:left w:w="0" w:type="dxa"/>
              <w:bottom w:w="60" w:type="dxa"/>
              <w:right w:w="0" w:type="dxa"/>
            </w:tcMar>
          </w:tcPr>
          <w:p w14:paraId="5310F745" w14:textId="77777777" w:rsidR="006561BA" w:rsidRDefault="005B4ED6">
            <w:pPr>
              <w:pStyle w:val="AnnexTableGrNotes"/>
              <w:spacing w:line="200" w:lineRule="exact"/>
              <w:ind w:left="278" w:hanging="278"/>
            </w:pPr>
            <w:r>
              <w:t>(</w:t>
            </w:r>
            <w:bookmarkStart w:id="397" w:name="NOTE_405"/>
            <w:r>
              <w:rPr>
                <w:vertAlign w:val="superscript"/>
              </w:rPr>
              <w:t>a</w:t>
            </w:r>
            <w:bookmarkEnd w:id="397"/>
            <w:r>
              <w:t>)</w:t>
            </w:r>
            <w:r>
              <w:tab/>
              <w:t>Koden utgjør forkortelsen for det relevante målet som den økonomiske aktiviteten kan bidra vesentlig til, samt avsnittsnummeret på aktiviteten i det relevante vedlegget som omfatter målet, det vil si følgende:</w:t>
            </w:r>
          </w:p>
          <w:p w14:paraId="4CEAE5B0" w14:textId="77777777" w:rsidR="006561BA" w:rsidRDefault="005B4ED6">
            <w:pPr>
              <w:pStyle w:val="AnnexTableGrNotes"/>
              <w:spacing w:line="200" w:lineRule="exact"/>
              <w:ind w:left="556" w:hanging="278"/>
            </w:pPr>
            <w:r>
              <w:t>—</w:t>
            </w:r>
            <w:r>
              <w:tab/>
              <w:t>Begrensning av klimaendringer: CCM</w:t>
            </w:r>
          </w:p>
          <w:p w14:paraId="6A7A5FAF" w14:textId="77777777" w:rsidR="006561BA" w:rsidRDefault="005B4ED6">
            <w:pPr>
              <w:pStyle w:val="AnnexTableGrNotes"/>
              <w:spacing w:line="200" w:lineRule="exact"/>
              <w:ind w:left="556" w:hanging="278"/>
            </w:pPr>
            <w:r>
              <w:t>—</w:t>
            </w:r>
            <w:r>
              <w:tab/>
              <w:t>Tilpasning til klimaendringer: CCA</w:t>
            </w:r>
          </w:p>
          <w:p w14:paraId="73B5B91A" w14:textId="77777777" w:rsidR="006561BA" w:rsidRDefault="005B4ED6">
            <w:pPr>
              <w:pStyle w:val="AnnexTableGrNotes"/>
              <w:spacing w:line="200" w:lineRule="exact"/>
              <w:ind w:left="556" w:hanging="278"/>
            </w:pPr>
            <w:r>
              <w:t>—</w:t>
            </w:r>
            <w:r>
              <w:tab/>
              <w:t>Vann- og havressurser: WTR</w:t>
            </w:r>
          </w:p>
          <w:p w14:paraId="1D8B164E" w14:textId="77777777" w:rsidR="006561BA" w:rsidRDefault="005B4ED6">
            <w:pPr>
              <w:pStyle w:val="AnnexTableGrNotes"/>
              <w:spacing w:line="200" w:lineRule="exact"/>
              <w:ind w:left="556" w:hanging="278"/>
            </w:pPr>
            <w:r>
              <w:t>—</w:t>
            </w:r>
            <w:r>
              <w:tab/>
              <w:t>Sirkulær økonomi: CE</w:t>
            </w:r>
          </w:p>
          <w:p w14:paraId="7BE36B8D" w14:textId="77777777" w:rsidR="006561BA" w:rsidRDefault="005B4ED6">
            <w:pPr>
              <w:pStyle w:val="AnnexTableGrNotes"/>
              <w:spacing w:line="200" w:lineRule="exact"/>
              <w:ind w:left="556" w:hanging="278"/>
            </w:pPr>
            <w:r>
              <w:t>—</w:t>
            </w:r>
            <w:r>
              <w:tab/>
              <w:t>Forebygging og begrensning av forurensning: PPC</w:t>
            </w:r>
          </w:p>
          <w:p w14:paraId="5EA1E96C" w14:textId="77777777" w:rsidR="006561BA" w:rsidRDefault="005B4ED6">
            <w:pPr>
              <w:pStyle w:val="AnnexTableGrNotes"/>
              <w:spacing w:line="200" w:lineRule="exact"/>
              <w:ind w:left="556" w:hanging="278"/>
            </w:pPr>
            <w:r>
              <w:t>—</w:t>
            </w:r>
            <w:r>
              <w:tab/>
              <w:t>Biologisk mangfold og økosystemer: BIO.</w:t>
            </w:r>
          </w:p>
          <w:p w14:paraId="0484AEFA" w14:textId="77777777" w:rsidR="006561BA" w:rsidRDefault="005B4ED6">
            <w:pPr>
              <w:pStyle w:val="AnnexTableGrNotes"/>
              <w:spacing w:after="200" w:line="200" w:lineRule="exact"/>
              <w:ind w:left="278" w:firstLine="0"/>
              <w:rPr>
                <w:i/>
              </w:rPr>
            </w:pPr>
            <w:r>
              <w:rPr>
                <w:i/>
              </w:rPr>
              <w:t>Aktiviteten «</w:t>
            </w:r>
            <w:proofErr w:type="spellStart"/>
            <w:r>
              <w:rPr>
                <w:i/>
              </w:rPr>
              <w:t>Påskoging</w:t>
            </w:r>
            <w:proofErr w:type="spellEnd"/>
            <w:r>
              <w:rPr>
                <w:i/>
              </w:rPr>
              <w:t>» vil for eksempel ha koden: CCM 1.1.</w:t>
            </w:r>
          </w:p>
          <w:p w14:paraId="71395F05" w14:textId="77777777" w:rsidR="006561BA" w:rsidRDefault="005B4ED6">
            <w:pPr>
              <w:pStyle w:val="AnnexTableGrNotes"/>
              <w:spacing w:line="200" w:lineRule="exact"/>
              <w:ind w:left="278" w:firstLine="0"/>
            </w:pPr>
            <w:r>
              <w:t>Dersom aktiviteten kan bidra vesentlig til mer enn ett mål, bør kodene for alle mål angis.</w:t>
            </w:r>
          </w:p>
          <w:p w14:paraId="40FF377B" w14:textId="77777777" w:rsidR="006561BA" w:rsidRDefault="005B4ED6">
            <w:pPr>
              <w:pStyle w:val="AnnexTableGrNotes"/>
              <w:spacing w:after="200" w:line="200" w:lineRule="exact"/>
              <w:ind w:left="278" w:firstLine="0"/>
              <w:rPr>
                <w:i/>
              </w:rPr>
            </w:pPr>
            <w:r>
              <w:rPr>
                <w:i/>
              </w:rPr>
              <w:t>Dersom aktivitetsutøveren for eksempel rapporterer at aktiviteten «Oppføring av nye bygninger» bidrar vesentlig til begrensning av klimaendringer og til den sirkulære økonomien, er koden CCM 7.1. / CE 3.1.</w:t>
            </w:r>
          </w:p>
          <w:p w14:paraId="1A003C7B" w14:textId="77777777" w:rsidR="006561BA" w:rsidRDefault="005B4ED6">
            <w:pPr>
              <w:pStyle w:val="AnnexTableGrNotes"/>
              <w:spacing w:after="200" w:line="200" w:lineRule="exact"/>
              <w:ind w:left="278" w:firstLine="0"/>
            </w:pPr>
            <w:r>
              <w:t>De samme kodene bør brukes i avsnitt A.1 og A.2 i denne malen.</w:t>
            </w:r>
          </w:p>
          <w:p w14:paraId="161D0983" w14:textId="77777777" w:rsidR="006561BA" w:rsidRDefault="005B4ED6">
            <w:pPr>
              <w:pStyle w:val="AnnexTableGrNotes"/>
              <w:spacing w:line="200" w:lineRule="exact"/>
              <w:ind w:left="278" w:hanging="278"/>
            </w:pPr>
            <w:r>
              <w:t>(</w:t>
            </w:r>
            <w:bookmarkStart w:id="398" w:name="NOTE_406"/>
            <w:r>
              <w:rPr>
                <w:vertAlign w:val="superscript"/>
              </w:rPr>
              <w:t>b</w:t>
            </w:r>
            <w:bookmarkEnd w:id="398"/>
            <w:r>
              <w:t>)</w:t>
            </w:r>
            <w:r>
              <w:tab/>
              <w:t>J – Ja, aktiviteten er omfattet av og forenlig med taksonomien for det relevante miljømålet</w:t>
            </w:r>
          </w:p>
          <w:p w14:paraId="73029D5C" w14:textId="77777777" w:rsidR="006561BA" w:rsidRDefault="005B4ED6">
            <w:pPr>
              <w:pStyle w:val="AnnexTableGrNotes"/>
              <w:spacing w:line="200" w:lineRule="exact"/>
              <w:ind w:left="278" w:firstLine="0"/>
            </w:pPr>
            <w:r>
              <w:t>N – Nei, aktiviteten er omfattet av, men ikke forenlig med taksonomien for det relevante miljømålet</w:t>
            </w:r>
          </w:p>
          <w:p w14:paraId="465BCA28" w14:textId="77777777" w:rsidR="006561BA" w:rsidRDefault="005B4ED6">
            <w:pPr>
              <w:pStyle w:val="AnnexTableGrNotes"/>
              <w:spacing w:line="200" w:lineRule="exact"/>
              <w:ind w:left="278" w:firstLine="0"/>
            </w:pPr>
            <w:r>
              <w:t>N/EL – Ikke omfattet, aktiviteten er ikke er omfattet av taksonomien for det relevante målet.</w:t>
            </w:r>
          </w:p>
        </w:tc>
      </w:tr>
      <w:tr w:rsidR="006561BA" w14:paraId="01F0512B" w14:textId="77777777">
        <w:tc>
          <w:tcPr>
            <w:tcW w:w="14316" w:type="dxa"/>
            <w:gridSpan w:val="31"/>
            <w:tcBorders>
              <w:top w:val="nil"/>
              <w:bottom w:val="nil"/>
            </w:tcBorders>
            <w:tcMar>
              <w:top w:w="60" w:type="dxa"/>
              <w:left w:w="0" w:type="dxa"/>
              <w:bottom w:w="60" w:type="dxa"/>
              <w:right w:w="0" w:type="dxa"/>
            </w:tcMar>
          </w:tcPr>
          <w:p w14:paraId="76BE0E98" w14:textId="77777777" w:rsidR="006561BA" w:rsidRDefault="005B4ED6">
            <w:pPr>
              <w:pStyle w:val="AnnexTableGrNotes"/>
              <w:pageBreakBefore/>
              <w:spacing w:after="200" w:line="200" w:lineRule="exact"/>
              <w:ind w:left="278" w:hanging="278"/>
            </w:pPr>
            <w:r>
              <w:lastRenderedPageBreak/>
              <w:t>(</w:t>
            </w:r>
            <w:bookmarkStart w:id="399" w:name="NOTE_407"/>
            <w:r>
              <w:rPr>
                <w:vertAlign w:val="superscript"/>
              </w:rPr>
              <w:t>c</w:t>
            </w:r>
            <w:bookmarkEnd w:id="399"/>
            <w:r>
              <w:t>)</w:t>
            </w:r>
            <w:r>
              <w:tab/>
              <w:t>Dersom en økonomisk aktivitet bidrar vesentlig til flere miljømål, skal ikke-finansielle foretak angi med fet skrift det mest relevante miljømålet med henblikk på beregningen av finansforetaks KPI-er samtidig som dobbelttelling unngås. Finansforetak skal i sine respektive KPI-er, dersom bruken av provenyet fra finansieringen ikke er kjent, beregne finansieringen av økonomiske aktiviteter som bidrar til flere miljømål i henhold til det mest relevante miljømålet som ikke-finansielle foretak rapporterer med fet skrift i denne malen. Et miljømål kan bare rapporteres med fet skrift én gang i én rad for å unngå dobbelttelling av økonomiske aktiviteter i finansforetaks KPI-er. Dette gjelder ikke ved beregning av økonomiske aktiviteters taksonomiforenlighet for finansielle produkter definert i artikkel 2 nr. 12 i forordning (EU) 2019/2088. Ikke-finansielle foretak skal også rapportere i hvilket omfang hvert miljømål er omfattet av og forenlig med taksonomien, som inkluderer forenlighet med hvert miljømål for aktiviteter som bidrar vesentlig til flere mål ved hjelp av malen nedenfor:</w:t>
            </w:r>
          </w:p>
          <w:tbl>
            <w:tblPr>
              <w:tblStyle w:val="EFTATable"/>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25"/>
              <w:gridCol w:w="2244"/>
              <w:gridCol w:w="2292"/>
            </w:tblGrid>
            <w:tr w:rsidR="006561BA" w14:paraId="4FEC7963" w14:textId="77777777">
              <w:tc>
                <w:tcPr>
                  <w:tcW w:w="1425" w:type="dxa"/>
                  <w:tcMar>
                    <w:left w:w="100" w:type="dxa"/>
                    <w:right w:w="100" w:type="dxa"/>
                  </w:tcMar>
                </w:tcPr>
                <w:p w14:paraId="7442C597" w14:textId="77777777" w:rsidR="006561BA" w:rsidRPr="00770AA2" w:rsidRDefault="006561BA">
                  <w:pPr>
                    <w:pStyle w:val="AnnexTableGrNotes"/>
                    <w:pageBreakBefore/>
                    <w:spacing w:line="240" w:lineRule="exact"/>
                    <w:ind w:left="0" w:firstLine="0"/>
                    <w:rPr>
                      <w:noProof/>
                      <w:sz w:val="18"/>
                      <w:szCs w:val="18"/>
                    </w:rPr>
                  </w:pPr>
                </w:p>
              </w:tc>
              <w:tc>
                <w:tcPr>
                  <w:tcW w:w="4536" w:type="dxa"/>
                  <w:gridSpan w:val="2"/>
                  <w:tcMar>
                    <w:left w:w="100" w:type="dxa"/>
                    <w:right w:w="100" w:type="dxa"/>
                  </w:tcMar>
                  <w:vAlign w:val="center"/>
                </w:tcPr>
                <w:p w14:paraId="40A3331B" w14:textId="77777777" w:rsidR="006561BA" w:rsidRDefault="005B4ED6">
                  <w:pPr>
                    <w:pStyle w:val="AnnexTableGrNotes"/>
                    <w:pageBreakBefore/>
                    <w:spacing w:line="240" w:lineRule="exact"/>
                    <w:ind w:left="0" w:firstLine="0"/>
                    <w:jc w:val="center"/>
                    <w:rPr>
                      <w:noProof/>
                      <w:sz w:val="18"/>
                      <w:szCs w:val="18"/>
                    </w:rPr>
                  </w:pPr>
                  <w:r>
                    <w:rPr>
                      <w:sz w:val="18"/>
                    </w:rPr>
                    <w:t>Andel av investeringsutgifter / samlede investeringsutgifter</w:t>
                  </w:r>
                </w:p>
              </w:tc>
            </w:tr>
            <w:tr w:rsidR="006561BA" w14:paraId="5E9ED0F3" w14:textId="77777777">
              <w:tc>
                <w:tcPr>
                  <w:tcW w:w="1425" w:type="dxa"/>
                  <w:tcMar>
                    <w:left w:w="100" w:type="dxa"/>
                    <w:right w:w="100" w:type="dxa"/>
                  </w:tcMar>
                </w:tcPr>
                <w:p w14:paraId="3DF997FE" w14:textId="77777777" w:rsidR="006561BA" w:rsidRPr="00770AA2" w:rsidRDefault="006561BA">
                  <w:pPr>
                    <w:pStyle w:val="AnnexTableGrNotes"/>
                    <w:pageBreakBefore/>
                    <w:spacing w:line="240" w:lineRule="exact"/>
                    <w:ind w:left="0" w:firstLine="0"/>
                    <w:rPr>
                      <w:noProof/>
                      <w:sz w:val="18"/>
                      <w:szCs w:val="18"/>
                    </w:rPr>
                  </w:pPr>
                </w:p>
              </w:tc>
              <w:tc>
                <w:tcPr>
                  <w:tcW w:w="2244" w:type="dxa"/>
                  <w:tcMar>
                    <w:left w:w="100" w:type="dxa"/>
                    <w:right w:w="100" w:type="dxa"/>
                  </w:tcMar>
                  <w:vAlign w:val="center"/>
                </w:tcPr>
                <w:p w14:paraId="2B48BAA0" w14:textId="77777777" w:rsidR="006561BA" w:rsidRDefault="005B4ED6">
                  <w:pPr>
                    <w:pStyle w:val="AnnexTableGrNotes"/>
                    <w:pageBreakBefore/>
                    <w:spacing w:line="240" w:lineRule="exact"/>
                    <w:ind w:left="0" w:firstLine="0"/>
                    <w:jc w:val="center"/>
                    <w:rPr>
                      <w:noProof/>
                      <w:sz w:val="18"/>
                      <w:szCs w:val="18"/>
                    </w:rPr>
                  </w:pPr>
                  <w:r>
                    <w:rPr>
                      <w:sz w:val="18"/>
                    </w:rPr>
                    <w:t>Taksonomiforenlighet per mål</w:t>
                  </w:r>
                </w:p>
              </w:tc>
              <w:tc>
                <w:tcPr>
                  <w:tcW w:w="2292" w:type="dxa"/>
                  <w:tcMar>
                    <w:left w:w="100" w:type="dxa"/>
                    <w:right w:w="100" w:type="dxa"/>
                  </w:tcMar>
                  <w:vAlign w:val="center"/>
                </w:tcPr>
                <w:p w14:paraId="202C4D51" w14:textId="77777777" w:rsidR="006561BA" w:rsidRDefault="005B4ED6">
                  <w:pPr>
                    <w:pStyle w:val="AnnexTableGrNotes"/>
                    <w:pageBreakBefore/>
                    <w:spacing w:line="240" w:lineRule="exact"/>
                    <w:ind w:left="0" w:firstLine="0"/>
                    <w:jc w:val="center"/>
                    <w:rPr>
                      <w:noProof/>
                      <w:sz w:val="18"/>
                      <w:szCs w:val="18"/>
                    </w:rPr>
                  </w:pPr>
                  <w:r>
                    <w:rPr>
                      <w:sz w:val="18"/>
                    </w:rPr>
                    <w:t>Taksonomisamsvar per mål</w:t>
                  </w:r>
                </w:p>
              </w:tc>
            </w:tr>
            <w:tr w:rsidR="006561BA" w14:paraId="3ACDC274" w14:textId="77777777">
              <w:tc>
                <w:tcPr>
                  <w:tcW w:w="1425" w:type="dxa"/>
                  <w:tcMar>
                    <w:left w:w="100" w:type="dxa"/>
                    <w:right w:w="100" w:type="dxa"/>
                  </w:tcMar>
                </w:tcPr>
                <w:p w14:paraId="0DC2E0C8" w14:textId="77777777" w:rsidR="006561BA" w:rsidRDefault="005B4ED6">
                  <w:pPr>
                    <w:pStyle w:val="AnnexTableGrNotes"/>
                    <w:pageBreakBefore/>
                    <w:spacing w:line="240" w:lineRule="exact"/>
                    <w:ind w:left="0" w:firstLine="0"/>
                    <w:rPr>
                      <w:noProof/>
                      <w:sz w:val="18"/>
                      <w:szCs w:val="18"/>
                    </w:rPr>
                  </w:pPr>
                  <w:r>
                    <w:rPr>
                      <w:sz w:val="18"/>
                    </w:rPr>
                    <w:t>CCM</w:t>
                  </w:r>
                </w:p>
              </w:tc>
              <w:tc>
                <w:tcPr>
                  <w:tcW w:w="2244" w:type="dxa"/>
                  <w:tcMar>
                    <w:left w:w="100" w:type="dxa"/>
                    <w:right w:w="100" w:type="dxa"/>
                  </w:tcMar>
                </w:tcPr>
                <w:p w14:paraId="08361EB8" w14:textId="77777777" w:rsidR="006561BA" w:rsidRDefault="005B4ED6">
                  <w:pPr>
                    <w:pStyle w:val="AnnexTableGrNotes"/>
                    <w:pageBreakBefore/>
                    <w:spacing w:line="240" w:lineRule="exact"/>
                    <w:ind w:left="0" w:firstLine="0"/>
                    <w:rPr>
                      <w:noProof/>
                      <w:sz w:val="18"/>
                      <w:szCs w:val="18"/>
                    </w:rPr>
                  </w:pPr>
                  <w:r>
                    <w:rPr>
                      <w:sz w:val="18"/>
                    </w:rPr>
                    <w:t>%</w:t>
                  </w:r>
                </w:p>
              </w:tc>
              <w:tc>
                <w:tcPr>
                  <w:tcW w:w="2292" w:type="dxa"/>
                  <w:tcMar>
                    <w:left w:w="100" w:type="dxa"/>
                    <w:right w:w="100" w:type="dxa"/>
                  </w:tcMar>
                </w:tcPr>
                <w:p w14:paraId="1F4525F4" w14:textId="77777777" w:rsidR="006561BA" w:rsidRDefault="005B4ED6">
                  <w:pPr>
                    <w:pStyle w:val="AnnexTableGrNotes"/>
                    <w:pageBreakBefore/>
                    <w:spacing w:line="240" w:lineRule="exact"/>
                    <w:ind w:left="0" w:firstLine="0"/>
                    <w:rPr>
                      <w:noProof/>
                      <w:sz w:val="18"/>
                      <w:szCs w:val="18"/>
                    </w:rPr>
                  </w:pPr>
                  <w:r>
                    <w:rPr>
                      <w:sz w:val="18"/>
                    </w:rPr>
                    <w:t>%</w:t>
                  </w:r>
                </w:p>
              </w:tc>
            </w:tr>
            <w:tr w:rsidR="006561BA" w14:paraId="04BA14E1" w14:textId="77777777">
              <w:tc>
                <w:tcPr>
                  <w:tcW w:w="1425" w:type="dxa"/>
                  <w:tcMar>
                    <w:left w:w="100" w:type="dxa"/>
                    <w:right w:w="100" w:type="dxa"/>
                  </w:tcMar>
                </w:tcPr>
                <w:p w14:paraId="02A9BA8E" w14:textId="77777777" w:rsidR="006561BA" w:rsidRDefault="005B4ED6">
                  <w:pPr>
                    <w:pStyle w:val="AnnexTableGrNotes"/>
                    <w:pageBreakBefore/>
                    <w:spacing w:line="240" w:lineRule="exact"/>
                    <w:ind w:left="0" w:firstLine="0"/>
                    <w:rPr>
                      <w:noProof/>
                      <w:sz w:val="18"/>
                      <w:szCs w:val="18"/>
                    </w:rPr>
                  </w:pPr>
                  <w:r>
                    <w:rPr>
                      <w:sz w:val="18"/>
                    </w:rPr>
                    <w:t>CCA</w:t>
                  </w:r>
                </w:p>
              </w:tc>
              <w:tc>
                <w:tcPr>
                  <w:tcW w:w="2244" w:type="dxa"/>
                  <w:tcMar>
                    <w:left w:w="100" w:type="dxa"/>
                    <w:right w:w="100" w:type="dxa"/>
                  </w:tcMar>
                </w:tcPr>
                <w:p w14:paraId="446687F7" w14:textId="77777777" w:rsidR="006561BA" w:rsidRDefault="005B4ED6">
                  <w:pPr>
                    <w:pStyle w:val="AnnexTableGrNotes"/>
                    <w:pageBreakBefore/>
                    <w:spacing w:line="240" w:lineRule="exact"/>
                    <w:ind w:left="0" w:firstLine="0"/>
                    <w:rPr>
                      <w:noProof/>
                      <w:sz w:val="18"/>
                      <w:szCs w:val="18"/>
                    </w:rPr>
                  </w:pPr>
                  <w:r>
                    <w:rPr>
                      <w:sz w:val="18"/>
                    </w:rPr>
                    <w:t>%</w:t>
                  </w:r>
                </w:p>
              </w:tc>
              <w:tc>
                <w:tcPr>
                  <w:tcW w:w="2292" w:type="dxa"/>
                  <w:tcMar>
                    <w:left w:w="100" w:type="dxa"/>
                    <w:right w:w="100" w:type="dxa"/>
                  </w:tcMar>
                </w:tcPr>
                <w:p w14:paraId="2C7AF948" w14:textId="77777777" w:rsidR="006561BA" w:rsidRDefault="005B4ED6">
                  <w:pPr>
                    <w:pStyle w:val="AnnexTableGrNotes"/>
                    <w:pageBreakBefore/>
                    <w:spacing w:line="240" w:lineRule="exact"/>
                    <w:ind w:left="0" w:firstLine="0"/>
                    <w:rPr>
                      <w:noProof/>
                      <w:sz w:val="18"/>
                      <w:szCs w:val="18"/>
                    </w:rPr>
                  </w:pPr>
                  <w:r>
                    <w:rPr>
                      <w:sz w:val="18"/>
                    </w:rPr>
                    <w:t>%</w:t>
                  </w:r>
                </w:p>
              </w:tc>
            </w:tr>
            <w:tr w:rsidR="006561BA" w14:paraId="7728CA53" w14:textId="77777777">
              <w:tc>
                <w:tcPr>
                  <w:tcW w:w="1425" w:type="dxa"/>
                  <w:tcMar>
                    <w:left w:w="100" w:type="dxa"/>
                    <w:right w:w="100" w:type="dxa"/>
                  </w:tcMar>
                </w:tcPr>
                <w:p w14:paraId="71BFA76B" w14:textId="77777777" w:rsidR="006561BA" w:rsidRDefault="005B4ED6">
                  <w:pPr>
                    <w:pStyle w:val="AnnexTableGrNotes"/>
                    <w:pageBreakBefore/>
                    <w:spacing w:line="240" w:lineRule="exact"/>
                    <w:ind w:left="0" w:firstLine="0"/>
                    <w:rPr>
                      <w:noProof/>
                      <w:sz w:val="18"/>
                      <w:szCs w:val="18"/>
                    </w:rPr>
                  </w:pPr>
                  <w:r>
                    <w:rPr>
                      <w:sz w:val="18"/>
                    </w:rPr>
                    <w:t>WTR</w:t>
                  </w:r>
                </w:p>
              </w:tc>
              <w:tc>
                <w:tcPr>
                  <w:tcW w:w="2244" w:type="dxa"/>
                  <w:tcMar>
                    <w:left w:w="100" w:type="dxa"/>
                    <w:right w:w="100" w:type="dxa"/>
                  </w:tcMar>
                </w:tcPr>
                <w:p w14:paraId="6086B01A" w14:textId="77777777" w:rsidR="006561BA" w:rsidRDefault="005B4ED6">
                  <w:pPr>
                    <w:pStyle w:val="AnnexTableGrNotes"/>
                    <w:pageBreakBefore/>
                    <w:spacing w:line="240" w:lineRule="exact"/>
                    <w:ind w:left="0" w:firstLine="0"/>
                    <w:rPr>
                      <w:noProof/>
                      <w:sz w:val="18"/>
                      <w:szCs w:val="18"/>
                    </w:rPr>
                  </w:pPr>
                  <w:r>
                    <w:rPr>
                      <w:sz w:val="18"/>
                    </w:rPr>
                    <w:t>%</w:t>
                  </w:r>
                </w:p>
              </w:tc>
              <w:tc>
                <w:tcPr>
                  <w:tcW w:w="2292" w:type="dxa"/>
                  <w:tcMar>
                    <w:left w:w="100" w:type="dxa"/>
                    <w:right w:w="100" w:type="dxa"/>
                  </w:tcMar>
                </w:tcPr>
                <w:p w14:paraId="2A1EB594" w14:textId="77777777" w:rsidR="006561BA" w:rsidRDefault="005B4ED6">
                  <w:pPr>
                    <w:pStyle w:val="AnnexTableGrNotes"/>
                    <w:pageBreakBefore/>
                    <w:spacing w:line="240" w:lineRule="exact"/>
                    <w:ind w:left="0" w:firstLine="0"/>
                    <w:rPr>
                      <w:noProof/>
                      <w:sz w:val="18"/>
                      <w:szCs w:val="18"/>
                    </w:rPr>
                  </w:pPr>
                  <w:r>
                    <w:rPr>
                      <w:sz w:val="18"/>
                    </w:rPr>
                    <w:t>%</w:t>
                  </w:r>
                </w:p>
              </w:tc>
            </w:tr>
            <w:tr w:rsidR="006561BA" w14:paraId="40F3157D" w14:textId="77777777">
              <w:tc>
                <w:tcPr>
                  <w:tcW w:w="1425" w:type="dxa"/>
                  <w:tcMar>
                    <w:left w:w="100" w:type="dxa"/>
                    <w:right w:w="100" w:type="dxa"/>
                  </w:tcMar>
                </w:tcPr>
                <w:p w14:paraId="72E6D101" w14:textId="77777777" w:rsidR="006561BA" w:rsidRDefault="005B4ED6">
                  <w:pPr>
                    <w:pStyle w:val="AnnexTableGrNotes"/>
                    <w:pageBreakBefore/>
                    <w:spacing w:line="240" w:lineRule="exact"/>
                    <w:ind w:left="0" w:firstLine="0"/>
                    <w:rPr>
                      <w:noProof/>
                      <w:sz w:val="18"/>
                      <w:szCs w:val="18"/>
                    </w:rPr>
                  </w:pPr>
                  <w:r>
                    <w:rPr>
                      <w:sz w:val="18"/>
                    </w:rPr>
                    <w:t>CE</w:t>
                  </w:r>
                </w:p>
              </w:tc>
              <w:tc>
                <w:tcPr>
                  <w:tcW w:w="2244" w:type="dxa"/>
                  <w:tcMar>
                    <w:left w:w="100" w:type="dxa"/>
                    <w:right w:w="100" w:type="dxa"/>
                  </w:tcMar>
                </w:tcPr>
                <w:p w14:paraId="1BED0123" w14:textId="77777777" w:rsidR="006561BA" w:rsidRDefault="005B4ED6">
                  <w:pPr>
                    <w:pStyle w:val="AnnexTableGrNotes"/>
                    <w:pageBreakBefore/>
                    <w:spacing w:line="240" w:lineRule="exact"/>
                    <w:ind w:left="0" w:firstLine="0"/>
                    <w:rPr>
                      <w:noProof/>
                      <w:sz w:val="18"/>
                      <w:szCs w:val="18"/>
                    </w:rPr>
                  </w:pPr>
                  <w:r>
                    <w:rPr>
                      <w:sz w:val="18"/>
                    </w:rPr>
                    <w:t>%</w:t>
                  </w:r>
                </w:p>
              </w:tc>
              <w:tc>
                <w:tcPr>
                  <w:tcW w:w="2292" w:type="dxa"/>
                  <w:tcMar>
                    <w:left w:w="100" w:type="dxa"/>
                    <w:right w:w="100" w:type="dxa"/>
                  </w:tcMar>
                </w:tcPr>
                <w:p w14:paraId="6E51533C" w14:textId="77777777" w:rsidR="006561BA" w:rsidRDefault="005B4ED6">
                  <w:pPr>
                    <w:pStyle w:val="AnnexTableGrNotes"/>
                    <w:pageBreakBefore/>
                    <w:spacing w:line="240" w:lineRule="exact"/>
                    <w:ind w:left="0" w:firstLine="0"/>
                    <w:rPr>
                      <w:noProof/>
                      <w:sz w:val="18"/>
                      <w:szCs w:val="18"/>
                    </w:rPr>
                  </w:pPr>
                  <w:r>
                    <w:rPr>
                      <w:sz w:val="18"/>
                    </w:rPr>
                    <w:t>%</w:t>
                  </w:r>
                </w:p>
              </w:tc>
            </w:tr>
            <w:tr w:rsidR="006561BA" w14:paraId="3EAA5E51" w14:textId="77777777">
              <w:tc>
                <w:tcPr>
                  <w:tcW w:w="1425" w:type="dxa"/>
                  <w:tcMar>
                    <w:left w:w="100" w:type="dxa"/>
                    <w:right w:w="100" w:type="dxa"/>
                  </w:tcMar>
                </w:tcPr>
                <w:p w14:paraId="488C3D71" w14:textId="77777777" w:rsidR="006561BA" w:rsidRDefault="005B4ED6">
                  <w:pPr>
                    <w:pStyle w:val="AnnexTableGrNotes"/>
                    <w:pageBreakBefore/>
                    <w:spacing w:line="240" w:lineRule="exact"/>
                    <w:ind w:left="0" w:firstLine="0"/>
                    <w:rPr>
                      <w:noProof/>
                      <w:sz w:val="18"/>
                      <w:szCs w:val="18"/>
                    </w:rPr>
                  </w:pPr>
                  <w:r>
                    <w:rPr>
                      <w:sz w:val="18"/>
                    </w:rPr>
                    <w:t>PPC</w:t>
                  </w:r>
                </w:p>
              </w:tc>
              <w:tc>
                <w:tcPr>
                  <w:tcW w:w="2244" w:type="dxa"/>
                  <w:tcMar>
                    <w:left w:w="100" w:type="dxa"/>
                    <w:right w:w="100" w:type="dxa"/>
                  </w:tcMar>
                </w:tcPr>
                <w:p w14:paraId="471DFA82" w14:textId="77777777" w:rsidR="006561BA" w:rsidRDefault="005B4ED6">
                  <w:pPr>
                    <w:pStyle w:val="AnnexTableGrNotes"/>
                    <w:pageBreakBefore/>
                    <w:spacing w:line="240" w:lineRule="exact"/>
                    <w:ind w:left="0" w:firstLine="0"/>
                    <w:rPr>
                      <w:noProof/>
                      <w:sz w:val="18"/>
                      <w:szCs w:val="18"/>
                    </w:rPr>
                  </w:pPr>
                  <w:r>
                    <w:rPr>
                      <w:sz w:val="18"/>
                    </w:rPr>
                    <w:t>%</w:t>
                  </w:r>
                </w:p>
              </w:tc>
              <w:tc>
                <w:tcPr>
                  <w:tcW w:w="2292" w:type="dxa"/>
                  <w:tcMar>
                    <w:left w:w="100" w:type="dxa"/>
                    <w:right w:w="100" w:type="dxa"/>
                  </w:tcMar>
                </w:tcPr>
                <w:p w14:paraId="64201AA0" w14:textId="77777777" w:rsidR="006561BA" w:rsidRDefault="005B4ED6">
                  <w:pPr>
                    <w:pStyle w:val="AnnexTableGrNotes"/>
                    <w:pageBreakBefore/>
                    <w:spacing w:line="240" w:lineRule="exact"/>
                    <w:ind w:left="0" w:firstLine="0"/>
                    <w:rPr>
                      <w:noProof/>
                      <w:sz w:val="18"/>
                      <w:szCs w:val="18"/>
                    </w:rPr>
                  </w:pPr>
                  <w:r>
                    <w:rPr>
                      <w:sz w:val="18"/>
                    </w:rPr>
                    <w:t>%</w:t>
                  </w:r>
                </w:p>
              </w:tc>
            </w:tr>
            <w:tr w:rsidR="006561BA" w14:paraId="180F3947" w14:textId="77777777">
              <w:tc>
                <w:tcPr>
                  <w:tcW w:w="1425" w:type="dxa"/>
                  <w:tcMar>
                    <w:left w:w="100" w:type="dxa"/>
                    <w:right w:w="100" w:type="dxa"/>
                  </w:tcMar>
                </w:tcPr>
                <w:p w14:paraId="28F11C60" w14:textId="77777777" w:rsidR="006561BA" w:rsidRDefault="005B4ED6">
                  <w:pPr>
                    <w:pStyle w:val="AnnexTableGrNotes"/>
                    <w:pageBreakBefore/>
                    <w:spacing w:line="240" w:lineRule="exact"/>
                    <w:ind w:left="0" w:firstLine="0"/>
                    <w:rPr>
                      <w:noProof/>
                      <w:sz w:val="18"/>
                      <w:szCs w:val="18"/>
                    </w:rPr>
                  </w:pPr>
                  <w:r>
                    <w:rPr>
                      <w:sz w:val="18"/>
                    </w:rPr>
                    <w:t>BIO</w:t>
                  </w:r>
                </w:p>
              </w:tc>
              <w:tc>
                <w:tcPr>
                  <w:tcW w:w="2244" w:type="dxa"/>
                  <w:tcMar>
                    <w:left w:w="100" w:type="dxa"/>
                    <w:right w:w="100" w:type="dxa"/>
                  </w:tcMar>
                </w:tcPr>
                <w:p w14:paraId="44DA4546" w14:textId="77777777" w:rsidR="006561BA" w:rsidRDefault="005B4ED6">
                  <w:pPr>
                    <w:pStyle w:val="AnnexTableGrNotes"/>
                    <w:pageBreakBefore/>
                    <w:spacing w:line="240" w:lineRule="exact"/>
                    <w:ind w:left="0" w:firstLine="0"/>
                    <w:rPr>
                      <w:noProof/>
                      <w:sz w:val="18"/>
                      <w:szCs w:val="18"/>
                    </w:rPr>
                  </w:pPr>
                  <w:r>
                    <w:rPr>
                      <w:sz w:val="18"/>
                    </w:rPr>
                    <w:t>%</w:t>
                  </w:r>
                </w:p>
              </w:tc>
              <w:tc>
                <w:tcPr>
                  <w:tcW w:w="2292" w:type="dxa"/>
                  <w:tcMar>
                    <w:left w:w="100" w:type="dxa"/>
                    <w:right w:w="100" w:type="dxa"/>
                  </w:tcMar>
                </w:tcPr>
                <w:p w14:paraId="04A06354" w14:textId="77777777" w:rsidR="006561BA" w:rsidRDefault="005B4ED6">
                  <w:pPr>
                    <w:pStyle w:val="AnnexTableGrNotes"/>
                    <w:pageBreakBefore/>
                    <w:spacing w:line="240" w:lineRule="exact"/>
                    <w:ind w:left="0" w:firstLine="0"/>
                    <w:rPr>
                      <w:noProof/>
                      <w:sz w:val="18"/>
                      <w:szCs w:val="18"/>
                    </w:rPr>
                  </w:pPr>
                  <w:r>
                    <w:rPr>
                      <w:sz w:val="18"/>
                    </w:rPr>
                    <w:t>%</w:t>
                  </w:r>
                </w:p>
              </w:tc>
            </w:tr>
          </w:tbl>
          <w:p w14:paraId="1B150F45" w14:textId="77777777" w:rsidR="006561BA" w:rsidRDefault="005B4ED6">
            <w:pPr>
              <w:pStyle w:val="AnnexTableGrNotes"/>
              <w:pageBreakBefore/>
              <w:spacing w:before="200" w:after="120" w:line="200" w:lineRule="exact"/>
              <w:ind w:left="278" w:hanging="278"/>
            </w:pPr>
            <w:r>
              <w:t>(</w:t>
            </w:r>
            <w:bookmarkStart w:id="400" w:name="NOTE_408"/>
            <w:r>
              <w:rPr>
                <w:vertAlign w:val="superscript"/>
              </w:rPr>
              <w:t>d</w:t>
            </w:r>
            <w:bookmarkEnd w:id="400"/>
            <w:r>
              <w:t>)</w:t>
            </w:r>
            <w:r>
              <w:tab/>
              <w:t>Den samme aktiviteten kan bare være forenlig med et eller flere miljømål som den er omfattet av.</w:t>
            </w:r>
          </w:p>
          <w:p w14:paraId="11F77F91" w14:textId="77777777" w:rsidR="006561BA" w:rsidRDefault="005B4ED6">
            <w:pPr>
              <w:pStyle w:val="AnnexTableGrNotes"/>
              <w:pageBreakBefore/>
              <w:spacing w:after="120" w:line="200" w:lineRule="exact"/>
              <w:ind w:left="278" w:hanging="278"/>
            </w:pPr>
            <w:r>
              <w:t>(</w:t>
            </w:r>
            <w:bookmarkStart w:id="401" w:name="NOTE_409"/>
            <w:r>
              <w:rPr>
                <w:vertAlign w:val="superscript"/>
              </w:rPr>
              <w:t>e</w:t>
            </w:r>
            <w:bookmarkEnd w:id="401"/>
            <w:r>
              <w:t>)</w:t>
            </w:r>
            <w:r>
              <w:tab/>
              <w:t>Den samme aktiviteten kan være omfattet av og ikke være forenlig med de relevante miljømålene.</w:t>
            </w:r>
          </w:p>
          <w:p w14:paraId="5EE5ABAD" w14:textId="77777777" w:rsidR="006561BA" w:rsidRDefault="005B4ED6">
            <w:pPr>
              <w:pStyle w:val="AnnexTableGrNotes"/>
              <w:pageBreakBefore/>
              <w:spacing w:line="200" w:lineRule="exact"/>
              <w:ind w:left="278" w:hanging="278"/>
            </w:pPr>
            <w:r>
              <w:t>(</w:t>
            </w:r>
            <w:bookmarkStart w:id="402" w:name="NOTE_410"/>
            <w:r>
              <w:rPr>
                <w:vertAlign w:val="superscript"/>
              </w:rPr>
              <w:t>f</w:t>
            </w:r>
            <w:bookmarkEnd w:id="402"/>
            <w:r>
              <w:t>)</w:t>
            </w:r>
            <w:r>
              <w:tab/>
              <w:t>EL – Aktivitet som er omfattet av taksonomien for det relevante målet</w:t>
            </w:r>
          </w:p>
          <w:p w14:paraId="2BF7E90F" w14:textId="77777777" w:rsidR="006561BA" w:rsidRDefault="005B4ED6">
            <w:pPr>
              <w:pStyle w:val="AnnexTableGrNotes"/>
              <w:pageBreakBefore/>
              <w:spacing w:after="120" w:line="200" w:lineRule="exact"/>
              <w:ind w:left="278" w:firstLine="0"/>
            </w:pPr>
            <w:r>
              <w:t>N/EL – Aktivitet som ikke er omfattet av taksonomien for det relevante målet.</w:t>
            </w:r>
          </w:p>
          <w:p w14:paraId="60B4BCCA" w14:textId="77777777" w:rsidR="006561BA" w:rsidRDefault="005B4ED6">
            <w:pPr>
              <w:pStyle w:val="AnnexTableGrNotes"/>
              <w:pageBreakBefore/>
              <w:spacing w:after="120" w:line="200" w:lineRule="exact"/>
              <w:ind w:left="278" w:hanging="278"/>
            </w:pPr>
            <w:r>
              <w:t>(</w:t>
            </w:r>
            <w:bookmarkStart w:id="403" w:name="NOTE_411"/>
            <w:r>
              <w:rPr>
                <w:vertAlign w:val="superscript"/>
              </w:rPr>
              <w:t>g</w:t>
            </w:r>
            <w:bookmarkEnd w:id="403"/>
            <w:r>
              <w:t>)</w:t>
            </w:r>
            <w:r>
              <w:tab/>
              <w:t>Aktiviteter skal bare rapporteres i avsnitt A.2 i denne malen dersom de ikke er forenlige med noen av de miljømålene som de er omfattet av. Aktiviteter som er forenlige med minst ett miljømål, skal rapporteres i avsnitt A.1 i denne malen.</w:t>
            </w:r>
          </w:p>
          <w:p w14:paraId="10BB7125" w14:textId="77777777" w:rsidR="006561BA" w:rsidRDefault="005B4ED6">
            <w:pPr>
              <w:pStyle w:val="AnnexTableGrNotes"/>
              <w:pageBreakBefore/>
              <w:spacing w:line="200" w:lineRule="exact"/>
              <w:ind w:left="278" w:hanging="278"/>
            </w:pPr>
            <w:r>
              <w:t>(</w:t>
            </w:r>
            <w:bookmarkStart w:id="404" w:name="NOTE_412"/>
            <w:r>
              <w:rPr>
                <w:vertAlign w:val="superscript"/>
              </w:rPr>
              <w:t>h</w:t>
            </w:r>
            <w:bookmarkEnd w:id="404"/>
            <w:r>
              <w:t>)</w:t>
            </w:r>
            <w:r>
              <w:tab/>
              <w:t>For at en aktivitet skal bli rapportert i avsnitt A.1, skal alle DNSH-kriterier og minstegarantier være oppfylt. For aktiviteter som er oppført i A2, kan ikke-finansielle foretak fylle ut kolonne 5–17 på frivillig basis. Ikke-finansielle foretak kan angi det vesentlige bidraget og DNSH-kriteriene som de oppfyller eller ikke oppfyller, i avsnitt A.2 ved å anvende a) for vesentlig bidrag – J/N- og N/EL-koder istedenfor EL og N/EL, og b) for DNSH – J/N-koder.</w:t>
            </w:r>
          </w:p>
        </w:tc>
      </w:tr>
    </w:tbl>
    <w:p w14:paraId="7B667EFD" w14:textId="77777777" w:rsidR="006561BA" w:rsidRDefault="005B4ED6">
      <w:pPr>
        <w:shd w:val="clear" w:color="auto" w:fill="auto"/>
        <w:spacing w:line="0" w:lineRule="auto"/>
        <w:jc w:val="left"/>
        <w:rPr>
          <w:i/>
          <w:color w:val="auto"/>
          <w:sz w:val="16"/>
          <w14:ligatures w14:val="standard"/>
        </w:rPr>
      </w:pPr>
      <w:r>
        <w:br w:type="page"/>
      </w:r>
    </w:p>
    <w:p w14:paraId="26229BBC" w14:textId="77777777" w:rsidR="006561BA" w:rsidRDefault="005B4ED6" w:rsidP="00980A19">
      <w:pPr>
        <w:pStyle w:val="AnnexGrSeq1"/>
        <w:spacing w:after="0" w:line="240" w:lineRule="exact"/>
        <w:ind w:left="386"/>
        <w:rPr>
          <w:sz w:val="18"/>
        </w:rPr>
      </w:pPr>
      <w:r>
        <w:rPr>
          <w:i/>
          <w:sz w:val="18"/>
        </w:rPr>
        <w:lastRenderedPageBreak/>
        <w:t>Mal: Andel av driftsutgiftene fra produkter eller tjenester som er forbundet med taksonomiforenlige økonomiske aktiviteter – opplysninger for år N</w:t>
      </w:r>
    </w:p>
    <w:tbl>
      <w:tblPr>
        <w:tblStyle w:val="EFTATable"/>
        <w:tblW w:w="14316" w:type="dxa"/>
        <w:tblInd w:w="12" w:type="dxa"/>
        <w:tblLayout w:type="fixed"/>
        <w:tblLook w:val="04A0" w:firstRow="1" w:lastRow="0" w:firstColumn="1" w:lastColumn="0" w:noHBand="0" w:noVBand="1"/>
      </w:tblPr>
      <w:tblGrid>
        <w:gridCol w:w="1607"/>
        <w:gridCol w:w="692"/>
        <w:gridCol w:w="803"/>
        <w:gridCol w:w="935"/>
        <w:gridCol w:w="574"/>
        <w:gridCol w:w="574"/>
        <w:gridCol w:w="575"/>
        <w:gridCol w:w="574"/>
        <w:gridCol w:w="575"/>
        <w:gridCol w:w="575"/>
        <w:gridCol w:w="575"/>
        <w:gridCol w:w="575"/>
        <w:gridCol w:w="575"/>
        <w:gridCol w:w="574"/>
        <w:gridCol w:w="575"/>
        <w:gridCol w:w="574"/>
        <w:gridCol w:w="576"/>
        <w:gridCol w:w="1200"/>
        <w:gridCol w:w="804"/>
        <w:gridCol w:w="804"/>
      </w:tblGrid>
      <w:tr w:rsidR="006561BA" w14:paraId="300ADC66" w14:textId="77777777">
        <w:trPr>
          <w:trHeight w:val="240"/>
        </w:trPr>
        <w:tc>
          <w:tcPr>
            <w:tcW w:w="1608" w:type="dxa"/>
            <w:tcMar>
              <w:top w:w="60" w:type="dxa"/>
              <w:left w:w="0" w:type="dxa"/>
              <w:bottom w:w="60" w:type="dxa"/>
            </w:tcMar>
            <w:vAlign w:val="center"/>
          </w:tcPr>
          <w:p w14:paraId="18BD5464" w14:textId="77777777" w:rsidR="006561BA" w:rsidRDefault="005B4ED6">
            <w:pPr>
              <w:pStyle w:val="AnnexTableHeader"/>
              <w:spacing w:line="200" w:lineRule="exact"/>
              <w:jc w:val="both"/>
            </w:pPr>
            <w:r>
              <w:rPr>
                <w:b/>
              </w:rPr>
              <w:t>Regnskapsår N</w:t>
            </w:r>
          </w:p>
        </w:tc>
        <w:tc>
          <w:tcPr>
            <w:tcW w:w="2433" w:type="dxa"/>
            <w:gridSpan w:val="3"/>
            <w:tcMar>
              <w:top w:w="60" w:type="dxa"/>
              <w:bottom w:w="60" w:type="dxa"/>
            </w:tcMar>
            <w:vAlign w:val="center"/>
          </w:tcPr>
          <w:p w14:paraId="325B32AE" w14:textId="77777777" w:rsidR="006561BA" w:rsidRDefault="005B4ED6">
            <w:pPr>
              <w:pStyle w:val="AnnexTableHeader"/>
              <w:spacing w:line="200" w:lineRule="exact"/>
            </w:pPr>
            <w:r>
              <w:rPr>
                <w:b/>
              </w:rPr>
              <w:t>År</w:t>
            </w:r>
          </w:p>
        </w:tc>
        <w:tc>
          <w:tcPr>
            <w:tcW w:w="3445" w:type="dxa"/>
            <w:gridSpan w:val="6"/>
            <w:tcMar>
              <w:top w:w="60" w:type="dxa"/>
              <w:bottom w:w="60" w:type="dxa"/>
            </w:tcMar>
            <w:vAlign w:val="center"/>
          </w:tcPr>
          <w:p w14:paraId="6FB41972" w14:textId="77777777" w:rsidR="006561BA" w:rsidRDefault="005B4ED6">
            <w:pPr>
              <w:pStyle w:val="AnnexTableHeader"/>
              <w:spacing w:line="200" w:lineRule="exact"/>
            </w:pPr>
            <w:r>
              <w:rPr>
                <w:b/>
              </w:rPr>
              <w:t>Kriterier for vesentlig bidrag</w:t>
            </w:r>
          </w:p>
        </w:tc>
        <w:tc>
          <w:tcPr>
            <w:tcW w:w="3446" w:type="dxa"/>
            <w:gridSpan w:val="6"/>
            <w:tcMar>
              <w:top w:w="60" w:type="dxa"/>
              <w:bottom w:w="60" w:type="dxa"/>
            </w:tcMar>
            <w:vAlign w:val="center"/>
          </w:tcPr>
          <w:p w14:paraId="6B411B41" w14:textId="532D07F7" w:rsidR="006561BA" w:rsidRDefault="005B4ED6">
            <w:pPr>
              <w:pStyle w:val="AnnexTableHeader"/>
              <w:spacing w:line="200" w:lineRule="exact"/>
            </w:pPr>
            <w:r>
              <w:rPr>
                <w:b/>
                <w:bCs/>
              </w:rPr>
              <w:t>Kriterier mht. at aktiviteten ikke er til betydelig skade (DNSH)</w:t>
            </w:r>
            <w:r>
              <w:t xml:space="preserve"> (</w:t>
            </w:r>
            <w:r>
              <w:fldChar w:fldCharType="begin"/>
            </w:r>
            <w:r>
              <w:instrText xml:space="preserve"> REF NOTE_419 \h  \* MERGEFORMAT </w:instrText>
            </w:r>
            <w:r>
              <w:fldChar w:fldCharType="separate"/>
            </w:r>
            <w:r w:rsidR="00770AA2">
              <w:rPr>
                <w:vertAlign w:val="superscript"/>
              </w:rPr>
              <w:t>f</w:t>
            </w:r>
            <w:r>
              <w:fldChar w:fldCharType="end"/>
            </w:r>
            <w:r>
              <w:t>)</w:t>
            </w:r>
          </w:p>
        </w:tc>
        <w:tc>
          <w:tcPr>
            <w:tcW w:w="576" w:type="dxa"/>
            <w:tcMar>
              <w:top w:w="60" w:type="dxa"/>
              <w:bottom w:w="60" w:type="dxa"/>
            </w:tcMar>
            <w:vAlign w:val="center"/>
          </w:tcPr>
          <w:p w14:paraId="3BBF7BBC" w14:textId="77777777" w:rsidR="006561BA" w:rsidRDefault="006561BA">
            <w:pPr>
              <w:pStyle w:val="AnnexTableHeader"/>
              <w:spacing w:line="200" w:lineRule="exact"/>
            </w:pPr>
          </w:p>
        </w:tc>
        <w:tc>
          <w:tcPr>
            <w:tcW w:w="1200" w:type="dxa"/>
            <w:tcMar>
              <w:top w:w="60" w:type="dxa"/>
              <w:bottom w:w="60" w:type="dxa"/>
            </w:tcMar>
            <w:vAlign w:val="center"/>
          </w:tcPr>
          <w:p w14:paraId="3BFA9D29" w14:textId="77777777" w:rsidR="006561BA" w:rsidRDefault="006561BA">
            <w:pPr>
              <w:pStyle w:val="AnnexTableHeader"/>
              <w:spacing w:line="200" w:lineRule="exact"/>
            </w:pPr>
          </w:p>
        </w:tc>
        <w:tc>
          <w:tcPr>
            <w:tcW w:w="804" w:type="dxa"/>
            <w:tcMar>
              <w:top w:w="60" w:type="dxa"/>
              <w:bottom w:w="60" w:type="dxa"/>
            </w:tcMar>
            <w:vAlign w:val="center"/>
          </w:tcPr>
          <w:p w14:paraId="186BFAC6" w14:textId="77777777" w:rsidR="006561BA" w:rsidRDefault="006561BA">
            <w:pPr>
              <w:pStyle w:val="AnnexTableHeader"/>
              <w:spacing w:line="200" w:lineRule="exact"/>
            </w:pPr>
          </w:p>
        </w:tc>
        <w:tc>
          <w:tcPr>
            <w:tcW w:w="804" w:type="dxa"/>
            <w:tcMar>
              <w:top w:w="60" w:type="dxa"/>
              <w:bottom w:w="60" w:type="dxa"/>
              <w:right w:w="0" w:type="dxa"/>
            </w:tcMar>
            <w:vAlign w:val="center"/>
          </w:tcPr>
          <w:p w14:paraId="01803F59" w14:textId="77777777" w:rsidR="006561BA" w:rsidRDefault="006561BA">
            <w:pPr>
              <w:pStyle w:val="AnnexTableHeader"/>
              <w:spacing w:line="200" w:lineRule="exact"/>
            </w:pPr>
          </w:p>
        </w:tc>
      </w:tr>
      <w:tr w:rsidR="006561BA" w14:paraId="07F89287" w14:textId="77777777">
        <w:trPr>
          <w:cantSplit/>
          <w:trHeight w:val="1654"/>
        </w:trPr>
        <w:tc>
          <w:tcPr>
            <w:tcW w:w="1608" w:type="dxa"/>
            <w:tcMar>
              <w:top w:w="60" w:type="dxa"/>
              <w:left w:w="0" w:type="dxa"/>
              <w:bottom w:w="60" w:type="dxa"/>
            </w:tcMar>
            <w:vAlign w:val="center"/>
          </w:tcPr>
          <w:p w14:paraId="2BB60F32" w14:textId="77777777" w:rsidR="006561BA" w:rsidRDefault="005B4ED6">
            <w:pPr>
              <w:pStyle w:val="AnnexTableHeader"/>
              <w:spacing w:line="200" w:lineRule="exact"/>
            </w:pPr>
            <w:r>
              <w:rPr>
                <w:b/>
              </w:rPr>
              <w:t>Økonomiske aktiviteter (1)</w:t>
            </w:r>
          </w:p>
        </w:tc>
        <w:tc>
          <w:tcPr>
            <w:tcW w:w="693" w:type="dxa"/>
            <w:tcMar>
              <w:top w:w="60" w:type="dxa"/>
              <w:bottom w:w="60" w:type="dxa"/>
            </w:tcMar>
            <w:vAlign w:val="center"/>
          </w:tcPr>
          <w:p w14:paraId="0271C3DA" w14:textId="6358840E" w:rsidR="006561BA" w:rsidRDefault="005B4ED6">
            <w:pPr>
              <w:pStyle w:val="AnnexTableHeader"/>
              <w:spacing w:line="200" w:lineRule="exact"/>
            </w:pPr>
            <w:r>
              <w:t>K</w:t>
            </w:r>
            <w:r>
              <w:rPr>
                <w:b/>
              </w:rPr>
              <w:t>ode</w:t>
            </w:r>
            <w:r>
              <w:t>(</w:t>
            </w:r>
            <w:r>
              <w:fldChar w:fldCharType="begin"/>
            </w:r>
            <w:r>
              <w:instrText xml:space="preserve"> REF NOTE_413 \h  \* MERGEFORMAT </w:instrText>
            </w:r>
            <w:r>
              <w:fldChar w:fldCharType="separate"/>
            </w:r>
            <w:r w:rsidR="00770AA2">
              <w:rPr>
                <w:vertAlign w:val="superscript"/>
              </w:rPr>
              <w:t>a</w:t>
            </w:r>
            <w:r>
              <w:fldChar w:fldCharType="end"/>
            </w:r>
            <w:r>
              <w:t xml:space="preserve">) </w:t>
            </w:r>
            <w:r>
              <w:rPr>
                <w:b/>
              </w:rPr>
              <w:t>(2)</w:t>
            </w:r>
          </w:p>
        </w:tc>
        <w:tc>
          <w:tcPr>
            <w:tcW w:w="804" w:type="dxa"/>
            <w:tcMar>
              <w:top w:w="60" w:type="dxa"/>
              <w:bottom w:w="60" w:type="dxa"/>
            </w:tcMar>
            <w:vAlign w:val="center"/>
          </w:tcPr>
          <w:p w14:paraId="61733362" w14:textId="77777777" w:rsidR="006561BA" w:rsidRDefault="005B4ED6">
            <w:pPr>
              <w:pStyle w:val="AnnexTableHeader"/>
              <w:spacing w:line="200" w:lineRule="exact"/>
            </w:pPr>
            <w:r>
              <w:rPr>
                <w:b/>
              </w:rPr>
              <w:t>Driftsutgifter (3)</w:t>
            </w:r>
          </w:p>
        </w:tc>
        <w:tc>
          <w:tcPr>
            <w:tcW w:w="936" w:type="dxa"/>
            <w:tcMar>
              <w:top w:w="60" w:type="dxa"/>
              <w:bottom w:w="60" w:type="dxa"/>
            </w:tcMar>
            <w:vAlign w:val="center"/>
          </w:tcPr>
          <w:p w14:paraId="1B872D1B" w14:textId="77777777" w:rsidR="006561BA" w:rsidRDefault="005B4ED6">
            <w:pPr>
              <w:pStyle w:val="AnnexTableHeader"/>
              <w:spacing w:line="200" w:lineRule="exact"/>
            </w:pPr>
            <w:r>
              <w:rPr>
                <w:b/>
              </w:rPr>
              <w:t>Andel av driftsutgifter, år N (4)</w:t>
            </w:r>
          </w:p>
        </w:tc>
        <w:tc>
          <w:tcPr>
            <w:tcW w:w="574" w:type="dxa"/>
            <w:tcMar>
              <w:top w:w="60" w:type="dxa"/>
              <w:bottom w:w="60" w:type="dxa"/>
            </w:tcMar>
            <w:textDirection w:val="btLr"/>
            <w:vAlign w:val="center"/>
          </w:tcPr>
          <w:p w14:paraId="2BDA2639" w14:textId="77777777" w:rsidR="006561BA" w:rsidRDefault="005B4ED6">
            <w:pPr>
              <w:pStyle w:val="AnnexTableHeader"/>
              <w:spacing w:line="200" w:lineRule="exact"/>
              <w:jc w:val="left"/>
            </w:pPr>
            <w:r>
              <w:rPr>
                <w:b/>
              </w:rPr>
              <w:t>Begrensning av klimaendringer (5)</w:t>
            </w:r>
          </w:p>
        </w:tc>
        <w:tc>
          <w:tcPr>
            <w:tcW w:w="574" w:type="dxa"/>
            <w:tcMar>
              <w:top w:w="60" w:type="dxa"/>
              <w:bottom w:w="60" w:type="dxa"/>
            </w:tcMar>
            <w:textDirection w:val="btLr"/>
            <w:vAlign w:val="center"/>
          </w:tcPr>
          <w:p w14:paraId="6AF92222" w14:textId="77777777" w:rsidR="006561BA" w:rsidRDefault="005B4ED6">
            <w:pPr>
              <w:pStyle w:val="AnnexTableHeader"/>
              <w:spacing w:line="200" w:lineRule="exact"/>
              <w:jc w:val="left"/>
            </w:pPr>
            <w:r>
              <w:rPr>
                <w:b/>
              </w:rPr>
              <w:t>Tilpasning til klimaendringer (6)</w:t>
            </w:r>
          </w:p>
        </w:tc>
        <w:tc>
          <w:tcPr>
            <w:tcW w:w="574" w:type="dxa"/>
            <w:tcMar>
              <w:top w:w="60" w:type="dxa"/>
              <w:bottom w:w="60" w:type="dxa"/>
            </w:tcMar>
            <w:textDirection w:val="btLr"/>
            <w:vAlign w:val="center"/>
          </w:tcPr>
          <w:p w14:paraId="729F72DA" w14:textId="77777777" w:rsidR="006561BA" w:rsidRDefault="005B4ED6">
            <w:pPr>
              <w:pStyle w:val="AnnexTableHeader"/>
              <w:spacing w:line="200" w:lineRule="exact"/>
              <w:jc w:val="left"/>
            </w:pPr>
            <w:r>
              <w:rPr>
                <w:b/>
              </w:rPr>
              <w:t>Vann (7)</w:t>
            </w:r>
          </w:p>
        </w:tc>
        <w:tc>
          <w:tcPr>
            <w:tcW w:w="574" w:type="dxa"/>
            <w:tcMar>
              <w:top w:w="60" w:type="dxa"/>
              <w:bottom w:w="60" w:type="dxa"/>
            </w:tcMar>
            <w:textDirection w:val="btLr"/>
            <w:vAlign w:val="center"/>
          </w:tcPr>
          <w:p w14:paraId="6A0602D0" w14:textId="77777777" w:rsidR="006561BA" w:rsidRDefault="005B4ED6">
            <w:pPr>
              <w:pStyle w:val="AnnexTableHeader"/>
              <w:spacing w:line="200" w:lineRule="exact"/>
              <w:jc w:val="left"/>
            </w:pPr>
            <w:r>
              <w:rPr>
                <w:b/>
              </w:rPr>
              <w:t>Forurensning (8)</w:t>
            </w:r>
          </w:p>
        </w:tc>
        <w:tc>
          <w:tcPr>
            <w:tcW w:w="575" w:type="dxa"/>
            <w:tcMar>
              <w:top w:w="60" w:type="dxa"/>
              <w:bottom w:w="60" w:type="dxa"/>
            </w:tcMar>
            <w:textDirection w:val="btLr"/>
            <w:vAlign w:val="center"/>
          </w:tcPr>
          <w:p w14:paraId="03A6DBE1" w14:textId="77777777" w:rsidR="006561BA" w:rsidRDefault="005B4ED6">
            <w:pPr>
              <w:pStyle w:val="AnnexTableHeader"/>
              <w:spacing w:line="200" w:lineRule="exact"/>
              <w:jc w:val="left"/>
            </w:pPr>
            <w:r>
              <w:rPr>
                <w:b/>
              </w:rPr>
              <w:t>Sirkulær økonomi (9)</w:t>
            </w:r>
          </w:p>
        </w:tc>
        <w:tc>
          <w:tcPr>
            <w:tcW w:w="574" w:type="dxa"/>
            <w:tcMar>
              <w:top w:w="60" w:type="dxa"/>
              <w:bottom w:w="60" w:type="dxa"/>
            </w:tcMar>
            <w:textDirection w:val="btLr"/>
            <w:vAlign w:val="center"/>
          </w:tcPr>
          <w:p w14:paraId="334DF2F2" w14:textId="77777777" w:rsidR="006561BA" w:rsidRDefault="005B4ED6">
            <w:pPr>
              <w:pStyle w:val="AnnexTableHeader"/>
              <w:spacing w:line="200" w:lineRule="exact"/>
              <w:jc w:val="left"/>
            </w:pPr>
            <w:r>
              <w:rPr>
                <w:b/>
              </w:rPr>
              <w:t>Biologisk mangfold (10)</w:t>
            </w:r>
          </w:p>
        </w:tc>
        <w:tc>
          <w:tcPr>
            <w:tcW w:w="575" w:type="dxa"/>
            <w:tcMar>
              <w:top w:w="60" w:type="dxa"/>
              <w:bottom w:w="60" w:type="dxa"/>
            </w:tcMar>
            <w:textDirection w:val="btLr"/>
            <w:vAlign w:val="center"/>
          </w:tcPr>
          <w:p w14:paraId="506E0E32" w14:textId="77777777" w:rsidR="006561BA" w:rsidRDefault="005B4ED6">
            <w:pPr>
              <w:pStyle w:val="AnnexTableHeader"/>
              <w:spacing w:line="200" w:lineRule="exact"/>
              <w:jc w:val="left"/>
            </w:pPr>
            <w:r>
              <w:rPr>
                <w:b/>
              </w:rPr>
              <w:t>Begrensning av klimaendringer (11)</w:t>
            </w:r>
          </w:p>
        </w:tc>
        <w:tc>
          <w:tcPr>
            <w:tcW w:w="574" w:type="dxa"/>
            <w:tcMar>
              <w:top w:w="60" w:type="dxa"/>
              <w:bottom w:w="60" w:type="dxa"/>
            </w:tcMar>
            <w:textDirection w:val="btLr"/>
            <w:vAlign w:val="center"/>
          </w:tcPr>
          <w:p w14:paraId="29237DAA" w14:textId="77777777" w:rsidR="006561BA" w:rsidRDefault="005B4ED6">
            <w:pPr>
              <w:pStyle w:val="AnnexTableHeader"/>
              <w:spacing w:line="200" w:lineRule="exact"/>
              <w:jc w:val="left"/>
            </w:pPr>
            <w:r>
              <w:rPr>
                <w:b/>
              </w:rPr>
              <w:t>Tilpasning til klimaendringer (12)</w:t>
            </w:r>
          </w:p>
        </w:tc>
        <w:tc>
          <w:tcPr>
            <w:tcW w:w="575" w:type="dxa"/>
            <w:tcMar>
              <w:top w:w="60" w:type="dxa"/>
              <w:bottom w:w="60" w:type="dxa"/>
            </w:tcMar>
            <w:textDirection w:val="btLr"/>
            <w:vAlign w:val="center"/>
          </w:tcPr>
          <w:p w14:paraId="5198B301" w14:textId="77777777" w:rsidR="006561BA" w:rsidRDefault="005B4ED6">
            <w:pPr>
              <w:pStyle w:val="AnnexTableHeader"/>
              <w:spacing w:line="200" w:lineRule="exact"/>
              <w:jc w:val="left"/>
            </w:pPr>
            <w:r>
              <w:rPr>
                <w:b/>
              </w:rPr>
              <w:t>Vann (13)</w:t>
            </w:r>
          </w:p>
        </w:tc>
        <w:tc>
          <w:tcPr>
            <w:tcW w:w="574" w:type="dxa"/>
            <w:tcMar>
              <w:top w:w="60" w:type="dxa"/>
              <w:bottom w:w="60" w:type="dxa"/>
            </w:tcMar>
            <w:textDirection w:val="btLr"/>
            <w:vAlign w:val="center"/>
          </w:tcPr>
          <w:p w14:paraId="6A181BCE" w14:textId="77777777" w:rsidR="006561BA" w:rsidRDefault="005B4ED6">
            <w:pPr>
              <w:pStyle w:val="AnnexTableHeader"/>
              <w:spacing w:line="200" w:lineRule="exact"/>
              <w:jc w:val="left"/>
            </w:pPr>
            <w:r>
              <w:rPr>
                <w:b/>
              </w:rPr>
              <w:t>Forurensning (14)</w:t>
            </w:r>
          </w:p>
        </w:tc>
        <w:tc>
          <w:tcPr>
            <w:tcW w:w="574" w:type="dxa"/>
            <w:tcMar>
              <w:top w:w="60" w:type="dxa"/>
              <w:bottom w:w="60" w:type="dxa"/>
            </w:tcMar>
            <w:textDirection w:val="btLr"/>
            <w:vAlign w:val="center"/>
          </w:tcPr>
          <w:p w14:paraId="39EFA400" w14:textId="77777777" w:rsidR="006561BA" w:rsidRDefault="005B4ED6">
            <w:pPr>
              <w:pStyle w:val="AnnexTableHeader"/>
              <w:spacing w:line="200" w:lineRule="exact"/>
              <w:jc w:val="left"/>
            </w:pPr>
            <w:r>
              <w:rPr>
                <w:b/>
              </w:rPr>
              <w:t>Sirkulær økonomi (15)</w:t>
            </w:r>
          </w:p>
        </w:tc>
        <w:tc>
          <w:tcPr>
            <w:tcW w:w="574" w:type="dxa"/>
            <w:tcMar>
              <w:top w:w="60" w:type="dxa"/>
              <w:bottom w:w="60" w:type="dxa"/>
            </w:tcMar>
            <w:textDirection w:val="btLr"/>
            <w:vAlign w:val="center"/>
          </w:tcPr>
          <w:p w14:paraId="397358A3" w14:textId="77777777" w:rsidR="006561BA" w:rsidRDefault="005B4ED6">
            <w:pPr>
              <w:pStyle w:val="AnnexTableHeader"/>
              <w:spacing w:line="200" w:lineRule="exact"/>
              <w:jc w:val="left"/>
            </w:pPr>
            <w:r>
              <w:rPr>
                <w:b/>
              </w:rPr>
              <w:t>Biologisk mangfold (16)</w:t>
            </w:r>
          </w:p>
        </w:tc>
        <w:tc>
          <w:tcPr>
            <w:tcW w:w="576" w:type="dxa"/>
            <w:tcMar>
              <w:top w:w="60" w:type="dxa"/>
              <w:bottom w:w="60" w:type="dxa"/>
            </w:tcMar>
            <w:textDirection w:val="btLr"/>
            <w:vAlign w:val="center"/>
          </w:tcPr>
          <w:p w14:paraId="191C2761" w14:textId="77777777" w:rsidR="006561BA" w:rsidRDefault="005B4ED6">
            <w:pPr>
              <w:pStyle w:val="AnnexTableHeader"/>
              <w:spacing w:line="200" w:lineRule="exact"/>
              <w:jc w:val="left"/>
            </w:pPr>
            <w:r>
              <w:rPr>
                <w:b/>
              </w:rPr>
              <w:t>Minstegarantier (17)</w:t>
            </w:r>
          </w:p>
        </w:tc>
        <w:tc>
          <w:tcPr>
            <w:tcW w:w="1200" w:type="dxa"/>
            <w:tcMar>
              <w:top w:w="60" w:type="dxa"/>
              <w:bottom w:w="60" w:type="dxa"/>
            </w:tcMar>
            <w:vAlign w:val="center"/>
          </w:tcPr>
          <w:p w14:paraId="681F769F" w14:textId="77777777" w:rsidR="006561BA" w:rsidRPr="00980A19" w:rsidRDefault="005B4ED6">
            <w:pPr>
              <w:pStyle w:val="AnnexTableHeader"/>
              <w:spacing w:line="200" w:lineRule="exact"/>
              <w:rPr>
                <w:spacing w:val="-2"/>
              </w:rPr>
            </w:pPr>
            <w:r w:rsidRPr="00980A19">
              <w:rPr>
                <w:b/>
                <w:spacing w:val="-2"/>
              </w:rPr>
              <w:t>Taksonomiforenlig andel (A.1.) eller andel som er omfattet av taksonomien (A.2.). Driftsutgifter, år N-1 (18)</w:t>
            </w:r>
          </w:p>
        </w:tc>
        <w:tc>
          <w:tcPr>
            <w:tcW w:w="804" w:type="dxa"/>
            <w:tcMar>
              <w:top w:w="60" w:type="dxa"/>
              <w:bottom w:w="60" w:type="dxa"/>
            </w:tcMar>
            <w:vAlign w:val="center"/>
          </w:tcPr>
          <w:p w14:paraId="1A16AF6B" w14:textId="77777777" w:rsidR="006561BA" w:rsidRDefault="005B4ED6">
            <w:pPr>
              <w:pStyle w:val="AnnexTableHeader"/>
              <w:spacing w:line="200" w:lineRule="exact"/>
            </w:pPr>
            <w:r>
              <w:rPr>
                <w:b/>
              </w:rPr>
              <w:t>Kategori muliggjørende aktivitet (19)</w:t>
            </w:r>
          </w:p>
        </w:tc>
        <w:tc>
          <w:tcPr>
            <w:tcW w:w="804" w:type="dxa"/>
            <w:tcMar>
              <w:top w:w="60" w:type="dxa"/>
              <w:bottom w:w="60" w:type="dxa"/>
              <w:right w:w="0" w:type="dxa"/>
            </w:tcMar>
            <w:vAlign w:val="center"/>
          </w:tcPr>
          <w:p w14:paraId="735466CC" w14:textId="77777777" w:rsidR="006561BA" w:rsidRDefault="005B4ED6">
            <w:pPr>
              <w:pStyle w:val="AnnexTableHeader"/>
              <w:spacing w:line="200" w:lineRule="exact"/>
            </w:pPr>
            <w:r>
              <w:rPr>
                <w:b/>
              </w:rPr>
              <w:t>Kategori omstillingsaktivitet (20)</w:t>
            </w:r>
          </w:p>
        </w:tc>
      </w:tr>
      <w:tr w:rsidR="006561BA" w14:paraId="0260A3F3" w14:textId="77777777">
        <w:trPr>
          <w:trHeight w:val="240"/>
        </w:trPr>
        <w:tc>
          <w:tcPr>
            <w:tcW w:w="1608" w:type="dxa"/>
            <w:tcMar>
              <w:left w:w="0" w:type="dxa"/>
            </w:tcMar>
          </w:tcPr>
          <w:p w14:paraId="661A069A" w14:textId="77777777" w:rsidR="006561BA" w:rsidRDefault="005B4ED6">
            <w:pPr>
              <w:pStyle w:val="AnnexTableCellLeft"/>
            </w:pPr>
            <w:r>
              <w:rPr>
                <w:i/>
              </w:rPr>
              <w:t>Tekst</w:t>
            </w:r>
          </w:p>
        </w:tc>
        <w:tc>
          <w:tcPr>
            <w:tcW w:w="693" w:type="dxa"/>
            <w:vAlign w:val="center"/>
          </w:tcPr>
          <w:p w14:paraId="0F7C3FAE" w14:textId="77777777" w:rsidR="006561BA" w:rsidRDefault="006561BA">
            <w:pPr>
              <w:pStyle w:val="AnnexTableCellLeft"/>
              <w:jc w:val="center"/>
            </w:pPr>
          </w:p>
        </w:tc>
        <w:tc>
          <w:tcPr>
            <w:tcW w:w="804" w:type="dxa"/>
            <w:vAlign w:val="center"/>
          </w:tcPr>
          <w:p w14:paraId="2CA3A1BF" w14:textId="77777777" w:rsidR="006561BA" w:rsidRDefault="005B4ED6">
            <w:pPr>
              <w:pStyle w:val="AnnexTableCellLeft"/>
              <w:jc w:val="center"/>
            </w:pPr>
            <w:r>
              <w:rPr>
                <w:i/>
              </w:rPr>
              <w:t>Valuta</w:t>
            </w:r>
          </w:p>
        </w:tc>
        <w:tc>
          <w:tcPr>
            <w:tcW w:w="936" w:type="dxa"/>
            <w:vAlign w:val="center"/>
          </w:tcPr>
          <w:p w14:paraId="1C80E452" w14:textId="77777777" w:rsidR="006561BA" w:rsidRDefault="005B4ED6">
            <w:pPr>
              <w:pStyle w:val="AnnexTableCellLeft"/>
              <w:jc w:val="center"/>
            </w:pPr>
            <w:r>
              <w:rPr>
                <w:i/>
              </w:rPr>
              <w:t>%</w:t>
            </w:r>
          </w:p>
        </w:tc>
        <w:tc>
          <w:tcPr>
            <w:tcW w:w="574" w:type="dxa"/>
            <w:vAlign w:val="center"/>
          </w:tcPr>
          <w:p w14:paraId="17C3DFA7" w14:textId="076D0580" w:rsidR="006561BA" w:rsidRDefault="005B4ED6">
            <w:pPr>
              <w:pStyle w:val="AnnexTableCellLeft"/>
              <w:jc w:val="center"/>
            </w:pPr>
            <w:r>
              <w:rPr>
                <w:i/>
              </w:rPr>
              <w:t>Ja, Nei, N/EL</w:t>
            </w:r>
            <w:r>
              <w:t xml:space="preserve"> (</w:t>
            </w:r>
            <w:r>
              <w:fldChar w:fldCharType="begin"/>
            </w:r>
            <w:r>
              <w:instrText xml:space="preserve"> REF NOTE_414 \h  \* MERGEFORMAT </w:instrText>
            </w:r>
            <w:r>
              <w:fldChar w:fldCharType="separate"/>
            </w:r>
            <w:r w:rsidR="00770AA2">
              <w:rPr>
                <w:vertAlign w:val="superscript"/>
              </w:rPr>
              <w:t>b</w:t>
            </w:r>
            <w:r>
              <w:fldChar w:fldCharType="end"/>
            </w:r>
            <w:r>
              <w:t>) (</w:t>
            </w:r>
            <w:r>
              <w:fldChar w:fldCharType="begin"/>
            </w:r>
            <w:r>
              <w:instrText xml:space="preserve"> REF NOTE_415 \h  \* MERGEFORMAT </w:instrText>
            </w:r>
            <w:r>
              <w:fldChar w:fldCharType="separate"/>
            </w:r>
            <w:r w:rsidR="00770AA2">
              <w:rPr>
                <w:vertAlign w:val="superscript"/>
              </w:rPr>
              <w:t>c</w:t>
            </w:r>
            <w:r>
              <w:fldChar w:fldCharType="end"/>
            </w:r>
            <w:r>
              <w:t>)</w:t>
            </w:r>
          </w:p>
        </w:tc>
        <w:tc>
          <w:tcPr>
            <w:tcW w:w="574" w:type="dxa"/>
            <w:vAlign w:val="center"/>
          </w:tcPr>
          <w:p w14:paraId="5067D68B" w14:textId="01A56A32" w:rsidR="006561BA" w:rsidRDefault="005B4ED6">
            <w:pPr>
              <w:pStyle w:val="AnnexTableCellLeft"/>
              <w:jc w:val="center"/>
            </w:pPr>
            <w:r>
              <w:rPr>
                <w:i/>
              </w:rPr>
              <w:t>Ja, Nei, N/EL</w:t>
            </w:r>
            <w:r>
              <w:t xml:space="preserve"> (</w:t>
            </w:r>
            <w:r>
              <w:fldChar w:fldCharType="begin"/>
            </w:r>
            <w:r>
              <w:instrText xml:space="preserve"> REF NOTE_414 \h  \* MERGEFORMAT </w:instrText>
            </w:r>
            <w:r>
              <w:fldChar w:fldCharType="separate"/>
            </w:r>
            <w:r w:rsidR="00770AA2">
              <w:rPr>
                <w:vertAlign w:val="superscript"/>
              </w:rPr>
              <w:t>b</w:t>
            </w:r>
            <w:r>
              <w:fldChar w:fldCharType="end"/>
            </w:r>
            <w:r>
              <w:t>) (</w:t>
            </w:r>
            <w:r>
              <w:fldChar w:fldCharType="begin"/>
            </w:r>
            <w:r>
              <w:instrText xml:space="preserve"> REF NOTE_415 \h  \* MERGEFORMAT </w:instrText>
            </w:r>
            <w:r>
              <w:fldChar w:fldCharType="separate"/>
            </w:r>
            <w:r w:rsidR="00770AA2">
              <w:rPr>
                <w:vertAlign w:val="superscript"/>
              </w:rPr>
              <w:t>c</w:t>
            </w:r>
            <w:r>
              <w:fldChar w:fldCharType="end"/>
            </w:r>
            <w:r>
              <w:t>)</w:t>
            </w:r>
          </w:p>
        </w:tc>
        <w:tc>
          <w:tcPr>
            <w:tcW w:w="574" w:type="dxa"/>
            <w:vAlign w:val="center"/>
          </w:tcPr>
          <w:p w14:paraId="3A9E7A46" w14:textId="75E85778" w:rsidR="006561BA" w:rsidRDefault="005B4ED6">
            <w:pPr>
              <w:pStyle w:val="AnnexTableCellLeft"/>
              <w:jc w:val="center"/>
            </w:pPr>
            <w:r>
              <w:rPr>
                <w:i/>
              </w:rPr>
              <w:t>Ja, Nei, N/EL</w:t>
            </w:r>
            <w:r>
              <w:t xml:space="preserve"> (</w:t>
            </w:r>
            <w:r>
              <w:fldChar w:fldCharType="begin"/>
            </w:r>
            <w:r>
              <w:instrText xml:space="preserve"> REF NOTE_414 \h  \* MERGEFORMAT </w:instrText>
            </w:r>
            <w:r>
              <w:fldChar w:fldCharType="separate"/>
            </w:r>
            <w:r w:rsidR="00770AA2">
              <w:rPr>
                <w:vertAlign w:val="superscript"/>
              </w:rPr>
              <w:t>b</w:t>
            </w:r>
            <w:r>
              <w:fldChar w:fldCharType="end"/>
            </w:r>
            <w:r>
              <w:t>) (</w:t>
            </w:r>
            <w:r>
              <w:fldChar w:fldCharType="begin"/>
            </w:r>
            <w:r>
              <w:instrText xml:space="preserve"> REF NOTE_415 \h  \* MERGEFORMAT </w:instrText>
            </w:r>
            <w:r>
              <w:fldChar w:fldCharType="separate"/>
            </w:r>
            <w:r w:rsidR="00770AA2">
              <w:rPr>
                <w:vertAlign w:val="superscript"/>
              </w:rPr>
              <w:t>c</w:t>
            </w:r>
            <w:r>
              <w:fldChar w:fldCharType="end"/>
            </w:r>
            <w:r>
              <w:t>)</w:t>
            </w:r>
          </w:p>
        </w:tc>
        <w:tc>
          <w:tcPr>
            <w:tcW w:w="574" w:type="dxa"/>
            <w:vAlign w:val="center"/>
          </w:tcPr>
          <w:p w14:paraId="6CC598DB" w14:textId="0CD9DB67" w:rsidR="006561BA" w:rsidRDefault="005B4ED6">
            <w:pPr>
              <w:pStyle w:val="AnnexTableCellLeft"/>
              <w:jc w:val="center"/>
            </w:pPr>
            <w:r>
              <w:rPr>
                <w:i/>
              </w:rPr>
              <w:t>Ja, Nei, N/EL</w:t>
            </w:r>
            <w:r>
              <w:t xml:space="preserve"> (</w:t>
            </w:r>
            <w:r>
              <w:fldChar w:fldCharType="begin"/>
            </w:r>
            <w:r>
              <w:instrText xml:space="preserve"> REF NOTE_414 \h  \* MERGEFORMAT </w:instrText>
            </w:r>
            <w:r>
              <w:fldChar w:fldCharType="separate"/>
            </w:r>
            <w:r w:rsidR="00770AA2">
              <w:rPr>
                <w:vertAlign w:val="superscript"/>
              </w:rPr>
              <w:t>b</w:t>
            </w:r>
            <w:r>
              <w:fldChar w:fldCharType="end"/>
            </w:r>
            <w:r>
              <w:t>) (</w:t>
            </w:r>
            <w:r>
              <w:fldChar w:fldCharType="begin"/>
            </w:r>
            <w:r>
              <w:instrText xml:space="preserve"> REF NOTE_415 \h  \* MERGEFORMAT </w:instrText>
            </w:r>
            <w:r>
              <w:fldChar w:fldCharType="separate"/>
            </w:r>
            <w:r w:rsidR="00770AA2">
              <w:rPr>
                <w:vertAlign w:val="superscript"/>
              </w:rPr>
              <w:t>c</w:t>
            </w:r>
            <w:r>
              <w:fldChar w:fldCharType="end"/>
            </w:r>
            <w:r>
              <w:t>)</w:t>
            </w:r>
          </w:p>
        </w:tc>
        <w:tc>
          <w:tcPr>
            <w:tcW w:w="575" w:type="dxa"/>
            <w:vAlign w:val="center"/>
          </w:tcPr>
          <w:p w14:paraId="73860A0F" w14:textId="512EA35A" w:rsidR="006561BA" w:rsidRDefault="005B4ED6">
            <w:pPr>
              <w:pStyle w:val="AnnexTableCellLeft"/>
              <w:jc w:val="center"/>
            </w:pPr>
            <w:r>
              <w:rPr>
                <w:i/>
              </w:rPr>
              <w:t>Ja, Nei, N/EL</w:t>
            </w:r>
            <w:r>
              <w:t xml:space="preserve"> (</w:t>
            </w:r>
            <w:r>
              <w:fldChar w:fldCharType="begin"/>
            </w:r>
            <w:r>
              <w:instrText xml:space="preserve"> REF NOTE_414 \h  \* MERGEFORMAT </w:instrText>
            </w:r>
            <w:r>
              <w:fldChar w:fldCharType="separate"/>
            </w:r>
            <w:r w:rsidR="00770AA2">
              <w:rPr>
                <w:vertAlign w:val="superscript"/>
              </w:rPr>
              <w:t>b</w:t>
            </w:r>
            <w:r>
              <w:fldChar w:fldCharType="end"/>
            </w:r>
            <w:r>
              <w:t>) (</w:t>
            </w:r>
            <w:r>
              <w:fldChar w:fldCharType="begin"/>
            </w:r>
            <w:r>
              <w:instrText xml:space="preserve"> REF NOTE_415 \h  \* MERGEFORMAT </w:instrText>
            </w:r>
            <w:r>
              <w:fldChar w:fldCharType="separate"/>
            </w:r>
            <w:r w:rsidR="00770AA2">
              <w:rPr>
                <w:vertAlign w:val="superscript"/>
              </w:rPr>
              <w:t>c</w:t>
            </w:r>
            <w:r>
              <w:fldChar w:fldCharType="end"/>
            </w:r>
            <w:r>
              <w:t>)</w:t>
            </w:r>
          </w:p>
        </w:tc>
        <w:tc>
          <w:tcPr>
            <w:tcW w:w="574" w:type="dxa"/>
            <w:vAlign w:val="center"/>
          </w:tcPr>
          <w:p w14:paraId="783CCF11" w14:textId="471098A7" w:rsidR="006561BA" w:rsidRDefault="005B4ED6">
            <w:pPr>
              <w:pStyle w:val="AnnexTableCellLeft"/>
              <w:jc w:val="center"/>
            </w:pPr>
            <w:r>
              <w:rPr>
                <w:i/>
              </w:rPr>
              <w:t>Ja, Nei, N/EL</w:t>
            </w:r>
            <w:r>
              <w:t xml:space="preserve"> (</w:t>
            </w:r>
            <w:r>
              <w:fldChar w:fldCharType="begin"/>
            </w:r>
            <w:r>
              <w:instrText xml:space="preserve"> REF NOTE_414 \h  \* MERGEFORMAT </w:instrText>
            </w:r>
            <w:r>
              <w:fldChar w:fldCharType="separate"/>
            </w:r>
            <w:r w:rsidR="00770AA2">
              <w:rPr>
                <w:vertAlign w:val="superscript"/>
              </w:rPr>
              <w:t>b</w:t>
            </w:r>
            <w:r>
              <w:fldChar w:fldCharType="end"/>
            </w:r>
            <w:r>
              <w:t>) (</w:t>
            </w:r>
            <w:r>
              <w:fldChar w:fldCharType="begin"/>
            </w:r>
            <w:r>
              <w:instrText xml:space="preserve"> REF NOTE_415 \h  \* MERGEFORMAT </w:instrText>
            </w:r>
            <w:r>
              <w:fldChar w:fldCharType="separate"/>
            </w:r>
            <w:r w:rsidR="00770AA2">
              <w:rPr>
                <w:vertAlign w:val="superscript"/>
              </w:rPr>
              <w:t>c</w:t>
            </w:r>
            <w:r>
              <w:fldChar w:fldCharType="end"/>
            </w:r>
            <w:r>
              <w:t>)</w:t>
            </w:r>
          </w:p>
        </w:tc>
        <w:tc>
          <w:tcPr>
            <w:tcW w:w="575" w:type="dxa"/>
            <w:vAlign w:val="center"/>
          </w:tcPr>
          <w:p w14:paraId="4FE0B57D" w14:textId="77777777" w:rsidR="006561BA" w:rsidRDefault="005B4ED6">
            <w:pPr>
              <w:pStyle w:val="AnnexTableCellLeft"/>
              <w:jc w:val="center"/>
            </w:pPr>
            <w:r>
              <w:rPr>
                <w:i/>
              </w:rPr>
              <w:t>J/N</w:t>
            </w:r>
          </w:p>
        </w:tc>
        <w:tc>
          <w:tcPr>
            <w:tcW w:w="574" w:type="dxa"/>
            <w:vAlign w:val="center"/>
          </w:tcPr>
          <w:p w14:paraId="7A9F4F0E" w14:textId="77777777" w:rsidR="006561BA" w:rsidRDefault="005B4ED6">
            <w:pPr>
              <w:pStyle w:val="AnnexTableCellLeft"/>
              <w:jc w:val="center"/>
            </w:pPr>
            <w:r>
              <w:rPr>
                <w:i/>
              </w:rPr>
              <w:t>J/N</w:t>
            </w:r>
          </w:p>
        </w:tc>
        <w:tc>
          <w:tcPr>
            <w:tcW w:w="575" w:type="dxa"/>
            <w:vAlign w:val="center"/>
          </w:tcPr>
          <w:p w14:paraId="4CA8B356" w14:textId="77777777" w:rsidR="006561BA" w:rsidRDefault="005B4ED6">
            <w:pPr>
              <w:pStyle w:val="AnnexTableCellLeft"/>
              <w:jc w:val="center"/>
            </w:pPr>
            <w:r>
              <w:rPr>
                <w:i/>
              </w:rPr>
              <w:t>J/N</w:t>
            </w:r>
          </w:p>
        </w:tc>
        <w:tc>
          <w:tcPr>
            <w:tcW w:w="574" w:type="dxa"/>
            <w:vAlign w:val="center"/>
          </w:tcPr>
          <w:p w14:paraId="7EF4CFC4" w14:textId="77777777" w:rsidR="006561BA" w:rsidRDefault="005B4ED6">
            <w:pPr>
              <w:pStyle w:val="AnnexTableCellLeft"/>
              <w:jc w:val="center"/>
            </w:pPr>
            <w:r>
              <w:rPr>
                <w:i/>
              </w:rPr>
              <w:t>J/N</w:t>
            </w:r>
          </w:p>
        </w:tc>
        <w:tc>
          <w:tcPr>
            <w:tcW w:w="574" w:type="dxa"/>
            <w:vAlign w:val="center"/>
          </w:tcPr>
          <w:p w14:paraId="10D39721" w14:textId="77777777" w:rsidR="006561BA" w:rsidRDefault="005B4ED6">
            <w:pPr>
              <w:pStyle w:val="AnnexTableCellLeft"/>
              <w:jc w:val="center"/>
            </w:pPr>
            <w:r>
              <w:rPr>
                <w:i/>
              </w:rPr>
              <w:t>J/N</w:t>
            </w:r>
          </w:p>
        </w:tc>
        <w:tc>
          <w:tcPr>
            <w:tcW w:w="574" w:type="dxa"/>
            <w:vAlign w:val="center"/>
          </w:tcPr>
          <w:p w14:paraId="20598975" w14:textId="77777777" w:rsidR="006561BA" w:rsidRDefault="005B4ED6">
            <w:pPr>
              <w:pStyle w:val="AnnexTableCellLeft"/>
              <w:jc w:val="center"/>
            </w:pPr>
            <w:r>
              <w:rPr>
                <w:i/>
              </w:rPr>
              <w:t>J/N</w:t>
            </w:r>
          </w:p>
        </w:tc>
        <w:tc>
          <w:tcPr>
            <w:tcW w:w="576" w:type="dxa"/>
            <w:vAlign w:val="center"/>
          </w:tcPr>
          <w:p w14:paraId="25FB1763" w14:textId="77777777" w:rsidR="006561BA" w:rsidRDefault="005B4ED6">
            <w:pPr>
              <w:pStyle w:val="AnnexTableCellLeft"/>
              <w:jc w:val="center"/>
            </w:pPr>
            <w:r>
              <w:rPr>
                <w:i/>
              </w:rPr>
              <w:t>J/N</w:t>
            </w:r>
          </w:p>
        </w:tc>
        <w:tc>
          <w:tcPr>
            <w:tcW w:w="1200" w:type="dxa"/>
            <w:vAlign w:val="center"/>
          </w:tcPr>
          <w:p w14:paraId="2CBCE830" w14:textId="77777777" w:rsidR="006561BA" w:rsidRDefault="005B4ED6">
            <w:pPr>
              <w:pStyle w:val="AnnexTableCellLeft"/>
              <w:jc w:val="center"/>
            </w:pPr>
            <w:r>
              <w:rPr>
                <w:i/>
              </w:rPr>
              <w:t>%</w:t>
            </w:r>
          </w:p>
        </w:tc>
        <w:tc>
          <w:tcPr>
            <w:tcW w:w="804" w:type="dxa"/>
            <w:vAlign w:val="center"/>
          </w:tcPr>
          <w:p w14:paraId="66244E41" w14:textId="77777777" w:rsidR="006561BA" w:rsidRDefault="005B4ED6">
            <w:pPr>
              <w:pStyle w:val="AnnexTableCellLeft"/>
              <w:jc w:val="center"/>
            </w:pPr>
            <w:r>
              <w:rPr>
                <w:i/>
              </w:rPr>
              <w:t>Muliggjørende</w:t>
            </w:r>
          </w:p>
        </w:tc>
        <w:tc>
          <w:tcPr>
            <w:tcW w:w="804" w:type="dxa"/>
            <w:tcMar>
              <w:right w:w="0" w:type="dxa"/>
            </w:tcMar>
            <w:vAlign w:val="center"/>
          </w:tcPr>
          <w:p w14:paraId="19DB0522" w14:textId="77777777" w:rsidR="006561BA" w:rsidRDefault="005B4ED6">
            <w:pPr>
              <w:pStyle w:val="AnnexTableCellLeft"/>
              <w:jc w:val="center"/>
            </w:pPr>
            <w:r>
              <w:rPr>
                <w:i/>
              </w:rPr>
              <w:t>Omstilling</w:t>
            </w:r>
          </w:p>
        </w:tc>
      </w:tr>
      <w:tr w:rsidR="006561BA" w14:paraId="19C57EF2" w14:textId="77777777">
        <w:tc>
          <w:tcPr>
            <w:tcW w:w="14316" w:type="dxa"/>
            <w:gridSpan w:val="20"/>
            <w:tcMar>
              <w:top w:w="60" w:type="dxa"/>
              <w:left w:w="0" w:type="dxa"/>
              <w:bottom w:w="60" w:type="dxa"/>
              <w:right w:w="0" w:type="dxa"/>
            </w:tcMar>
          </w:tcPr>
          <w:p w14:paraId="507E5667" w14:textId="77777777" w:rsidR="006561BA" w:rsidRDefault="005B4ED6">
            <w:pPr>
              <w:pStyle w:val="AnnexNumberedText"/>
              <w:spacing w:after="0" w:line="200" w:lineRule="exact"/>
              <w:ind w:left="453" w:hanging="453"/>
              <w:rPr>
                <w:sz w:val="16"/>
              </w:rPr>
            </w:pPr>
            <w:r>
              <w:rPr>
                <w:sz w:val="16"/>
              </w:rPr>
              <w:t>A.</w:t>
            </w:r>
            <w:r>
              <w:rPr>
                <w:b/>
                <w:sz w:val="16"/>
              </w:rPr>
              <w:tab/>
              <w:t>AKTIVITETER SOM ER OMFATTET AV TAKSONOMIEN</w:t>
            </w:r>
          </w:p>
        </w:tc>
      </w:tr>
      <w:tr w:rsidR="006561BA" w14:paraId="4DF00821" w14:textId="77777777">
        <w:tc>
          <w:tcPr>
            <w:tcW w:w="14316" w:type="dxa"/>
            <w:gridSpan w:val="20"/>
            <w:tcMar>
              <w:top w:w="60" w:type="dxa"/>
              <w:left w:w="0" w:type="dxa"/>
              <w:bottom w:w="60" w:type="dxa"/>
              <w:right w:w="0" w:type="dxa"/>
            </w:tcMar>
          </w:tcPr>
          <w:p w14:paraId="48A3C602" w14:textId="77777777" w:rsidR="006561BA" w:rsidRDefault="005B4ED6">
            <w:pPr>
              <w:pStyle w:val="AnnexNumberedText"/>
              <w:spacing w:after="0"/>
              <w:ind w:left="453" w:hanging="453"/>
            </w:pPr>
            <w:r>
              <w:t>A.1.</w:t>
            </w:r>
            <w:r>
              <w:rPr>
                <w:b/>
              </w:rPr>
              <w:tab/>
              <w:t>Miljømessig bærekraftige (taksonomiforenlige) aktiviteter</w:t>
            </w:r>
          </w:p>
        </w:tc>
      </w:tr>
      <w:tr w:rsidR="006561BA" w14:paraId="0C442334" w14:textId="77777777">
        <w:tc>
          <w:tcPr>
            <w:tcW w:w="1608" w:type="dxa"/>
            <w:tcMar>
              <w:top w:w="60" w:type="dxa"/>
              <w:left w:w="0" w:type="dxa"/>
              <w:bottom w:w="60" w:type="dxa"/>
            </w:tcMar>
          </w:tcPr>
          <w:p w14:paraId="0C74A5D2" w14:textId="77777777" w:rsidR="006561BA" w:rsidRDefault="005B4ED6">
            <w:pPr>
              <w:pStyle w:val="AnnexTableCellLeft"/>
            </w:pPr>
            <w:r>
              <w:t>Aktivitet 1</w:t>
            </w:r>
          </w:p>
        </w:tc>
        <w:tc>
          <w:tcPr>
            <w:tcW w:w="693" w:type="dxa"/>
            <w:tcMar>
              <w:top w:w="60" w:type="dxa"/>
              <w:bottom w:w="60" w:type="dxa"/>
            </w:tcMar>
          </w:tcPr>
          <w:p w14:paraId="720A15DE" w14:textId="77777777" w:rsidR="006561BA" w:rsidRDefault="006561BA">
            <w:pPr>
              <w:pStyle w:val="AnnexTableCellLeft"/>
            </w:pPr>
          </w:p>
        </w:tc>
        <w:tc>
          <w:tcPr>
            <w:tcW w:w="804" w:type="dxa"/>
            <w:tcMar>
              <w:top w:w="60" w:type="dxa"/>
              <w:bottom w:w="60" w:type="dxa"/>
            </w:tcMar>
            <w:vAlign w:val="center"/>
          </w:tcPr>
          <w:p w14:paraId="07F5E8C7" w14:textId="77777777" w:rsidR="006561BA" w:rsidRDefault="006561BA">
            <w:pPr>
              <w:pStyle w:val="AnnexTableCellLeft"/>
              <w:jc w:val="center"/>
            </w:pPr>
          </w:p>
        </w:tc>
        <w:tc>
          <w:tcPr>
            <w:tcW w:w="936" w:type="dxa"/>
            <w:tcMar>
              <w:top w:w="60" w:type="dxa"/>
              <w:bottom w:w="60" w:type="dxa"/>
            </w:tcMar>
            <w:vAlign w:val="center"/>
          </w:tcPr>
          <w:p w14:paraId="7FEFC8F8" w14:textId="77777777" w:rsidR="006561BA" w:rsidRDefault="005B4ED6">
            <w:pPr>
              <w:pStyle w:val="AnnexTableCellLeft"/>
              <w:jc w:val="center"/>
            </w:pPr>
            <w:r>
              <w:t>%</w:t>
            </w:r>
          </w:p>
        </w:tc>
        <w:tc>
          <w:tcPr>
            <w:tcW w:w="574" w:type="dxa"/>
            <w:tcMar>
              <w:top w:w="60" w:type="dxa"/>
              <w:bottom w:w="60" w:type="dxa"/>
            </w:tcMar>
            <w:vAlign w:val="center"/>
          </w:tcPr>
          <w:p w14:paraId="2CFDD884" w14:textId="77777777" w:rsidR="006561BA" w:rsidRDefault="006561BA">
            <w:pPr>
              <w:pStyle w:val="AnnexTableCellLeft"/>
              <w:jc w:val="center"/>
            </w:pPr>
          </w:p>
        </w:tc>
        <w:tc>
          <w:tcPr>
            <w:tcW w:w="574" w:type="dxa"/>
            <w:tcMar>
              <w:top w:w="60" w:type="dxa"/>
              <w:bottom w:w="60" w:type="dxa"/>
            </w:tcMar>
            <w:vAlign w:val="center"/>
          </w:tcPr>
          <w:p w14:paraId="216814B3" w14:textId="77777777" w:rsidR="006561BA" w:rsidRDefault="006561BA">
            <w:pPr>
              <w:pStyle w:val="AnnexTableCellLeft"/>
              <w:jc w:val="center"/>
            </w:pPr>
          </w:p>
        </w:tc>
        <w:tc>
          <w:tcPr>
            <w:tcW w:w="574" w:type="dxa"/>
            <w:tcMar>
              <w:top w:w="60" w:type="dxa"/>
              <w:bottom w:w="60" w:type="dxa"/>
            </w:tcMar>
            <w:vAlign w:val="center"/>
          </w:tcPr>
          <w:p w14:paraId="30EEDB37" w14:textId="77777777" w:rsidR="006561BA" w:rsidRDefault="006561BA">
            <w:pPr>
              <w:pStyle w:val="AnnexTableCellLeft"/>
              <w:jc w:val="center"/>
            </w:pPr>
          </w:p>
        </w:tc>
        <w:tc>
          <w:tcPr>
            <w:tcW w:w="574" w:type="dxa"/>
            <w:tcMar>
              <w:top w:w="60" w:type="dxa"/>
              <w:bottom w:w="60" w:type="dxa"/>
            </w:tcMar>
            <w:vAlign w:val="center"/>
          </w:tcPr>
          <w:p w14:paraId="565C8BB2" w14:textId="77777777" w:rsidR="006561BA" w:rsidRDefault="006561BA">
            <w:pPr>
              <w:pStyle w:val="AnnexTableCellLeft"/>
              <w:jc w:val="center"/>
            </w:pPr>
          </w:p>
        </w:tc>
        <w:tc>
          <w:tcPr>
            <w:tcW w:w="575" w:type="dxa"/>
            <w:tcMar>
              <w:top w:w="60" w:type="dxa"/>
              <w:bottom w:w="60" w:type="dxa"/>
            </w:tcMar>
            <w:vAlign w:val="center"/>
          </w:tcPr>
          <w:p w14:paraId="376806C7" w14:textId="77777777" w:rsidR="006561BA" w:rsidRDefault="006561BA">
            <w:pPr>
              <w:pStyle w:val="AnnexTableCellLeft"/>
              <w:jc w:val="center"/>
            </w:pPr>
          </w:p>
        </w:tc>
        <w:tc>
          <w:tcPr>
            <w:tcW w:w="574" w:type="dxa"/>
            <w:tcMar>
              <w:top w:w="60" w:type="dxa"/>
              <w:bottom w:w="60" w:type="dxa"/>
            </w:tcMar>
            <w:vAlign w:val="center"/>
          </w:tcPr>
          <w:p w14:paraId="2CD8D557" w14:textId="77777777" w:rsidR="006561BA" w:rsidRDefault="006561BA">
            <w:pPr>
              <w:pStyle w:val="AnnexTableCellLeft"/>
              <w:jc w:val="center"/>
            </w:pPr>
          </w:p>
        </w:tc>
        <w:tc>
          <w:tcPr>
            <w:tcW w:w="575" w:type="dxa"/>
            <w:tcMar>
              <w:top w:w="60" w:type="dxa"/>
              <w:bottom w:w="60" w:type="dxa"/>
            </w:tcMar>
            <w:vAlign w:val="center"/>
          </w:tcPr>
          <w:p w14:paraId="157D244E" w14:textId="77777777" w:rsidR="006561BA" w:rsidRDefault="005B4ED6">
            <w:pPr>
              <w:pStyle w:val="AnnexTableCellLeft"/>
              <w:jc w:val="center"/>
            </w:pPr>
            <w:r>
              <w:t>J</w:t>
            </w:r>
          </w:p>
        </w:tc>
        <w:tc>
          <w:tcPr>
            <w:tcW w:w="574" w:type="dxa"/>
            <w:tcMar>
              <w:top w:w="60" w:type="dxa"/>
              <w:bottom w:w="60" w:type="dxa"/>
            </w:tcMar>
            <w:vAlign w:val="center"/>
          </w:tcPr>
          <w:p w14:paraId="7CE67290" w14:textId="77777777" w:rsidR="006561BA" w:rsidRDefault="005B4ED6">
            <w:pPr>
              <w:pStyle w:val="AnnexTableCellLeft"/>
              <w:jc w:val="center"/>
            </w:pPr>
            <w:r>
              <w:t>J</w:t>
            </w:r>
          </w:p>
        </w:tc>
        <w:tc>
          <w:tcPr>
            <w:tcW w:w="575" w:type="dxa"/>
            <w:tcMar>
              <w:top w:w="60" w:type="dxa"/>
              <w:bottom w:w="60" w:type="dxa"/>
            </w:tcMar>
            <w:vAlign w:val="center"/>
          </w:tcPr>
          <w:p w14:paraId="2FC6014A" w14:textId="77777777" w:rsidR="006561BA" w:rsidRDefault="005B4ED6">
            <w:pPr>
              <w:pStyle w:val="AnnexTableCellLeft"/>
              <w:jc w:val="center"/>
            </w:pPr>
            <w:r>
              <w:t>J</w:t>
            </w:r>
          </w:p>
        </w:tc>
        <w:tc>
          <w:tcPr>
            <w:tcW w:w="574" w:type="dxa"/>
            <w:tcMar>
              <w:top w:w="60" w:type="dxa"/>
              <w:bottom w:w="60" w:type="dxa"/>
            </w:tcMar>
            <w:vAlign w:val="center"/>
          </w:tcPr>
          <w:p w14:paraId="5A2C3AD7" w14:textId="77777777" w:rsidR="006561BA" w:rsidRDefault="005B4ED6">
            <w:pPr>
              <w:pStyle w:val="AnnexTableCellLeft"/>
              <w:jc w:val="center"/>
            </w:pPr>
            <w:r>
              <w:t>J</w:t>
            </w:r>
          </w:p>
        </w:tc>
        <w:tc>
          <w:tcPr>
            <w:tcW w:w="574" w:type="dxa"/>
            <w:tcMar>
              <w:top w:w="60" w:type="dxa"/>
              <w:bottom w:w="60" w:type="dxa"/>
            </w:tcMar>
            <w:vAlign w:val="center"/>
          </w:tcPr>
          <w:p w14:paraId="6DDA2477" w14:textId="77777777" w:rsidR="006561BA" w:rsidRDefault="005B4ED6">
            <w:pPr>
              <w:pStyle w:val="AnnexTableCellLeft"/>
              <w:jc w:val="center"/>
            </w:pPr>
            <w:r>
              <w:t>J</w:t>
            </w:r>
          </w:p>
        </w:tc>
        <w:tc>
          <w:tcPr>
            <w:tcW w:w="574" w:type="dxa"/>
            <w:tcMar>
              <w:top w:w="60" w:type="dxa"/>
              <w:bottom w:w="60" w:type="dxa"/>
            </w:tcMar>
            <w:vAlign w:val="center"/>
          </w:tcPr>
          <w:p w14:paraId="64B5EBAE" w14:textId="77777777" w:rsidR="006561BA" w:rsidRDefault="005B4ED6">
            <w:pPr>
              <w:pStyle w:val="AnnexTableCellLeft"/>
              <w:jc w:val="center"/>
            </w:pPr>
            <w:r>
              <w:t>J</w:t>
            </w:r>
          </w:p>
        </w:tc>
        <w:tc>
          <w:tcPr>
            <w:tcW w:w="576" w:type="dxa"/>
            <w:tcMar>
              <w:top w:w="60" w:type="dxa"/>
              <w:bottom w:w="60" w:type="dxa"/>
            </w:tcMar>
            <w:vAlign w:val="center"/>
          </w:tcPr>
          <w:p w14:paraId="321F5531" w14:textId="77777777" w:rsidR="006561BA" w:rsidRDefault="005B4ED6">
            <w:pPr>
              <w:pStyle w:val="AnnexTableCellLeft"/>
              <w:jc w:val="center"/>
            </w:pPr>
            <w:r>
              <w:t>J</w:t>
            </w:r>
          </w:p>
        </w:tc>
        <w:tc>
          <w:tcPr>
            <w:tcW w:w="1200" w:type="dxa"/>
            <w:tcMar>
              <w:top w:w="60" w:type="dxa"/>
              <w:bottom w:w="60" w:type="dxa"/>
            </w:tcMar>
            <w:vAlign w:val="center"/>
          </w:tcPr>
          <w:p w14:paraId="7714109D" w14:textId="77777777" w:rsidR="006561BA" w:rsidRDefault="005B4ED6">
            <w:pPr>
              <w:pStyle w:val="AnnexTableCellLeft"/>
              <w:jc w:val="center"/>
            </w:pPr>
            <w:r>
              <w:t>%</w:t>
            </w:r>
          </w:p>
        </w:tc>
        <w:tc>
          <w:tcPr>
            <w:tcW w:w="804" w:type="dxa"/>
            <w:tcMar>
              <w:top w:w="60" w:type="dxa"/>
              <w:bottom w:w="60" w:type="dxa"/>
            </w:tcMar>
            <w:vAlign w:val="center"/>
          </w:tcPr>
          <w:p w14:paraId="57CE52BE" w14:textId="77777777" w:rsidR="006561BA" w:rsidRDefault="006561BA">
            <w:pPr>
              <w:pStyle w:val="AnnexTableCellLeft"/>
              <w:jc w:val="center"/>
            </w:pPr>
          </w:p>
        </w:tc>
        <w:tc>
          <w:tcPr>
            <w:tcW w:w="804" w:type="dxa"/>
            <w:tcMar>
              <w:top w:w="60" w:type="dxa"/>
              <w:bottom w:w="60" w:type="dxa"/>
              <w:right w:w="0" w:type="dxa"/>
            </w:tcMar>
            <w:vAlign w:val="center"/>
          </w:tcPr>
          <w:p w14:paraId="214918AB" w14:textId="77777777" w:rsidR="006561BA" w:rsidRDefault="006561BA">
            <w:pPr>
              <w:pStyle w:val="AnnexTableCellLeft"/>
              <w:jc w:val="center"/>
            </w:pPr>
          </w:p>
        </w:tc>
      </w:tr>
      <w:tr w:rsidR="006561BA" w14:paraId="19CD7EAA" w14:textId="77777777">
        <w:tc>
          <w:tcPr>
            <w:tcW w:w="1608" w:type="dxa"/>
            <w:tcMar>
              <w:top w:w="60" w:type="dxa"/>
              <w:left w:w="0" w:type="dxa"/>
              <w:bottom w:w="60" w:type="dxa"/>
            </w:tcMar>
          </w:tcPr>
          <w:p w14:paraId="2D073585" w14:textId="5E945F43" w:rsidR="006561BA" w:rsidRDefault="005B4ED6">
            <w:pPr>
              <w:pStyle w:val="AnnexTableCellLeft"/>
            </w:pPr>
            <w:r>
              <w:t>Aktivitet 1 (</w:t>
            </w:r>
            <w:r>
              <w:fldChar w:fldCharType="begin"/>
            </w:r>
            <w:r>
              <w:instrText xml:space="preserve"> REF NOTE_416 \h  \* MERGEFORMAT </w:instrText>
            </w:r>
            <w:r>
              <w:fldChar w:fldCharType="separate"/>
            </w:r>
            <w:r w:rsidR="00770AA2">
              <w:rPr>
                <w:vertAlign w:val="superscript"/>
              </w:rPr>
              <w:t>*</w:t>
            </w:r>
            <w:r>
              <w:fldChar w:fldCharType="end"/>
            </w:r>
            <w:r>
              <w:t>)</w:t>
            </w:r>
          </w:p>
        </w:tc>
        <w:tc>
          <w:tcPr>
            <w:tcW w:w="693" w:type="dxa"/>
            <w:tcMar>
              <w:top w:w="60" w:type="dxa"/>
              <w:bottom w:w="60" w:type="dxa"/>
            </w:tcMar>
          </w:tcPr>
          <w:p w14:paraId="089CE891" w14:textId="77777777" w:rsidR="006561BA" w:rsidRDefault="006561BA">
            <w:pPr>
              <w:pStyle w:val="AnnexTableCellLeft"/>
            </w:pPr>
          </w:p>
        </w:tc>
        <w:tc>
          <w:tcPr>
            <w:tcW w:w="804" w:type="dxa"/>
            <w:tcMar>
              <w:top w:w="60" w:type="dxa"/>
              <w:bottom w:w="60" w:type="dxa"/>
            </w:tcMar>
            <w:vAlign w:val="center"/>
          </w:tcPr>
          <w:p w14:paraId="0692AD77" w14:textId="77777777" w:rsidR="006561BA" w:rsidRDefault="006561BA">
            <w:pPr>
              <w:pStyle w:val="AnnexTableCellLeft"/>
              <w:jc w:val="center"/>
            </w:pPr>
          </w:p>
        </w:tc>
        <w:tc>
          <w:tcPr>
            <w:tcW w:w="936" w:type="dxa"/>
            <w:tcMar>
              <w:top w:w="60" w:type="dxa"/>
              <w:bottom w:w="60" w:type="dxa"/>
            </w:tcMar>
            <w:vAlign w:val="center"/>
          </w:tcPr>
          <w:p w14:paraId="441556D7" w14:textId="77777777" w:rsidR="006561BA" w:rsidRDefault="005B4ED6">
            <w:pPr>
              <w:pStyle w:val="AnnexTableCellLeft"/>
              <w:jc w:val="center"/>
            </w:pPr>
            <w:r>
              <w:t>%</w:t>
            </w:r>
          </w:p>
        </w:tc>
        <w:tc>
          <w:tcPr>
            <w:tcW w:w="574" w:type="dxa"/>
            <w:tcMar>
              <w:top w:w="60" w:type="dxa"/>
              <w:bottom w:w="60" w:type="dxa"/>
            </w:tcMar>
            <w:vAlign w:val="center"/>
          </w:tcPr>
          <w:p w14:paraId="01B1612F" w14:textId="77777777" w:rsidR="006561BA" w:rsidRDefault="006561BA">
            <w:pPr>
              <w:pStyle w:val="AnnexTableCellLeft"/>
              <w:jc w:val="center"/>
            </w:pPr>
          </w:p>
        </w:tc>
        <w:tc>
          <w:tcPr>
            <w:tcW w:w="574" w:type="dxa"/>
            <w:tcMar>
              <w:top w:w="60" w:type="dxa"/>
              <w:bottom w:w="60" w:type="dxa"/>
            </w:tcMar>
            <w:vAlign w:val="center"/>
          </w:tcPr>
          <w:p w14:paraId="0CE9EAD8" w14:textId="77777777" w:rsidR="006561BA" w:rsidRDefault="006561BA">
            <w:pPr>
              <w:pStyle w:val="AnnexTableCellLeft"/>
              <w:jc w:val="center"/>
            </w:pPr>
          </w:p>
        </w:tc>
        <w:tc>
          <w:tcPr>
            <w:tcW w:w="574" w:type="dxa"/>
            <w:tcMar>
              <w:top w:w="60" w:type="dxa"/>
              <w:bottom w:w="60" w:type="dxa"/>
            </w:tcMar>
            <w:vAlign w:val="center"/>
          </w:tcPr>
          <w:p w14:paraId="04E31EBE" w14:textId="77777777" w:rsidR="006561BA" w:rsidRDefault="006561BA">
            <w:pPr>
              <w:pStyle w:val="AnnexTableCellLeft"/>
              <w:jc w:val="center"/>
            </w:pPr>
          </w:p>
        </w:tc>
        <w:tc>
          <w:tcPr>
            <w:tcW w:w="574" w:type="dxa"/>
            <w:tcMar>
              <w:top w:w="60" w:type="dxa"/>
              <w:bottom w:w="60" w:type="dxa"/>
            </w:tcMar>
            <w:vAlign w:val="center"/>
          </w:tcPr>
          <w:p w14:paraId="181F00F6" w14:textId="77777777" w:rsidR="006561BA" w:rsidRDefault="006561BA">
            <w:pPr>
              <w:pStyle w:val="AnnexTableCellLeft"/>
              <w:jc w:val="center"/>
            </w:pPr>
          </w:p>
        </w:tc>
        <w:tc>
          <w:tcPr>
            <w:tcW w:w="575" w:type="dxa"/>
            <w:tcMar>
              <w:top w:w="60" w:type="dxa"/>
              <w:bottom w:w="60" w:type="dxa"/>
            </w:tcMar>
            <w:vAlign w:val="center"/>
          </w:tcPr>
          <w:p w14:paraId="78748C72" w14:textId="77777777" w:rsidR="006561BA" w:rsidRDefault="006561BA">
            <w:pPr>
              <w:pStyle w:val="AnnexTableCellLeft"/>
              <w:jc w:val="center"/>
            </w:pPr>
          </w:p>
        </w:tc>
        <w:tc>
          <w:tcPr>
            <w:tcW w:w="574" w:type="dxa"/>
            <w:tcMar>
              <w:top w:w="60" w:type="dxa"/>
              <w:bottom w:w="60" w:type="dxa"/>
            </w:tcMar>
            <w:vAlign w:val="center"/>
          </w:tcPr>
          <w:p w14:paraId="2A3CFBBC" w14:textId="77777777" w:rsidR="006561BA" w:rsidRDefault="006561BA">
            <w:pPr>
              <w:pStyle w:val="AnnexTableCellLeft"/>
              <w:jc w:val="center"/>
            </w:pPr>
          </w:p>
        </w:tc>
        <w:tc>
          <w:tcPr>
            <w:tcW w:w="575" w:type="dxa"/>
            <w:tcMar>
              <w:top w:w="60" w:type="dxa"/>
              <w:bottom w:w="60" w:type="dxa"/>
            </w:tcMar>
            <w:vAlign w:val="center"/>
          </w:tcPr>
          <w:p w14:paraId="00921AC4" w14:textId="77777777" w:rsidR="006561BA" w:rsidRDefault="005B4ED6">
            <w:pPr>
              <w:pStyle w:val="AnnexTableCellLeft"/>
              <w:jc w:val="center"/>
            </w:pPr>
            <w:r>
              <w:t>J</w:t>
            </w:r>
          </w:p>
        </w:tc>
        <w:tc>
          <w:tcPr>
            <w:tcW w:w="574" w:type="dxa"/>
            <w:tcMar>
              <w:top w:w="60" w:type="dxa"/>
              <w:bottom w:w="60" w:type="dxa"/>
            </w:tcMar>
            <w:vAlign w:val="center"/>
          </w:tcPr>
          <w:p w14:paraId="00197EEA" w14:textId="77777777" w:rsidR="006561BA" w:rsidRDefault="005B4ED6">
            <w:pPr>
              <w:pStyle w:val="AnnexTableCellLeft"/>
              <w:jc w:val="center"/>
            </w:pPr>
            <w:r>
              <w:t>J</w:t>
            </w:r>
          </w:p>
        </w:tc>
        <w:tc>
          <w:tcPr>
            <w:tcW w:w="575" w:type="dxa"/>
            <w:tcMar>
              <w:top w:w="60" w:type="dxa"/>
              <w:bottom w:w="60" w:type="dxa"/>
            </w:tcMar>
            <w:vAlign w:val="center"/>
          </w:tcPr>
          <w:p w14:paraId="6D2682D7" w14:textId="77777777" w:rsidR="006561BA" w:rsidRDefault="005B4ED6">
            <w:pPr>
              <w:pStyle w:val="AnnexTableCellLeft"/>
              <w:jc w:val="center"/>
            </w:pPr>
            <w:r>
              <w:t>J</w:t>
            </w:r>
          </w:p>
        </w:tc>
        <w:tc>
          <w:tcPr>
            <w:tcW w:w="574" w:type="dxa"/>
            <w:tcMar>
              <w:top w:w="60" w:type="dxa"/>
              <w:bottom w:w="60" w:type="dxa"/>
            </w:tcMar>
            <w:vAlign w:val="center"/>
          </w:tcPr>
          <w:p w14:paraId="79766168" w14:textId="77777777" w:rsidR="006561BA" w:rsidRDefault="005B4ED6">
            <w:pPr>
              <w:pStyle w:val="AnnexTableCellLeft"/>
              <w:jc w:val="center"/>
            </w:pPr>
            <w:r>
              <w:t>J</w:t>
            </w:r>
          </w:p>
        </w:tc>
        <w:tc>
          <w:tcPr>
            <w:tcW w:w="574" w:type="dxa"/>
            <w:tcMar>
              <w:top w:w="60" w:type="dxa"/>
              <w:bottom w:w="60" w:type="dxa"/>
            </w:tcMar>
            <w:vAlign w:val="center"/>
          </w:tcPr>
          <w:p w14:paraId="4D83CABE" w14:textId="77777777" w:rsidR="006561BA" w:rsidRDefault="005B4ED6">
            <w:pPr>
              <w:pStyle w:val="AnnexTableCellLeft"/>
              <w:jc w:val="center"/>
            </w:pPr>
            <w:r>
              <w:t>J</w:t>
            </w:r>
          </w:p>
        </w:tc>
        <w:tc>
          <w:tcPr>
            <w:tcW w:w="574" w:type="dxa"/>
            <w:tcMar>
              <w:top w:w="60" w:type="dxa"/>
              <w:bottom w:w="60" w:type="dxa"/>
            </w:tcMar>
            <w:vAlign w:val="center"/>
          </w:tcPr>
          <w:p w14:paraId="5405AD85" w14:textId="77777777" w:rsidR="006561BA" w:rsidRDefault="005B4ED6">
            <w:pPr>
              <w:pStyle w:val="AnnexTableCellLeft"/>
              <w:jc w:val="center"/>
            </w:pPr>
            <w:r>
              <w:t>J</w:t>
            </w:r>
          </w:p>
        </w:tc>
        <w:tc>
          <w:tcPr>
            <w:tcW w:w="576" w:type="dxa"/>
            <w:tcMar>
              <w:top w:w="60" w:type="dxa"/>
              <w:bottom w:w="60" w:type="dxa"/>
            </w:tcMar>
            <w:vAlign w:val="center"/>
          </w:tcPr>
          <w:p w14:paraId="78DEA0A1" w14:textId="77777777" w:rsidR="006561BA" w:rsidRDefault="005B4ED6">
            <w:pPr>
              <w:pStyle w:val="AnnexTableCellLeft"/>
              <w:jc w:val="center"/>
            </w:pPr>
            <w:r>
              <w:t>J</w:t>
            </w:r>
          </w:p>
        </w:tc>
        <w:tc>
          <w:tcPr>
            <w:tcW w:w="1200" w:type="dxa"/>
            <w:tcMar>
              <w:top w:w="60" w:type="dxa"/>
              <w:bottom w:w="60" w:type="dxa"/>
            </w:tcMar>
            <w:vAlign w:val="center"/>
          </w:tcPr>
          <w:p w14:paraId="0FC52E1D" w14:textId="77777777" w:rsidR="006561BA" w:rsidRDefault="005B4ED6">
            <w:pPr>
              <w:pStyle w:val="AnnexTableCellLeft"/>
              <w:jc w:val="center"/>
            </w:pPr>
            <w:r>
              <w:t>%</w:t>
            </w:r>
          </w:p>
        </w:tc>
        <w:tc>
          <w:tcPr>
            <w:tcW w:w="804" w:type="dxa"/>
            <w:tcMar>
              <w:top w:w="60" w:type="dxa"/>
              <w:bottom w:w="60" w:type="dxa"/>
            </w:tcMar>
            <w:vAlign w:val="center"/>
          </w:tcPr>
          <w:p w14:paraId="1A86B81F" w14:textId="77777777" w:rsidR="006561BA" w:rsidRDefault="005B4ED6">
            <w:pPr>
              <w:pStyle w:val="AnnexTableCellLeft"/>
              <w:jc w:val="center"/>
            </w:pPr>
            <w:r>
              <w:t>Muliggjørende</w:t>
            </w:r>
          </w:p>
        </w:tc>
        <w:tc>
          <w:tcPr>
            <w:tcW w:w="804" w:type="dxa"/>
            <w:tcMar>
              <w:top w:w="60" w:type="dxa"/>
              <w:bottom w:w="60" w:type="dxa"/>
              <w:right w:w="0" w:type="dxa"/>
            </w:tcMar>
            <w:vAlign w:val="center"/>
          </w:tcPr>
          <w:p w14:paraId="3D524FD5" w14:textId="77777777" w:rsidR="006561BA" w:rsidRDefault="006561BA">
            <w:pPr>
              <w:pStyle w:val="AnnexTableCellLeft"/>
              <w:jc w:val="center"/>
            </w:pPr>
          </w:p>
        </w:tc>
      </w:tr>
      <w:tr w:rsidR="006561BA" w14:paraId="2243160B" w14:textId="77777777">
        <w:tc>
          <w:tcPr>
            <w:tcW w:w="1608" w:type="dxa"/>
            <w:tcMar>
              <w:top w:w="60" w:type="dxa"/>
              <w:left w:w="0" w:type="dxa"/>
              <w:bottom w:w="60" w:type="dxa"/>
            </w:tcMar>
          </w:tcPr>
          <w:p w14:paraId="7B8102E4" w14:textId="77777777" w:rsidR="006561BA" w:rsidRDefault="005B4ED6">
            <w:pPr>
              <w:pStyle w:val="AnnexTableCellLeft"/>
            </w:pPr>
            <w:r>
              <w:t>Aktivitet 2</w:t>
            </w:r>
          </w:p>
        </w:tc>
        <w:tc>
          <w:tcPr>
            <w:tcW w:w="693" w:type="dxa"/>
            <w:tcMar>
              <w:top w:w="60" w:type="dxa"/>
              <w:bottom w:w="60" w:type="dxa"/>
            </w:tcMar>
          </w:tcPr>
          <w:p w14:paraId="1F58DB71" w14:textId="77777777" w:rsidR="006561BA" w:rsidRDefault="006561BA">
            <w:pPr>
              <w:pStyle w:val="AnnexTableCellLeft"/>
            </w:pPr>
          </w:p>
        </w:tc>
        <w:tc>
          <w:tcPr>
            <w:tcW w:w="804" w:type="dxa"/>
            <w:tcMar>
              <w:top w:w="60" w:type="dxa"/>
              <w:bottom w:w="60" w:type="dxa"/>
            </w:tcMar>
            <w:vAlign w:val="center"/>
          </w:tcPr>
          <w:p w14:paraId="2EE74635" w14:textId="77777777" w:rsidR="006561BA" w:rsidRDefault="006561BA">
            <w:pPr>
              <w:pStyle w:val="AnnexTableCellLeft"/>
              <w:jc w:val="center"/>
            </w:pPr>
          </w:p>
        </w:tc>
        <w:tc>
          <w:tcPr>
            <w:tcW w:w="936" w:type="dxa"/>
            <w:tcMar>
              <w:top w:w="60" w:type="dxa"/>
              <w:bottom w:w="60" w:type="dxa"/>
            </w:tcMar>
            <w:vAlign w:val="center"/>
          </w:tcPr>
          <w:p w14:paraId="797D3605" w14:textId="77777777" w:rsidR="006561BA" w:rsidRDefault="005B4ED6">
            <w:pPr>
              <w:pStyle w:val="AnnexTableCellLeft"/>
              <w:jc w:val="center"/>
            </w:pPr>
            <w:r>
              <w:t>%</w:t>
            </w:r>
          </w:p>
        </w:tc>
        <w:tc>
          <w:tcPr>
            <w:tcW w:w="574" w:type="dxa"/>
            <w:tcMar>
              <w:top w:w="60" w:type="dxa"/>
              <w:bottom w:w="60" w:type="dxa"/>
            </w:tcMar>
            <w:vAlign w:val="center"/>
          </w:tcPr>
          <w:p w14:paraId="538E44B1" w14:textId="77777777" w:rsidR="006561BA" w:rsidRDefault="006561BA">
            <w:pPr>
              <w:pStyle w:val="AnnexTableCellLeft"/>
              <w:jc w:val="center"/>
            </w:pPr>
          </w:p>
        </w:tc>
        <w:tc>
          <w:tcPr>
            <w:tcW w:w="574" w:type="dxa"/>
            <w:tcMar>
              <w:top w:w="60" w:type="dxa"/>
              <w:bottom w:w="60" w:type="dxa"/>
            </w:tcMar>
            <w:vAlign w:val="center"/>
          </w:tcPr>
          <w:p w14:paraId="13EE2347" w14:textId="77777777" w:rsidR="006561BA" w:rsidRDefault="006561BA">
            <w:pPr>
              <w:pStyle w:val="AnnexTableCellLeft"/>
              <w:jc w:val="center"/>
            </w:pPr>
          </w:p>
        </w:tc>
        <w:tc>
          <w:tcPr>
            <w:tcW w:w="574" w:type="dxa"/>
            <w:tcMar>
              <w:top w:w="60" w:type="dxa"/>
              <w:bottom w:w="60" w:type="dxa"/>
            </w:tcMar>
            <w:vAlign w:val="center"/>
          </w:tcPr>
          <w:p w14:paraId="31CC20A1" w14:textId="77777777" w:rsidR="006561BA" w:rsidRDefault="006561BA">
            <w:pPr>
              <w:pStyle w:val="AnnexTableCellLeft"/>
              <w:jc w:val="center"/>
            </w:pPr>
          </w:p>
        </w:tc>
        <w:tc>
          <w:tcPr>
            <w:tcW w:w="574" w:type="dxa"/>
            <w:tcMar>
              <w:top w:w="60" w:type="dxa"/>
              <w:bottom w:w="60" w:type="dxa"/>
            </w:tcMar>
            <w:vAlign w:val="center"/>
          </w:tcPr>
          <w:p w14:paraId="7F0C7F0D" w14:textId="77777777" w:rsidR="006561BA" w:rsidRDefault="006561BA">
            <w:pPr>
              <w:pStyle w:val="AnnexTableCellLeft"/>
              <w:jc w:val="center"/>
            </w:pPr>
          </w:p>
        </w:tc>
        <w:tc>
          <w:tcPr>
            <w:tcW w:w="575" w:type="dxa"/>
            <w:tcMar>
              <w:top w:w="60" w:type="dxa"/>
              <w:bottom w:w="60" w:type="dxa"/>
            </w:tcMar>
            <w:vAlign w:val="center"/>
          </w:tcPr>
          <w:p w14:paraId="1D730944" w14:textId="77777777" w:rsidR="006561BA" w:rsidRDefault="006561BA">
            <w:pPr>
              <w:pStyle w:val="AnnexTableCellLeft"/>
              <w:jc w:val="center"/>
            </w:pPr>
          </w:p>
        </w:tc>
        <w:tc>
          <w:tcPr>
            <w:tcW w:w="574" w:type="dxa"/>
            <w:tcMar>
              <w:top w:w="60" w:type="dxa"/>
              <w:bottom w:w="60" w:type="dxa"/>
            </w:tcMar>
            <w:vAlign w:val="center"/>
          </w:tcPr>
          <w:p w14:paraId="61372CC6" w14:textId="77777777" w:rsidR="006561BA" w:rsidRDefault="006561BA">
            <w:pPr>
              <w:pStyle w:val="AnnexTableCellLeft"/>
              <w:jc w:val="center"/>
            </w:pPr>
          </w:p>
        </w:tc>
        <w:tc>
          <w:tcPr>
            <w:tcW w:w="575" w:type="dxa"/>
            <w:tcMar>
              <w:top w:w="60" w:type="dxa"/>
              <w:bottom w:w="60" w:type="dxa"/>
            </w:tcMar>
            <w:vAlign w:val="center"/>
          </w:tcPr>
          <w:p w14:paraId="1CBD952D" w14:textId="77777777" w:rsidR="006561BA" w:rsidRDefault="005B4ED6">
            <w:pPr>
              <w:pStyle w:val="AnnexTableCellLeft"/>
              <w:jc w:val="center"/>
            </w:pPr>
            <w:r>
              <w:t>J</w:t>
            </w:r>
          </w:p>
        </w:tc>
        <w:tc>
          <w:tcPr>
            <w:tcW w:w="574" w:type="dxa"/>
            <w:tcMar>
              <w:top w:w="60" w:type="dxa"/>
              <w:bottom w:w="60" w:type="dxa"/>
            </w:tcMar>
            <w:vAlign w:val="center"/>
          </w:tcPr>
          <w:p w14:paraId="3010B2BF" w14:textId="77777777" w:rsidR="006561BA" w:rsidRDefault="005B4ED6">
            <w:pPr>
              <w:pStyle w:val="AnnexTableCellLeft"/>
              <w:jc w:val="center"/>
            </w:pPr>
            <w:r>
              <w:t>J</w:t>
            </w:r>
          </w:p>
        </w:tc>
        <w:tc>
          <w:tcPr>
            <w:tcW w:w="575" w:type="dxa"/>
            <w:tcMar>
              <w:top w:w="60" w:type="dxa"/>
              <w:bottom w:w="60" w:type="dxa"/>
            </w:tcMar>
            <w:vAlign w:val="center"/>
          </w:tcPr>
          <w:p w14:paraId="0BA6033C" w14:textId="77777777" w:rsidR="006561BA" w:rsidRDefault="005B4ED6">
            <w:pPr>
              <w:pStyle w:val="AnnexTableCellLeft"/>
              <w:jc w:val="center"/>
            </w:pPr>
            <w:r>
              <w:t>J</w:t>
            </w:r>
          </w:p>
        </w:tc>
        <w:tc>
          <w:tcPr>
            <w:tcW w:w="574" w:type="dxa"/>
            <w:tcMar>
              <w:top w:w="60" w:type="dxa"/>
              <w:bottom w:w="60" w:type="dxa"/>
            </w:tcMar>
            <w:vAlign w:val="center"/>
          </w:tcPr>
          <w:p w14:paraId="7AD6D0F6" w14:textId="77777777" w:rsidR="006561BA" w:rsidRDefault="005B4ED6">
            <w:pPr>
              <w:pStyle w:val="AnnexTableCellLeft"/>
              <w:jc w:val="center"/>
            </w:pPr>
            <w:r>
              <w:t>J</w:t>
            </w:r>
          </w:p>
        </w:tc>
        <w:tc>
          <w:tcPr>
            <w:tcW w:w="574" w:type="dxa"/>
            <w:tcMar>
              <w:top w:w="60" w:type="dxa"/>
              <w:bottom w:w="60" w:type="dxa"/>
            </w:tcMar>
            <w:vAlign w:val="center"/>
          </w:tcPr>
          <w:p w14:paraId="1E1B681A" w14:textId="77777777" w:rsidR="006561BA" w:rsidRDefault="005B4ED6">
            <w:pPr>
              <w:pStyle w:val="AnnexTableCellLeft"/>
              <w:jc w:val="center"/>
            </w:pPr>
            <w:r>
              <w:t>J</w:t>
            </w:r>
          </w:p>
        </w:tc>
        <w:tc>
          <w:tcPr>
            <w:tcW w:w="574" w:type="dxa"/>
            <w:tcMar>
              <w:top w:w="60" w:type="dxa"/>
              <w:bottom w:w="60" w:type="dxa"/>
            </w:tcMar>
            <w:vAlign w:val="center"/>
          </w:tcPr>
          <w:p w14:paraId="1C75754E" w14:textId="77777777" w:rsidR="006561BA" w:rsidRDefault="005B4ED6">
            <w:pPr>
              <w:pStyle w:val="AnnexTableCellLeft"/>
              <w:jc w:val="center"/>
            </w:pPr>
            <w:r>
              <w:t>J</w:t>
            </w:r>
          </w:p>
        </w:tc>
        <w:tc>
          <w:tcPr>
            <w:tcW w:w="576" w:type="dxa"/>
            <w:tcMar>
              <w:top w:w="60" w:type="dxa"/>
              <w:bottom w:w="60" w:type="dxa"/>
            </w:tcMar>
            <w:vAlign w:val="center"/>
          </w:tcPr>
          <w:p w14:paraId="6121EC3A" w14:textId="77777777" w:rsidR="006561BA" w:rsidRDefault="005B4ED6">
            <w:pPr>
              <w:pStyle w:val="AnnexTableCellLeft"/>
              <w:jc w:val="center"/>
            </w:pPr>
            <w:r>
              <w:t>J</w:t>
            </w:r>
          </w:p>
        </w:tc>
        <w:tc>
          <w:tcPr>
            <w:tcW w:w="1200" w:type="dxa"/>
            <w:tcMar>
              <w:top w:w="60" w:type="dxa"/>
              <w:bottom w:w="60" w:type="dxa"/>
            </w:tcMar>
            <w:vAlign w:val="center"/>
          </w:tcPr>
          <w:p w14:paraId="6D70646E" w14:textId="77777777" w:rsidR="006561BA" w:rsidRDefault="005B4ED6">
            <w:pPr>
              <w:pStyle w:val="AnnexTableCellLeft"/>
              <w:jc w:val="center"/>
            </w:pPr>
            <w:r>
              <w:t>%</w:t>
            </w:r>
          </w:p>
        </w:tc>
        <w:tc>
          <w:tcPr>
            <w:tcW w:w="804" w:type="dxa"/>
            <w:tcMar>
              <w:top w:w="60" w:type="dxa"/>
              <w:bottom w:w="60" w:type="dxa"/>
            </w:tcMar>
            <w:vAlign w:val="center"/>
          </w:tcPr>
          <w:p w14:paraId="0BC9B75E" w14:textId="77777777" w:rsidR="006561BA" w:rsidRDefault="006561BA">
            <w:pPr>
              <w:pStyle w:val="AnnexTableCellLeft"/>
              <w:jc w:val="center"/>
            </w:pPr>
          </w:p>
        </w:tc>
        <w:tc>
          <w:tcPr>
            <w:tcW w:w="804" w:type="dxa"/>
            <w:tcMar>
              <w:top w:w="60" w:type="dxa"/>
              <w:bottom w:w="60" w:type="dxa"/>
              <w:right w:w="0" w:type="dxa"/>
            </w:tcMar>
            <w:vAlign w:val="center"/>
          </w:tcPr>
          <w:p w14:paraId="548C37BC" w14:textId="77777777" w:rsidR="006561BA" w:rsidRDefault="005B4ED6">
            <w:pPr>
              <w:pStyle w:val="AnnexTableCellLeft"/>
              <w:jc w:val="center"/>
            </w:pPr>
            <w:r>
              <w:t>Omstilling</w:t>
            </w:r>
          </w:p>
        </w:tc>
      </w:tr>
      <w:tr w:rsidR="006561BA" w14:paraId="20060568" w14:textId="77777777">
        <w:tc>
          <w:tcPr>
            <w:tcW w:w="2301" w:type="dxa"/>
            <w:gridSpan w:val="2"/>
            <w:tcMar>
              <w:top w:w="60" w:type="dxa"/>
              <w:left w:w="0" w:type="dxa"/>
              <w:bottom w:w="60" w:type="dxa"/>
            </w:tcMar>
          </w:tcPr>
          <w:p w14:paraId="02B1694F" w14:textId="77777777" w:rsidR="006561BA" w:rsidRDefault="005B4ED6">
            <w:pPr>
              <w:pStyle w:val="AnnexTableCellLeft"/>
            </w:pPr>
            <w:r>
              <w:rPr>
                <w:b/>
              </w:rPr>
              <w:t>Driftsutgifter for miljømessig bærekraftige (taksonomiforenlige) aktiviteter (A.1)</w:t>
            </w:r>
          </w:p>
        </w:tc>
        <w:tc>
          <w:tcPr>
            <w:tcW w:w="804" w:type="dxa"/>
            <w:tcMar>
              <w:top w:w="60" w:type="dxa"/>
              <w:bottom w:w="60" w:type="dxa"/>
            </w:tcMar>
            <w:vAlign w:val="center"/>
          </w:tcPr>
          <w:p w14:paraId="6B21AFD9" w14:textId="77777777" w:rsidR="006561BA" w:rsidRDefault="006561BA">
            <w:pPr>
              <w:pStyle w:val="AnnexTableCellLeft"/>
              <w:jc w:val="center"/>
            </w:pPr>
          </w:p>
        </w:tc>
        <w:tc>
          <w:tcPr>
            <w:tcW w:w="936" w:type="dxa"/>
            <w:tcMar>
              <w:top w:w="60" w:type="dxa"/>
              <w:bottom w:w="60" w:type="dxa"/>
            </w:tcMar>
            <w:vAlign w:val="center"/>
          </w:tcPr>
          <w:p w14:paraId="066401DD" w14:textId="77777777" w:rsidR="006561BA" w:rsidRDefault="005B4ED6">
            <w:pPr>
              <w:pStyle w:val="AnnexTableCellLeft"/>
              <w:jc w:val="center"/>
            </w:pPr>
            <w:r>
              <w:rPr>
                <w:b/>
              </w:rPr>
              <w:t>%</w:t>
            </w:r>
          </w:p>
        </w:tc>
        <w:tc>
          <w:tcPr>
            <w:tcW w:w="574" w:type="dxa"/>
            <w:tcMar>
              <w:top w:w="60" w:type="dxa"/>
              <w:bottom w:w="60" w:type="dxa"/>
            </w:tcMar>
            <w:vAlign w:val="center"/>
          </w:tcPr>
          <w:p w14:paraId="45A8203A" w14:textId="77777777" w:rsidR="006561BA" w:rsidRDefault="005B4ED6">
            <w:pPr>
              <w:pStyle w:val="AnnexTableCellLeft"/>
              <w:jc w:val="center"/>
            </w:pPr>
            <w:r>
              <w:rPr>
                <w:b/>
              </w:rPr>
              <w:t>%</w:t>
            </w:r>
          </w:p>
        </w:tc>
        <w:tc>
          <w:tcPr>
            <w:tcW w:w="574" w:type="dxa"/>
            <w:tcMar>
              <w:top w:w="60" w:type="dxa"/>
              <w:bottom w:w="60" w:type="dxa"/>
            </w:tcMar>
            <w:vAlign w:val="center"/>
          </w:tcPr>
          <w:p w14:paraId="5DE91999" w14:textId="77777777" w:rsidR="006561BA" w:rsidRDefault="005B4ED6">
            <w:pPr>
              <w:pStyle w:val="AnnexTableCellLeft"/>
              <w:jc w:val="center"/>
            </w:pPr>
            <w:r>
              <w:rPr>
                <w:b/>
              </w:rPr>
              <w:t>%</w:t>
            </w:r>
          </w:p>
        </w:tc>
        <w:tc>
          <w:tcPr>
            <w:tcW w:w="574" w:type="dxa"/>
            <w:tcMar>
              <w:top w:w="60" w:type="dxa"/>
              <w:bottom w:w="60" w:type="dxa"/>
            </w:tcMar>
            <w:vAlign w:val="center"/>
          </w:tcPr>
          <w:p w14:paraId="5287FC31" w14:textId="77777777" w:rsidR="006561BA" w:rsidRDefault="005B4ED6">
            <w:pPr>
              <w:pStyle w:val="AnnexTableCellLeft"/>
              <w:jc w:val="center"/>
            </w:pPr>
            <w:r>
              <w:rPr>
                <w:b/>
              </w:rPr>
              <w:t>%</w:t>
            </w:r>
          </w:p>
        </w:tc>
        <w:tc>
          <w:tcPr>
            <w:tcW w:w="574" w:type="dxa"/>
            <w:tcMar>
              <w:top w:w="60" w:type="dxa"/>
              <w:bottom w:w="60" w:type="dxa"/>
            </w:tcMar>
            <w:vAlign w:val="center"/>
          </w:tcPr>
          <w:p w14:paraId="45E2B612" w14:textId="77777777" w:rsidR="006561BA" w:rsidRDefault="005B4ED6">
            <w:pPr>
              <w:pStyle w:val="AnnexTableCellLeft"/>
              <w:jc w:val="center"/>
            </w:pPr>
            <w:r>
              <w:rPr>
                <w:b/>
              </w:rPr>
              <w:t>%</w:t>
            </w:r>
          </w:p>
        </w:tc>
        <w:tc>
          <w:tcPr>
            <w:tcW w:w="575" w:type="dxa"/>
            <w:tcMar>
              <w:top w:w="60" w:type="dxa"/>
              <w:bottom w:w="60" w:type="dxa"/>
            </w:tcMar>
            <w:vAlign w:val="center"/>
          </w:tcPr>
          <w:p w14:paraId="256FBB50" w14:textId="77777777" w:rsidR="006561BA" w:rsidRDefault="005B4ED6">
            <w:pPr>
              <w:pStyle w:val="AnnexTableCellLeft"/>
              <w:jc w:val="center"/>
            </w:pPr>
            <w:r>
              <w:rPr>
                <w:b/>
              </w:rPr>
              <w:t>%</w:t>
            </w:r>
          </w:p>
        </w:tc>
        <w:tc>
          <w:tcPr>
            <w:tcW w:w="574" w:type="dxa"/>
            <w:tcMar>
              <w:top w:w="60" w:type="dxa"/>
              <w:bottom w:w="60" w:type="dxa"/>
            </w:tcMar>
            <w:vAlign w:val="center"/>
          </w:tcPr>
          <w:p w14:paraId="4A71BFAF" w14:textId="77777777" w:rsidR="006561BA" w:rsidRDefault="005B4ED6">
            <w:pPr>
              <w:pStyle w:val="AnnexTableCellLeft"/>
              <w:jc w:val="center"/>
            </w:pPr>
            <w:r>
              <w:rPr>
                <w:b/>
              </w:rPr>
              <w:t>%</w:t>
            </w:r>
          </w:p>
        </w:tc>
        <w:tc>
          <w:tcPr>
            <w:tcW w:w="575" w:type="dxa"/>
            <w:tcMar>
              <w:top w:w="60" w:type="dxa"/>
              <w:bottom w:w="60" w:type="dxa"/>
            </w:tcMar>
            <w:vAlign w:val="center"/>
          </w:tcPr>
          <w:p w14:paraId="08D36B54" w14:textId="77777777" w:rsidR="006561BA" w:rsidRDefault="005B4ED6">
            <w:pPr>
              <w:pStyle w:val="AnnexTableCellLeft"/>
              <w:jc w:val="center"/>
            </w:pPr>
            <w:r>
              <w:rPr>
                <w:b/>
              </w:rPr>
              <w:t>J</w:t>
            </w:r>
          </w:p>
        </w:tc>
        <w:tc>
          <w:tcPr>
            <w:tcW w:w="574" w:type="dxa"/>
            <w:tcMar>
              <w:top w:w="60" w:type="dxa"/>
              <w:bottom w:w="60" w:type="dxa"/>
            </w:tcMar>
            <w:vAlign w:val="center"/>
          </w:tcPr>
          <w:p w14:paraId="31C92552" w14:textId="77777777" w:rsidR="006561BA" w:rsidRDefault="005B4ED6">
            <w:pPr>
              <w:pStyle w:val="AnnexTableCellLeft"/>
              <w:jc w:val="center"/>
            </w:pPr>
            <w:r>
              <w:rPr>
                <w:b/>
              </w:rPr>
              <w:t>J</w:t>
            </w:r>
          </w:p>
        </w:tc>
        <w:tc>
          <w:tcPr>
            <w:tcW w:w="575" w:type="dxa"/>
            <w:tcMar>
              <w:top w:w="60" w:type="dxa"/>
              <w:bottom w:w="60" w:type="dxa"/>
            </w:tcMar>
            <w:vAlign w:val="center"/>
          </w:tcPr>
          <w:p w14:paraId="0CA99049" w14:textId="77777777" w:rsidR="006561BA" w:rsidRDefault="005B4ED6">
            <w:pPr>
              <w:pStyle w:val="AnnexTableCellLeft"/>
              <w:jc w:val="center"/>
            </w:pPr>
            <w:r>
              <w:rPr>
                <w:b/>
              </w:rPr>
              <w:t>J</w:t>
            </w:r>
          </w:p>
        </w:tc>
        <w:tc>
          <w:tcPr>
            <w:tcW w:w="574" w:type="dxa"/>
            <w:tcMar>
              <w:top w:w="60" w:type="dxa"/>
              <w:bottom w:w="60" w:type="dxa"/>
            </w:tcMar>
            <w:vAlign w:val="center"/>
          </w:tcPr>
          <w:p w14:paraId="6010FDA9" w14:textId="77777777" w:rsidR="006561BA" w:rsidRDefault="005B4ED6">
            <w:pPr>
              <w:pStyle w:val="AnnexTableCellLeft"/>
              <w:jc w:val="center"/>
            </w:pPr>
            <w:r>
              <w:rPr>
                <w:b/>
              </w:rPr>
              <w:t>J</w:t>
            </w:r>
          </w:p>
        </w:tc>
        <w:tc>
          <w:tcPr>
            <w:tcW w:w="574" w:type="dxa"/>
            <w:tcMar>
              <w:top w:w="60" w:type="dxa"/>
              <w:bottom w:w="60" w:type="dxa"/>
            </w:tcMar>
            <w:vAlign w:val="center"/>
          </w:tcPr>
          <w:p w14:paraId="06E01EA1" w14:textId="77777777" w:rsidR="006561BA" w:rsidRDefault="005B4ED6">
            <w:pPr>
              <w:pStyle w:val="AnnexTableCellLeft"/>
              <w:jc w:val="center"/>
            </w:pPr>
            <w:r>
              <w:rPr>
                <w:b/>
              </w:rPr>
              <w:t>J</w:t>
            </w:r>
          </w:p>
        </w:tc>
        <w:tc>
          <w:tcPr>
            <w:tcW w:w="574" w:type="dxa"/>
            <w:tcMar>
              <w:top w:w="60" w:type="dxa"/>
              <w:bottom w:w="60" w:type="dxa"/>
            </w:tcMar>
            <w:vAlign w:val="center"/>
          </w:tcPr>
          <w:p w14:paraId="5F03BEFC" w14:textId="77777777" w:rsidR="006561BA" w:rsidRDefault="005B4ED6">
            <w:pPr>
              <w:pStyle w:val="AnnexTableCellLeft"/>
              <w:jc w:val="center"/>
            </w:pPr>
            <w:r>
              <w:rPr>
                <w:b/>
              </w:rPr>
              <w:t>J</w:t>
            </w:r>
          </w:p>
        </w:tc>
        <w:tc>
          <w:tcPr>
            <w:tcW w:w="576" w:type="dxa"/>
            <w:tcMar>
              <w:top w:w="60" w:type="dxa"/>
              <w:bottom w:w="60" w:type="dxa"/>
            </w:tcMar>
            <w:vAlign w:val="center"/>
          </w:tcPr>
          <w:p w14:paraId="2DC2A1BD" w14:textId="77777777" w:rsidR="006561BA" w:rsidRDefault="005B4ED6">
            <w:pPr>
              <w:pStyle w:val="AnnexTableCellLeft"/>
              <w:jc w:val="center"/>
            </w:pPr>
            <w:r>
              <w:rPr>
                <w:b/>
              </w:rPr>
              <w:t>J</w:t>
            </w:r>
          </w:p>
        </w:tc>
        <w:tc>
          <w:tcPr>
            <w:tcW w:w="1200" w:type="dxa"/>
            <w:tcMar>
              <w:top w:w="60" w:type="dxa"/>
              <w:bottom w:w="60" w:type="dxa"/>
            </w:tcMar>
            <w:vAlign w:val="center"/>
          </w:tcPr>
          <w:p w14:paraId="1EC3A17C" w14:textId="77777777" w:rsidR="006561BA" w:rsidRDefault="005B4ED6">
            <w:pPr>
              <w:pStyle w:val="AnnexTableCellLeft"/>
              <w:jc w:val="center"/>
            </w:pPr>
            <w:r>
              <w:rPr>
                <w:b/>
              </w:rPr>
              <w:t>%</w:t>
            </w:r>
          </w:p>
        </w:tc>
        <w:tc>
          <w:tcPr>
            <w:tcW w:w="804" w:type="dxa"/>
            <w:shd w:val="clear" w:color="auto" w:fill="000000" w:themeFill="text1"/>
            <w:tcMar>
              <w:top w:w="60" w:type="dxa"/>
              <w:bottom w:w="60" w:type="dxa"/>
            </w:tcMar>
            <w:vAlign w:val="center"/>
          </w:tcPr>
          <w:p w14:paraId="5216D302" w14:textId="77777777" w:rsidR="006561BA" w:rsidRDefault="006561BA">
            <w:pPr>
              <w:pStyle w:val="AnnexTableCellLeft"/>
              <w:jc w:val="center"/>
            </w:pPr>
          </w:p>
        </w:tc>
        <w:tc>
          <w:tcPr>
            <w:tcW w:w="804" w:type="dxa"/>
            <w:shd w:val="clear" w:color="auto" w:fill="000000" w:themeFill="text1"/>
            <w:tcMar>
              <w:top w:w="60" w:type="dxa"/>
              <w:bottom w:w="60" w:type="dxa"/>
              <w:right w:w="0" w:type="dxa"/>
            </w:tcMar>
            <w:vAlign w:val="center"/>
          </w:tcPr>
          <w:p w14:paraId="50A9E012" w14:textId="77777777" w:rsidR="006561BA" w:rsidRDefault="006561BA">
            <w:pPr>
              <w:pStyle w:val="AnnexTableCellLeft"/>
              <w:jc w:val="center"/>
            </w:pPr>
          </w:p>
        </w:tc>
      </w:tr>
      <w:tr w:rsidR="006561BA" w14:paraId="152962C7" w14:textId="77777777">
        <w:tc>
          <w:tcPr>
            <w:tcW w:w="2301" w:type="dxa"/>
            <w:gridSpan w:val="2"/>
            <w:tcMar>
              <w:top w:w="60" w:type="dxa"/>
              <w:left w:w="0" w:type="dxa"/>
              <w:bottom w:w="60" w:type="dxa"/>
            </w:tcMar>
          </w:tcPr>
          <w:p w14:paraId="220A2BB8" w14:textId="77777777" w:rsidR="006561BA" w:rsidRDefault="005B4ED6">
            <w:pPr>
              <w:pStyle w:val="AnnexTableCellLeft"/>
              <w:jc w:val="right"/>
            </w:pPr>
            <w:r>
              <w:rPr>
                <w:b/>
              </w:rPr>
              <w:t>Hvorav muliggjørende</w:t>
            </w:r>
          </w:p>
        </w:tc>
        <w:tc>
          <w:tcPr>
            <w:tcW w:w="804" w:type="dxa"/>
            <w:tcMar>
              <w:top w:w="60" w:type="dxa"/>
              <w:bottom w:w="60" w:type="dxa"/>
            </w:tcMar>
            <w:vAlign w:val="center"/>
          </w:tcPr>
          <w:p w14:paraId="7B3BE983" w14:textId="77777777" w:rsidR="006561BA" w:rsidRDefault="006561BA">
            <w:pPr>
              <w:pStyle w:val="AnnexTableCellLeft"/>
              <w:jc w:val="center"/>
            </w:pPr>
          </w:p>
        </w:tc>
        <w:tc>
          <w:tcPr>
            <w:tcW w:w="936" w:type="dxa"/>
            <w:tcMar>
              <w:top w:w="60" w:type="dxa"/>
              <w:bottom w:w="60" w:type="dxa"/>
            </w:tcMar>
            <w:vAlign w:val="center"/>
          </w:tcPr>
          <w:p w14:paraId="447A4538" w14:textId="77777777" w:rsidR="006561BA" w:rsidRDefault="005B4ED6">
            <w:pPr>
              <w:pStyle w:val="AnnexTableCellLeft"/>
              <w:jc w:val="center"/>
            </w:pPr>
            <w:r>
              <w:t>%</w:t>
            </w:r>
          </w:p>
        </w:tc>
        <w:tc>
          <w:tcPr>
            <w:tcW w:w="574" w:type="dxa"/>
            <w:tcMar>
              <w:top w:w="60" w:type="dxa"/>
              <w:bottom w:w="60" w:type="dxa"/>
            </w:tcMar>
            <w:vAlign w:val="center"/>
          </w:tcPr>
          <w:p w14:paraId="21BE4E49" w14:textId="77777777" w:rsidR="006561BA" w:rsidRDefault="005B4ED6">
            <w:pPr>
              <w:pStyle w:val="AnnexTableCellLeft"/>
              <w:jc w:val="center"/>
            </w:pPr>
            <w:r>
              <w:t>%</w:t>
            </w:r>
          </w:p>
        </w:tc>
        <w:tc>
          <w:tcPr>
            <w:tcW w:w="574" w:type="dxa"/>
            <w:tcMar>
              <w:top w:w="60" w:type="dxa"/>
              <w:bottom w:w="60" w:type="dxa"/>
            </w:tcMar>
            <w:vAlign w:val="center"/>
          </w:tcPr>
          <w:p w14:paraId="1CCE114D" w14:textId="77777777" w:rsidR="006561BA" w:rsidRDefault="005B4ED6">
            <w:pPr>
              <w:pStyle w:val="AnnexTableCellLeft"/>
              <w:jc w:val="center"/>
            </w:pPr>
            <w:r>
              <w:t>%</w:t>
            </w:r>
          </w:p>
        </w:tc>
        <w:tc>
          <w:tcPr>
            <w:tcW w:w="574" w:type="dxa"/>
            <w:tcMar>
              <w:top w:w="60" w:type="dxa"/>
              <w:bottom w:w="60" w:type="dxa"/>
            </w:tcMar>
            <w:vAlign w:val="center"/>
          </w:tcPr>
          <w:p w14:paraId="287A7517" w14:textId="77777777" w:rsidR="006561BA" w:rsidRDefault="005B4ED6">
            <w:pPr>
              <w:pStyle w:val="AnnexTableCellLeft"/>
              <w:jc w:val="center"/>
            </w:pPr>
            <w:r>
              <w:t>%</w:t>
            </w:r>
          </w:p>
        </w:tc>
        <w:tc>
          <w:tcPr>
            <w:tcW w:w="574" w:type="dxa"/>
            <w:tcMar>
              <w:top w:w="60" w:type="dxa"/>
              <w:bottom w:w="60" w:type="dxa"/>
            </w:tcMar>
            <w:vAlign w:val="center"/>
          </w:tcPr>
          <w:p w14:paraId="7CEABD15" w14:textId="77777777" w:rsidR="006561BA" w:rsidRDefault="005B4ED6">
            <w:pPr>
              <w:pStyle w:val="AnnexTableCellLeft"/>
              <w:jc w:val="center"/>
            </w:pPr>
            <w:r>
              <w:t>%</w:t>
            </w:r>
          </w:p>
        </w:tc>
        <w:tc>
          <w:tcPr>
            <w:tcW w:w="575" w:type="dxa"/>
            <w:tcMar>
              <w:top w:w="60" w:type="dxa"/>
              <w:bottom w:w="60" w:type="dxa"/>
            </w:tcMar>
            <w:vAlign w:val="center"/>
          </w:tcPr>
          <w:p w14:paraId="5464C4A4" w14:textId="77777777" w:rsidR="006561BA" w:rsidRDefault="005B4ED6">
            <w:pPr>
              <w:pStyle w:val="AnnexTableCellLeft"/>
              <w:jc w:val="center"/>
            </w:pPr>
            <w:r>
              <w:t>%</w:t>
            </w:r>
          </w:p>
        </w:tc>
        <w:tc>
          <w:tcPr>
            <w:tcW w:w="574" w:type="dxa"/>
            <w:tcMar>
              <w:top w:w="60" w:type="dxa"/>
              <w:bottom w:w="60" w:type="dxa"/>
            </w:tcMar>
            <w:vAlign w:val="center"/>
          </w:tcPr>
          <w:p w14:paraId="38D8A4B7" w14:textId="77777777" w:rsidR="006561BA" w:rsidRDefault="005B4ED6">
            <w:pPr>
              <w:pStyle w:val="AnnexTableCellLeft"/>
              <w:jc w:val="center"/>
            </w:pPr>
            <w:r>
              <w:t>%</w:t>
            </w:r>
          </w:p>
        </w:tc>
        <w:tc>
          <w:tcPr>
            <w:tcW w:w="575" w:type="dxa"/>
            <w:tcMar>
              <w:top w:w="60" w:type="dxa"/>
              <w:bottom w:w="60" w:type="dxa"/>
            </w:tcMar>
            <w:vAlign w:val="center"/>
          </w:tcPr>
          <w:p w14:paraId="6A33D1DA" w14:textId="77777777" w:rsidR="006561BA" w:rsidRDefault="005B4ED6">
            <w:pPr>
              <w:pStyle w:val="AnnexTableCellLeft"/>
              <w:jc w:val="center"/>
            </w:pPr>
            <w:r>
              <w:t>J</w:t>
            </w:r>
          </w:p>
        </w:tc>
        <w:tc>
          <w:tcPr>
            <w:tcW w:w="574" w:type="dxa"/>
            <w:tcMar>
              <w:top w:w="60" w:type="dxa"/>
              <w:bottom w:w="60" w:type="dxa"/>
            </w:tcMar>
            <w:vAlign w:val="center"/>
          </w:tcPr>
          <w:p w14:paraId="61067C13" w14:textId="77777777" w:rsidR="006561BA" w:rsidRDefault="005B4ED6">
            <w:pPr>
              <w:pStyle w:val="AnnexTableCellLeft"/>
              <w:jc w:val="center"/>
            </w:pPr>
            <w:r>
              <w:t>J</w:t>
            </w:r>
          </w:p>
        </w:tc>
        <w:tc>
          <w:tcPr>
            <w:tcW w:w="575" w:type="dxa"/>
            <w:tcMar>
              <w:top w:w="60" w:type="dxa"/>
              <w:bottom w:w="60" w:type="dxa"/>
            </w:tcMar>
            <w:vAlign w:val="center"/>
          </w:tcPr>
          <w:p w14:paraId="50D2C39C" w14:textId="77777777" w:rsidR="006561BA" w:rsidRDefault="005B4ED6">
            <w:pPr>
              <w:pStyle w:val="AnnexTableCellLeft"/>
              <w:jc w:val="center"/>
            </w:pPr>
            <w:r>
              <w:t>J</w:t>
            </w:r>
          </w:p>
        </w:tc>
        <w:tc>
          <w:tcPr>
            <w:tcW w:w="574" w:type="dxa"/>
            <w:tcMar>
              <w:top w:w="60" w:type="dxa"/>
              <w:bottom w:w="60" w:type="dxa"/>
            </w:tcMar>
            <w:vAlign w:val="center"/>
          </w:tcPr>
          <w:p w14:paraId="40A7284A" w14:textId="77777777" w:rsidR="006561BA" w:rsidRDefault="005B4ED6">
            <w:pPr>
              <w:pStyle w:val="AnnexTableCellLeft"/>
              <w:jc w:val="center"/>
            </w:pPr>
            <w:r>
              <w:t>J</w:t>
            </w:r>
          </w:p>
        </w:tc>
        <w:tc>
          <w:tcPr>
            <w:tcW w:w="574" w:type="dxa"/>
            <w:tcMar>
              <w:top w:w="60" w:type="dxa"/>
              <w:bottom w:w="60" w:type="dxa"/>
            </w:tcMar>
            <w:vAlign w:val="center"/>
          </w:tcPr>
          <w:p w14:paraId="67C178F2" w14:textId="77777777" w:rsidR="006561BA" w:rsidRDefault="005B4ED6">
            <w:pPr>
              <w:pStyle w:val="AnnexTableCellLeft"/>
              <w:jc w:val="center"/>
            </w:pPr>
            <w:r>
              <w:t>J</w:t>
            </w:r>
          </w:p>
        </w:tc>
        <w:tc>
          <w:tcPr>
            <w:tcW w:w="574" w:type="dxa"/>
            <w:tcMar>
              <w:top w:w="60" w:type="dxa"/>
              <w:bottom w:w="60" w:type="dxa"/>
            </w:tcMar>
            <w:vAlign w:val="center"/>
          </w:tcPr>
          <w:p w14:paraId="0449C27F" w14:textId="77777777" w:rsidR="006561BA" w:rsidRDefault="005B4ED6">
            <w:pPr>
              <w:pStyle w:val="AnnexTableCellLeft"/>
              <w:jc w:val="center"/>
            </w:pPr>
            <w:r>
              <w:t>J</w:t>
            </w:r>
          </w:p>
        </w:tc>
        <w:tc>
          <w:tcPr>
            <w:tcW w:w="576" w:type="dxa"/>
            <w:tcMar>
              <w:top w:w="60" w:type="dxa"/>
              <w:bottom w:w="60" w:type="dxa"/>
            </w:tcMar>
            <w:vAlign w:val="center"/>
          </w:tcPr>
          <w:p w14:paraId="1CB728CD" w14:textId="77777777" w:rsidR="006561BA" w:rsidRDefault="005B4ED6">
            <w:pPr>
              <w:pStyle w:val="AnnexTableCellLeft"/>
              <w:jc w:val="center"/>
            </w:pPr>
            <w:r>
              <w:t>J</w:t>
            </w:r>
          </w:p>
        </w:tc>
        <w:tc>
          <w:tcPr>
            <w:tcW w:w="1200" w:type="dxa"/>
            <w:tcMar>
              <w:top w:w="60" w:type="dxa"/>
              <w:bottom w:w="60" w:type="dxa"/>
            </w:tcMar>
            <w:vAlign w:val="center"/>
          </w:tcPr>
          <w:p w14:paraId="39A50FD3" w14:textId="77777777" w:rsidR="006561BA" w:rsidRDefault="005B4ED6">
            <w:pPr>
              <w:pStyle w:val="AnnexTableCellLeft"/>
              <w:jc w:val="center"/>
            </w:pPr>
            <w:r>
              <w:t>%</w:t>
            </w:r>
          </w:p>
        </w:tc>
        <w:tc>
          <w:tcPr>
            <w:tcW w:w="804" w:type="dxa"/>
            <w:tcMar>
              <w:top w:w="60" w:type="dxa"/>
              <w:bottom w:w="60" w:type="dxa"/>
            </w:tcMar>
            <w:vAlign w:val="center"/>
          </w:tcPr>
          <w:p w14:paraId="0C5CD2D8" w14:textId="77777777" w:rsidR="006561BA" w:rsidRDefault="005B4ED6">
            <w:pPr>
              <w:pStyle w:val="AnnexTableCellLeft"/>
              <w:jc w:val="center"/>
            </w:pPr>
            <w:r>
              <w:t>Muliggjørende</w:t>
            </w:r>
          </w:p>
        </w:tc>
        <w:tc>
          <w:tcPr>
            <w:tcW w:w="804" w:type="dxa"/>
            <w:shd w:val="clear" w:color="auto" w:fill="000000" w:themeFill="text1"/>
            <w:tcMar>
              <w:top w:w="60" w:type="dxa"/>
              <w:bottom w:w="60" w:type="dxa"/>
              <w:right w:w="0" w:type="dxa"/>
            </w:tcMar>
            <w:vAlign w:val="center"/>
          </w:tcPr>
          <w:p w14:paraId="60115CFE" w14:textId="77777777" w:rsidR="006561BA" w:rsidRDefault="006561BA">
            <w:pPr>
              <w:pStyle w:val="AnnexTableCellLeft"/>
              <w:jc w:val="center"/>
            </w:pPr>
          </w:p>
        </w:tc>
      </w:tr>
      <w:tr w:rsidR="006561BA" w14:paraId="72BB69A1" w14:textId="77777777">
        <w:tc>
          <w:tcPr>
            <w:tcW w:w="2301" w:type="dxa"/>
            <w:gridSpan w:val="2"/>
            <w:tcMar>
              <w:top w:w="60" w:type="dxa"/>
              <w:left w:w="0" w:type="dxa"/>
              <w:bottom w:w="60" w:type="dxa"/>
            </w:tcMar>
          </w:tcPr>
          <w:p w14:paraId="6FBF3259" w14:textId="77777777" w:rsidR="006561BA" w:rsidRDefault="005B4ED6">
            <w:pPr>
              <w:pStyle w:val="AnnexTableCellLeft"/>
              <w:jc w:val="right"/>
            </w:pPr>
            <w:r>
              <w:rPr>
                <w:b/>
              </w:rPr>
              <w:t>Hvorav omstilling</w:t>
            </w:r>
          </w:p>
        </w:tc>
        <w:tc>
          <w:tcPr>
            <w:tcW w:w="804" w:type="dxa"/>
            <w:tcMar>
              <w:top w:w="60" w:type="dxa"/>
              <w:bottom w:w="60" w:type="dxa"/>
            </w:tcMar>
            <w:vAlign w:val="center"/>
          </w:tcPr>
          <w:p w14:paraId="14FB7A2B" w14:textId="77777777" w:rsidR="006561BA" w:rsidRDefault="006561BA">
            <w:pPr>
              <w:pStyle w:val="AnnexTableCellLeft"/>
              <w:jc w:val="center"/>
            </w:pPr>
          </w:p>
        </w:tc>
        <w:tc>
          <w:tcPr>
            <w:tcW w:w="936" w:type="dxa"/>
            <w:tcMar>
              <w:top w:w="60" w:type="dxa"/>
              <w:bottom w:w="60" w:type="dxa"/>
            </w:tcMar>
            <w:vAlign w:val="center"/>
          </w:tcPr>
          <w:p w14:paraId="0E8A8496" w14:textId="77777777" w:rsidR="006561BA" w:rsidRDefault="005B4ED6">
            <w:pPr>
              <w:pStyle w:val="AnnexTableCellLeft"/>
              <w:jc w:val="center"/>
            </w:pPr>
            <w:r>
              <w:t>%</w:t>
            </w:r>
          </w:p>
        </w:tc>
        <w:tc>
          <w:tcPr>
            <w:tcW w:w="574" w:type="dxa"/>
            <w:tcMar>
              <w:top w:w="60" w:type="dxa"/>
              <w:bottom w:w="60" w:type="dxa"/>
            </w:tcMar>
            <w:vAlign w:val="center"/>
          </w:tcPr>
          <w:p w14:paraId="730D3479" w14:textId="77777777" w:rsidR="006561BA" w:rsidRDefault="005B4ED6">
            <w:pPr>
              <w:pStyle w:val="AnnexTableCellLeft"/>
              <w:jc w:val="center"/>
            </w:pPr>
            <w:r>
              <w:t>%</w:t>
            </w:r>
          </w:p>
        </w:tc>
        <w:tc>
          <w:tcPr>
            <w:tcW w:w="574" w:type="dxa"/>
            <w:shd w:val="clear" w:color="auto" w:fill="000000" w:themeFill="text1"/>
            <w:tcMar>
              <w:top w:w="60" w:type="dxa"/>
              <w:bottom w:w="60" w:type="dxa"/>
            </w:tcMar>
            <w:vAlign w:val="center"/>
          </w:tcPr>
          <w:p w14:paraId="5CA2F8D2" w14:textId="77777777" w:rsidR="006561BA" w:rsidRDefault="006561BA">
            <w:pPr>
              <w:pStyle w:val="AnnexTableCellLeft"/>
              <w:jc w:val="center"/>
            </w:pPr>
          </w:p>
        </w:tc>
        <w:tc>
          <w:tcPr>
            <w:tcW w:w="574" w:type="dxa"/>
            <w:shd w:val="clear" w:color="auto" w:fill="000000" w:themeFill="text1"/>
            <w:tcMar>
              <w:top w:w="60" w:type="dxa"/>
              <w:bottom w:w="60" w:type="dxa"/>
            </w:tcMar>
            <w:vAlign w:val="center"/>
          </w:tcPr>
          <w:p w14:paraId="73307BA9" w14:textId="77777777" w:rsidR="006561BA" w:rsidRDefault="006561BA">
            <w:pPr>
              <w:pStyle w:val="AnnexTableCellLeft"/>
              <w:jc w:val="center"/>
            </w:pPr>
          </w:p>
        </w:tc>
        <w:tc>
          <w:tcPr>
            <w:tcW w:w="574" w:type="dxa"/>
            <w:shd w:val="clear" w:color="auto" w:fill="000000" w:themeFill="text1"/>
            <w:tcMar>
              <w:top w:w="60" w:type="dxa"/>
              <w:bottom w:w="60" w:type="dxa"/>
            </w:tcMar>
            <w:vAlign w:val="center"/>
          </w:tcPr>
          <w:p w14:paraId="2604E766" w14:textId="77777777" w:rsidR="006561BA" w:rsidRDefault="006561BA">
            <w:pPr>
              <w:pStyle w:val="AnnexTableCellLeft"/>
              <w:jc w:val="center"/>
            </w:pPr>
          </w:p>
        </w:tc>
        <w:tc>
          <w:tcPr>
            <w:tcW w:w="575" w:type="dxa"/>
            <w:shd w:val="clear" w:color="auto" w:fill="000000" w:themeFill="text1"/>
            <w:tcMar>
              <w:top w:w="60" w:type="dxa"/>
              <w:bottom w:w="60" w:type="dxa"/>
            </w:tcMar>
            <w:vAlign w:val="center"/>
          </w:tcPr>
          <w:p w14:paraId="252E0833" w14:textId="77777777" w:rsidR="006561BA" w:rsidRDefault="006561BA">
            <w:pPr>
              <w:pStyle w:val="AnnexTableCellLeft"/>
              <w:jc w:val="center"/>
            </w:pPr>
          </w:p>
        </w:tc>
        <w:tc>
          <w:tcPr>
            <w:tcW w:w="574" w:type="dxa"/>
            <w:shd w:val="clear" w:color="auto" w:fill="000000" w:themeFill="text1"/>
            <w:tcMar>
              <w:top w:w="60" w:type="dxa"/>
              <w:bottom w:w="60" w:type="dxa"/>
            </w:tcMar>
            <w:vAlign w:val="center"/>
          </w:tcPr>
          <w:p w14:paraId="71FD65B0" w14:textId="77777777" w:rsidR="006561BA" w:rsidRDefault="006561BA">
            <w:pPr>
              <w:pStyle w:val="AnnexTableCellLeft"/>
              <w:jc w:val="center"/>
            </w:pPr>
          </w:p>
        </w:tc>
        <w:tc>
          <w:tcPr>
            <w:tcW w:w="575" w:type="dxa"/>
            <w:tcMar>
              <w:top w:w="60" w:type="dxa"/>
              <w:bottom w:w="60" w:type="dxa"/>
            </w:tcMar>
            <w:vAlign w:val="center"/>
          </w:tcPr>
          <w:p w14:paraId="213316FD" w14:textId="77777777" w:rsidR="006561BA" w:rsidRDefault="005B4ED6">
            <w:pPr>
              <w:pStyle w:val="AnnexTableCellLeft"/>
              <w:jc w:val="center"/>
            </w:pPr>
            <w:r>
              <w:t>J</w:t>
            </w:r>
          </w:p>
        </w:tc>
        <w:tc>
          <w:tcPr>
            <w:tcW w:w="574" w:type="dxa"/>
            <w:tcMar>
              <w:top w:w="60" w:type="dxa"/>
              <w:bottom w:w="60" w:type="dxa"/>
            </w:tcMar>
            <w:vAlign w:val="center"/>
          </w:tcPr>
          <w:p w14:paraId="400599BD" w14:textId="77777777" w:rsidR="006561BA" w:rsidRDefault="005B4ED6">
            <w:pPr>
              <w:pStyle w:val="AnnexTableCellLeft"/>
              <w:jc w:val="center"/>
            </w:pPr>
            <w:r>
              <w:t>J</w:t>
            </w:r>
          </w:p>
        </w:tc>
        <w:tc>
          <w:tcPr>
            <w:tcW w:w="575" w:type="dxa"/>
            <w:tcMar>
              <w:top w:w="60" w:type="dxa"/>
              <w:bottom w:w="60" w:type="dxa"/>
            </w:tcMar>
            <w:vAlign w:val="center"/>
          </w:tcPr>
          <w:p w14:paraId="31E7B97C" w14:textId="77777777" w:rsidR="006561BA" w:rsidRDefault="005B4ED6">
            <w:pPr>
              <w:pStyle w:val="AnnexTableCellLeft"/>
              <w:jc w:val="center"/>
            </w:pPr>
            <w:r>
              <w:t>J</w:t>
            </w:r>
          </w:p>
        </w:tc>
        <w:tc>
          <w:tcPr>
            <w:tcW w:w="574" w:type="dxa"/>
            <w:tcMar>
              <w:top w:w="60" w:type="dxa"/>
              <w:bottom w:w="60" w:type="dxa"/>
            </w:tcMar>
            <w:vAlign w:val="center"/>
          </w:tcPr>
          <w:p w14:paraId="21C38B03" w14:textId="77777777" w:rsidR="006561BA" w:rsidRDefault="005B4ED6">
            <w:pPr>
              <w:pStyle w:val="AnnexTableCellLeft"/>
              <w:jc w:val="center"/>
            </w:pPr>
            <w:r>
              <w:t>J</w:t>
            </w:r>
          </w:p>
        </w:tc>
        <w:tc>
          <w:tcPr>
            <w:tcW w:w="574" w:type="dxa"/>
            <w:tcMar>
              <w:top w:w="60" w:type="dxa"/>
              <w:bottom w:w="60" w:type="dxa"/>
            </w:tcMar>
            <w:vAlign w:val="center"/>
          </w:tcPr>
          <w:p w14:paraId="65B8B812" w14:textId="77777777" w:rsidR="006561BA" w:rsidRDefault="005B4ED6">
            <w:pPr>
              <w:pStyle w:val="AnnexTableCellLeft"/>
              <w:jc w:val="center"/>
            </w:pPr>
            <w:r>
              <w:t>J</w:t>
            </w:r>
          </w:p>
        </w:tc>
        <w:tc>
          <w:tcPr>
            <w:tcW w:w="574" w:type="dxa"/>
            <w:tcMar>
              <w:top w:w="60" w:type="dxa"/>
              <w:bottom w:w="60" w:type="dxa"/>
            </w:tcMar>
            <w:vAlign w:val="center"/>
          </w:tcPr>
          <w:p w14:paraId="7A7A7D67" w14:textId="77777777" w:rsidR="006561BA" w:rsidRDefault="005B4ED6">
            <w:pPr>
              <w:pStyle w:val="AnnexTableCellLeft"/>
              <w:jc w:val="center"/>
            </w:pPr>
            <w:r>
              <w:t>J</w:t>
            </w:r>
          </w:p>
        </w:tc>
        <w:tc>
          <w:tcPr>
            <w:tcW w:w="576" w:type="dxa"/>
            <w:tcMar>
              <w:top w:w="60" w:type="dxa"/>
              <w:bottom w:w="60" w:type="dxa"/>
            </w:tcMar>
            <w:vAlign w:val="center"/>
          </w:tcPr>
          <w:p w14:paraId="4829C3B7" w14:textId="77777777" w:rsidR="006561BA" w:rsidRDefault="005B4ED6">
            <w:pPr>
              <w:pStyle w:val="AnnexTableCellLeft"/>
              <w:jc w:val="center"/>
            </w:pPr>
            <w:r>
              <w:t>J</w:t>
            </w:r>
          </w:p>
        </w:tc>
        <w:tc>
          <w:tcPr>
            <w:tcW w:w="1200" w:type="dxa"/>
            <w:tcMar>
              <w:top w:w="60" w:type="dxa"/>
              <w:bottom w:w="60" w:type="dxa"/>
            </w:tcMar>
            <w:vAlign w:val="center"/>
          </w:tcPr>
          <w:p w14:paraId="05462185" w14:textId="77777777" w:rsidR="006561BA" w:rsidRDefault="005B4ED6">
            <w:pPr>
              <w:pStyle w:val="AnnexTableCellLeft"/>
              <w:jc w:val="center"/>
            </w:pPr>
            <w:r>
              <w:t>%</w:t>
            </w:r>
          </w:p>
        </w:tc>
        <w:tc>
          <w:tcPr>
            <w:tcW w:w="804" w:type="dxa"/>
            <w:shd w:val="clear" w:color="auto" w:fill="000000" w:themeFill="text1"/>
            <w:tcMar>
              <w:top w:w="60" w:type="dxa"/>
              <w:bottom w:w="60" w:type="dxa"/>
            </w:tcMar>
            <w:vAlign w:val="center"/>
          </w:tcPr>
          <w:p w14:paraId="6E809D37" w14:textId="77777777" w:rsidR="006561BA" w:rsidRDefault="006561BA">
            <w:pPr>
              <w:pStyle w:val="AnnexTableCellLeft"/>
              <w:jc w:val="center"/>
            </w:pPr>
          </w:p>
        </w:tc>
        <w:tc>
          <w:tcPr>
            <w:tcW w:w="804" w:type="dxa"/>
            <w:tcMar>
              <w:top w:w="60" w:type="dxa"/>
              <w:bottom w:w="60" w:type="dxa"/>
              <w:right w:w="0" w:type="dxa"/>
            </w:tcMar>
            <w:vAlign w:val="center"/>
          </w:tcPr>
          <w:p w14:paraId="571C4622" w14:textId="77777777" w:rsidR="006561BA" w:rsidRDefault="005B4ED6">
            <w:pPr>
              <w:pStyle w:val="AnnexTableCellLeft"/>
              <w:jc w:val="center"/>
            </w:pPr>
            <w:r>
              <w:t>Omstilling</w:t>
            </w:r>
          </w:p>
        </w:tc>
      </w:tr>
      <w:tr w:rsidR="006561BA" w14:paraId="412E5E92" w14:textId="77777777">
        <w:tc>
          <w:tcPr>
            <w:tcW w:w="14316" w:type="dxa"/>
            <w:gridSpan w:val="20"/>
            <w:tcMar>
              <w:top w:w="60" w:type="dxa"/>
              <w:left w:w="0" w:type="dxa"/>
              <w:bottom w:w="60" w:type="dxa"/>
              <w:right w:w="0" w:type="dxa"/>
            </w:tcMar>
          </w:tcPr>
          <w:p w14:paraId="1AD0392E" w14:textId="4689978F" w:rsidR="006561BA" w:rsidRDefault="005B4ED6" w:rsidP="00980A19">
            <w:pPr>
              <w:pStyle w:val="AnnexNumberedText"/>
              <w:spacing w:after="0"/>
              <w:ind w:left="454" w:hanging="454"/>
            </w:pPr>
            <w:r>
              <w:t>A.2.</w:t>
            </w:r>
            <w:r>
              <w:rPr>
                <w:b/>
              </w:rPr>
              <w:tab/>
              <w:t>Aktiviteter som er omfattet av taksonomien, men som ikke er miljømessig bærekraftige (ikke taksonomiforenlige aktiviteter)</w:t>
            </w:r>
            <w:r w:rsidR="00AF360D">
              <w:rPr>
                <w:b/>
              </w:rPr>
              <w:t xml:space="preserve"> </w:t>
            </w:r>
            <w:r>
              <w:t>(</w:t>
            </w:r>
            <w:r>
              <w:fldChar w:fldCharType="begin"/>
            </w:r>
            <w:r>
              <w:instrText xml:space="preserve"> REF NOTE_419 \h  \* MERGEFORMAT </w:instrText>
            </w:r>
            <w:r>
              <w:fldChar w:fldCharType="separate"/>
            </w:r>
            <w:r w:rsidR="00770AA2">
              <w:rPr>
                <w:vertAlign w:val="superscript"/>
              </w:rPr>
              <w:t>f</w:t>
            </w:r>
            <w:r>
              <w:fldChar w:fldCharType="end"/>
            </w:r>
            <w:r>
              <w:t>)</w:t>
            </w:r>
          </w:p>
        </w:tc>
      </w:tr>
      <w:tr w:rsidR="006561BA" w14:paraId="3425377E" w14:textId="77777777">
        <w:tc>
          <w:tcPr>
            <w:tcW w:w="4041" w:type="dxa"/>
            <w:gridSpan w:val="4"/>
            <w:tcMar>
              <w:top w:w="60" w:type="dxa"/>
              <w:left w:w="0" w:type="dxa"/>
              <w:bottom w:w="60" w:type="dxa"/>
            </w:tcMar>
          </w:tcPr>
          <w:p w14:paraId="2AEEDE1B" w14:textId="77777777" w:rsidR="006561BA" w:rsidRDefault="006561BA">
            <w:pPr>
              <w:pStyle w:val="AnnexTableCellLeft"/>
            </w:pPr>
          </w:p>
        </w:tc>
        <w:tc>
          <w:tcPr>
            <w:tcW w:w="574" w:type="dxa"/>
            <w:tcMar>
              <w:top w:w="60" w:type="dxa"/>
              <w:bottom w:w="60" w:type="dxa"/>
            </w:tcMar>
            <w:vAlign w:val="center"/>
          </w:tcPr>
          <w:p w14:paraId="28CB8E32" w14:textId="6DD5B252" w:rsidR="006561BA" w:rsidRDefault="005B4ED6">
            <w:pPr>
              <w:pStyle w:val="AnnexTableCellLeft"/>
              <w:jc w:val="center"/>
            </w:pPr>
            <w:r>
              <w:rPr>
                <w:i/>
              </w:rPr>
              <w:t xml:space="preserve">EL, N/EL </w:t>
            </w:r>
            <w:r>
              <w:t>(</w:t>
            </w:r>
            <w:r>
              <w:fldChar w:fldCharType="begin"/>
            </w:r>
            <w:r>
              <w:instrText xml:space="preserve"> REF NOTE_418 \h  \* MERGEFORMAT </w:instrText>
            </w:r>
            <w:r>
              <w:fldChar w:fldCharType="separate"/>
            </w:r>
            <w:r w:rsidR="00770AA2">
              <w:rPr>
                <w:vertAlign w:val="superscript"/>
              </w:rPr>
              <w:t>e</w:t>
            </w:r>
            <w:r>
              <w:fldChar w:fldCharType="end"/>
            </w:r>
            <w:r>
              <w:t>)</w:t>
            </w:r>
          </w:p>
        </w:tc>
        <w:tc>
          <w:tcPr>
            <w:tcW w:w="574" w:type="dxa"/>
            <w:tcMar>
              <w:top w:w="60" w:type="dxa"/>
              <w:bottom w:w="60" w:type="dxa"/>
            </w:tcMar>
            <w:vAlign w:val="center"/>
          </w:tcPr>
          <w:p w14:paraId="241AEC95" w14:textId="389F5FE8" w:rsidR="006561BA" w:rsidRDefault="005B4ED6">
            <w:pPr>
              <w:pStyle w:val="AnnexTableCellLeft"/>
              <w:jc w:val="center"/>
            </w:pPr>
            <w:r>
              <w:rPr>
                <w:i/>
              </w:rPr>
              <w:t xml:space="preserve">EL, N/EL </w:t>
            </w:r>
            <w:r>
              <w:t>(</w:t>
            </w:r>
            <w:r>
              <w:fldChar w:fldCharType="begin"/>
            </w:r>
            <w:r>
              <w:instrText xml:space="preserve"> REF NOTE_418 \h  \* MERGEFORMAT </w:instrText>
            </w:r>
            <w:r>
              <w:fldChar w:fldCharType="separate"/>
            </w:r>
            <w:r w:rsidR="00770AA2">
              <w:rPr>
                <w:vertAlign w:val="superscript"/>
              </w:rPr>
              <w:t>e</w:t>
            </w:r>
            <w:r>
              <w:fldChar w:fldCharType="end"/>
            </w:r>
            <w:r>
              <w:t>)</w:t>
            </w:r>
          </w:p>
        </w:tc>
        <w:tc>
          <w:tcPr>
            <w:tcW w:w="574" w:type="dxa"/>
            <w:tcMar>
              <w:top w:w="60" w:type="dxa"/>
              <w:bottom w:w="60" w:type="dxa"/>
            </w:tcMar>
            <w:vAlign w:val="center"/>
          </w:tcPr>
          <w:p w14:paraId="37F2D07E" w14:textId="4F4F6555" w:rsidR="006561BA" w:rsidRDefault="005B4ED6">
            <w:pPr>
              <w:pStyle w:val="AnnexTableCellLeft"/>
              <w:jc w:val="center"/>
            </w:pPr>
            <w:r>
              <w:rPr>
                <w:i/>
              </w:rPr>
              <w:t xml:space="preserve">EL, N/EL </w:t>
            </w:r>
            <w:r>
              <w:t>(</w:t>
            </w:r>
            <w:r>
              <w:fldChar w:fldCharType="begin"/>
            </w:r>
            <w:r>
              <w:instrText xml:space="preserve"> REF NOTE_418 \h  \* MERGEFORMAT </w:instrText>
            </w:r>
            <w:r>
              <w:fldChar w:fldCharType="separate"/>
            </w:r>
            <w:r w:rsidR="00770AA2">
              <w:rPr>
                <w:vertAlign w:val="superscript"/>
              </w:rPr>
              <w:t>e</w:t>
            </w:r>
            <w:r>
              <w:fldChar w:fldCharType="end"/>
            </w:r>
            <w:r>
              <w:t>)</w:t>
            </w:r>
          </w:p>
        </w:tc>
        <w:tc>
          <w:tcPr>
            <w:tcW w:w="574" w:type="dxa"/>
            <w:tcMar>
              <w:top w:w="60" w:type="dxa"/>
              <w:bottom w:w="60" w:type="dxa"/>
            </w:tcMar>
            <w:vAlign w:val="center"/>
          </w:tcPr>
          <w:p w14:paraId="79354CBC" w14:textId="2C86437D" w:rsidR="006561BA" w:rsidRDefault="005B4ED6">
            <w:pPr>
              <w:pStyle w:val="AnnexTableCellLeft"/>
              <w:jc w:val="center"/>
            </w:pPr>
            <w:r>
              <w:rPr>
                <w:i/>
              </w:rPr>
              <w:t xml:space="preserve">EL, N/EL </w:t>
            </w:r>
            <w:r>
              <w:t>(</w:t>
            </w:r>
            <w:r>
              <w:fldChar w:fldCharType="begin"/>
            </w:r>
            <w:r>
              <w:instrText xml:space="preserve"> REF NOTE_418 \h  \* MERGEFORMAT </w:instrText>
            </w:r>
            <w:r>
              <w:fldChar w:fldCharType="separate"/>
            </w:r>
            <w:r w:rsidR="00770AA2">
              <w:rPr>
                <w:vertAlign w:val="superscript"/>
              </w:rPr>
              <w:t>e</w:t>
            </w:r>
            <w:r>
              <w:fldChar w:fldCharType="end"/>
            </w:r>
            <w:r>
              <w:t>)</w:t>
            </w:r>
          </w:p>
        </w:tc>
        <w:tc>
          <w:tcPr>
            <w:tcW w:w="575" w:type="dxa"/>
            <w:tcMar>
              <w:top w:w="60" w:type="dxa"/>
              <w:bottom w:w="60" w:type="dxa"/>
            </w:tcMar>
            <w:vAlign w:val="center"/>
          </w:tcPr>
          <w:p w14:paraId="0CCDB5C5" w14:textId="6BAAFFED" w:rsidR="006561BA" w:rsidRDefault="005B4ED6">
            <w:pPr>
              <w:pStyle w:val="AnnexTableCellLeft"/>
              <w:jc w:val="center"/>
            </w:pPr>
            <w:r>
              <w:rPr>
                <w:i/>
              </w:rPr>
              <w:t xml:space="preserve">EL, N/EL </w:t>
            </w:r>
            <w:r>
              <w:t>(</w:t>
            </w:r>
            <w:r>
              <w:fldChar w:fldCharType="begin"/>
            </w:r>
            <w:r>
              <w:instrText xml:space="preserve"> REF NOTE_418 \h  \* MERGEFORMAT </w:instrText>
            </w:r>
            <w:r>
              <w:fldChar w:fldCharType="separate"/>
            </w:r>
            <w:r w:rsidR="00770AA2">
              <w:rPr>
                <w:vertAlign w:val="superscript"/>
              </w:rPr>
              <w:t>e</w:t>
            </w:r>
            <w:r>
              <w:fldChar w:fldCharType="end"/>
            </w:r>
            <w:r>
              <w:t>)</w:t>
            </w:r>
          </w:p>
        </w:tc>
        <w:tc>
          <w:tcPr>
            <w:tcW w:w="574" w:type="dxa"/>
            <w:tcMar>
              <w:top w:w="60" w:type="dxa"/>
              <w:bottom w:w="60" w:type="dxa"/>
            </w:tcMar>
            <w:vAlign w:val="center"/>
          </w:tcPr>
          <w:p w14:paraId="4AC30894" w14:textId="5ACDE971" w:rsidR="006561BA" w:rsidRDefault="005B4ED6">
            <w:pPr>
              <w:pStyle w:val="AnnexTableCellLeft"/>
              <w:jc w:val="center"/>
            </w:pPr>
            <w:r>
              <w:rPr>
                <w:i/>
              </w:rPr>
              <w:t xml:space="preserve">EL, N/EL </w:t>
            </w:r>
            <w:r>
              <w:t>(</w:t>
            </w:r>
            <w:r>
              <w:fldChar w:fldCharType="begin"/>
            </w:r>
            <w:r>
              <w:instrText xml:space="preserve"> REF NOTE_418 \h  \* MERGEFORMAT </w:instrText>
            </w:r>
            <w:r>
              <w:fldChar w:fldCharType="separate"/>
            </w:r>
            <w:r w:rsidR="00770AA2">
              <w:rPr>
                <w:vertAlign w:val="superscript"/>
              </w:rPr>
              <w:t>e</w:t>
            </w:r>
            <w:r>
              <w:fldChar w:fldCharType="end"/>
            </w:r>
            <w:r>
              <w:t>)</w:t>
            </w:r>
          </w:p>
        </w:tc>
        <w:tc>
          <w:tcPr>
            <w:tcW w:w="575" w:type="dxa"/>
            <w:shd w:val="clear" w:color="auto" w:fill="000000" w:themeFill="text1"/>
            <w:tcMar>
              <w:top w:w="60" w:type="dxa"/>
              <w:bottom w:w="60" w:type="dxa"/>
            </w:tcMar>
            <w:vAlign w:val="center"/>
          </w:tcPr>
          <w:p w14:paraId="372CF094" w14:textId="77777777" w:rsidR="006561BA" w:rsidRDefault="006561BA">
            <w:pPr>
              <w:pStyle w:val="AnnexTableCellLeft"/>
              <w:jc w:val="center"/>
            </w:pPr>
          </w:p>
        </w:tc>
        <w:tc>
          <w:tcPr>
            <w:tcW w:w="574" w:type="dxa"/>
            <w:shd w:val="clear" w:color="auto" w:fill="000000" w:themeFill="text1"/>
            <w:tcMar>
              <w:top w:w="60" w:type="dxa"/>
              <w:bottom w:w="60" w:type="dxa"/>
            </w:tcMar>
            <w:vAlign w:val="center"/>
          </w:tcPr>
          <w:p w14:paraId="52163D4C" w14:textId="77777777" w:rsidR="006561BA" w:rsidRDefault="006561BA">
            <w:pPr>
              <w:pStyle w:val="AnnexTableCellLeft"/>
              <w:jc w:val="center"/>
            </w:pPr>
          </w:p>
        </w:tc>
        <w:tc>
          <w:tcPr>
            <w:tcW w:w="575" w:type="dxa"/>
            <w:shd w:val="clear" w:color="auto" w:fill="000000" w:themeFill="text1"/>
            <w:tcMar>
              <w:top w:w="60" w:type="dxa"/>
              <w:bottom w:w="60" w:type="dxa"/>
            </w:tcMar>
            <w:vAlign w:val="center"/>
          </w:tcPr>
          <w:p w14:paraId="3A3A7D27" w14:textId="77777777" w:rsidR="006561BA" w:rsidRDefault="006561BA">
            <w:pPr>
              <w:pStyle w:val="AnnexTableCellLeft"/>
              <w:jc w:val="center"/>
            </w:pPr>
          </w:p>
        </w:tc>
        <w:tc>
          <w:tcPr>
            <w:tcW w:w="574" w:type="dxa"/>
            <w:shd w:val="clear" w:color="auto" w:fill="000000" w:themeFill="text1"/>
            <w:tcMar>
              <w:top w:w="60" w:type="dxa"/>
              <w:bottom w:w="60" w:type="dxa"/>
            </w:tcMar>
            <w:vAlign w:val="center"/>
          </w:tcPr>
          <w:p w14:paraId="70E01443" w14:textId="77777777" w:rsidR="006561BA" w:rsidRDefault="006561BA">
            <w:pPr>
              <w:pStyle w:val="AnnexTableCellLeft"/>
              <w:jc w:val="center"/>
            </w:pPr>
          </w:p>
        </w:tc>
        <w:tc>
          <w:tcPr>
            <w:tcW w:w="574" w:type="dxa"/>
            <w:shd w:val="clear" w:color="auto" w:fill="000000" w:themeFill="text1"/>
            <w:tcMar>
              <w:top w:w="60" w:type="dxa"/>
              <w:bottom w:w="60" w:type="dxa"/>
            </w:tcMar>
            <w:vAlign w:val="center"/>
          </w:tcPr>
          <w:p w14:paraId="5F763909" w14:textId="77777777" w:rsidR="006561BA" w:rsidRDefault="006561BA">
            <w:pPr>
              <w:pStyle w:val="AnnexTableCellLeft"/>
              <w:jc w:val="center"/>
            </w:pPr>
          </w:p>
        </w:tc>
        <w:tc>
          <w:tcPr>
            <w:tcW w:w="574" w:type="dxa"/>
            <w:shd w:val="clear" w:color="auto" w:fill="000000" w:themeFill="text1"/>
            <w:tcMar>
              <w:top w:w="60" w:type="dxa"/>
              <w:bottom w:w="60" w:type="dxa"/>
            </w:tcMar>
            <w:vAlign w:val="center"/>
          </w:tcPr>
          <w:p w14:paraId="55770149" w14:textId="77777777" w:rsidR="006561BA" w:rsidRDefault="006561BA">
            <w:pPr>
              <w:pStyle w:val="AnnexTableCellLeft"/>
              <w:jc w:val="center"/>
            </w:pPr>
          </w:p>
        </w:tc>
        <w:tc>
          <w:tcPr>
            <w:tcW w:w="576" w:type="dxa"/>
            <w:shd w:val="clear" w:color="auto" w:fill="000000" w:themeFill="text1"/>
            <w:tcMar>
              <w:top w:w="60" w:type="dxa"/>
              <w:bottom w:w="60" w:type="dxa"/>
            </w:tcMar>
            <w:vAlign w:val="center"/>
          </w:tcPr>
          <w:p w14:paraId="51792064" w14:textId="77777777" w:rsidR="006561BA" w:rsidRDefault="006561BA">
            <w:pPr>
              <w:pStyle w:val="AnnexTableCellLeft"/>
              <w:jc w:val="center"/>
            </w:pPr>
          </w:p>
        </w:tc>
        <w:tc>
          <w:tcPr>
            <w:tcW w:w="1200" w:type="dxa"/>
            <w:shd w:val="clear" w:color="auto" w:fill="000000" w:themeFill="text1"/>
            <w:tcMar>
              <w:top w:w="60" w:type="dxa"/>
              <w:bottom w:w="60" w:type="dxa"/>
            </w:tcMar>
            <w:vAlign w:val="center"/>
          </w:tcPr>
          <w:p w14:paraId="2EDC721F" w14:textId="77777777" w:rsidR="006561BA" w:rsidRDefault="006561BA">
            <w:pPr>
              <w:pStyle w:val="AnnexTableCellLeft"/>
              <w:jc w:val="center"/>
            </w:pPr>
          </w:p>
        </w:tc>
        <w:tc>
          <w:tcPr>
            <w:tcW w:w="804" w:type="dxa"/>
            <w:shd w:val="clear" w:color="auto" w:fill="000000" w:themeFill="text1"/>
            <w:tcMar>
              <w:top w:w="60" w:type="dxa"/>
              <w:bottom w:w="60" w:type="dxa"/>
            </w:tcMar>
            <w:vAlign w:val="center"/>
          </w:tcPr>
          <w:p w14:paraId="5A12E846" w14:textId="77777777" w:rsidR="006561BA" w:rsidRDefault="006561BA">
            <w:pPr>
              <w:pStyle w:val="AnnexTableCellLeft"/>
              <w:jc w:val="center"/>
            </w:pPr>
          </w:p>
        </w:tc>
        <w:tc>
          <w:tcPr>
            <w:tcW w:w="804" w:type="dxa"/>
            <w:shd w:val="clear" w:color="auto" w:fill="000000" w:themeFill="text1"/>
            <w:tcMar>
              <w:top w:w="60" w:type="dxa"/>
              <w:bottom w:w="60" w:type="dxa"/>
              <w:right w:w="0" w:type="dxa"/>
            </w:tcMar>
            <w:vAlign w:val="center"/>
          </w:tcPr>
          <w:p w14:paraId="2265BD8B" w14:textId="77777777" w:rsidR="006561BA" w:rsidRDefault="006561BA">
            <w:pPr>
              <w:pStyle w:val="AnnexTableCellLeft"/>
              <w:jc w:val="center"/>
            </w:pPr>
          </w:p>
        </w:tc>
      </w:tr>
      <w:tr w:rsidR="006561BA" w14:paraId="20883CB2" w14:textId="77777777">
        <w:tc>
          <w:tcPr>
            <w:tcW w:w="1608" w:type="dxa"/>
            <w:tcMar>
              <w:top w:w="60" w:type="dxa"/>
              <w:left w:w="0" w:type="dxa"/>
              <w:bottom w:w="60" w:type="dxa"/>
            </w:tcMar>
          </w:tcPr>
          <w:p w14:paraId="12CEA6E1" w14:textId="08132176" w:rsidR="006561BA" w:rsidRDefault="005B4ED6">
            <w:pPr>
              <w:pStyle w:val="AnnexTableCellLeft"/>
            </w:pPr>
            <w:r>
              <w:t>Aktivitet 1 (</w:t>
            </w:r>
            <w:r>
              <w:fldChar w:fldCharType="begin"/>
            </w:r>
            <w:r>
              <w:instrText xml:space="preserve"> REF NOTE_417 \h  \* MERGEFORMAT </w:instrText>
            </w:r>
            <w:r>
              <w:fldChar w:fldCharType="separate"/>
            </w:r>
            <w:r w:rsidR="00770AA2">
              <w:rPr>
                <w:vertAlign w:val="superscript"/>
              </w:rPr>
              <w:t>d</w:t>
            </w:r>
            <w:r>
              <w:fldChar w:fldCharType="end"/>
            </w:r>
            <w:r>
              <w:t>)</w:t>
            </w:r>
          </w:p>
        </w:tc>
        <w:tc>
          <w:tcPr>
            <w:tcW w:w="693" w:type="dxa"/>
            <w:tcMar>
              <w:top w:w="60" w:type="dxa"/>
              <w:bottom w:w="60" w:type="dxa"/>
            </w:tcMar>
          </w:tcPr>
          <w:p w14:paraId="1CE4D1DE" w14:textId="77777777" w:rsidR="006561BA" w:rsidRDefault="006561BA">
            <w:pPr>
              <w:pStyle w:val="AnnexTableCellLeft"/>
            </w:pPr>
          </w:p>
        </w:tc>
        <w:tc>
          <w:tcPr>
            <w:tcW w:w="804" w:type="dxa"/>
            <w:tcMar>
              <w:top w:w="60" w:type="dxa"/>
              <w:bottom w:w="60" w:type="dxa"/>
            </w:tcMar>
          </w:tcPr>
          <w:p w14:paraId="1153FA1B" w14:textId="77777777" w:rsidR="006561BA" w:rsidRDefault="006561BA">
            <w:pPr>
              <w:pStyle w:val="AnnexTableCellLeft"/>
            </w:pPr>
          </w:p>
        </w:tc>
        <w:tc>
          <w:tcPr>
            <w:tcW w:w="936" w:type="dxa"/>
            <w:tcMar>
              <w:top w:w="60" w:type="dxa"/>
              <w:bottom w:w="60" w:type="dxa"/>
            </w:tcMar>
            <w:vAlign w:val="center"/>
          </w:tcPr>
          <w:p w14:paraId="5DAEAA16" w14:textId="77777777" w:rsidR="006561BA" w:rsidRDefault="005B4ED6">
            <w:pPr>
              <w:pStyle w:val="AnnexTableCellLeft"/>
              <w:jc w:val="center"/>
            </w:pPr>
            <w:r>
              <w:t>%</w:t>
            </w:r>
          </w:p>
        </w:tc>
        <w:tc>
          <w:tcPr>
            <w:tcW w:w="574" w:type="dxa"/>
            <w:tcMar>
              <w:top w:w="60" w:type="dxa"/>
              <w:bottom w:w="60" w:type="dxa"/>
            </w:tcMar>
            <w:vAlign w:val="center"/>
          </w:tcPr>
          <w:p w14:paraId="10BFE463" w14:textId="77777777" w:rsidR="006561BA" w:rsidRDefault="006561BA">
            <w:pPr>
              <w:pStyle w:val="AnnexTableCellLeft"/>
              <w:jc w:val="center"/>
            </w:pPr>
          </w:p>
        </w:tc>
        <w:tc>
          <w:tcPr>
            <w:tcW w:w="574" w:type="dxa"/>
            <w:tcMar>
              <w:top w:w="60" w:type="dxa"/>
              <w:bottom w:w="60" w:type="dxa"/>
            </w:tcMar>
            <w:vAlign w:val="center"/>
          </w:tcPr>
          <w:p w14:paraId="2CA96E00" w14:textId="77777777" w:rsidR="006561BA" w:rsidRDefault="006561BA">
            <w:pPr>
              <w:pStyle w:val="AnnexTableCellLeft"/>
              <w:jc w:val="center"/>
            </w:pPr>
          </w:p>
        </w:tc>
        <w:tc>
          <w:tcPr>
            <w:tcW w:w="574" w:type="dxa"/>
            <w:tcMar>
              <w:top w:w="60" w:type="dxa"/>
              <w:bottom w:w="60" w:type="dxa"/>
            </w:tcMar>
            <w:vAlign w:val="center"/>
          </w:tcPr>
          <w:p w14:paraId="7AEDCD23" w14:textId="77777777" w:rsidR="006561BA" w:rsidRDefault="006561BA">
            <w:pPr>
              <w:pStyle w:val="AnnexTableCellLeft"/>
              <w:jc w:val="center"/>
            </w:pPr>
          </w:p>
        </w:tc>
        <w:tc>
          <w:tcPr>
            <w:tcW w:w="574" w:type="dxa"/>
            <w:tcMar>
              <w:top w:w="60" w:type="dxa"/>
              <w:bottom w:w="60" w:type="dxa"/>
            </w:tcMar>
            <w:vAlign w:val="center"/>
          </w:tcPr>
          <w:p w14:paraId="0FE3C170" w14:textId="77777777" w:rsidR="006561BA" w:rsidRDefault="006561BA">
            <w:pPr>
              <w:pStyle w:val="AnnexTableCellLeft"/>
              <w:jc w:val="center"/>
            </w:pPr>
          </w:p>
        </w:tc>
        <w:tc>
          <w:tcPr>
            <w:tcW w:w="575" w:type="dxa"/>
            <w:tcMar>
              <w:top w:w="60" w:type="dxa"/>
              <w:bottom w:w="60" w:type="dxa"/>
            </w:tcMar>
            <w:vAlign w:val="center"/>
          </w:tcPr>
          <w:p w14:paraId="2F8093C5" w14:textId="77777777" w:rsidR="006561BA" w:rsidRDefault="006561BA">
            <w:pPr>
              <w:pStyle w:val="AnnexTableCellLeft"/>
              <w:jc w:val="center"/>
            </w:pPr>
          </w:p>
        </w:tc>
        <w:tc>
          <w:tcPr>
            <w:tcW w:w="574" w:type="dxa"/>
            <w:tcMar>
              <w:top w:w="60" w:type="dxa"/>
              <w:bottom w:w="60" w:type="dxa"/>
            </w:tcMar>
            <w:vAlign w:val="center"/>
          </w:tcPr>
          <w:p w14:paraId="72B1BB3D" w14:textId="77777777" w:rsidR="006561BA" w:rsidRDefault="006561BA">
            <w:pPr>
              <w:pStyle w:val="AnnexTableCellLeft"/>
              <w:jc w:val="center"/>
            </w:pPr>
          </w:p>
        </w:tc>
        <w:tc>
          <w:tcPr>
            <w:tcW w:w="575" w:type="dxa"/>
            <w:shd w:val="clear" w:color="auto" w:fill="000000" w:themeFill="text1"/>
            <w:tcMar>
              <w:top w:w="60" w:type="dxa"/>
              <w:bottom w:w="60" w:type="dxa"/>
            </w:tcMar>
            <w:vAlign w:val="center"/>
          </w:tcPr>
          <w:p w14:paraId="276908B9" w14:textId="77777777" w:rsidR="006561BA" w:rsidRDefault="006561BA">
            <w:pPr>
              <w:pStyle w:val="AnnexTableCellLeft"/>
              <w:jc w:val="center"/>
            </w:pPr>
          </w:p>
        </w:tc>
        <w:tc>
          <w:tcPr>
            <w:tcW w:w="574" w:type="dxa"/>
            <w:shd w:val="clear" w:color="auto" w:fill="000000" w:themeFill="text1"/>
            <w:tcMar>
              <w:top w:w="60" w:type="dxa"/>
              <w:bottom w:w="60" w:type="dxa"/>
            </w:tcMar>
            <w:vAlign w:val="center"/>
          </w:tcPr>
          <w:p w14:paraId="03807AE6" w14:textId="77777777" w:rsidR="006561BA" w:rsidRDefault="006561BA">
            <w:pPr>
              <w:pStyle w:val="AnnexTableCellLeft"/>
              <w:jc w:val="center"/>
            </w:pPr>
          </w:p>
        </w:tc>
        <w:tc>
          <w:tcPr>
            <w:tcW w:w="575" w:type="dxa"/>
            <w:shd w:val="clear" w:color="auto" w:fill="000000" w:themeFill="text1"/>
            <w:tcMar>
              <w:top w:w="60" w:type="dxa"/>
              <w:bottom w:w="60" w:type="dxa"/>
            </w:tcMar>
            <w:vAlign w:val="center"/>
          </w:tcPr>
          <w:p w14:paraId="72F78D49" w14:textId="77777777" w:rsidR="006561BA" w:rsidRDefault="006561BA">
            <w:pPr>
              <w:pStyle w:val="AnnexTableCellLeft"/>
              <w:jc w:val="center"/>
            </w:pPr>
          </w:p>
        </w:tc>
        <w:tc>
          <w:tcPr>
            <w:tcW w:w="574" w:type="dxa"/>
            <w:shd w:val="clear" w:color="auto" w:fill="000000" w:themeFill="text1"/>
            <w:tcMar>
              <w:top w:w="60" w:type="dxa"/>
              <w:bottom w:w="60" w:type="dxa"/>
            </w:tcMar>
            <w:vAlign w:val="center"/>
          </w:tcPr>
          <w:p w14:paraId="1DF43184" w14:textId="77777777" w:rsidR="006561BA" w:rsidRDefault="006561BA">
            <w:pPr>
              <w:pStyle w:val="AnnexTableCellLeft"/>
              <w:jc w:val="center"/>
            </w:pPr>
          </w:p>
        </w:tc>
        <w:tc>
          <w:tcPr>
            <w:tcW w:w="574" w:type="dxa"/>
            <w:shd w:val="clear" w:color="auto" w:fill="000000" w:themeFill="text1"/>
            <w:tcMar>
              <w:top w:w="60" w:type="dxa"/>
              <w:bottom w:w="60" w:type="dxa"/>
            </w:tcMar>
            <w:vAlign w:val="center"/>
          </w:tcPr>
          <w:p w14:paraId="3C1C6281" w14:textId="77777777" w:rsidR="006561BA" w:rsidRDefault="006561BA">
            <w:pPr>
              <w:pStyle w:val="AnnexTableCellLeft"/>
              <w:jc w:val="center"/>
            </w:pPr>
          </w:p>
        </w:tc>
        <w:tc>
          <w:tcPr>
            <w:tcW w:w="574" w:type="dxa"/>
            <w:shd w:val="clear" w:color="auto" w:fill="000000" w:themeFill="text1"/>
            <w:tcMar>
              <w:top w:w="60" w:type="dxa"/>
              <w:bottom w:w="60" w:type="dxa"/>
            </w:tcMar>
            <w:vAlign w:val="center"/>
          </w:tcPr>
          <w:p w14:paraId="27FBC8A1" w14:textId="77777777" w:rsidR="006561BA" w:rsidRDefault="006561BA">
            <w:pPr>
              <w:pStyle w:val="AnnexTableCellLeft"/>
              <w:jc w:val="center"/>
            </w:pPr>
          </w:p>
        </w:tc>
        <w:tc>
          <w:tcPr>
            <w:tcW w:w="576" w:type="dxa"/>
            <w:shd w:val="clear" w:color="auto" w:fill="000000" w:themeFill="text1"/>
            <w:tcMar>
              <w:top w:w="60" w:type="dxa"/>
              <w:bottom w:w="60" w:type="dxa"/>
            </w:tcMar>
            <w:vAlign w:val="center"/>
          </w:tcPr>
          <w:p w14:paraId="014C9332" w14:textId="77777777" w:rsidR="006561BA" w:rsidRDefault="006561BA">
            <w:pPr>
              <w:pStyle w:val="AnnexTableCellLeft"/>
              <w:jc w:val="center"/>
            </w:pPr>
          </w:p>
        </w:tc>
        <w:tc>
          <w:tcPr>
            <w:tcW w:w="1200" w:type="dxa"/>
            <w:tcMar>
              <w:top w:w="60" w:type="dxa"/>
              <w:bottom w:w="60" w:type="dxa"/>
            </w:tcMar>
            <w:vAlign w:val="center"/>
          </w:tcPr>
          <w:p w14:paraId="71B79C4F" w14:textId="77777777" w:rsidR="006561BA" w:rsidRDefault="005B4ED6">
            <w:pPr>
              <w:pStyle w:val="AnnexTableCellLeft"/>
              <w:jc w:val="center"/>
            </w:pPr>
            <w:r>
              <w:t>%</w:t>
            </w:r>
          </w:p>
        </w:tc>
        <w:tc>
          <w:tcPr>
            <w:tcW w:w="804" w:type="dxa"/>
            <w:shd w:val="clear" w:color="auto" w:fill="000000" w:themeFill="text1"/>
            <w:tcMar>
              <w:top w:w="60" w:type="dxa"/>
              <w:bottom w:w="60" w:type="dxa"/>
            </w:tcMar>
            <w:vAlign w:val="center"/>
          </w:tcPr>
          <w:p w14:paraId="2BF476EA" w14:textId="77777777" w:rsidR="006561BA" w:rsidRDefault="006561BA">
            <w:pPr>
              <w:pStyle w:val="AnnexTableCellLeft"/>
              <w:jc w:val="center"/>
            </w:pPr>
          </w:p>
        </w:tc>
        <w:tc>
          <w:tcPr>
            <w:tcW w:w="804" w:type="dxa"/>
            <w:shd w:val="clear" w:color="auto" w:fill="000000" w:themeFill="text1"/>
            <w:tcMar>
              <w:top w:w="60" w:type="dxa"/>
              <w:bottom w:w="60" w:type="dxa"/>
              <w:right w:w="0" w:type="dxa"/>
            </w:tcMar>
            <w:vAlign w:val="center"/>
          </w:tcPr>
          <w:p w14:paraId="5C82C9E5" w14:textId="77777777" w:rsidR="006561BA" w:rsidRDefault="006561BA">
            <w:pPr>
              <w:pStyle w:val="AnnexTableCellLeft"/>
              <w:jc w:val="center"/>
            </w:pPr>
          </w:p>
        </w:tc>
      </w:tr>
      <w:tr w:rsidR="006561BA" w14:paraId="7906AE28" w14:textId="77777777">
        <w:tc>
          <w:tcPr>
            <w:tcW w:w="2301" w:type="dxa"/>
            <w:gridSpan w:val="2"/>
            <w:tcMar>
              <w:top w:w="100" w:type="dxa"/>
              <w:left w:w="0" w:type="dxa"/>
              <w:bottom w:w="100" w:type="dxa"/>
            </w:tcMar>
          </w:tcPr>
          <w:p w14:paraId="258D3EB9" w14:textId="77777777" w:rsidR="006561BA" w:rsidRDefault="005B4ED6">
            <w:pPr>
              <w:pStyle w:val="AnnexTableCellLeft"/>
              <w:pageBreakBefore/>
            </w:pPr>
            <w:r>
              <w:rPr>
                <w:b/>
              </w:rPr>
              <w:lastRenderedPageBreak/>
              <w:t>Driftsutgifter for aktiviteter som er omfattet av taksonomien, men som ikke er miljømessig bærekraftige (ikke taksonomiforenlige aktiviteter) (A.2)</w:t>
            </w:r>
          </w:p>
        </w:tc>
        <w:tc>
          <w:tcPr>
            <w:tcW w:w="804" w:type="dxa"/>
            <w:tcMar>
              <w:top w:w="100" w:type="dxa"/>
              <w:bottom w:w="100" w:type="dxa"/>
            </w:tcMar>
            <w:vAlign w:val="center"/>
          </w:tcPr>
          <w:p w14:paraId="36AC12AE" w14:textId="77777777" w:rsidR="006561BA" w:rsidRDefault="006561BA">
            <w:pPr>
              <w:pStyle w:val="AnnexTableCellLeft"/>
              <w:jc w:val="center"/>
            </w:pPr>
          </w:p>
        </w:tc>
        <w:tc>
          <w:tcPr>
            <w:tcW w:w="936" w:type="dxa"/>
            <w:tcMar>
              <w:top w:w="100" w:type="dxa"/>
              <w:bottom w:w="100" w:type="dxa"/>
            </w:tcMar>
            <w:vAlign w:val="center"/>
          </w:tcPr>
          <w:p w14:paraId="02555E07" w14:textId="77777777" w:rsidR="006561BA" w:rsidRDefault="005B4ED6">
            <w:pPr>
              <w:pStyle w:val="AnnexTableCellLeft"/>
              <w:jc w:val="center"/>
            </w:pPr>
            <w:r>
              <w:t>%</w:t>
            </w:r>
          </w:p>
        </w:tc>
        <w:tc>
          <w:tcPr>
            <w:tcW w:w="574" w:type="dxa"/>
            <w:tcBorders>
              <w:bottom w:val="single" w:sz="4" w:space="0" w:color="auto"/>
            </w:tcBorders>
            <w:tcMar>
              <w:top w:w="100" w:type="dxa"/>
              <w:bottom w:w="100" w:type="dxa"/>
            </w:tcMar>
            <w:vAlign w:val="center"/>
          </w:tcPr>
          <w:p w14:paraId="2004EA97" w14:textId="77777777" w:rsidR="006561BA" w:rsidRDefault="005B4ED6">
            <w:pPr>
              <w:pStyle w:val="AnnexTableCellLeft"/>
              <w:jc w:val="center"/>
            </w:pPr>
            <w:r>
              <w:t>%</w:t>
            </w:r>
          </w:p>
        </w:tc>
        <w:tc>
          <w:tcPr>
            <w:tcW w:w="574" w:type="dxa"/>
            <w:tcBorders>
              <w:bottom w:val="single" w:sz="4" w:space="0" w:color="auto"/>
            </w:tcBorders>
            <w:tcMar>
              <w:top w:w="100" w:type="dxa"/>
              <w:bottom w:w="100" w:type="dxa"/>
            </w:tcMar>
            <w:vAlign w:val="center"/>
          </w:tcPr>
          <w:p w14:paraId="77A87799" w14:textId="77777777" w:rsidR="006561BA" w:rsidRDefault="005B4ED6">
            <w:pPr>
              <w:pStyle w:val="AnnexTableCellLeft"/>
              <w:jc w:val="center"/>
            </w:pPr>
            <w:r>
              <w:t>%</w:t>
            </w:r>
          </w:p>
        </w:tc>
        <w:tc>
          <w:tcPr>
            <w:tcW w:w="575" w:type="dxa"/>
            <w:tcBorders>
              <w:bottom w:val="single" w:sz="4" w:space="0" w:color="auto"/>
            </w:tcBorders>
            <w:tcMar>
              <w:top w:w="100" w:type="dxa"/>
              <w:bottom w:w="100" w:type="dxa"/>
            </w:tcMar>
            <w:vAlign w:val="center"/>
          </w:tcPr>
          <w:p w14:paraId="15012A23" w14:textId="77777777" w:rsidR="006561BA" w:rsidRDefault="005B4ED6">
            <w:pPr>
              <w:pStyle w:val="AnnexTableCellLeft"/>
              <w:jc w:val="center"/>
            </w:pPr>
            <w:r>
              <w:t>%</w:t>
            </w:r>
          </w:p>
        </w:tc>
        <w:tc>
          <w:tcPr>
            <w:tcW w:w="574" w:type="dxa"/>
            <w:tcBorders>
              <w:bottom w:val="single" w:sz="4" w:space="0" w:color="auto"/>
            </w:tcBorders>
            <w:tcMar>
              <w:top w:w="100" w:type="dxa"/>
              <w:bottom w:w="100" w:type="dxa"/>
            </w:tcMar>
            <w:vAlign w:val="center"/>
          </w:tcPr>
          <w:p w14:paraId="68BA3670" w14:textId="77777777" w:rsidR="006561BA" w:rsidRDefault="005B4ED6">
            <w:pPr>
              <w:pStyle w:val="AnnexTableCellLeft"/>
              <w:jc w:val="center"/>
            </w:pPr>
            <w:r>
              <w:t>%</w:t>
            </w:r>
          </w:p>
        </w:tc>
        <w:tc>
          <w:tcPr>
            <w:tcW w:w="574" w:type="dxa"/>
            <w:tcBorders>
              <w:bottom w:val="single" w:sz="4" w:space="0" w:color="auto"/>
            </w:tcBorders>
            <w:tcMar>
              <w:top w:w="100" w:type="dxa"/>
              <w:bottom w:w="100" w:type="dxa"/>
            </w:tcMar>
            <w:vAlign w:val="center"/>
          </w:tcPr>
          <w:p w14:paraId="4AC74998" w14:textId="77777777" w:rsidR="006561BA" w:rsidRDefault="005B4ED6">
            <w:pPr>
              <w:pStyle w:val="AnnexTableCellLeft"/>
              <w:jc w:val="center"/>
            </w:pPr>
            <w:r>
              <w:t>%</w:t>
            </w:r>
          </w:p>
        </w:tc>
        <w:tc>
          <w:tcPr>
            <w:tcW w:w="575" w:type="dxa"/>
            <w:tcBorders>
              <w:bottom w:val="single" w:sz="4" w:space="0" w:color="auto"/>
            </w:tcBorders>
            <w:tcMar>
              <w:top w:w="100" w:type="dxa"/>
              <w:bottom w:w="100" w:type="dxa"/>
            </w:tcMar>
            <w:vAlign w:val="center"/>
          </w:tcPr>
          <w:p w14:paraId="5A5F1D11" w14:textId="77777777" w:rsidR="006561BA" w:rsidRDefault="005B4ED6">
            <w:pPr>
              <w:pStyle w:val="AnnexTableCellLeft"/>
              <w:jc w:val="center"/>
            </w:pPr>
            <w:r>
              <w:t>%</w:t>
            </w:r>
          </w:p>
        </w:tc>
        <w:tc>
          <w:tcPr>
            <w:tcW w:w="574" w:type="dxa"/>
            <w:tcBorders>
              <w:bottom w:val="single" w:sz="4" w:space="0" w:color="auto"/>
            </w:tcBorders>
            <w:shd w:val="clear" w:color="auto" w:fill="000000" w:themeFill="text1"/>
            <w:tcMar>
              <w:top w:w="100" w:type="dxa"/>
              <w:bottom w:w="100" w:type="dxa"/>
            </w:tcMar>
            <w:vAlign w:val="center"/>
          </w:tcPr>
          <w:p w14:paraId="0DEAEEA5" w14:textId="77777777" w:rsidR="006561BA" w:rsidRDefault="006561BA">
            <w:pPr>
              <w:pStyle w:val="AnnexTableCellLeft"/>
              <w:jc w:val="center"/>
            </w:pPr>
          </w:p>
        </w:tc>
        <w:tc>
          <w:tcPr>
            <w:tcW w:w="575" w:type="dxa"/>
            <w:tcBorders>
              <w:bottom w:val="single" w:sz="4" w:space="0" w:color="auto"/>
            </w:tcBorders>
            <w:shd w:val="clear" w:color="auto" w:fill="000000" w:themeFill="text1"/>
            <w:tcMar>
              <w:top w:w="100" w:type="dxa"/>
              <w:bottom w:w="100" w:type="dxa"/>
            </w:tcMar>
            <w:vAlign w:val="center"/>
          </w:tcPr>
          <w:p w14:paraId="08D1DEC6" w14:textId="77777777" w:rsidR="006561BA" w:rsidRDefault="006561BA">
            <w:pPr>
              <w:pStyle w:val="AnnexTableCellLeft"/>
              <w:jc w:val="center"/>
            </w:pPr>
          </w:p>
        </w:tc>
        <w:tc>
          <w:tcPr>
            <w:tcW w:w="574" w:type="dxa"/>
            <w:tcBorders>
              <w:bottom w:val="single" w:sz="4" w:space="0" w:color="auto"/>
            </w:tcBorders>
            <w:shd w:val="clear" w:color="auto" w:fill="000000" w:themeFill="text1"/>
            <w:tcMar>
              <w:top w:w="100" w:type="dxa"/>
              <w:bottom w:w="100" w:type="dxa"/>
            </w:tcMar>
            <w:vAlign w:val="center"/>
          </w:tcPr>
          <w:p w14:paraId="765C198F" w14:textId="77777777" w:rsidR="006561BA" w:rsidRDefault="006561BA">
            <w:pPr>
              <w:pStyle w:val="AnnexTableCellLeft"/>
              <w:jc w:val="center"/>
            </w:pPr>
          </w:p>
        </w:tc>
        <w:tc>
          <w:tcPr>
            <w:tcW w:w="574" w:type="dxa"/>
            <w:tcBorders>
              <w:bottom w:val="single" w:sz="4" w:space="0" w:color="auto"/>
            </w:tcBorders>
            <w:shd w:val="clear" w:color="auto" w:fill="000000" w:themeFill="text1"/>
            <w:tcMar>
              <w:top w:w="100" w:type="dxa"/>
              <w:bottom w:w="100" w:type="dxa"/>
            </w:tcMar>
            <w:vAlign w:val="center"/>
          </w:tcPr>
          <w:p w14:paraId="464D75AA" w14:textId="77777777" w:rsidR="006561BA" w:rsidRDefault="006561BA">
            <w:pPr>
              <w:pStyle w:val="AnnexTableCellLeft"/>
              <w:jc w:val="center"/>
            </w:pPr>
          </w:p>
        </w:tc>
        <w:tc>
          <w:tcPr>
            <w:tcW w:w="575" w:type="dxa"/>
            <w:tcBorders>
              <w:bottom w:val="single" w:sz="4" w:space="0" w:color="auto"/>
            </w:tcBorders>
            <w:shd w:val="clear" w:color="auto" w:fill="000000" w:themeFill="text1"/>
            <w:tcMar>
              <w:top w:w="100" w:type="dxa"/>
              <w:bottom w:w="100" w:type="dxa"/>
            </w:tcMar>
            <w:vAlign w:val="center"/>
          </w:tcPr>
          <w:p w14:paraId="24A7D832" w14:textId="77777777" w:rsidR="006561BA" w:rsidRDefault="006561BA">
            <w:pPr>
              <w:pStyle w:val="AnnexTableCellLeft"/>
              <w:jc w:val="center"/>
            </w:pPr>
          </w:p>
        </w:tc>
        <w:tc>
          <w:tcPr>
            <w:tcW w:w="574" w:type="dxa"/>
            <w:tcBorders>
              <w:bottom w:val="single" w:sz="4" w:space="0" w:color="auto"/>
            </w:tcBorders>
            <w:shd w:val="clear" w:color="auto" w:fill="000000" w:themeFill="text1"/>
            <w:tcMar>
              <w:top w:w="100" w:type="dxa"/>
              <w:bottom w:w="100" w:type="dxa"/>
            </w:tcMar>
            <w:vAlign w:val="center"/>
          </w:tcPr>
          <w:p w14:paraId="561DBD0C" w14:textId="77777777" w:rsidR="006561BA" w:rsidRDefault="006561BA">
            <w:pPr>
              <w:pStyle w:val="AnnexTableCellLeft"/>
              <w:jc w:val="center"/>
            </w:pPr>
          </w:p>
        </w:tc>
        <w:tc>
          <w:tcPr>
            <w:tcW w:w="575" w:type="dxa"/>
            <w:tcBorders>
              <w:bottom w:val="single" w:sz="4" w:space="0" w:color="auto"/>
            </w:tcBorders>
            <w:shd w:val="clear" w:color="auto" w:fill="000000" w:themeFill="text1"/>
            <w:tcMar>
              <w:top w:w="100" w:type="dxa"/>
              <w:bottom w:w="100" w:type="dxa"/>
            </w:tcMar>
            <w:vAlign w:val="center"/>
          </w:tcPr>
          <w:p w14:paraId="4DEA48C1" w14:textId="77777777" w:rsidR="006561BA" w:rsidRDefault="006561BA">
            <w:pPr>
              <w:pStyle w:val="AnnexTableCellLeft"/>
              <w:jc w:val="center"/>
            </w:pPr>
          </w:p>
        </w:tc>
        <w:tc>
          <w:tcPr>
            <w:tcW w:w="1200" w:type="dxa"/>
            <w:tcBorders>
              <w:bottom w:val="single" w:sz="4" w:space="0" w:color="auto"/>
            </w:tcBorders>
            <w:tcMar>
              <w:top w:w="100" w:type="dxa"/>
              <w:bottom w:w="100" w:type="dxa"/>
            </w:tcMar>
            <w:vAlign w:val="center"/>
          </w:tcPr>
          <w:p w14:paraId="2FF5F453" w14:textId="77777777" w:rsidR="006561BA" w:rsidRDefault="005B4ED6">
            <w:pPr>
              <w:pStyle w:val="AnnexTableCellLeft"/>
              <w:jc w:val="center"/>
            </w:pPr>
            <w:r>
              <w:t>%</w:t>
            </w:r>
          </w:p>
        </w:tc>
        <w:tc>
          <w:tcPr>
            <w:tcW w:w="1608" w:type="dxa"/>
            <w:gridSpan w:val="2"/>
            <w:tcBorders>
              <w:bottom w:val="single" w:sz="4" w:space="0" w:color="auto"/>
            </w:tcBorders>
            <w:shd w:val="clear" w:color="auto" w:fill="000000" w:themeFill="text1"/>
            <w:tcMar>
              <w:top w:w="100" w:type="dxa"/>
              <w:bottom w:w="100" w:type="dxa"/>
              <w:right w:w="0" w:type="dxa"/>
            </w:tcMar>
            <w:vAlign w:val="center"/>
          </w:tcPr>
          <w:p w14:paraId="09AAD053" w14:textId="77777777" w:rsidR="006561BA" w:rsidRDefault="006561BA">
            <w:pPr>
              <w:pStyle w:val="AnnexTableCellLeft"/>
              <w:jc w:val="center"/>
            </w:pPr>
          </w:p>
        </w:tc>
      </w:tr>
      <w:tr w:rsidR="006561BA" w14:paraId="312DA8E5" w14:textId="77777777">
        <w:tc>
          <w:tcPr>
            <w:tcW w:w="2301" w:type="dxa"/>
            <w:gridSpan w:val="2"/>
            <w:tcBorders>
              <w:bottom w:val="single" w:sz="4" w:space="0" w:color="auto"/>
            </w:tcBorders>
            <w:tcMar>
              <w:top w:w="100" w:type="dxa"/>
              <w:left w:w="0" w:type="dxa"/>
              <w:bottom w:w="100" w:type="dxa"/>
            </w:tcMar>
          </w:tcPr>
          <w:p w14:paraId="1054229B" w14:textId="77777777" w:rsidR="006561BA" w:rsidRDefault="005B4ED6">
            <w:pPr>
              <w:pStyle w:val="AnnexNumberedText"/>
              <w:spacing w:after="0"/>
              <w:ind w:left="453" w:hanging="453"/>
            </w:pPr>
            <w:r>
              <w:t>A.</w:t>
            </w:r>
            <w:r>
              <w:rPr>
                <w:b/>
              </w:rPr>
              <w:tab/>
              <w:t xml:space="preserve">Driftsutgifter for aktiviteter som er omfattet av taksonomien </w:t>
            </w:r>
            <w:r>
              <w:rPr>
                <w:b/>
                <w:i/>
              </w:rPr>
              <w:t>(A.1+A.2)</w:t>
            </w:r>
          </w:p>
        </w:tc>
        <w:tc>
          <w:tcPr>
            <w:tcW w:w="804" w:type="dxa"/>
            <w:tcBorders>
              <w:bottom w:val="single" w:sz="4" w:space="0" w:color="auto"/>
            </w:tcBorders>
            <w:tcMar>
              <w:top w:w="100" w:type="dxa"/>
              <w:bottom w:w="100" w:type="dxa"/>
            </w:tcMar>
            <w:vAlign w:val="center"/>
          </w:tcPr>
          <w:p w14:paraId="06C04158" w14:textId="77777777" w:rsidR="006561BA" w:rsidRDefault="006561BA">
            <w:pPr>
              <w:pStyle w:val="AnnexTableCellLeft"/>
              <w:jc w:val="center"/>
            </w:pPr>
          </w:p>
        </w:tc>
        <w:tc>
          <w:tcPr>
            <w:tcW w:w="936" w:type="dxa"/>
            <w:tcBorders>
              <w:bottom w:val="single" w:sz="4" w:space="0" w:color="auto"/>
            </w:tcBorders>
            <w:tcMar>
              <w:top w:w="100" w:type="dxa"/>
              <w:bottom w:w="100" w:type="dxa"/>
            </w:tcMar>
            <w:vAlign w:val="center"/>
          </w:tcPr>
          <w:p w14:paraId="189786D1" w14:textId="77777777" w:rsidR="006561BA" w:rsidRDefault="005B4ED6">
            <w:pPr>
              <w:pStyle w:val="AnnexTableCellLeft"/>
              <w:jc w:val="center"/>
            </w:pPr>
            <w:r>
              <w:t>%</w:t>
            </w:r>
          </w:p>
        </w:tc>
        <w:tc>
          <w:tcPr>
            <w:tcW w:w="574" w:type="dxa"/>
            <w:tcBorders>
              <w:bottom w:val="single" w:sz="2" w:space="0" w:color="auto"/>
            </w:tcBorders>
            <w:tcMar>
              <w:top w:w="100" w:type="dxa"/>
              <w:bottom w:w="100" w:type="dxa"/>
            </w:tcMar>
            <w:vAlign w:val="center"/>
          </w:tcPr>
          <w:p w14:paraId="081BBC19" w14:textId="77777777" w:rsidR="006561BA" w:rsidRDefault="005B4ED6">
            <w:pPr>
              <w:pStyle w:val="AnnexTableCellLeft"/>
              <w:jc w:val="center"/>
            </w:pPr>
            <w:r>
              <w:t>%</w:t>
            </w:r>
          </w:p>
        </w:tc>
        <w:tc>
          <w:tcPr>
            <w:tcW w:w="574" w:type="dxa"/>
            <w:tcBorders>
              <w:bottom w:val="single" w:sz="2" w:space="0" w:color="auto"/>
            </w:tcBorders>
            <w:tcMar>
              <w:top w:w="100" w:type="dxa"/>
              <w:bottom w:w="100" w:type="dxa"/>
            </w:tcMar>
            <w:vAlign w:val="center"/>
          </w:tcPr>
          <w:p w14:paraId="2B0BB917" w14:textId="77777777" w:rsidR="006561BA" w:rsidRDefault="005B4ED6">
            <w:pPr>
              <w:pStyle w:val="AnnexTableCellLeft"/>
              <w:jc w:val="center"/>
            </w:pPr>
            <w:r>
              <w:t>%</w:t>
            </w:r>
          </w:p>
        </w:tc>
        <w:tc>
          <w:tcPr>
            <w:tcW w:w="575" w:type="dxa"/>
            <w:tcBorders>
              <w:bottom w:val="single" w:sz="2" w:space="0" w:color="auto"/>
            </w:tcBorders>
            <w:tcMar>
              <w:top w:w="100" w:type="dxa"/>
              <w:bottom w:w="100" w:type="dxa"/>
            </w:tcMar>
            <w:vAlign w:val="center"/>
          </w:tcPr>
          <w:p w14:paraId="7BC86F0F" w14:textId="77777777" w:rsidR="006561BA" w:rsidRDefault="005B4ED6">
            <w:pPr>
              <w:pStyle w:val="AnnexTableCellLeft"/>
              <w:jc w:val="center"/>
            </w:pPr>
            <w:r>
              <w:t>%</w:t>
            </w:r>
          </w:p>
        </w:tc>
        <w:tc>
          <w:tcPr>
            <w:tcW w:w="574" w:type="dxa"/>
            <w:tcBorders>
              <w:bottom w:val="single" w:sz="2" w:space="0" w:color="auto"/>
            </w:tcBorders>
            <w:tcMar>
              <w:top w:w="100" w:type="dxa"/>
              <w:bottom w:w="100" w:type="dxa"/>
            </w:tcMar>
            <w:vAlign w:val="center"/>
          </w:tcPr>
          <w:p w14:paraId="53598C22" w14:textId="77777777" w:rsidR="006561BA" w:rsidRDefault="005B4ED6">
            <w:pPr>
              <w:pStyle w:val="AnnexTableCellLeft"/>
              <w:jc w:val="center"/>
            </w:pPr>
            <w:r>
              <w:t>%</w:t>
            </w:r>
          </w:p>
        </w:tc>
        <w:tc>
          <w:tcPr>
            <w:tcW w:w="574" w:type="dxa"/>
            <w:tcBorders>
              <w:bottom w:val="single" w:sz="2" w:space="0" w:color="auto"/>
            </w:tcBorders>
            <w:tcMar>
              <w:top w:w="100" w:type="dxa"/>
              <w:bottom w:w="100" w:type="dxa"/>
            </w:tcMar>
            <w:vAlign w:val="center"/>
          </w:tcPr>
          <w:p w14:paraId="2D61CD98" w14:textId="77777777" w:rsidR="006561BA" w:rsidRDefault="005B4ED6">
            <w:pPr>
              <w:pStyle w:val="AnnexTableCellLeft"/>
              <w:jc w:val="center"/>
            </w:pPr>
            <w:r>
              <w:t>%</w:t>
            </w:r>
          </w:p>
        </w:tc>
        <w:tc>
          <w:tcPr>
            <w:tcW w:w="575" w:type="dxa"/>
            <w:tcBorders>
              <w:bottom w:val="single" w:sz="2" w:space="0" w:color="auto"/>
            </w:tcBorders>
            <w:tcMar>
              <w:top w:w="100" w:type="dxa"/>
              <w:bottom w:w="100" w:type="dxa"/>
            </w:tcMar>
            <w:vAlign w:val="center"/>
          </w:tcPr>
          <w:p w14:paraId="1C190082" w14:textId="77777777" w:rsidR="006561BA" w:rsidRDefault="005B4ED6">
            <w:pPr>
              <w:pStyle w:val="AnnexTableCellLeft"/>
              <w:jc w:val="center"/>
            </w:pPr>
            <w:r>
              <w:t>%</w:t>
            </w:r>
          </w:p>
        </w:tc>
        <w:tc>
          <w:tcPr>
            <w:tcW w:w="574" w:type="dxa"/>
            <w:tcBorders>
              <w:bottom w:val="single" w:sz="2" w:space="0" w:color="auto"/>
            </w:tcBorders>
            <w:shd w:val="clear" w:color="auto" w:fill="000000" w:themeFill="text1"/>
            <w:tcMar>
              <w:top w:w="100" w:type="dxa"/>
              <w:bottom w:w="100" w:type="dxa"/>
            </w:tcMar>
            <w:vAlign w:val="center"/>
          </w:tcPr>
          <w:p w14:paraId="06354F3A" w14:textId="77777777" w:rsidR="006561BA" w:rsidRDefault="006561BA">
            <w:pPr>
              <w:pStyle w:val="AnnexTableCellLeft"/>
              <w:jc w:val="center"/>
            </w:pPr>
          </w:p>
        </w:tc>
        <w:tc>
          <w:tcPr>
            <w:tcW w:w="575" w:type="dxa"/>
            <w:tcBorders>
              <w:bottom w:val="single" w:sz="2" w:space="0" w:color="auto"/>
            </w:tcBorders>
            <w:shd w:val="clear" w:color="auto" w:fill="000000" w:themeFill="text1"/>
            <w:tcMar>
              <w:top w:w="100" w:type="dxa"/>
              <w:bottom w:w="100" w:type="dxa"/>
            </w:tcMar>
            <w:vAlign w:val="center"/>
          </w:tcPr>
          <w:p w14:paraId="462D08EF" w14:textId="77777777" w:rsidR="006561BA" w:rsidRDefault="006561BA">
            <w:pPr>
              <w:pStyle w:val="AnnexTableCellLeft"/>
              <w:jc w:val="center"/>
            </w:pPr>
          </w:p>
        </w:tc>
        <w:tc>
          <w:tcPr>
            <w:tcW w:w="574" w:type="dxa"/>
            <w:tcBorders>
              <w:bottom w:val="single" w:sz="2" w:space="0" w:color="auto"/>
            </w:tcBorders>
            <w:shd w:val="clear" w:color="auto" w:fill="000000" w:themeFill="text1"/>
            <w:tcMar>
              <w:top w:w="100" w:type="dxa"/>
              <w:bottom w:w="100" w:type="dxa"/>
            </w:tcMar>
            <w:vAlign w:val="center"/>
          </w:tcPr>
          <w:p w14:paraId="48BCA0C0" w14:textId="77777777" w:rsidR="006561BA" w:rsidRDefault="006561BA">
            <w:pPr>
              <w:pStyle w:val="AnnexTableCellLeft"/>
              <w:jc w:val="center"/>
            </w:pPr>
          </w:p>
        </w:tc>
        <w:tc>
          <w:tcPr>
            <w:tcW w:w="574" w:type="dxa"/>
            <w:tcBorders>
              <w:bottom w:val="single" w:sz="2" w:space="0" w:color="auto"/>
            </w:tcBorders>
            <w:shd w:val="clear" w:color="auto" w:fill="000000" w:themeFill="text1"/>
            <w:tcMar>
              <w:top w:w="100" w:type="dxa"/>
              <w:bottom w:w="100" w:type="dxa"/>
            </w:tcMar>
            <w:vAlign w:val="center"/>
          </w:tcPr>
          <w:p w14:paraId="076FBD1F" w14:textId="77777777" w:rsidR="006561BA" w:rsidRDefault="006561BA">
            <w:pPr>
              <w:pStyle w:val="AnnexTableCellLeft"/>
              <w:jc w:val="center"/>
            </w:pPr>
          </w:p>
        </w:tc>
        <w:tc>
          <w:tcPr>
            <w:tcW w:w="575" w:type="dxa"/>
            <w:tcBorders>
              <w:bottom w:val="single" w:sz="2" w:space="0" w:color="auto"/>
            </w:tcBorders>
            <w:shd w:val="clear" w:color="auto" w:fill="000000" w:themeFill="text1"/>
            <w:tcMar>
              <w:top w:w="100" w:type="dxa"/>
              <w:bottom w:w="100" w:type="dxa"/>
            </w:tcMar>
            <w:vAlign w:val="center"/>
          </w:tcPr>
          <w:p w14:paraId="64B6F9CB" w14:textId="77777777" w:rsidR="006561BA" w:rsidRDefault="006561BA">
            <w:pPr>
              <w:pStyle w:val="AnnexTableCellLeft"/>
              <w:jc w:val="center"/>
            </w:pPr>
          </w:p>
        </w:tc>
        <w:tc>
          <w:tcPr>
            <w:tcW w:w="574" w:type="dxa"/>
            <w:tcBorders>
              <w:bottom w:val="single" w:sz="2" w:space="0" w:color="auto"/>
            </w:tcBorders>
            <w:shd w:val="clear" w:color="auto" w:fill="000000" w:themeFill="text1"/>
            <w:tcMar>
              <w:top w:w="100" w:type="dxa"/>
              <w:bottom w:w="100" w:type="dxa"/>
            </w:tcMar>
            <w:vAlign w:val="center"/>
          </w:tcPr>
          <w:p w14:paraId="5A99CF0A" w14:textId="77777777" w:rsidR="006561BA" w:rsidRDefault="006561BA">
            <w:pPr>
              <w:pStyle w:val="AnnexTableCellLeft"/>
              <w:jc w:val="center"/>
            </w:pPr>
          </w:p>
        </w:tc>
        <w:tc>
          <w:tcPr>
            <w:tcW w:w="575" w:type="dxa"/>
            <w:tcBorders>
              <w:bottom w:val="single" w:sz="2" w:space="0" w:color="auto"/>
            </w:tcBorders>
            <w:shd w:val="clear" w:color="auto" w:fill="000000" w:themeFill="text1"/>
            <w:tcMar>
              <w:top w:w="100" w:type="dxa"/>
              <w:bottom w:w="100" w:type="dxa"/>
            </w:tcMar>
            <w:vAlign w:val="center"/>
          </w:tcPr>
          <w:p w14:paraId="59A89ADB" w14:textId="77777777" w:rsidR="006561BA" w:rsidRDefault="006561BA">
            <w:pPr>
              <w:pStyle w:val="AnnexTableCellLeft"/>
              <w:jc w:val="center"/>
            </w:pPr>
          </w:p>
        </w:tc>
        <w:tc>
          <w:tcPr>
            <w:tcW w:w="1200" w:type="dxa"/>
            <w:tcBorders>
              <w:bottom w:val="single" w:sz="2" w:space="0" w:color="auto"/>
            </w:tcBorders>
            <w:tcMar>
              <w:top w:w="100" w:type="dxa"/>
              <w:bottom w:w="100" w:type="dxa"/>
            </w:tcMar>
            <w:vAlign w:val="center"/>
          </w:tcPr>
          <w:p w14:paraId="3449B6CD" w14:textId="77777777" w:rsidR="006561BA" w:rsidRDefault="006561BA">
            <w:pPr>
              <w:pStyle w:val="AnnexTableCellLeft"/>
              <w:jc w:val="center"/>
            </w:pPr>
          </w:p>
        </w:tc>
        <w:tc>
          <w:tcPr>
            <w:tcW w:w="1608" w:type="dxa"/>
            <w:gridSpan w:val="2"/>
            <w:tcBorders>
              <w:bottom w:val="single" w:sz="2" w:space="0" w:color="auto"/>
            </w:tcBorders>
            <w:shd w:val="clear" w:color="auto" w:fill="000000" w:themeFill="text1"/>
            <w:tcMar>
              <w:top w:w="100" w:type="dxa"/>
              <w:bottom w:w="100" w:type="dxa"/>
              <w:right w:w="0" w:type="dxa"/>
            </w:tcMar>
            <w:vAlign w:val="center"/>
          </w:tcPr>
          <w:p w14:paraId="0AF697E3" w14:textId="77777777" w:rsidR="006561BA" w:rsidRDefault="006561BA">
            <w:pPr>
              <w:pStyle w:val="AnnexTableCellLeft"/>
              <w:jc w:val="center"/>
            </w:pPr>
          </w:p>
        </w:tc>
      </w:tr>
      <w:tr w:rsidR="006561BA" w14:paraId="749E166A" w14:textId="77777777">
        <w:tc>
          <w:tcPr>
            <w:tcW w:w="4041" w:type="dxa"/>
            <w:gridSpan w:val="4"/>
            <w:tcBorders>
              <w:right w:val="single" w:sz="2" w:space="0" w:color="auto"/>
            </w:tcBorders>
            <w:tcMar>
              <w:top w:w="100" w:type="dxa"/>
              <w:left w:w="0" w:type="dxa"/>
              <w:bottom w:w="100" w:type="dxa"/>
            </w:tcMar>
          </w:tcPr>
          <w:p w14:paraId="3FB53355" w14:textId="77777777" w:rsidR="006561BA" w:rsidRDefault="005B4ED6">
            <w:pPr>
              <w:pStyle w:val="AnnexNumberedText"/>
              <w:spacing w:after="0" w:line="200" w:lineRule="exact"/>
              <w:ind w:left="453" w:hanging="453"/>
              <w:rPr>
                <w:sz w:val="16"/>
              </w:rPr>
            </w:pPr>
            <w:r>
              <w:rPr>
                <w:sz w:val="16"/>
              </w:rPr>
              <w:t>B.</w:t>
            </w:r>
            <w:r>
              <w:rPr>
                <w:b/>
                <w:sz w:val="16"/>
              </w:rPr>
              <w:tab/>
              <w:t>AKTIVITETER SOM IKKE ER OMFATTET AV TAKSONOMIEN</w:t>
            </w:r>
          </w:p>
        </w:tc>
        <w:tc>
          <w:tcPr>
            <w:tcW w:w="574" w:type="dxa"/>
            <w:tcBorders>
              <w:top w:val="single" w:sz="2" w:space="0" w:color="auto"/>
              <w:left w:val="single" w:sz="2" w:space="0" w:color="auto"/>
              <w:bottom w:val="nil"/>
              <w:right w:val="nil"/>
            </w:tcBorders>
            <w:tcMar>
              <w:top w:w="100" w:type="dxa"/>
              <w:bottom w:w="100" w:type="dxa"/>
            </w:tcMar>
          </w:tcPr>
          <w:p w14:paraId="257F0B10" w14:textId="77777777" w:rsidR="006561BA" w:rsidRDefault="006561BA">
            <w:pPr>
              <w:pStyle w:val="AnnexTableCellLeft"/>
              <w:spacing w:line="200" w:lineRule="exact"/>
              <w:rPr>
                <w:sz w:val="16"/>
              </w:rPr>
            </w:pPr>
          </w:p>
        </w:tc>
        <w:tc>
          <w:tcPr>
            <w:tcW w:w="574" w:type="dxa"/>
            <w:tcBorders>
              <w:top w:val="single" w:sz="2" w:space="0" w:color="auto"/>
              <w:left w:val="nil"/>
              <w:bottom w:val="nil"/>
              <w:right w:val="nil"/>
            </w:tcBorders>
            <w:tcMar>
              <w:top w:w="100" w:type="dxa"/>
              <w:bottom w:w="100" w:type="dxa"/>
            </w:tcMar>
          </w:tcPr>
          <w:p w14:paraId="15D82DB8" w14:textId="77777777" w:rsidR="006561BA" w:rsidRDefault="006561BA">
            <w:pPr>
              <w:pStyle w:val="AnnexTableCellLeft"/>
              <w:spacing w:line="200" w:lineRule="exact"/>
              <w:rPr>
                <w:sz w:val="16"/>
              </w:rPr>
            </w:pPr>
          </w:p>
        </w:tc>
        <w:tc>
          <w:tcPr>
            <w:tcW w:w="575" w:type="dxa"/>
            <w:tcBorders>
              <w:top w:val="single" w:sz="2" w:space="0" w:color="auto"/>
              <w:left w:val="nil"/>
              <w:bottom w:val="nil"/>
              <w:right w:val="nil"/>
            </w:tcBorders>
            <w:tcMar>
              <w:top w:w="100" w:type="dxa"/>
              <w:bottom w:w="100" w:type="dxa"/>
            </w:tcMar>
          </w:tcPr>
          <w:p w14:paraId="215EBB92" w14:textId="77777777" w:rsidR="006561BA" w:rsidRDefault="006561BA">
            <w:pPr>
              <w:pStyle w:val="AnnexTableCellLeft"/>
              <w:spacing w:line="200" w:lineRule="exact"/>
              <w:rPr>
                <w:sz w:val="16"/>
              </w:rPr>
            </w:pPr>
          </w:p>
        </w:tc>
        <w:tc>
          <w:tcPr>
            <w:tcW w:w="574" w:type="dxa"/>
            <w:tcBorders>
              <w:top w:val="single" w:sz="2" w:space="0" w:color="auto"/>
              <w:left w:val="nil"/>
              <w:bottom w:val="nil"/>
              <w:right w:val="nil"/>
            </w:tcBorders>
            <w:tcMar>
              <w:top w:w="100" w:type="dxa"/>
              <w:bottom w:w="100" w:type="dxa"/>
            </w:tcMar>
          </w:tcPr>
          <w:p w14:paraId="4A4E8DB4" w14:textId="77777777" w:rsidR="006561BA" w:rsidRDefault="006561BA">
            <w:pPr>
              <w:pStyle w:val="AnnexTableCellLeft"/>
              <w:spacing w:line="200" w:lineRule="exact"/>
              <w:rPr>
                <w:sz w:val="16"/>
              </w:rPr>
            </w:pPr>
          </w:p>
        </w:tc>
        <w:tc>
          <w:tcPr>
            <w:tcW w:w="574" w:type="dxa"/>
            <w:tcBorders>
              <w:top w:val="single" w:sz="2" w:space="0" w:color="auto"/>
              <w:left w:val="nil"/>
              <w:bottom w:val="nil"/>
              <w:right w:val="nil"/>
            </w:tcBorders>
            <w:tcMar>
              <w:top w:w="100" w:type="dxa"/>
              <w:bottom w:w="100" w:type="dxa"/>
            </w:tcMar>
          </w:tcPr>
          <w:p w14:paraId="429F1F09" w14:textId="77777777" w:rsidR="006561BA" w:rsidRDefault="006561BA">
            <w:pPr>
              <w:pStyle w:val="AnnexTableCellLeft"/>
              <w:spacing w:line="200" w:lineRule="exact"/>
              <w:rPr>
                <w:sz w:val="16"/>
              </w:rPr>
            </w:pPr>
          </w:p>
        </w:tc>
        <w:tc>
          <w:tcPr>
            <w:tcW w:w="575" w:type="dxa"/>
            <w:tcBorders>
              <w:top w:val="single" w:sz="2" w:space="0" w:color="auto"/>
              <w:left w:val="nil"/>
              <w:bottom w:val="nil"/>
              <w:right w:val="nil"/>
            </w:tcBorders>
            <w:tcMar>
              <w:top w:w="100" w:type="dxa"/>
              <w:bottom w:w="100" w:type="dxa"/>
            </w:tcMar>
          </w:tcPr>
          <w:p w14:paraId="6D7684A4" w14:textId="77777777" w:rsidR="006561BA" w:rsidRDefault="006561BA">
            <w:pPr>
              <w:pStyle w:val="AnnexTableCellLeft"/>
              <w:spacing w:line="200" w:lineRule="exact"/>
              <w:rPr>
                <w:sz w:val="16"/>
              </w:rPr>
            </w:pPr>
          </w:p>
        </w:tc>
        <w:tc>
          <w:tcPr>
            <w:tcW w:w="574" w:type="dxa"/>
            <w:tcBorders>
              <w:top w:val="single" w:sz="2" w:space="0" w:color="auto"/>
              <w:left w:val="nil"/>
              <w:bottom w:val="nil"/>
              <w:right w:val="nil"/>
            </w:tcBorders>
            <w:tcMar>
              <w:top w:w="100" w:type="dxa"/>
              <w:bottom w:w="100" w:type="dxa"/>
            </w:tcMar>
          </w:tcPr>
          <w:p w14:paraId="76CB88C0" w14:textId="77777777" w:rsidR="006561BA" w:rsidRDefault="006561BA">
            <w:pPr>
              <w:pStyle w:val="AnnexTableCellLeft"/>
              <w:spacing w:line="200" w:lineRule="exact"/>
              <w:rPr>
                <w:sz w:val="16"/>
              </w:rPr>
            </w:pPr>
          </w:p>
        </w:tc>
        <w:tc>
          <w:tcPr>
            <w:tcW w:w="575" w:type="dxa"/>
            <w:tcBorders>
              <w:top w:val="single" w:sz="2" w:space="0" w:color="auto"/>
              <w:left w:val="nil"/>
              <w:bottom w:val="nil"/>
              <w:right w:val="nil"/>
            </w:tcBorders>
            <w:tcMar>
              <w:top w:w="100" w:type="dxa"/>
              <w:bottom w:w="100" w:type="dxa"/>
            </w:tcMar>
          </w:tcPr>
          <w:p w14:paraId="794A33A5" w14:textId="77777777" w:rsidR="006561BA" w:rsidRDefault="006561BA">
            <w:pPr>
              <w:pStyle w:val="AnnexTableCellLeft"/>
              <w:spacing w:line="200" w:lineRule="exact"/>
              <w:rPr>
                <w:sz w:val="16"/>
              </w:rPr>
            </w:pPr>
          </w:p>
        </w:tc>
        <w:tc>
          <w:tcPr>
            <w:tcW w:w="574" w:type="dxa"/>
            <w:tcBorders>
              <w:top w:val="single" w:sz="2" w:space="0" w:color="auto"/>
              <w:left w:val="nil"/>
              <w:bottom w:val="nil"/>
              <w:right w:val="nil"/>
            </w:tcBorders>
            <w:tcMar>
              <w:top w:w="100" w:type="dxa"/>
              <w:bottom w:w="100" w:type="dxa"/>
            </w:tcMar>
          </w:tcPr>
          <w:p w14:paraId="2EAC318F" w14:textId="77777777" w:rsidR="006561BA" w:rsidRDefault="006561BA">
            <w:pPr>
              <w:pStyle w:val="AnnexTableCellLeft"/>
              <w:spacing w:line="200" w:lineRule="exact"/>
              <w:rPr>
                <w:sz w:val="16"/>
              </w:rPr>
            </w:pPr>
          </w:p>
        </w:tc>
        <w:tc>
          <w:tcPr>
            <w:tcW w:w="574" w:type="dxa"/>
            <w:tcBorders>
              <w:top w:val="single" w:sz="2" w:space="0" w:color="auto"/>
              <w:left w:val="nil"/>
              <w:bottom w:val="nil"/>
              <w:right w:val="nil"/>
            </w:tcBorders>
            <w:tcMar>
              <w:top w:w="100" w:type="dxa"/>
              <w:bottom w:w="100" w:type="dxa"/>
            </w:tcMar>
          </w:tcPr>
          <w:p w14:paraId="1EF61517" w14:textId="77777777" w:rsidR="006561BA" w:rsidRDefault="006561BA">
            <w:pPr>
              <w:pStyle w:val="AnnexTableCellLeft"/>
              <w:spacing w:line="200" w:lineRule="exact"/>
              <w:rPr>
                <w:sz w:val="16"/>
              </w:rPr>
            </w:pPr>
          </w:p>
        </w:tc>
        <w:tc>
          <w:tcPr>
            <w:tcW w:w="575" w:type="dxa"/>
            <w:tcBorders>
              <w:top w:val="single" w:sz="2" w:space="0" w:color="auto"/>
              <w:left w:val="nil"/>
              <w:bottom w:val="nil"/>
              <w:right w:val="nil"/>
            </w:tcBorders>
            <w:tcMar>
              <w:top w:w="100" w:type="dxa"/>
              <w:bottom w:w="100" w:type="dxa"/>
            </w:tcMar>
          </w:tcPr>
          <w:p w14:paraId="6193DA89" w14:textId="77777777" w:rsidR="006561BA" w:rsidRDefault="006561BA">
            <w:pPr>
              <w:pStyle w:val="AnnexTableCellLeft"/>
              <w:spacing w:line="200" w:lineRule="exact"/>
              <w:rPr>
                <w:sz w:val="16"/>
              </w:rPr>
            </w:pPr>
          </w:p>
        </w:tc>
        <w:tc>
          <w:tcPr>
            <w:tcW w:w="574" w:type="dxa"/>
            <w:tcBorders>
              <w:top w:val="single" w:sz="2" w:space="0" w:color="auto"/>
              <w:left w:val="nil"/>
              <w:bottom w:val="nil"/>
              <w:right w:val="nil"/>
            </w:tcBorders>
            <w:tcMar>
              <w:top w:w="100" w:type="dxa"/>
              <w:bottom w:w="100" w:type="dxa"/>
            </w:tcMar>
          </w:tcPr>
          <w:p w14:paraId="0033A90B" w14:textId="77777777" w:rsidR="006561BA" w:rsidRDefault="006561BA">
            <w:pPr>
              <w:pStyle w:val="AnnexTableCellLeft"/>
              <w:spacing w:line="200" w:lineRule="exact"/>
              <w:rPr>
                <w:sz w:val="16"/>
              </w:rPr>
            </w:pPr>
          </w:p>
        </w:tc>
        <w:tc>
          <w:tcPr>
            <w:tcW w:w="575" w:type="dxa"/>
            <w:tcBorders>
              <w:top w:val="single" w:sz="2" w:space="0" w:color="auto"/>
              <w:left w:val="nil"/>
              <w:bottom w:val="nil"/>
              <w:right w:val="nil"/>
            </w:tcBorders>
            <w:tcMar>
              <w:top w:w="100" w:type="dxa"/>
              <w:bottom w:w="100" w:type="dxa"/>
            </w:tcMar>
          </w:tcPr>
          <w:p w14:paraId="58E8B45B" w14:textId="77777777" w:rsidR="006561BA" w:rsidRDefault="006561BA">
            <w:pPr>
              <w:pStyle w:val="AnnexTableCellLeft"/>
              <w:spacing w:line="200" w:lineRule="exact"/>
              <w:rPr>
                <w:sz w:val="16"/>
              </w:rPr>
            </w:pPr>
          </w:p>
        </w:tc>
        <w:tc>
          <w:tcPr>
            <w:tcW w:w="1200" w:type="dxa"/>
            <w:tcBorders>
              <w:top w:val="single" w:sz="2" w:space="0" w:color="auto"/>
              <w:left w:val="nil"/>
              <w:bottom w:val="nil"/>
              <w:right w:val="nil"/>
            </w:tcBorders>
            <w:tcMar>
              <w:top w:w="100" w:type="dxa"/>
              <w:bottom w:w="100" w:type="dxa"/>
            </w:tcMar>
          </w:tcPr>
          <w:p w14:paraId="725BEB16" w14:textId="77777777" w:rsidR="006561BA" w:rsidRDefault="006561BA">
            <w:pPr>
              <w:pStyle w:val="AnnexTableCellLeft"/>
              <w:spacing w:line="200" w:lineRule="exact"/>
              <w:rPr>
                <w:sz w:val="16"/>
              </w:rPr>
            </w:pPr>
          </w:p>
        </w:tc>
        <w:tc>
          <w:tcPr>
            <w:tcW w:w="804" w:type="dxa"/>
            <w:tcBorders>
              <w:top w:val="single" w:sz="2" w:space="0" w:color="auto"/>
              <w:left w:val="nil"/>
              <w:bottom w:val="nil"/>
              <w:right w:val="nil"/>
            </w:tcBorders>
            <w:tcMar>
              <w:top w:w="100" w:type="dxa"/>
              <w:bottom w:w="100" w:type="dxa"/>
            </w:tcMar>
          </w:tcPr>
          <w:p w14:paraId="4B56A606" w14:textId="77777777" w:rsidR="006561BA" w:rsidRDefault="006561BA">
            <w:pPr>
              <w:pStyle w:val="AnnexTableCellLeft"/>
              <w:spacing w:line="200" w:lineRule="exact"/>
              <w:rPr>
                <w:sz w:val="16"/>
              </w:rPr>
            </w:pPr>
          </w:p>
        </w:tc>
        <w:tc>
          <w:tcPr>
            <w:tcW w:w="804" w:type="dxa"/>
            <w:tcBorders>
              <w:top w:val="single" w:sz="2" w:space="0" w:color="auto"/>
              <w:left w:val="nil"/>
              <w:bottom w:val="nil"/>
            </w:tcBorders>
            <w:tcMar>
              <w:top w:w="100" w:type="dxa"/>
              <w:bottom w:w="100" w:type="dxa"/>
              <w:right w:w="0" w:type="dxa"/>
            </w:tcMar>
          </w:tcPr>
          <w:p w14:paraId="562C17E9" w14:textId="77777777" w:rsidR="006561BA" w:rsidRDefault="006561BA">
            <w:pPr>
              <w:pStyle w:val="AnnexTableCellLeft"/>
              <w:spacing w:line="200" w:lineRule="exact"/>
              <w:rPr>
                <w:sz w:val="16"/>
              </w:rPr>
            </w:pPr>
          </w:p>
        </w:tc>
      </w:tr>
      <w:tr w:rsidR="006561BA" w14:paraId="0AFD9EEA" w14:textId="77777777">
        <w:tc>
          <w:tcPr>
            <w:tcW w:w="2301" w:type="dxa"/>
            <w:gridSpan w:val="2"/>
            <w:tcBorders>
              <w:bottom w:val="single" w:sz="4" w:space="0" w:color="auto"/>
            </w:tcBorders>
            <w:tcMar>
              <w:top w:w="100" w:type="dxa"/>
              <w:left w:w="0" w:type="dxa"/>
              <w:bottom w:w="100" w:type="dxa"/>
            </w:tcMar>
          </w:tcPr>
          <w:p w14:paraId="6FCED95D" w14:textId="77777777" w:rsidR="006561BA" w:rsidRDefault="005B4ED6">
            <w:pPr>
              <w:pStyle w:val="AnnexTableCellLeft"/>
            </w:pPr>
            <w:r>
              <w:rPr>
                <w:b/>
              </w:rPr>
              <w:t>Driftsutgifter for aktiviteter som ikke er omfattet av taksonomien</w:t>
            </w:r>
          </w:p>
        </w:tc>
        <w:tc>
          <w:tcPr>
            <w:tcW w:w="804" w:type="dxa"/>
            <w:tcBorders>
              <w:bottom w:val="single" w:sz="4" w:space="0" w:color="auto"/>
            </w:tcBorders>
            <w:tcMar>
              <w:top w:w="100" w:type="dxa"/>
              <w:bottom w:w="100" w:type="dxa"/>
            </w:tcMar>
            <w:vAlign w:val="center"/>
          </w:tcPr>
          <w:p w14:paraId="6D75C489" w14:textId="77777777" w:rsidR="006561BA" w:rsidRDefault="006561BA">
            <w:pPr>
              <w:pStyle w:val="AnnexTableCellLeft"/>
              <w:jc w:val="center"/>
            </w:pPr>
          </w:p>
        </w:tc>
        <w:tc>
          <w:tcPr>
            <w:tcW w:w="936" w:type="dxa"/>
            <w:tcBorders>
              <w:bottom w:val="single" w:sz="4" w:space="0" w:color="auto"/>
              <w:right w:val="single" w:sz="2" w:space="0" w:color="auto"/>
            </w:tcBorders>
            <w:tcMar>
              <w:top w:w="100" w:type="dxa"/>
              <w:bottom w:w="100" w:type="dxa"/>
            </w:tcMar>
            <w:vAlign w:val="center"/>
          </w:tcPr>
          <w:p w14:paraId="5A01B06E" w14:textId="77777777" w:rsidR="006561BA" w:rsidRDefault="005B4ED6">
            <w:pPr>
              <w:pStyle w:val="AnnexTableCellLeft"/>
              <w:jc w:val="center"/>
            </w:pPr>
            <w:r>
              <w:t>%</w:t>
            </w:r>
          </w:p>
        </w:tc>
        <w:tc>
          <w:tcPr>
            <w:tcW w:w="574" w:type="dxa"/>
            <w:tcBorders>
              <w:top w:val="nil"/>
              <w:left w:val="single" w:sz="2" w:space="0" w:color="auto"/>
              <w:bottom w:val="nil"/>
              <w:right w:val="nil"/>
            </w:tcBorders>
            <w:tcMar>
              <w:top w:w="100" w:type="dxa"/>
              <w:bottom w:w="100" w:type="dxa"/>
            </w:tcMar>
            <w:vAlign w:val="center"/>
          </w:tcPr>
          <w:p w14:paraId="0DDA6520" w14:textId="77777777" w:rsidR="006561BA" w:rsidRDefault="006561BA">
            <w:pPr>
              <w:pStyle w:val="AnnexTableCellLeft"/>
              <w:jc w:val="center"/>
            </w:pPr>
          </w:p>
        </w:tc>
        <w:tc>
          <w:tcPr>
            <w:tcW w:w="574" w:type="dxa"/>
            <w:tcBorders>
              <w:top w:val="nil"/>
              <w:left w:val="nil"/>
              <w:bottom w:val="nil"/>
              <w:right w:val="nil"/>
            </w:tcBorders>
            <w:tcMar>
              <w:top w:w="100" w:type="dxa"/>
              <w:bottom w:w="100" w:type="dxa"/>
            </w:tcMar>
            <w:vAlign w:val="center"/>
          </w:tcPr>
          <w:p w14:paraId="0E662517" w14:textId="77777777" w:rsidR="006561BA" w:rsidRDefault="006561BA">
            <w:pPr>
              <w:pStyle w:val="AnnexTableCellLeft"/>
              <w:jc w:val="center"/>
            </w:pPr>
          </w:p>
        </w:tc>
        <w:tc>
          <w:tcPr>
            <w:tcW w:w="575" w:type="dxa"/>
            <w:tcBorders>
              <w:top w:val="nil"/>
              <w:left w:val="nil"/>
              <w:bottom w:val="nil"/>
              <w:right w:val="nil"/>
            </w:tcBorders>
            <w:tcMar>
              <w:top w:w="100" w:type="dxa"/>
              <w:bottom w:w="100" w:type="dxa"/>
            </w:tcMar>
            <w:vAlign w:val="center"/>
          </w:tcPr>
          <w:p w14:paraId="7FA99A20" w14:textId="77777777" w:rsidR="006561BA" w:rsidRDefault="006561BA">
            <w:pPr>
              <w:pStyle w:val="AnnexTableCellLeft"/>
              <w:jc w:val="center"/>
            </w:pPr>
          </w:p>
        </w:tc>
        <w:tc>
          <w:tcPr>
            <w:tcW w:w="574" w:type="dxa"/>
            <w:tcBorders>
              <w:top w:val="nil"/>
              <w:left w:val="nil"/>
              <w:bottom w:val="nil"/>
              <w:right w:val="nil"/>
            </w:tcBorders>
            <w:tcMar>
              <w:top w:w="100" w:type="dxa"/>
              <w:bottom w:w="100" w:type="dxa"/>
            </w:tcMar>
            <w:vAlign w:val="center"/>
          </w:tcPr>
          <w:p w14:paraId="288AB55D" w14:textId="77777777" w:rsidR="006561BA" w:rsidRDefault="006561BA">
            <w:pPr>
              <w:pStyle w:val="AnnexTableCellLeft"/>
              <w:jc w:val="center"/>
            </w:pPr>
          </w:p>
        </w:tc>
        <w:tc>
          <w:tcPr>
            <w:tcW w:w="574" w:type="dxa"/>
            <w:tcBorders>
              <w:top w:val="nil"/>
              <w:left w:val="nil"/>
              <w:bottom w:val="nil"/>
              <w:right w:val="nil"/>
            </w:tcBorders>
            <w:tcMar>
              <w:top w:w="100" w:type="dxa"/>
              <w:bottom w:w="100" w:type="dxa"/>
            </w:tcMar>
            <w:vAlign w:val="center"/>
          </w:tcPr>
          <w:p w14:paraId="6C5C6E73" w14:textId="77777777" w:rsidR="006561BA" w:rsidRDefault="006561BA">
            <w:pPr>
              <w:pStyle w:val="AnnexTableCellLeft"/>
              <w:jc w:val="center"/>
            </w:pPr>
          </w:p>
        </w:tc>
        <w:tc>
          <w:tcPr>
            <w:tcW w:w="575" w:type="dxa"/>
            <w:tcBorders>
              <w:top w:val="nil"/>
              <w:left w:val="nil"/>
              <w:bottom w:val="nil"/>
              <w:right w:val="nil"/>
            </w:tcBorders>
            <w:tcMar>
              <w:top w:w="100" w:type="dxa"/>
              <w:bottom w:w="100" w:type="dxa"/>
            </w:tcMar>
            <w:vAlign w:val="center"/>
          </w:tcPr>
          <w:p w14:paraId="31061E6D" w14:textId="77777777" w:rsidR="006561BA" w:rsidRDefault="006561BA">
            <w:pPr>
              <w:pStyle w:val="AnnexTableCellLeft"/>
              <w:jc w:val="center"/>
            </w:pPr>
          </w:p>
        </w:tc>
        <w:tc>
          <w:tcPr>
            <w:tcW w:w="574" w:type="dxa"/>
            <w:tcBorders>
              <w:top w:val="nil"/>
              <w:left w:val="nil"/>
              <w:bottom w:val="nil"/>
              <w:right w:val="nil"/>
            </w:tcBorders>
            <w:tcMar>
              <w:top w:w="100" w:type="dxa"/>
              <w:bottom w:w="100" w:type="dxa"/>
            </w:tcMar>
            <w:vAlign w:val="center"/>
          </w:tcPr>
          <w:p w14:paraId="52C9FDC2" w14:textId="77777777" w:rsidR="006561BA" w:rsidRDefault="006561BA">
            <w:pPr>
              <w:pStyle w:val="AnnexTableCellLeft"/>
              <w:jc w:val="center"/>
            </w:pPr>
          </w:p>
        </w:tc>
        <w:tc>
          <w:tcPr>
            <w:tcW w:w="575" w:type="dxa"/>
            <w:tcBorders>
              <w:top w:val="nil"/>
              <w:left w:val="nil"/>
              <w:bottom w:val="nil"/>
              <w:right w:val="nil"/>
            </w:tcBorders>
            <w:tcMar>
              <w:top w:w="100" w:type="dxa"/>
              <w:bottom w:w="100" w:type="dxa"/>
            </w:tcMar>
            <w:vAlign w:val="center"/>
          </w:tcPr>
          <w:p w14:paraId="2A18E43A" w14:textId="77777777" w:rsidR="006561BA" w:rsidRDefault="006561BA">
            <w:pPr>
              <w:pStyle w:val="AnnexTableCellLeft"/>
              <w:jc w:val="center"/>
            </w:pPr>
          </w:p>
        </w:tc>
        <w:tc>
          <w:tcPr>
            <w:tcW w:w="574" w:type="dxa"/>
            <w:tcBorders>
              <w:top w:val="nil"/>
              <w:left w:val="nil"/>
              <w:bottom w:val="nil"/>
              <w:right w:val="nil"/>
            </w:tcBorders>
            <w:tcMar>
              <w:top w:w="100" w:type="dxa"/>
              <w:bottom w:w="100" w:type="dxa"/>
            </w:tcMar>
            <w:vAlign w:val="center"/>
          </w:tcPr>
          <w:p w14:paraId="17F85C5D" w14:textId="77777777" w:rsidR="006561BA" w:rsidRDefault="006561BA">
            <w:pPr>
              <w:pStyle w:val="AnnexTableCellLeft"/>
              <w:jc w:val="center"/>
            </w:pPr>
          </w:p>
        </w:tc>
        <w:tc>
          <w:tcPr>
            <w:tcW w:w="574" w:type="dxa"/>
            <w:tcBorders>
              <w:top w:val="nil"/>
              <w:left w:val="nil"/>
              <w:bottom w:val="nil"/>
              <w:right w:val="nil"/>
            </w:tcBorders>
            <w:tcMar>
              <w:top w:w="100" w:type="dxa"/>
              <w:bottom w:w="100" w:type="dxa"/>
            </w:tcMar>
            <w:vAlign w:val="center"/>
          </w:tcPr>
          <w:p w14:paraId="2DFC26B7" w14:textId="77777777" w:rsidR="006561BA" w:rsidRDefault="006561BA">
            <w:pPr>
              <w:pStyle w:val="AnnexTableCellLeft"/>
              <w:jc w:val="center"/>
            </w:pPr>
          </w:p>
        </w:tc>
        <w:tc>
          <w:tcPr>
            <w:tcW w:w="575" w:type="dxa"/>
            <w:tcBorders>
              <w:top w:val="nil"/>
              <w:left w:val="nil"/>
              <w:bottom w:val="nil"/>
              <w:right w:val="nil"/>
            </w:tcBorders>
            <w:tcMar>
              <w:top w:w="100" w:type="dxa"/>
              <w:bottom w:w="100" w:type="dxa"/>
            </w:tcMar>
            <w:vAlign w:val="center"/>
          </w:tcPr>
          <w:p w14:paraId="3D660688" w14:textId="77777777" w:rsidR="006561BA" w:rsidRDefault="006561BA">
            <w:pPr>
              <w:pStyle w:val="AnnexTableCellLeft"/>
              <w:jc w:val="center"/>
            </w:pPr>
          </w:p>
        </w:tc>
        <w:tc>
          <w:tcPr>
            <w:tcW w:w="574" w:type="dxa"/>
            <w:tcBorders>
              <w:top w:val="nil"/>
              <w:left w:val="nil"/>
              <w:bottom w:val="nil"/>
              <w:right w:val="nil"/>
            </w:tcBorders>
            <w:tcMar>
              <w:top w:w="100" w:type="dxa"/>
              <w:bottom w:w="100" w:type="dxa"/>
            </w:tcMar>
            <w:vAlign w:val="center"/>
          </w:tcPr>
          <w:p w14:paraId="0E157743" w14:textId="77777777" w:rsidR="006561BA" w:rsidRDefault="006561BA">
            <w:pPr>
              <w:pStyle w:val="AnnexTableCellLeft"/>
              <w:jc w:val="center"/>
            </w:pPr>
          </w:p>
        </w:tc>
        <w:tc>
          <w:tcPr>
            <w:tcW w:w="575" w:type="dxa"/>
            <w:tcBorders>
              <w:top w:val="nil"/>
              <w:left w:val="nil"/>
              <w:bottom w:val="nil"/>
              <w:right w:val="nil"/>
            </w:tcBorders>
            <w:tcMar>
              <w:top w:w="100" w:type="dxa"/>
              <w:bottom w:w="100" w:type="dxa"/>
            </w:tcMar>
            <w:vAlign w:val="center"/>
          </w:tcPr>
          <w:p w14:paraId="688CEF5F" w14:textId="77777777" w:rsidR="006561BA" w:rsidRDefault="006561BA">
            <w:pPr>
              <w:pStyle w:val="AnnexTableCellLeft"/>
              <w:jc w:val="center"/>
            </w:pPr>
          </w:p>
        </w:tc>
        <w:tc>
          <w:tcPr>
            <w:tcW w:w="1200" w:type="dxa"/>
            <w:tcBorders>
              <w:top w:val="nil"/>
              <w:left w:val="nil"/>
              <w:bottom w:val="nil"/>
              <w:right w:val="nil"/>
            </w:tcBorders>
            <w:tcMar>
              <w:top w:w="100" w:type="dxa"/>
              <w:bottom w:w="100" w:type="dxa"/>
            </w:tcMar>
            <w:vAlign w:val="center"/>
          </w:tcPr>
          <w:p w14:paraId="01C80BE6" w14:textId="77777777" w:rsidR="006561BA" w:rsidRDefault="006561BA">
            <w:pPr>
              <w:pStyle w:val="AnnexTableCellLeft"/>
              <w:jc w:val="center"/>
            </w:pPr>
          </w:p>
        </w:tc>
        <w:tc>
          <w:tcPr>
            <w:tcW w:w="804" w:type="dxa"/>
            <w:tcBorders>
              <w:top w:val="nil"/>
              <w:left w:val="nil"/>
              <w:bottom w:val="nil"/>
              <w:right w:val="nil"/>
            </w:tcBorders>
            <w:tcMar>
              <w:top w:w="100" w:type="dxa"/>
              <w:bottom w:w="100" w:type="dxa"/>
            </w:tcMar>
            <w:vAlign w:val="center"/>
          </w:tcPr>
          <w:p w14:paraId="727D17BF" w14:textId="77777777" w:rsidR="006561BA" w:rsidRDefault="006561BA">
            <w:pPr>
              <w:pStyle w:val="AnnexTableCellLeft"/>
              <w:jc w:val="center"/>
            </w:pPr>
          </w:p>
        </w:tc>
        <w:tc>
          <w:tcPr>
            <w:tcW w:w="804" w:type="dxa"/>
            <w:tcBorders>
              <w:top w:val="nil"/>
              <w:left w:val="nil"/>
              <w:bottom w:val="nil"/>
            </w:tcBorders>
            <w:tcMar>
              <w:top w:w="100" w:type="dxa"/>
              <w:bottom w:w="100" w:type="dxa"/>
              <w:right w:w="0" w:type="dxa"/>
            </w:tcMar>
            <w:vAlign w:val="center"/>
          </w:tcPr>
          <w:p w14:paraId="4404E623" w14:textId="77777777" w:rsidR="006561BA" w:rsidRDefault="006561BA">
            <w:pPr>
              <w:pStyle w:val="AnnexTableCellLeft"/>
              <w:jc w:val="center"/>
            </w:pPr>
          </w:p>
        </w:tc>
      </w:tr>
      <w:tr w:rsidR="006561BA" w14:paraId="4D34614C" w14:textId="77777777">
        <w:tc>
          <w:tcPr>
            <w:tcW w:w="2301" w:type="dxa"/>
            <w:gridSpan w:val="2"/>
            <w:tcBorders>
              <w:bottom w:val="single" w:sz="2" w:space="0" w:color="auto"/>
            </w:tcBorders>
            <w:tcMar>
              <w:top w:w="100" w:type="dxa"/>
              <w:left w:w="0" w:type="dxa"/>
              <w:bottom w:w="100" w:type="dxa"/>
            </w:tcMar>
          </w:tcPr>
          <w:p w14:paraId="3EC63473" w14:textId="77777777" w:rsidR="006561BA" w:rsidRDefault="005B4ED6">
            <w:pPr>
              <w:pStyle w:val="AnnexTableCellLeft"/>
            </w:pPr>
            <w:r>
              <w:rPr>
                <w:b/>
                <w:sz w:val="16"/>
              </w:rPr>
              <w:t>TOTALT</w:t>
            </w:r>
          </w:p>
        </w:tc>
        <w:tc>
          <w:tcPr>
            <w:tcW w:w="804" w:type="dxa"/>
            <w:tcBorders>
              <w:bottom w:val="single" w:sz="2" w:space="0" w:color="auto"/>
            </w:tcBorders>
            <w:tcMar>
              <w:top w:w="100" w:type="dxa"/>
              <w:bottom w:w="100" w:type="dxa"/>
            </w:tcMar>
            <w:vAlign w:val="center"/>
          </w:tcPr>
          <w:p w14:paraId="54D6F784" w14:textId="77777777" w:rsidR="006561BA" w:rsidRDefault="006561BA">
            <w:pPr>
              <w:pStyle w:val="AnnexTableCellLeft"/>
              <w:jc w:val="center"/>
            </w:pPr>
          </w:p>
        </w:tc>
        <w:tc>
          <w:tcPr>
            <w:tcW w:w="936" w:type="dxa"/>
            <w:tcBorders>
              <w:bottom w:val="single" w:sz="2" w:space="0" w:color="auto"/>
              <w:right w:val="single" w:sz="2" w:space="0" w:color="auto"/>
            </w:tcBorders>
            <w:tcMar>
              <w:top w:w="100" w:type="dxa"/>
              <w:bottom w:w="100" w:type="dxa"/>
            </w:tcMar>
            <w:vAlign w:val="center"/>
          </w:tcPr>
          <w:p w14:paraId="55E277B1" w14:textId="77777777" w:rsidR="006561BA" w:rsidRDefault="005B4ED6">
            <w:pPr>
              <w:pStyle w:val="AnnexTableCellLeft"/>
              <w:jc w:val="center"/>
            </w:pPr>
            <w:r>
              <w:rPr>
                <w:b/>
              </w:rPr>
              <w:t>100 %</w:t>
            </w:r>
          </w:p>
        </w:tc>
        <w:tc>
          <w:tcPr>
            <w:tcW w:w="574" w:type="dxa"/>
            <w:tcBorders>
              <w:top w:val="nil"/>
              <w:left w:val="single" w:sz="2" w:space="0" w:color="auto"/>
              <w:bottom w:val="nil"/>
              <w:right w:val="nil"/>
            </w:tcBorders>
            <w:tcMar>
              <w:top w:w="100" w:type="dxa"/>
              <w:bottom w:w="100" w:type="dxa"/>
            </w:tcMar>
            <w:vAlign w:val="center"/>
          </w:tcPr>
          <w:p w14:paraId="6C169AFD" w14:textId="77777777" w:rsidR="006561BA" w:rsidRDefault="006561BA">
            <w:pPr>
              <w:pStyle w:val="AnnexTableCellLeft"/>
              <w:jc w:val="center"/>
            </w:pPr>
          </w:p>
        </w:tc>
        <w:tc>
          <w:tcPr>
            <w:tcW w:w="574" w:type="dxa"/>
            <w:tcBorders>
              <w:top w:val="nil"/>
              <w:left w:val="nil"/>
              <w:bottom w:val="nil"/>
              <w:right w:val="nil"/>
            </w:tcBorders>
            <w:tcMar>
              <w:top w:w="100" w:type="dxa"/>
              <w:bottom w:w="100" w:type="dxa"/>
            </w:tcMar>
            <w:vAlign w:val="center"/>
          </w:tcPr>
          <w:p w14:paraId="3A44C602" w14:textId="77777777" w:rsidR="006561BA" w:rsidRDefault="006561BA">
            <w:pPr>
              <w:pStyle w:val="AnnexTableCellLeft"/>
              <w:jc w:val="center"/>
            </w:pPr>
          </w:p>
        </w:tc>
        <w:tc>
          <w:tcPr>
            <w:tcW w:w="575" w:type="dxa"/>
            <w:tcBorders>
              <w:top w:val="nil"/>
              <w:left w:val="nil"/>
              <w:bottom w:val="nil"/>
              <w:right w:val="nil"/>
            </w:tcBorders>
            <w:tcMar>
              <w:top w:w="100" w:type="dxa"/>
              <w:bottom w:w="100" w:type="dxa"/>
            </w:tcMar>
            <w:vAlign w:val="center"/>
          </w:tcPr>
          <w:p w14:paraId="7B6D1C5B" w14:textId="77777777" w:rsidR="006561BA" w:rsidRDefault="006561BA">
            <w:pPr>
              <w:pStyle w:val="AnnexTableCellLeft"/>
              <w:jc w:val="center"/>
            </w:pPr>
          </w:p>
        </w:tc>
        <w:tc>
          <w:tcPr>
            <w:tcW w:w="574" w:type="dxa"/>
            <w:tcBorders>
              <w:top w:val="nil"/>
              <w:left w:val="nil"/>
              <w:bottom w:val="nil"/>
              <w:right w:val="nil"/>
            </w:tcBorders>
            <w:tcMar>
              <w:top w:w="100" w:type="dxa"/>
              <w:bottom w:w="100" w:type="dxa"/>
            </w:tcMar>
            <w:vAlign w:val="center"/>
          </w:tcPr>
          <w:p w14:paraId="23E5C2E6" w14:textId="77777777" w:rsidR="006561BA" w:rsidRDefault="006561BA">
            <w:pPr>
              <w:pStyle w:val="AnnexTableCellLeft"/>
              <w:jc w:val="center"/>
            </w:pPr>
          </w:p>
        </w:tc>
        <w:tc>
          <w:tcPr>
            <w:tcW w:w="574" w:type="dxa"/>
            <w:tcBorders>
              <w:top w:val="nil"/>
              <w:left w:val="nil"/>
              <w:bottom w:val="nil"/>
              <w:right w:val="nil"/>
            </w:tcBorders>
            <w:tcMar>
              <w:top w:w="100" w:type="dxa"/>
              <w:bottom w:w="100" w:type="dxa"/>
            </w:tcMar>
            <w:vAlign w:val="center"/>
          </w:tcPr>
          <w:p w14:paraId="4072C480" w14:textId="77777777" w:rsidR="006561BA" w:rsidRDefault="006561BA">
            <w:pPr>
              <w:pStyle w:val="AnnexTableCellLeft"/>
              <w:jc w:val="center"/>
            </w:pPr>
          </w:p>
        </w:tc>
        <w:tc>
          <w:tcPr>
            <w:tcW w:w="575" w:type="dxa"/>
            <w:tcBorders>
              <w:top w:val="nil"/>
              <w:left w:val="nil"/>
              <w:bottom w:val="nil"/>
              <w:right w:val="nil"/>
            </w:tcBorders>
            <w:tcMar>
              <w:top w:w="100" w:type="dxa"/>
              <w:bottom w:w="100" w:type="dxa"/>
            </w:tcMar>
            <w:vAlign w:val="center"/>
          </w:tcPr>
          <w:p w14:paraId="0DE93F44" w14:textId="77777777" w:rsidR="006561BA" w:rsidRDefault="006561BA">
            <w:pPr>
              <w:pStyle w:val="AnnexTableCellLeft"/>
              <w:jc w:val="center"/>
            </w:pPr>
          </w:p>
        </w:tc>
        <w:tc>
          <w:tcPr>
            <w:tcW w:w="574" w:type="dxa"/>
            <w:tcBorders>
              <w:top w:val="nil"/>
              <w:left w:val="nil"/>
              <w:bottom w:val="nil"/>
              <w:right w:val="nil"/>
            </w:tcBorders>
            <w:tcMar>
              <w:top w:w="100" w:type="dxa"/>
              <w:bottom w:w="100" w:type="dxa"/>
            </w:tcMar>
            <w:vAlign w:val="center"/>
          </w:tcPr>
          <w:p w14:paraId="482CC23C" w14:textId="77777777" w:rsidR="006561BA" w:rsidRDefault="006561BA">
            <w:pPr>
              <w:pStyle w:val="AnnexTableCellLeft"/>
              <w:jc w:val="center"/>
            </w:pPr>
          </w:p>
        </w:tc>
        <w:tc>
          <w:tcPr>
            <w:tcW w:w="575" w:type="dxa"/>
            <w:tcBorders>
              <w:top w:val="nil"/>
              <w:left w:val="nil"/>
              <w:bottom w:val="nil"/>
              <w:right w:val="nil"/>
            </w:tcBorders>
            <w:tcMar>
              <w:top w:w="100" w:type="dxa"/>
              <w:bottom w:w="100" w:type="dxa"/>
            </w:tcMar>
            <w:vAlign w:val="center"/>
          </w:tcPr>
          <w:p w14:paraId="782449EA" w14:textId="77777777" w:rsidR="006561BA" w:rsidRDefault="006561BA">
            <w:pPr>
              <w:pStyle w:val="AnnexTableCellLeft"/>
              <w:jc w:val="center"/>
            </w:pPr>
          </w:p>
        </w:tc>
        <w:tc>
          <w:tcPr>
            <w:tcW w:w="574" w:type="dxa"/>
            <w:tcBorders>
              <w:top w:val="nil"/>
              <w:left w:val="nil"/>
              <w:bottom w:val="nil"/>
              <w:right w:val="nil"/>
            </w:tcBorders>
            <w:tcMar>
              <w:top w:w="100" w:type="dxa"/>
              <w:bottom w:w="100" w:type="dxa"/>
            </w:tcMar>
            <w:vAlign w:val="center"/>
          </w:tcPr>
          <w:p w14:paraId="23349936" w14:textId="77777777" w:rsidR="006561BA" w:rsidRDefault="006561BA">
            <w:pPr>
              <w:pStyle w:val="AnnexTableCellLeft"/>
              <w:jc w:val="center"/>
            </w:pPr>
          </w:p>
        </w:tc>
        <w:tc>
          <w:tcPr>
            <w:tcW w:w="574" w:type="dxa"/>
            <w:tcBorders>
              <w:top w:val="nil"/>
              <w:left w:val="nil"/>
              <w:bottom w:val="nil"/>
              <w:right w:val="nil"/>
            </w:tcBorders>
            <w:tcMar>
              <w:top w:w="100" w:type="dxa"/>
              <w:bottom w:w="100" w:type="dxa"/>
            </w:tcMar>
            <w:vAlign w:val="center"/>
          </w:tcPr>
          <w:p w14:paraId="33E66231" w14:textId="77777777" w:rsidR="006561BA" w:rsidRDefault="006561BA">
            <w:pPr>
              <w:pStyle w:val="AnnexTableCellLeft"/>
              <w:jc w:val="center"/>
            </w:pPr>
          </w:p>
        </w:tc>
        <w:tc>
          <w:tcPr>
            <w:tcW w:w="575" w:type="dxa"/>
            <w:tcBorders>
              <w:top w:val="nil"/>
              <w:left w:val="nil"/>
              <w:bottom w:val="nil"/>
              <w:right w:val="nil"/>
            </w:tcBorders>
            <w:tcMar>
              <w:top w:w="100" w:type="dxa"/>
              <w:bottom w:w="100" w:type="dxa"/>
            </w:tcMar>
            <w:vAlign w:val="center"/>
          </w:tcPr>
          <w:p w14:paraId="2851C6C5" w14:textId="77777777" w:rsidR="006561BA" w:rsidRDefault="006561BA">
            <w:pPr>
              <w:pStyle w:val="AnnexTableCellLeft"/>
              <w:jc w:val="center"/>
            </w:pPr>
          </w:p>
        </w:tc>
        <w:tc>
          <w:tcPr>
            <w:tcW w:w="574" w:type="dxa"/>
            <w:tcBorders>
              <w:top w:val="nil"/>
              <w:left w:val="nil"/>
              <w:bottom w:val="nil"/>
              <w:right w:val="nil"/>
            </w:tcBorders>
            <w:tcMar>
              <w:top w:w="100" w:type="dxa"/>
              <w:bottom w:w="100" w:type="dxa"/>
            </w:tcMar>
            <w:vAlign w:val="center"/>
          </w:tcPr>
          <w:p w14:paraId="64434CA7" w14:textId="77777777" w:rsidR="006561BA" w:rsidRDefault="006561BA">
            <w:pPr>
              <w:pStyle w:val="AnnexTableCellLeft"/>
              <w:jc w:val="center"/>
            </w:pPr>
          </w:p>
        </w:tc>
        <w:tc>
          <w:tcPr>
            <w:tcW w:w="575" w:type="dxa"/>
            <w:tcBorders>
              <w:top w:val="nil"/>
              <w:left w:val="nil"/>
              <w:bottom w:val="nil"/>
              <w:right w:val="nil"/>
            </w:tcBorders>
            <w:tcMar>
              <w:top w:w="100" w:type="dxa"/>
              <w:bottom w:w="100" w:type="dxa"/>
            </w:tcMar>
            <w:vAlign w:val="center"/>
          </w:tcPr>
          <w:p w14:paraId="04E0A1C0" w14:textId="77777777" w:rsidR="006561BA" w:rsidRDefault="006561BA">
            <w:pPr>
              <w:pStyle w:val="AnnexTableCellLeft"/>
              <w:jc w:val="center"/>
            </w:pPr>
          </w:p>
        </w:tc>
        <w:tc>
          <w:tcPr>
            <w:tcW w:w="1200" w:type="dxa"/>
            <w:tcBorders>
              <w:top w:val="nil"/>
              <w:left w:val="nil"/>
              <w:bottom w:val="nil"/>
              <w:right w:val="nil"/>
            </w:tcBorders>
            <w:tcMar>
              <w:top w:w="100" w:type="dxa"/>
              <w:bottom w:w="100" w:type="dxa"/>
            </w:tcMar>
            <w:vAlign w:val="center"/>
          </w:tcPr>
          <w:p w14:paraId="38A9F8A0" w14:textId="77777777" w:rsidR="006561BA" w:rsidRDefault="006561BA">
            <w:pPr>
              <w:pStyle w:val="AnnexTableCellLeft"/>
              <w:jc w:val="center"/>
            </w:pPr>
          </w:p>
        </w:tc>
        <w:tc>
          <w:tcPr>
            <w:tcW w:w="804" w:type="dxa"/>
            <w:tcBorders>
              <w:top w:val="nil"/>
              <w:left w:val="nil"/>
              <w:bottom w:val="nil"/>
              <w:right w:val="nil"/>
            </w:tcBorders>
            <w:tcMar>
              <w:top w:w="100" w:type="dxa"/>
              <w:bottom w:w="100" w:type="dxa"/>
            </w:tcMar>
            <w:vAlign w:val="center"/>
          </w:tcPr>
          <w:p w14:paraId="6BB3DC9A" w14:textId="77777777" w:rsidR="006561BA" w:rsidRDefault="006561BA">
            <w:pPr>
              <w:pStyle w:val="AnnexTableCellLeft"/>
              <w:jc w:val="center"/>
            </w:pPr>
          </w:p>
        </w:tc>
        <w:tc>
          <w:tcPr>
            <w:tcW w:w="804" w:type="dxa"/>
            <w:tcBorders>
              <w:top w:val="nil"/>
              <w:left w:val="nil"/>
              <w:bottom w:val="nil"/>
            </w:tcBorders>
            <w:tcMar>
              <w:top w:w="100" w:type="dxa"/>
              <w:bottom w:w="100" w:type="dxa"/>
              <w:right w:w="0" w:type="dxa"/>
            </w:tcMar>
            <w:vAlign w:val="center"/>
          </w:tcPr>
          <w:p w14:paraId="6E22EEE9" w14:textId="77777777" w:rsidR="006561BA" w:rsidRDefault="006561BA">
            <w:pPr>
              <w:pStyle w:val="AnnexTableCellLeft"/>
              <w:jc w:val="center"/>
            </w:pPr>
          </w:p>
        </w:tc>
      </w:tr>
      <w:tr w:rsidR="006561BA" w14:paraId="73992623" w14:textId="77777777">
        <w:trPr>
          <w:trHeight w:val="220"/>
        </w:trPr>
        <w:tc>
          <w:tcPr>
            <w:tcW w:w="14316" w:type="dxa"/>
            <w:gridSpan w:val="20"/>
            <w:tcBorders>
              <w:top w:val="nil"/>
              <w:bottom w:val="nil"/>
            </w:tcBorders>
            <w:tcMar>
              <w:top w:w="100" w:type="dxa"/>
              <w:left w:w="0" w:type="dxa"/>
              <w:bottom w:w="100" w:type="dxa"/>
              <w:right w:w="0" w:type="dxa"/>
            </w:tcMar>
          </w:tcPr>
          <w:p w14:paraId="6D8575CD" w14:textId="77777777" w:rsidR="006561BA" w:rsidRDefault="005B4ED6">
            <w:pPr>
              <w:pStyle w:val="AnnexTableGrNotes"/>
              <w:spacing w:line="200" w:lineRule="exact"/>
              <w:ind w:left="278" w:hanging="278"/>
            </w:pPr>
            <w:r>
              <w:t>(</w:t>
            </w:r>
            <w:bookmarkStart w:id="405" w:name="NOTE_413"/>
            <w:r>
              <w:rPr>
                <w:vertAlign w:val="superscript"/>
              </w:rPr>
              <w:t>a</w:t>
            </w:r>
            <w:bookmarkEnd w:id="405"/>
            <w:r>
              <w:t>)</w:t>
            </w:r>
            <w:r>
              <w:tab/>
              <w:t>Koden utgjør forkortelsen for det relevante målet som den økonomiske aktiviteten kan bidra vesentlig til, samt avsnittsnummeret på aktiviteten i det relevante vedlegget som omfatter målet, det vil si følgende:</w:t>
            </w:r>
          </w:p>
          <w:p w14:paraId="34052778" w14:textId="77777777" w:rsidR="006561BA" w:rsidRDefault="005B4ED6">
            <w:pPr>
              <w:pStyle w:val="AnnexTableGrNotes"/>
              <w:spacing w:line="200" w:lineRule="exact"/>
              <w:ind w:left="556" w:hanging="278"/>
            </w:pPr>
            <w:r>
              <w:t>—</w:t>
            </w:r>
            <w:r>
              <w:tab/>
              <w:t>Begrensning av klimaendringer: CCM</w:t>
            </w:r>
          </w:p>
          <w:p w14:paraId="44C7F2F2" w14:textId="77777777" w:rsidR="006561BA" w:rsidRDefault="005B4ED6">
            <w:pPr>
              <w:pStyle w:val="AnnexTableGrNotes"/>
              <w:spacing w:line="200" w:lineRule="exact"/>
              <w:ind w:left="556" w:hanging="278"/>
            </w:pPr>
            <w:r>
              <w:t>—</w:t>
            </w:r>
            <w:r>
              <w:tab/>
              <w:t>Tilpasning til klimaendringer: CCA</w:t>
            </w:r>
          </w:p>
          <w:p w14:paraId="45C00B46" w14:textId="77777777" w:rsidR="006561BA" w:rsidRDefault="005B4ED6">
            <w:pPr>
              <w:pStyle w:val="AnnexTableGrNotes"/>
              <w:spacing w:line="200" w:lineRule="exact"/>
              <w:ind w:left="556" w:hanging="278"/>
            </w:pPr>
            <w:r>
              <w:t>—</w:t>
            </w:r>
            <w:r>
              <w:tab/>
              <w:t>Vann- og havressurser: WTR</w:t>
            </w:r>
          </w:p>
          <w:p w14:paraId="737D62B4" w14:textId="77777777" w:rsidR="006561BA" w:rsidRDefault="005B4ED6">
            <w:pPr>
              <w:pStyle w:val="AnnexTableGrNotes"/>
              <w:spacing w:line="200" w:lineRule="exact"/>
              <w:ind w:left="556" w:hanging="278"/>
            </w:pPr>
            <w:r>
              <w:t>—</w:t>
            </w:r>
            <w:r>
              <w:tab/>
              <w:t>Sirkulær økonomi: CE</w:t>
            </w:r>
          </w:p>
          <w:p w14:paraId="2C409146" w14:textId="77777777" w:rsidR="006561BA" w:rsidRDefault="005B4ED6">
            <w:pPr>
              <w:pStyle w:val="AnnexTableGrNotes"/>
              <w:spacing w:line="200" w:lineRule="exact"/>
              <w:ind w:left="556" w:hanging="278"/>
            </w:pPr>
            <w:r>
              <w:t>—</w:t>
            </w:r>
            <w:r>
              <w:tab/>
              <w:t>Forebygging og begrensning av forurensning: PPC</w:t>
            </w:r>
          </w:p>
          <w:p w14:paraId="4411E3E6" w14:textId="77777777" w:rsidR="006561BA" w:rsidRDefault="005B4ED6">
            <w:pPr>
              <w:pStyle w:val="AnnexTableGrNotes"/>
              <w:spacing w:line="200" w:lineRule="exact"/>
              <w:ind w:left="556" w:hanging="278"/>
            </w:pPr>
            <w:r>
              <w:t>—</w:t>
            </w:r>
            <w:r>
              <w:tab/>
              <w:t>Biologisk mangfold og økosystemer: BIO.</w:t>
            </w:r>
          </w:p>
          <w:p w14:paraId="7D60D49B" w14:textId="77777777" w:rsidR="006561BA" w:rsidRDefault="005B4ED6">
            <w:pPr>
              <w:pStyle w:val="AnnexTableGrNotes"/>
              <w:spacing w:after="200" w:line="200" w:lineRule="exact"/>
              <w:ind w:left="278" w:firstLine="0"/>
              <w:rPr>
                <w:i/>
              </w:rPr>
            </w:pPr>
            <w:r>
              <w:rPr>
                <w:i/>
              </w:rPr>
              <w:t>Aktiviteten «</w:t>
            </w:r>
            <w:proofErr w:type="spellStart"/>
            <w:r>
              <w:rPr>
                <w:i/>
              </w:rPr>
              <w:t>Påskoging</w:t>
            </w:r>
            <w:proofErr w:type="spellEnd"/>
            <w:r>
              <w:rPr>
                <w:i/>
              </w:rPr>
              <w:t>» vil for eksempel ha koden: CCM 1.1.</w:t>
            </w:r>
          </w:p>
          <w:p w14:paraId="06C92749" w14:textId="77777777" w:rsidR="006561BA" w:rsidRDefault="005B4ED6">
            <w:pPr>
              <w:pStyle w:val="AnnexTableGrNotes"/>
              <w:spacing w:line="200" w:lineRule="exact"/>
              <w:ind w:left="278" w:firstLine="0"/>
            </w:pPr>
            <w:r>
              <w:t>Dersom aktiviteten kan bidra vesentlig til mer enn ett mål, bør kodene for alle mål angis.</w:t>
            </w:r>
          </w:p>
          <w:p w14:paraId="6DF4E16D" w14:textId="77777777" w:rsidR="006561BA" w:rsidRDefault="005B4ED6">
            <w:pPr>
              <w:pStyle w:val="AnnexTableGrNotes"/>
              <w:spacing w:after="200" w:line="200" w:lineRule="exact"/>
              <w:ind w:left="278" w:firstLine="0"/>
              <w:rPr>
                <w:i/>
              </w:rPr>
            </w:pPr>
            <w:r>
              <w:rPr>
                <w:i/>
              </w:rPr>
              <w:t>Dersom aktivitetsutøveren for eksempel rapporterer at aktiviteten «Oppføring av nye bygninger» bidrar vesentlig til begrensning av klimaendringer og til den sirkulære økonomien, er koden CCM 7.1. / CE 3.1.</w:t>
            </w:r>
          </w:p>
          <w:p w14:paraId="6678FE7E" w14:textId="77777777" w:rsidR="006561BA" w:rsidRDefault="005B4ED6">
            <w:pPr>
              <w:pStyle w:val="AnnexTableGrNotes"/>
              <w:spacing w:after="200" w:line="200" w:lineRule="exact"/>
              <w:ind w:left="278" w:firstLine="0"/>
            </w:pPr>
            <w:r>
              <w:t>De samme kodene bør brukes i avsnitt A.1 og A2 i denne malen.</w:t>
            </w:r>
          </w:p>
          <w:p w14:paraId="4AC81731" w14:textId="77777777" w:rsidR="006561BA" w:rsidRDefault="005B4ED6">
            <w:pPr>
              <w:pStyle w:val="AnnexTableGrNotes"/>
              <w:spacing w:line="200" w:lineRule="exact"/>
              <w:ind w:left="278" w:hanging="278"/>
            </w:pPr>
            <w:r>
              <w:t>(</w:t>
            </w:r>
            <w:bookmarkStart w:id="406" w:name="NOTE_414"/>
            <w:r>
              <w:rPr>
                <w:vertAlign w:val="superscript"/>
              </w:rPr>
              <w:t>b</w:t>
            </w:r>
            <w:bookmarkEnd w:id="406"/>
            <w:r>
              <w:t>)</w:t>
            </w:r>
            <w:r>
              <w:tab/>
              <w:t>J – Ja, aktiviteten er omfattet av og forenlig med taksonomien for det relevante miljømålet</w:t>
            </w:r>
          </w:p>
          <w:p w14:paraId="792E9075" w14:textId="77777777" w:rsidR="006561BA" w:rsidRDefault="005B4ED6">
            <w:pPr>
              <w:pStyle w:val="AnnexTableGrNotes"/>
              <w:spacing w:line="200" w:lineRule="exact"/>
              <w:ind w:left="278" w:firstLine="0"/>
            </w:pPr>
            <w:r>
              <w:t>N – Nei, aktiviteten er omfattet av, men ikke forenlig med taksonomien for det relevante miljømålet</w:t>
            </w:r>
          </w:p>
          <w:p w14:paraId="0A68DAA8" w14:textId="77777777" w:rsidR="006561BA" w:rsidRDefault="005B4ED6">
            <w:pPr>
              <w:pStyle w:val="AnnexTableGrNotes"/>
              <w:spacing w:line="200" w:lineRule="exact"/>
              <w:ind w:left="278" w:firstLine="0"/>
            </w:pPr>
            <w:r>
              <w:t>N/EL – Ikke omfattet, aktiviteten er ikke er omfattet av taksonomien for det relevante målet.</w:t>
            </w:r>
          </w:p>
        </w:tc>
      </w:tr>
      <w:tr w:rsidR="006561BA" w14:paraId="2DD40B49" w14:textId="77777777">
        <w:trPr>
          <w:trHeight w:val="220"/>
        </w:trPr>
        <w:tc>
          <w:tcPr>
            <w:tcW w:w="14316" w:type="dxa"/>
            <w:gridSpan w:val="20"/>
            <w:tcBorders>
              <w:top w:val="single" w:sz="2" w:space="0" w:color="auto"/>
              <w:bottom w:val="nil"/>
            </w:tcBorders>
            <w:tcMar>
              <w:top w:w="100" w:type="dxa"/>
              <w:left w:w="0" w:type="dxa"/>
              <w:bottom w:w="100" w:type="dxa"/>
              <w:right w:w="0" w:type="dxa"/>
            </w:tcMar>
          </w:tcPr>
          <w:p w14:paraId="5558F504" w14:textId="77777777" w:rsidR="006561BA" w:rsidRDefault="005B4ED6">
            <w:pPr>
              <w:pStyle w:val="AnnexTableGrNotes"/>
              <w:pageBreakBefore/>
              <w:spacing w:after="300" w:line="200" w:lineRule="exact"/>
              <w:ind w:left="278" w:hanging="278"/>
            </w:pPr>
            <w:r>
              <w:lastRenderedPageBreak/>
              <w:t>(</w:t>
            </w:r>
            <w:bookmarkStart w:id="407" w:name="NOTE_415"/>
            <w:r>
              <w:rPr>
                <w:vertAlign w:val="superscript"/>
              </w:rPr>
              <w:t>c</w:t>
            </w:r>
            <w:bookmarkEnd w:id="407"/>
            <w:r>
              <w:t>)</w:t>
            </w:r>
            <w:r>
              <w:tab/>
              <w:t>Dersom en økonomisk aktivitet bidrar vesentlig til flere miljømål, skal ikke-finansielle foretak angi med fet skrift det mest relevante miljømålet med henblikk på beregningen av finansforetaks KPI-er samtidig som dobbelttelling unngås. Finansforetak skal i sine respektive KPI-er, dersom bruken av provenyet fra finansieringen ikke er kjent, beregne finansieringen av økonomiske aktiviteter som bidrar til flere miljømål i henhold til det mest relevante miljømålet som ikke-finansielle foretak rapporterer med fet skrift i denne malen. Et miljømål kan bare rapporteres med fet skrift én gang i én rad for å unngå dobbelttelling av økonomiske aktiviteter i finansforetaks KPI-er. Dette gjelder ikke ved beregning av økonomiske aktiviteters taksonomiforenlighet for finansielle produkter definert i artikkel 2 nr. 12 i forordning (EU) 2019/2088. Ikke-finansielle foretak skal også rapportere i hvilket omfang hvert miljømål er omfattet av og forenlig med taksonomien, som inkluderer forenlighet med hvert miljømål for aktiviteter som bidrar vesentlig til flere mål ved hjelp av malen nedenfor:</w:t>
            </w:r>
          </w:p>
          <w:tbl>
            <w:tblPr>
              <w:tblStyle w:val="EFTATable"/>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44"/>
              <w:gridCol w:w="1680"/>
              <w:gridCol w:w="1980"/>
            </w:tblGrid>
            <w:tr w:rsidR="006561BA" w:rsidRPr="00980A19" w14:paraId="209B2382" w14:textId="77777777">
              <w:tc>
                <w:tcPr>
                  <w:tcW w:w="1044" w:type="dxa"/>
                  <w:tcBorders>
                    <w:left w:val="nil"/>
                  </w:tcBorders>
                  <w:tcMar>
                    <w:left w:w="100" w:type="dxa"/>
                    <w:right w:w="100" w:type="dxa"/>
                  </w:tcMar>
                </w:tcPr>
                <w:p w14:paraId="50BC6E4C" w14:textId="77777777" w:rsidR="006561BA" w:rsidRPr="00770AA2" w:rsidRDefault="006561BA">
                  <w:pPr>
                    <w:pStyle w:val="AnnexTableGrNotes"/>
                    <w:pageBreakBefore/>
                    <w:spacing w:line="240" w:lineRule="exact"/>
                    <w:ind w:left="0" w:firstLine="0"/>
                    <w:rPr>
                      <w:noProof/>
                      <w:sz w:val="18"/>
                      <w:szCs w:val="18"/>
                    </w:rPr>
                  </w:pPr>
                </w:p>
              </w:tc>
              <w:tc>
                <w:tcPr>
                  <w:tcW w:w="3660" w:type="dxa"/>
                  <w:gridSpan w:val="2"/>
                  <w:tcBorders>
                    <w:right w:val="nil"/>
                  </w:tcBorders>
                  <w:tcMar>
                    <w:left w:w="100" w:type="dxa"/>
                    <w:right w:w="100" w:type="dxa"/>
                  </w:tcMar>
                  <w:vAlign w:val="center"/>
                </w:tcPr>
                <w:p w14:paraId="67E03D43" w14:textId="77777777" w:rsidR="006561BA" w:rsidRPr="00980A19" w:rsidRDefault="005B4ED6">
                  <w:pPr>
                    <w:pStyle w:val="AnnexTableGrNotes"/>
                    <w:pageBreakBefore/>
                    <w:spacing w:line="240" w:lineRule="exact"/>
                    <w:ind w:left="0" w:firstLine="0"/>
                    <w:jc w:val="center"/>
                    <w:rPr>
                      <w:noProof/>
                      <w:sz w:val="18"/>
                      <w:szCs w:val="18"/>
                      <w:lang w:val="nn-NO"/>
                    </w:rPr>
                  </w:pPr>
                  <w:r w:rsidRPr="00980A19">
                    <w:rPr>
                      <w:sz w:val="18"/>
                      <w:lang w:val="nn-NO"/>
                    </w:rPr>
                    <w:t>Andel av driftsutgifter / samlede driftsutgifter</w:t>
                  </w:r>
                </w:p>
              </w:tc>
            </w:tr>
            <w:tr w:rsidR="006561BA" w14:paraId="65352715" w14:textId="77777777">
              <w:tc>
                <w:tcPr>
                  <w:tcW w:w="1044" w:type="dxa"/>
                  <w:tcBorders>
                    <w:left w:val="nil"/>
                  </w:tcBorders>
                  <w:tcMar>
                    <w:left w:w="100" w:type="dxa"/>
                    <w:right w:w="100" w:type="dxa"/>
                  </w:tcMar>
                </w:tcPr>
                <w:p w14:paraId="7AAE08D7" w14:textId="77777777" w:rsidR="006561BA" w:rsidRPr="00980A19" w:rsidRDefault="006561BA">
                  <w:pPr>
                    <w:pStyle w:val="AnnexTableGrNotes"/>
                    <w:pageBreakBefore/>
                    <w:spacing w:line="240" w:lineRule="exact"/>
                    <w:ind w:left="0" w:firstLine="0"/>
                    <w:rPr>
                      <w:noProof/>
                      <w:sz w:val="18"/>
                      <w:szCs w:val="18"/>
                      <w:lang w:val="nn-NO"/>
                    </w:rPr>
                  </w:pPr>
                </w:p>
              </w:tc>
              <w:tc>
                <w:tcPr>
                  <w:tcW w:w="1680" w:type="dxa"/>
                  <w:tcMar>
                    <w:left w:w="100" w:type="dxa"/>
                    <w:right w:w="100" w:type="dxa"/>
                  </w:tcMar>
                  <w:vAlign w:val="center"/>
                </w:tcPr>
                <w:p w14:paraId="01961F6A" w14:textId="77777777" w:rsidR="006561BA" w:rsidRDefault="005B4ED6">
                  <w:pPr>
                    <w:pStyle w:val="AnnexTableGrNotes"/>
                    <w:pageBreakBefore/>
                    <w:spacing w:line="240" w:lineRule="exact"/>
                    <w:ind w:left="0" w:firstLine="0"/>
                    <w:jc w:val="center"/>
                    <w:rPr>
                      <w:noProof/>
                      <w:sz w:val="18"/>
                      <w:szCs w:val="18"/>
                    </w:rPr>
                  </w:pPr>
                  <w:r>
                    <w:rPr>
                      <w:sz w:val="18"/>
                    </w:rPr>
                    <w:t>Taksonomiforenlighet per mål</w:t>
                  </w:r>
                </w:p>
              </w:tc>
              <w:tc>
                <w:tcPr>
                  <w:tcW w:w="1980" w:type="dxa"/>
                  <w:tcBorders>
                    <w:right w:val="nil"/>
                  </w:tcBorders>
                  <w:tcMar>
                    <w:left w:w="100" w:type="dxa"/>
                    <w:right w:w="100" w:type="dxa"/>
                  </w:tcMar>
                  <w:vAlign w:val="center"/>
                </w:tcPr>
                <w:p w14:paraId="773FC9FF" w14:textId="77777777" w:rsidR="006561BA" w:rsidRDefault="005B4ED6">
                  <w:pPr>
                    <w:pStyle w:val="AnnexTableGrNotes"/>
                    <w:pageBreakBefore/>
                    <w:spacing w:line="240" w:lineRule="exact"/>
                    <w:ind w:left="0" w:firstLine="0"/>
                    <w:jc w:val="center"/>
                    <w:rPr>
                      <w:noProof/>
                      <w:sz w:val="18"/>
                      <w:szCs w:val="18"/>
                    </w:rPr>
                  </w:pPr>
                  <w:r>
                    <w:rPr>
                      <w:sz w:val="18"/>
                    </w:rPr>
                    <w:t>Taksonomisamsvar per mål</w:t>
                  </w:r>
                </w:p>
              </w:tc>
            </w:tr>
            <w:tr w:rsidR="006561BA" w14:paraId="0A1CE03E" w14:textId="77777777">
              <w:tc>
                <w:tcPr>
                  <w:tcW w:w="1044" w:type="dxa"/>
                  <w:tcBorders>
                    <w:left w:val="nil"/>
                  </w:tcBorders>
                  <w:tcMar>
                    <w:left w:w="100" w:type="dxa"/>
                    <w:right w:w="100" w:type="dxa"/>
                  </w:tcMar>
                </w:tcPr>
                <w:p w14:paraId="43294824" w14:textId="77777777" w:rsidR="006561BA" w:rsidRDefault="005B4ED6">
                  <w:pPr>
                    <w:pStyle w:val="AnnexTableGrNotes"/>
                    <w:pageBreakBefore/>
                    <w:spacing w:line="240" w:lineRule="exact"/>
                    <w:ind w:left="0" w:firstLine="0"/>
                    <w:rPr>
                      <w:noProof/>
                      <w:sz w:val="18"/>
                      <w:szCs w:val="18"/>
                    </w:rPr>
                  </w:pPr>
                  <w:r>
                    <w:rPr>
                      <w:sz w:val="18"/>
                    </w:rPr>
                    <w:t>CCM</w:t>
                  </w:r>
                </w:p>
              </w:tc>
              <w:tc>
                <w:tcPr>
                  <w:tcW w:w="1680" w:type="dxa"/>
                  <w:tcMar>
                    <w:left w:w="100" w:type="dxa"/>
                    <w:right w:w="100" w:type="dxa"/>
                  </w:tcMar>
                </w:tcPr>
                <w:p w14:paraId="21C15C0E" w14:textId="77777777" w:rsidR="006561BA" w:rsidRDefault="005B4ED6">
                  <w:pPr>
                    <w:pStyle w:val="AnnexTableGrNotes"/>
                    <w:pageBreakBefore/>
                    <w:spacing w:line="240" w:lineRule="exact"/>
                    <w:ind w:left="0" w:firstLine="0"/>
                    <w:rPr>
                      <w:noProof/>
                      <w:sz w:val="18"/>
                      <w:szCs w:val="18"/>
                    </w:rPr>
                  </w:pPr>
                  <w:r>
                    <w:rPr>
                      <w:sz w:val="18"/>
                    </w:rPr>
                    <w:t>%</w:t>
                  </w:r>
                </w:p>
              </w:tc>
              <w:tc>
                <w:tcPr>
                  <w:tcW w:w="1980" w:type="dxa"/>
                  <w:tcBorders>
                    <w:right w:val="nil"/>
                  </w:tcBorders>
                  <w:tcMar>
                    <w:left w:w="100" w:type="dxa"/>
                    <w:right w:w="100" w:type="dxa"/>
                  </w:tcMar>
                </w:tcPr>
                <w:p w14:paraId="11F549CC" w14:textId="77777777" w:rsidR="006561BA" w:rsidRDefault="005B4ED6">
                  <w:pPr>
                    <w:pStyle w:val="AnnexTableGrNotes"/>
                    <w:pageBreakBefore/>
                    <w:spacing w:line="240" w:lineRule="exact"/>
                    <w:ind w:left="0" w:firstLine="0"/>
                    <w:rPr>
                      <w:noProof/>
                      <w:sz w:val="18"/>
                      <w:szCs w:val="18"/>
                    </w:rPr>
                  </w:pPr>
                  <w:r>
                    <w:rPr>
                      <w:sz w:val="18"/>
                    </w:rPr>
                    <w:t>%</w:t>
                  </w:r>
                </w:p>
              </w:tc>
            </w:tr>
            <w:tr w:rsidR="006561BA" w14:paraId="20AB2ECD" w14:textId="77777777">
              <w:tc>
                <w:tcPr>
                  <w:tcW w:w="1044" w:type="dxa"/>
                  <w:tcBorders>
                    <w:left w:val="nil"/>
                  </w:tcBorders>
                  <w:tcMar>
                    <w:left w:w="100" w:type="dxa"/>
                    <w:right w:w="100" w:type="dxa"/>
                  </w:tcMar>
                </w:tcPr>
                <w:p w14:paraId="10D368CB" w14:textId="77777777" w:rsidR="006561BA" w:rsidRDefault="005B4ED6">
                  <w:pPr>
                    <w:pStyle w:val="AnnexTableGrNotes"/>
                    <w:pageBreakBefore/>
                    <w:spacing w:line="240" w:lineRule="exact"/>
                    <w:ind w:left="0" w:firstLine="0"/>
                    <w:rPr>
                      <w:noProof/>
                      <w:sz w:val="18"/>
                      <w:szCs w:val="18"/>
                    </w:rPr>
                  </w:pPr>
                  <w:r>
                    <w:rPr>
                      <w:sz w:val="18"/>
                    </w:rPr>
                    <w:t>CCA</w:t>
                  </w:r>
                </w:p>
              </w:tc>
              <w:tc>
                <w:tcPr>
                  <w:tcW w:w="1680" w:type="dxa"/>
                  <w:tcMar>
                    <w:left w:w="100" w:type="dxa"/>
                    <w:right w:w="100" w:type="dxa"/>
                  </w:tcMar>
                </w:tcPr>
                <w:p w14:paraId="1967E50D" w14:textId="77777777" w:rsidR="006561BA" w:rsidRDefault="005B4ED6">
                  <w:pPr>
                    <w:pStyle w:val="AnnexTableGrNotes"/>
                    <w:pageBreakBefore/>
                    <w:spacing w:line="240" w:lineRule="exact"/>
                    <w:ind w:left="0" w:firstLine="0"/>
                    <w:rPr>
                      <w:noProof/>
                      <w:sz w:val="18"/>
                      <w:szCs w:val="18"/>
                    </w:rPr>
                  </w:pPr>
                  <w:r>
                    <w:rPr>
                      <w:sz w:val="18"/>
                    </w:rPr>
                    <w:t>%</w:t>
                  </w:r>
                </w:p>
              </w:tc>
              <w:tc>
                <w:tcPr>
                  <w:tcW w:w="1980" w:type="dxa"/>
                  <w:tcBorders>
                    <w:right w:val="nil"/>
                  </w:tcBorders>
                  <w:tcMar>
                    <w:left w:w="100" w:type="dxa"/>
                    <w:right w:w="100" w:type="dxa"/>
                  </w:tcMar>
                </w:tcPr>
                <w:p w14:paraId="41CAEB21" w14:textId="77777777" w:rsidR="006561BA" w:rsidRDefault="005B4ED6">
                  <w:pPr>
                    <w:pStyle w:val="AnnexTableGrNotes"/>
                    <w:pageBreakBefore/>
                    <w:spacing w:line="240" w:lineRule="exact"/>
                    <w:ind w:left="0" w:firstLine="0"/>
                    <w:rPr>
                      <w:noProof/>
                      <w:sz w:val="18"/>
                      <w:szCs w:val="18"/>
                    </w:rPr>
                  </w:pPr>
                  <w:r>
                    <w:rPr>
                      <w:sz w:val="18"/>
                    </w:rPr>
                    <w:t>%</w:t>
                  </w:r>
                </w:p>
              </w:tc>
            </w:tr>
            <w:tr w:rsidR="006561BA" w14:paraId="2E1A2856" w14:textId="77777777">
              <w:tc>
                <w:tcPr>
                  <w:tcW w:w="1044" w:type="dxa"/>
                  <w:tcBorders>
                    <w:left w:val="nil"/>
                  </w:tcBorders>
                  <w:tcMar>
                    <w:left w:w="100" w:type="dxa"/>
                    <w:right w:w="100" w:type="dxa"/>
                  </w:tcMar>
                </w:tcPr>
                <w:p w14:paraId="622F31D5" w14:textId="77777777" w:rsidR="006561BA" w:rsidRDefault="005B4ED6">
                  <w:pPr>
                    <w:pStyle w:val="AnnexTableGrNotes"/>
                    <w:pageBreakBefore/>
                    <w:spacing w:line="240" w:lineRule="exact"/>
                    <w:ind w:left="0" w:firstLine="0"/>
                    <w:rPr>
                      <w:noProof/>
                      <w:sz w:val="18"/>
                      <w:szCs w:val="18"/>
                    </w:rPr>
                  </w:pPr>
                  <w:r>
                    <w:rPr>
                      <w:sz w:val="18"/>
                    </w:rPr>
                    <w:t>WTR</w:t>
                  </w:r>
                </w:p>
              </w:tc>
              <w:tc>
                <w:tcPr>
                  <w:tcW w:w="1680" w:type="dxa"/>
                  <w:tcMar>
                    <w:left w:w="100" w:type="dxa"/>
                    <w:right w:w="100" w:type="dxa"/>
                  </w:tcMar>
                </w:tcPr>
                <w:p w14:paraId="47979D88" w14:textId="77777777" w:rsidR="006561BA" w:rsidRDefault="005B4ED6">
                  <w:pPr>
                    <w:pStyle w:val="AnnexTableGrNotes"/>
                    <w:pageBreakBefore/>
                    <w:spacing w:line="240" w:lineRule="exact"/>
                    <w:ind w:left="0" w:firstLine="0"/>
                    <w:rPr>
                      <w:noProof/>
                      <w:sz w:val="18"/>
                      <w:szCs w:val="18"/>
                    </w:rPr>
                  </w:pPr>
                  <w:r>
                    <w:rPr>
                      <w:sz w:val="18"/>
                    </w:rPr>
                    <w:t>%</w:t>
                  </w:r>
                </w:p>
              </w:tc>
              <w:tc>
                <w:tcPr>
                  <w:tcW w:w="1980" w:type="dxa"/>
                  <w:tcBorders>
                    <w:right w:val="nil"/>
                  </w:tcBorders>
                  <w:tcMar>
                    <w:left w:w="100" w:type="dxa"/>
                    <w:right w:w="100" w:type="dxa"/>
                  </w:tcMar>
                </w:tcPr>
                <w:p w14:paraId="1E834C7D" w14:textId="77777777" w:rsidR="006561BA" w:rsidRDefault="005B4ED6">
                  <w:pPr>
                    <w:pStyle w:val="AnnexTableGrNotes"/>
                    <w:pageBreakBefore/>
                    <w:spacing w:line="240" w:lineRule="exact"/>
                    <w:ind w:left="0" w:firstLine="0"/>
                    <w:rPr>
                      <w:noProof/>
                      <w:sz w:val="18"/>
                      <w:szCs w:val="18"/>
                    </w:rPr>
                  </w:pPr>
                  <w:r>
                    <w:rPr>
                      <w:sz w:val="18"/>
                    </w:rPr>
                    <w:t>%</w:t>
                  </w:r>
                </w:p>
              </w:tc>
            </w:tr>
            <w:tr w:rsidR="006561BA" w14:paraId="00C3270B" w14:textId="77777777">
              <w:tc>
                <w:tcPr>
                  <w:tcW w:w="1044" w:type="dxa"/>
                  <w:tcBorders>
                    <w:left w:val="nil"/>
                  </w:tcBorders>
                  <w:tcMar>
                    <w:left w:w="100" w:type="dxa"/>
                    <w:right w:w="100" w:type="dxa"/>
                  </w:tcMar>
                </w:tcPr>
                <w:p w14:paraId="3C8A2550" w14:textId="77777777" w:rsidR="006561BA" w:rsidRDefault="005B4ED6">
                  <w:pPr>
                    <w:pStyle w:val="AnnexTableGrNotes"/>
                    <w:pageBreakBefore/>
                    <w:spacing w:line="240" w:lineRule="exact"/>
                    <w:ind w:left="0" w:firstLine="0"/>
                    <w:rPr>
                      <w:noProof/>
                      <w:sz w:val="18"/>
                      <w:szCs w:val="18"/>
                    </w:rPr>
                  </w:pPr>
                  <w:r>
                    <w:rPr>
                      <w:sz w:val="18"/>
                    </w:rPr>
                    <w:t>CE</w:t>
                  </w:r>
                </w:p>
              </w:tc>
              <w:tc>
                <w:tcPr>
                  <w:tcW w:w="1680" w:type="dxa"/>
                  <w:tcMar>
                    <w:left w:w="100" w:type="dxa"/>
                    <w:right w:w="100" w:type="dxa"/>
                  </w:tcMar>
                </w:tcPr>
                <w:p w14:paraId="1AC63F23" w14:textId="77777777" w:rsidR="006561BA" w:rsidRDefault="005B4ED6">
                  <w:pPr>
                    <w:pStyle w:val="AnnexTableGrNotes"/>
                    <w:pageBreakBefore/>
                    <w:spacing w:line="240" w:lineRule="exact"/>
                    <w:ind w:left="0" w:firstLine="0"/>
                    <w:rPr>
                      <w:noProof/>
                      <w:sz w:val="18"/>
                      <w:szCs w:val="18"/>
                    </w:rPr>
                  </w:pPr>
                  <w:r>
                    <w:rPr>
                      <w:sz w:val="18"/>
                    </w:rPr>
                    <w:t>%</w:t>
                  </w:r>
                </w:p>
              </w:tc>
              <w:tc>
                <w:tcPr>
                  <w:tcW w:w="1980" w:type="dxa"/>
                  <w:tcBorders>
                    <w:right w:val="nil"/>
                  </w:tcBorders>
                  <w:tcMar>
                    <w:left w:w="100" w:type="dxa"/>
                    <w:right w:w="100" w:type="dxa"/>
                  </w:tcMar>
                </w:tcPr>
                <w:p w14:paraId="4270E9B9" w14:textId="77777777" w:rsidR="006561BA" w:rsidRDefault="005B4ED6">
                  <w:pPr>
                    <w:pStyle w:val="AnnexTableGrNotes"/>
                    <w:pageBreakBefore/>
                    <w:spacing w:line="240" w:lineRule="exact"/>
                    <w:ind w:left="0" w:firstLine="0"/>
                    <w:rPr>
                      <w:noProof/>
                      <w:sz w:val="18"/>
                      <w:szCs w:val="18"/>
                    </w:rPr>
                  </w:pPr>
                  <w:r>
                    <w:rPr>
                      <w:sz w:val="18"/>
                    </w:rPr>
                    <w:t>%</w:t>
                  </w:r>
                </w:p>
              </w:tc>
            </w:tr>
            <w:tr w:rsidR="006561BA" w14:paraId="13DAB7F3" w14:textId="77777777">
              <w:tc>
                <w:tcPr>
                  <w:tcW w:w="1044" w:type="dxa"/>
                  <w:tcBorders>
                    <w:left w:val="nil"/>
                  </w:tcBorders>
                  <w:tcMar>
                    <w:left w:w="100" w:type="dxa"/>
                    <w:right w:w="100" w:type="dxa"/>
                  </w:tcMar>
                </w:tcPr>
                <w:p w14:paraId="59BD7363" w14:textId="77777777" w:rsidR="006561BA" w:rsidRDefault="005B4ED6">
                  <w:pPr>
                    <w:pStyle w:val="AnnexTableGrNotes"/>
                    <w:pageBreakBefore/>
                    <w:spacing w:line="240" w:lineRule="exact"/>
                    <w:ind w:left="0" w:firstLine="0"/>
                    <w:rPr>
                      <w:noProof/>
                      <w:sz w:val="18"/>
                      <w:szCs w:val="18"/>
                    </w:rPr>
                  </w:pPr>
                  <w:r>
                    <w:rPr>
                      <w:sz w:val="18"/>
                    </w:rPr>
                    <w:t>PPC</w:t>
                  </w:r>
                </w:p>
              </w:tc>
              <w:tc>
                <w:tcPr>
                  <w:tcW w:w="1680" w:type="dxa"/>
                  <w:tcMar>
                    <w:left w:w="100" w:type="dxa"/>
                    <w:right w:w="100" w:type="dxa"/>
                  </w:tcMar>
                </w:tcPr>
                <w:p w14:paraId="5400851E" w14:textId="77777777" w:rsidR="006561BA" w:rsidRDefault="005B4ED6">
                  <w:pPr>
                    <w:pStyle w:val="AnnexTableGrNotes"/>
                    <w:pageBreakBefore/>
                    <w:spacing w:line="240" w:lineRule="exact"/>
                    <w:ind w:left="0" w:firstLine="0"/>
                    <w:rPr>
                      <w:noProof/>
                      <w:sz w:val="18"/>
                      <w:szCs w:val="18"/>
                    </w:rPr>
                  </w:pPr>
                  <w:r>
                    <w:rPr>
                      <w:sz w:val="18"/>
                    </w:rPr>
                    <w:t>%</w:t>
                  </w:r>
                </w:p>
              </w:tc>
              <w:tc>
                <w:tcPr>
                  <w:tcW w:w="1980" w:type="dxa"/>
                  <w:tcBorders>
                    <w:right w:val="nil"/>
                  </w:tcBorders>
                  <w:tcMar>
                    <w:left w:w="100" w:type="dxa"/>
                    <w:right w:w="100" w:type="dxa"/>
                  </w:tcMar>
                </w:tcPr>
                <w:p w14:paraId="32FFA146" w14:textId="77777777" w:rsidR="006561BA" w:rsidRDefault="005B4ED6">
                  <w:pPr>
                    <w:pStyle w:val="AnnexTableGrNotes"/>
                    <w:pageBreakBefore/>
                    <w:spacing w:line="240" w:lineRule="exact"/>
                    <w:ind w:left="0" w:firstLine="0"/>
                    <w:rPr>
                      <w:noProof/>
                      <w:sz w:val="18"/>
                      <w:szCs w:val="18"/>
                    </w:rPr>
                  </w:pPr>
                  <w:r>
                    <w:rPr>
                      <w:sz w:val="18"/>
                    </w:rPr>
                    <w:t>%</w:t>
                  </w:r>
                </w:p>
              </w:tc>
            </w:tr>
            <w:tr w:rsidR="006561BA" w14:paraId="3B055C8D" w14:textId="77777777">
              <w:tc>
                <w:tcPr>
                  <w:tcW w:w="1044" w:type="dxa"/>
                  <w:tcBorders>
                    <w:left w:val="nil"/>
                  </w:tcBorders>
                  <w:tcMar>
                    <w:left w:w="100" w:type="dxa"/>
                    <w:right w:w="100" w:type="dxa"/>
                  </w:tcMar>
                </w:tcPr>
                <w:p w14:paraId="48CF9DA0" w14:textId="77777777" w:rsidR="006561BA" w:rsidRDefault="005B4ED6">
                  <w:pPr>
                    <w:pStyle w:val="AnnexTableGrNotes"/>
                    <w:pageBreakBefore/>
                    <w:spacing w:line="240" w:lineRule="exact"/>
                    <w:ind w:left="0" w:firstLine="0"/>
                    <w:rPr>
                      <w:noProof/>
                      <w:sz w:val="18"/>
                      <w:szCs w:val="18"/>
                    </w:rPr>
                  </w:pPr>
                  <w:r>
                    <w:rPr>
                      <w:sz w:val="18"/>
                    </w:rPr>
                    <w:t>BIO</w:t>
                  </w:r>
                </w:p>
              </w:tc>
              <w:tc>
                <w:tcPr>
                  <w:tcW w:w="1680" w:type="dxa"/>
                  <w:tcMar>
                    <w:left w:w="100" w:type="dxa"/>
                    <w:right w:w="100" w:type="dxa"/>
                  </w:tcMar>
                </w:tcPr>
                <w:p w14:paraId="5FDECD61" w14:textId="77777777" w:rsidR="006561BA" w:rsidRDefault="005B4ED6">
                  <w:pPr>
                    <w:pStyle w:val="AnnexTableGrNotes"/>
                    <w:pageBreakBefore/>
                    <w:spacing w:line="240" w:lineRule="exact"/>
                    <w:ind w:left="0" w:firstLine="0"/>
                    <w:rPr>
                      <w:noProof/>
                      <w:sz w:val="18"/>
                      <w:szCs w:val="18"/>
                    </w:rPr>
                  </w:pPr>
                  <w:r>
                    <w:rPr>
                      <w:sz w:val="18"/>
                    </w:rPr>
                    <w:t>%</w:t>
                  </w:r>
                </w:p>
              </w:tc>
              <w:tc>
                <w:tcPr>
                  <w:tcW w:w="1980" w:type="dxa"/>
                  <w:tcBorders>
                    <w:right w:val="nil"/>
                  </w:tcBorders>
                  <w:tcMar>
                    <w:left w:w="100" w:type="dxa"/>
                    <w:right w:w="100" w:type="dxa"/>
                  </w:tcMar>
                </w:tcPr>
                <w:p w14:paraId="0179DC4E" w14:textId="77777777" w:rsidR="006561BA" w:rsidRDefault="005B4ED6">
                  <w:pPr>
                    <w:pStyle w:val="AnnexTableGrNotes"/>
                    <w:pageBreakBefore/>
                    <w:spacing w:line="240" w:lineRule="exact"/>
                    <w:ind w:left="0" w:firstLine="0"/>
                    <w:rPr>
                      <w:noProof/>
                      <w:sz w:val="18"/>
                      <w:szCs w:val="18"/>
                    </w:rPr>
                  </w:pPr>
                  <w:r>
                    <w:rPr>
                      <w:sz w:val="18"/>
                    </w:rPr>
                    <w:t>%</w:t>
                  </w:r>
                </w:p>
              </w:tc>
            </w:tr>
          </w:tbl>
          <w:p w14:paraId="57BC5A40" w14:textId="77777777" w:rsidR="006561BA" w:rsidRDefault="005B4ED6">
            <w:pPr>
              <w:pStyle w:val="AnnexTableGrNotes"/>
              <w:pageBreakBefore/>
              <w:spacing w:before="60" w:after="120" w:line="200" w:lineRule="exact"/>
              <w:ind w:left="278" w:hanging="278"/>
            </w:pPr>
            <w:r>
              <w:t>(</w:t>
            </w:r>
            <w:bookmarkStart w:id="408" w:name="NOTE_416"/>
            <w:r>
              <w:rPr>
                <w:vertAlign w:val="superscript"/>
              </w:rPr>
              <w:t>*</w:t>
            </w:r>
            <w:bookmarkEnd w:id="408"/>
            <w:r>
              <w:t>)</w:t>
            </w:r>
            <w:r>
              <w:tab/>
              <w:t>Den samme aktiviteten kan bare være forenlig med et eller flere miljømål som den er omfattet av.</w:t>
            </w:r>
          </w:p>
          <w:p w14:paraId="6FDF240F" w14:textId="77777777" w:rsidR="006561BA" w:rsidRDefault="005B4ED6">
            <w:pPr>
              <w:pStyle w:val="AnnexTableGrNotes"/>
              <w:pageBreakBefore/>
              <w:spacing w:after="120" w:line="200" w:lineRule="exact"/>
              <w:ind w:left="278" w:hanging="278"/>
            </w:pPr>
            <w:r>
              <w:t>(</w:t>
            </w:r>
            <w:bookmarkStart w:id="409" w:name="NOTE_417"/>
            <w:r>
              <w:rPr>
                <w:vertAlign w:val="superscript"/>
              </w:rPr>
              <w:t>d</w:t>
            </w:r>
            <w:bookmarkEnd w:id="409"/>
            <w:r>
              <w:t>)</w:t>
            </w:r>
            <w:r>
              <w:tab/>
              <w:t>Den samme aktiviteten kan være omfattet av og ikke være forenlig med de relevante miljømålene.</w:t>
            </w:r>
          </w:p>
          <w:p w14:paraId="5E775958" w14:textId="77777777" w:rsidR="006561BA" w:rsidRDefault="005B4ED6">
            <w:pPr>
              <w:pStyle w:val="AnnexTableGrNotes"/>
              <w:pageBreakBefore/>
              <w:spacing w:line="200" w:lineRule="exact"/>
              <w:ind w:left="278" w:hanging="278"/>
            </w:pPr>
            <w:r>
              <w:t>(</w:t>
            </w:r>
            <w:bookmarkStart w:id="410" w:name="NOTE_418"/>
            <w:r>
              <w:rPr>
                <w:vertAlign w:val="superscript"/>
              </w:rPr>
              <w:t>e</w:t>
            </w:r>
            <w:bookmarkEnd w:id="410"/>
            <w:r>
              <w:t>)</w:t>
            </w:r>
            <w:r>
              <w:tab/>
              <w:t>EL – Aktivitet som er omfattet av taksonomien for det relevante målet</w:t>
            </w:r>
          </w:p>
          <w:p w14:paraId="23AB7597" w14:textId="77777777" w:rsidR="006561BA" w:rsidRDefault="005B4ED6">
            <w:pPr>
              <w:pStyle w:val="AnnexTableGrNotes"/>
              <w:pageBreakBefore/>
              <w:spacing w:after="120" w:line="200" w:lineRule="exact"/>
              <w:ind w:left="278" w:firstLine="0"/>
            </w:pPr>
            <w:r>
              <w:t>N/EL – Aktivitet som ikke er omfattet av taksonomien for det relevante målet.</w:t>
            </w:r>
          </w:p>
          <w:p w14:paraId="03CAD58F" w14:textId="77777777" w:rsidR="006561BA" w:rsidRDefault="005B4ED6">
            <w:pPr>
              <w:pStyle w:val="AnnexTableGrNotes"/>
              <w:pageBreakBefore/>
              <w:spacing w:after="120" w:line="200" w:lineRule="exact"/>
              <w:ind w:left="278" w:hanging="278"/>
            </w:pPr>
            <w:r>
              <w:t>(</w:t>
            </w:r>
            <w:bookmarkStart w:id="411" w:name="NOTE_419"/>
            <w:r>
              <w:rPr>
                <w:vertAlign w:val="superscript"/>
              </w:rPr>
              <w:t>f</w:t>
            </w:r>
            <w:bookmarkEnd w:id="411"/>
            <w:r>
              <w:t>)</w:t>
            </w:r>
            <w:r>
              <w:tab/>
              <w:t>Aktiviteter skal bare rapporteres i avsnitt A.2 i denne malen dersom de ikke er forenlige med noen av de miljømålene som de er omfattet av. Aktiviteter som er forenlige med minst ett miljømål, skal rapporteres i avsnitt A.1 i denne malen.</w:t>
            </w:r>
          </w:p>
          <w:p w14:paraId="176F8F2A" w14:textId="77777777" w:rsidR="006561BA" w:rsidRDefault="005B4ED6">
            <w:pPr>
              <w:pStyle w:val="AnnexTableGrNotes"/>
              <w:pageBreakBefore/>
              <w:spacing w:line="200" w:lineRule="exact"/>
              <w:ind w:left="278" w:hanging="278"/>
            </w:pPr>
            <w:r>
              <w:t>(</w:t>
            </w:r>
            <w:bookmarkStart w:id="412" w:name="NOTE_420"/>
            <w:r>
              <w:rPr>
                <w:vertAlign w:val="superscript"/>
              </w:rPr>
              <w:t>g</w:t>
            </w:r>
            <w:bookmarkEnd w:id="412"/>
            <w:r>
              <w:t>)</w:t>
            </w:r>
            <w:r>
              <w:tab/>
              <w:t>For at en aktivitet skal bli rapportert i avsnitt A.1, skal alle DNSH-kriterier og minstegarantier være oppfylt. For aktiviteter som er oppført i A2, kan ikke-finansielle foretak fylle ut kolonne 5–17 på frivillig basis. Ikke-finansielle foretak kan angi det vesentlige bidraget og DNSH-kriteriene som de oppfyller eller ikke oppfyller, i avsnitt A.2 ved å anvende a) for vesentlige bidrag – J/N- og N/EL-koder istedenfor EL og N/EL, og b) for DNSH – J/N-koder.»</w:t>
            </w:r>
          </w:p>
        </w:tc>
      </w:tr>
    </w:tbl>
    <w:p w14:paraId="3AC1BEDF" w14:textId="77777777" w:rsidR="006561BA" w:rsidRDefault="006561BA">
      <w:pPr>
        <w:pStyle w:val="AnnexNumberedText"/>
        <w:ind w:left="383" w:hanging="383"/>
      </w:pPr>
    </w:p>
    <w:p w14:paraId="35C43233" w14:textId="77777777" w:rsidR="006561BA" w:rsidRDefault="006561BA">
      <w:pPr>
        <w:pStyle w:val="AnnexNumberedText"/>
        <w:ind w:left="383" w:hanging="383"/>
        <w:sectPr w:rsidR="006561BA" w:rsidSect="000D3D55">
          <w:footnotePr>
            <w:pos w:val="beneathText"/>
            <w:numRestart w:val="eachPage"/>
          </w:footnotePr>
          <w:pgSz w:w="16838" w:h="11906" w:orient="landscape" w:code="9"/>
          <w:pgMar w:top="1120" w:right="1680" w:bottom="1120" w:left="840" w:header="920" w:footer="280" w:gutter="0"/>
          <w:cols w:space="708"/>
          <w:docGrid w:linePitch="360"/>
        </w:sectPr>
      </w:pPr>
    </w:p>
    <w:p w14:paraId="42C6A96A" w14:textId="77777777" w:rsidR="006561BA" w:rsidRDefault="005B4ED6">
      <w:pPr>
        <w:pStyle w:val="AnnexNumberedText"/>
        <w:spacing w:after="300"/>
        <w:ind w:left="383" w:hanging="383"/>
      </w:pPr>
      <w:r>
        <w:lastRenderedPageBreak/>
        <w:t>3)</w:t>
      </w:r>
      <w:r>
        <w:tab/>
        <w:t>I avsnitt 1.1 i vedlegg III skal nytt fjerde ledd lyde:</w:t>
      </w:r>
    </w:p>
    <w:p w14:paraId="5A5E2E02" w14:textId="2F0E3AC4" w:rsidR="006561BA" w:rsidRDefault="005B4ED6">
      <w:pPr>
        <w:pStyle w:val="AnnexNormal"/>
        <w:spacing w:after="600"/>
        <w:ind w:left="383"/>
      </w:pPr>
      <w:r>
        <w:t>«Som unntak fra første ledd i dette avsnittet skal investeringer i fast eiendom tas med i telleren</w:t>
      </w:r>
      <w:r w:rsidR="001D0353">
        <w:t>, alt etter i hvilket omfang</w:t>
      </w:r>
      <w:r w:rsidR="004400AD">
        <w:t xml:space="preserve"> og med hvilken andel </w:t>
      </w:r>
      <w:r>
        <w:t>de finansierer taksonomiforenlige økonomiske aktiviteter.»</w:t>
      </w:r>
    </w:p>
    <w:p w14:paraId="6A17EF25" w14:textId="77777777" w:rsidR="006561BA" w:rsidRDefault="005B4ED6">
      <w:pPr>
        <w:pStyle w:val="AnnexNumberedText"/>
        <w:spacing w:after="300"/>
        <w:ind w:left="383" w:hanging="383"/>
      </w:pPr>
      <w:r>
        <w:t>4)</w:t>
      </w:r>
      <w:r>
        <w:tab/>
        <w:t>I vedlegg IV gjøres følgende endringer:</w:t>
      </w:r>
    </w:p>
    <w:p w14:paraId="333E5847" w14:textId="77777777" w:rsidR="006561BA" w:rsidRDefault="005B4ED6">
      <w:pPr>
        <w:pStyle w:val="AnnexNumberedText"/>
        <w:spacing w:after="300"/>
        <w:ind w:left="677" w:hanging="293"/>
      </w:pPr>
      <w:r>
        <w:t>a)</w:t>
      </w:r>
      <w:r>
        <w:tab/>
        <w:t>I avsnittet «Spesifikasjon av telleren i KPI-en etter miljømål» utgår «Omstillingsaktiviteter»: A % (Omsetning, investeringsutgifter)» fra rad 2)–6).</w:t>
      </w:r>
    </w:p>
    <w:p w14:paraId="79CD5C9A" w14:textId="77777777" w:rsidR="006561BA" w:rsidRDefault="005B4ED6">
      <w:pPr>
        <w:pStyle w:val="AnnexNumberedText"/>
        <w:spacing w:after="200"/>
        <w:ind w:left="677" w:hanging="293"/>
      </w:pPr>
      <w:r>
        <w:t>b)</w:t>
      </w:r>
      <w:r>
        <w:tab/>
        <w:t>Åttende rad skal lyde:</w:t>
      </w:r>
    </w:p>
    <w:tbl>
      <w:tblPr>
        <w:tblStyle w:val="EFTATable"/>
        <w:tblW w:w="8562" w:type="dxa"/>
        <w:tblInd w:w="677" w:type="dxa"/>
        <w:tblLayout w:type="fixed"/>
        <w:tblLook w:val="04A0" w:firstRow="1" w:lastRow="0" w:firstColumn="1" w:lastColumn="0" w:noHBand="0" w:noVBand="1"/>
      </w:tblPr>
      <w:tblGrid>
        <w:gridCol w:w="4281"/>
        <w:gridCol w:w="4281"/>
      </w:tblGrid>
      <w:tr w:rsidR="006561BA" w14:paraId="23A5894F" w14:textId="77777777">
        <w:trPr>
          <w:trHeight w:val="240"/>
        </w:trPr>
        <w:tc>
          <w:tcPr>
            <w:tcW w:w="4281" w:type="dxa"/>
            <w:tcMar>
              <w:top w:w="60" w:type="dxa"/>
              <w:left w:w="0" w:type="dxa"/>
              <w:bottom w:w="60" w:type="dxa"/>
            </w:tcMar>
          </w:tcPr>
          <w:p w14:paraId="566684B8" w14:textId="77777777" w:rsidR="006561BA" w:rsidRDefault="005B4ED6">
            <w:pPr>
              <w:pStyle w:val="AnnexTableCellLeft"/>
              <w:spacing w:after="120"/>
            </w:pPr>
            <w:r>
              <w:t xml:space="preserve">«Andelen </w:t>
            </w:r>
            <w:r>
              <w:rPr>
                <w:b/>
              </w:rPr>
              <w:t>eksponeringer mot andre motparter og eiendeler</w:t>
            </w:r>
            <w:r>
              <w:t xml:space="preserve"> i forhold til de samlede eiendelene som dekkes av KPI-en:</w:t>
            </w:r>
          </w:p>
          <w:p w14:paraId="35FE5B97" w14:textId="77777777" w:rsidR="006561BA" w:rsidRDefault="005B4ED6">
            <w:pPr>
              <w:pStyle w:val="AnnexTableCellLeft"/>
            </w:pPr>
            <w:proofErr w:type="spellStart"/>
            <w:r>
              <w:t>X</w:t>
            </w:r>
            <w:proofErr w:type="spellEnd"/>
            <w:r>
              <w:t xml:space="preserve"> %</w:t>
            </w:r>
          </w:p>
        </w:tc>
        <w:tc>
          <w:tcPr>
            <w:tcW w:w="4281" w:type="dxa"/>
            <w:tcMar>
              <w:top w:w="60" w:type="dxa"/>
              <w:bottom w:w="60" w:type="dxa"/>
              <w:right w:w="0" w:type="dxa"/>
            </w:tcMar>
          </w:tcPr>
          <w:p w14:paraId="7A0C7409" w14:textId="77777777" w:rsidR="006561BA" w:rsidRDefault="005B4ED6">
            <w:pPr>
              <w:pStyle w:val="AnnexTableCellLeft"/>
              <w:spacing w:after="120"/>
            </w:pPr>
            <w:r>
              <w:t xml:space="preserve">Verdien av </w:t>
            </w:r>
            <w:r>
              <w:rPr>
                <w:b/>
              </w:rPr>
              <w:t>eksponeringer mot andre motparter</w:t>
            </w:r>
            <w:r>
              <w:rPr>
                <w:b/>
                <w:bCs/>
              </w:rPr>
              <w:t xml:space="preserve"> og eiendeler</w:t>
            </w:r>
            <w:r>
              <w:t>:</w:t>
            </w:r>
          </w:p>
          <w:p w14:paraId="4ACC88B6" w14:textId="77777777" w:rsidR="006561BA" w:rsidRDefault="005B4ED6">
            <w:pPr>
              <w:pStyle w:val="AnnexTableCellLeft"/>
            </w:pPr>
            <w:r>
              <w:t>[pengebeløp]»</w:t>
            </w:r>
          </w:p>
        </w:tc>
      </w:tr>
    </w:tbl>
    <w:p w14:paraId="2091515A" w14:textId="77777777" w:rsidR="006561BA" w:rsidRPr="00980A19" w:rsidRDefault="005B4ED6">
      <w:pPr>
        <w:pStyle w:val="AnnexNumberedText"/>
        <w:spacing w:before="300" w:after="200"/>
        <w:ind w:left="677" w:hanging="293"/>
        <w:rPr>
          <w:lang w:val="nn-NO"/>
        </w:rPr>
      </w:pPr>
      <w:r w:rsidRPr="00980A19">
        <w:rPr>
          <w:lang w:val="nn-NO"/>
        </w:rPr>
        <w:t>c)</w:t>
      </w:r>
      <w:r w:rsidRPr="00980A19">
        <w:rPr>
          <w:lang w:val="nn-NO"/>
        </w:rPr>
        <w:tab/>
        <w:t>Trettende rad skal lyde:</w:t>
      </w:r>
    </w:p>
    <w:tbl>
      <w:tblPr>
        <w:tblStyle w:val="EFTATable"/>
        <w:tblW w:w="8562" w:type="dxa"/>
        <w:tblInd w:w="677" w:type="dxa"/>
        <w:tblLayout w:type="fixed"/>
        <w:tblLook w:val="04A0" w:firstRow="1" w:lastRow="0" w:firstColumn="1" w:lastColumn="0" w:noHBand="0" w:noVBand="1"/>
      </w:tblPr>
      <w:tblGrid>
        <w:gridCol w:w="4281"/>
        <w:gridCol w:w="4281"/>
      </w:tblGrid>
      <w:tr w:rsidR="006561BA" w14:paraId="1E15541E" w14:textId="77777777">
        <w:trPr>
          <w:trHeight w:val="240"/>
        </w:trPr>
        <w:tc>
          <w:tcPr>
            <w:tcW w:w="4281" w:type="dxa"/>
            <w:tcMar>
              <w:top w:w="60" w:type="dxa"/>
              <w:left w:w="0" w:type="dxa"/>
              <w:bottom w:w="60" w:type="dxa"/>
            </w:tcMar>
          </w:tcPr>
          <w:p w14:paraId="01EA9F46" w14:textId="77777777" w:rsidR="006561BA" w:rsidRDefault="005B4ED6">
            <w:pPr>
              <w:pStyle w:val="AnnexTableCellLeft"/>
              <w:spacing w:after="120"/>
            </w:pPr>
            <w:r>
              <w:t xml:space="preserve">«Andelen </w:t>
            </w:r>
            <w:r>
              <w:rPr>
                <w:b/>
              </w:rPr>
              <w:t>taksonomiforenlige eksponeringer mot andre motparter</w:t>
            </w:r>
            <w:r>
              <w:rPr>
                <w:b/>
                <w:bCs/>
              </w:rPr>
              <w:t xml:space="preserve"> og eiendeler</w:t>
            </w:r>
            <w:r>
              <w:t xml:space="preserve"> i forhold til de samlede eiendelene som dekkes av KPI-en:</w:t>
            </w:r>
          </w:p>
          <w:p w14:paraId="20ECEF0A" w14:textId="77777777" w:rsidR="006561BA" w:rsidRDefault="005B4ED6">
            <w:pPr>
              <w:pStyle w:val="AnnexTableCellLeft"/>
              <w:spacing w:after="120"/>
            </w:pPr>
            <w:r>
              <w:t>Basert på omsetning: %</w:t>
            </w:r>
          </w:p>
          <w:p w14:paraId="3C9B055D" w14:textId="77777777" w:rsidR="006561BA" w:rsidRDefault="005B4ED6">
            <w:pPr>
              <w:pStyle w:val="AnnexTableCellLeft"/>
            </w:pPr>
            <w:r>
              <w:t>Basert på investeringsutgifter: %</w:t>
            </w:r>
          </w:p>
        </w:tc>
        <w:tc>
          <w:tcPr>
            <w:tcW w:w="4281" w:type="dxa"/>
            <w:tcMar>
              <w:top w:w="60" w:type="dxa"/>
              <w:bottom w:w="60" w:type="dxa"/>
              <w:right w:w="0" w:type="dxa"/>
            </w:tcMar>
          </w:tcPr>
          <w:p w14:paraId="22298A24" w14:textId="77777777" w:rsidR="006561BA" w:rsidRDefault="005B4ED6">
            <w:pPr>
              <w:pStyle w:val="AnnexTableCellLeft"/>
              <w:spacing w:after="120"/>
            </w:pPr>
            <w:r>
              <w:t xml:space="preserve">Verdien av </w:t>
            </w:r>
            <w:r>
              <w:rPr>
                <w:b/>
              </w:rPr>
              <w:t>taksonomiforenlige eksponeringer mot andre motparter</w:t>
            </w:r>
            <w:r>
              <w:rPr>
                <w:b/>
                <w:bCs/>
              </w:rPr>
              <w:t xml:space="preserve"> og eiendeler</w:t>
            </w:r>
            <w:r>
              <w:t>:</w:t>
            </w:r>
          </w:p>
          <w:p w14:paraId="2EA55A40" w14:textId="77777777" w:rsidR="006561BA" w:rsidRDefault="005B4ED6">
            <w:pPr>
              <w:pStyle w:val="AnnexTableCellLeft"/>
              <w:spacing w:after="120"/>
            </w:pPr>
            <w:r>
              <w:t>Basert på omsetning: [pengebeløp]</w:t>
            </w:r>
          </w:p>
          <w:p w14:paraId="1884148E" w14:textId="77777777" w:rsidR="006561BA" w:rsidRDefault="005B4ED6">
            <w:pPr>
              <w:pStyle w:val="AnnexTableCellLeft"/>
            </w:pPr>
            <w:r>
              <w:t>Basert på investeringsutgifter: [pengebeløp]»</w:t>
            </w:r>
          </w:p>
        </w:tc>
      </w:tr>
    </w:tbl>
    <w:p w14:paraId="3348D625" w14:textId="77777777" w:rsidR="006561BA" w:rsidRDefault="005B4ED6">
      <w:pPr>
        <w:pStyle w:val="AnnexNumberedText"/>
        <w:spacing w:before="1000" w:after="300"/>
        <w:ind w:left="383" w:hanging="383"/>
      </w:pPr>
      <w:r>
        <w:t>5)</w:t>
      </w:r>
      <w:r>
        <w:tab/>
        <w:t>I vedlegg V gjøres følgende endringer:</w:t>
      </w:r>
    </w:p>
    <w:p w14:paraId="0C4C1BB7" w14:textId="77777777" w:rsidR="006561BA" w:rsidRDefault="005B4ED6">
      <w:pPr>
        <w:pStyle w:val="AnnexNumberedText"/>
        <w:spacing w:after="300"/>
        <w:ind w:left="727" w:hanging="343"/>
      </w:pPr>
      <w:r>
        <w:t>a)</w:t>
      </w:r>
      <w:r>
        <w:tab/>
        <w:t>I avsnitt 1.1.2 skal tredje ledd lyde:</w:t>
      </w:r>
    </w:p>
    <w:p w14:paraId="5ECFFFE3" w14:textId="77777777" w:rsidR="006561BA" w:rsidRDefault="005B4ED6">
      <w:pPr>
        <w:pStyle w:val="AnnexNormal"/>
        <w:spacing w:after="300"/>
        <w:ind w:left="727"/>
      </w:pPr>
      <w:r>
        <w:t>«Følgende eiendeler skal ikke tas med i telleren i GAR:</w:t>
      </w:r>
    </w:p>
    <w:p w14:paraId="6C98A172" w14:textId="77777777" w:rsidR="006561BA" w:rsidRDefault="005B4ED6">
      <w:pPr>
        <w:pStyle w:val="AnnexNumberedText"/>
        <w:spacing w:after="300"/>
        <w:ind w:left="1021" w:hanging="293"/>
      </w:pPr>
      <w:r>
        <w:t>a)</w:t>
      </w:r>
      <w:r>
        <w:tab/>
        <w:t>Finansielle eiendeler som innehas for handelsformål.</w:t>
      </w:r>
    </w:p>
    <w:p w14:paraId="36768787" w14:textId="77777777" w:rsidR="006561BA" w:rsidRDefault="005B4ED6">
      <w:pPr>
        <w:pStyle w:val="AnnexNumberedText"/>
        <w:spacing w:after="300"/>
        <w:ind w:left="1021" w:hanging="293"/>
      </w:pPr>
      <w:r>
        <w:t>b)</w:t>
      </w:r>
      <w:r>
        <w:tab/>
        <w:t>Interbanklån på anfordring.</w:t>
      </w:r>
    </w:p>
    <w:p w14:paraId="7C3A1C48" w14:textId="77777777" w:rsidR="006561BA" w:rsidRDefault="005B4ED6">
      <w:pPr>
        <w:pStyle w:val="AnnexNumberedText"/>
        <w:spacing w:after="300"/>
        <w:ind w:left="1021" w:hanging="293"/>
      </w:pPr>
      <w:r>
        <w:t>c)</w:t>
      </w:r>
      <w:r>
        <w:tab/>
        <w:t>Eksponeringer mot foretak som ikke har plikt til å offentliggjøre ikke-finansiell informasjon i samsvar med artikkel 19a eller 29a i direktiv 2013/34/EU.</w:t>
      </w:r>
    </w:p>
    <w:p w14:paraId="5C5BF8FB" w14:textId="77777777" w:rsidR="006561BA" w:rsidRDefault="005B4ED6">
      <w:pPr>
        <w:pStyle w:val="AnnexNumberedText"/>
        <w:spacing w:after="300"/>
        <w:ind w:left="1021" w:hanging="293"/>
      </w:pPr>
      <w:r>
        <w:t>d)</w:t>
      </w:r>
      <w:r>
        <w:tab/>
        <w:t>Derivater.</w:t>
      </w:r>
    </w:p>
    <w:p w14:paraId="4F6B94B7" w14:textId="77777777" w:rsidR="006561BA" w:rsidRDefault="005B4ED6">
      <w:pPr>
        <w:pStyle w:val="AnnexNumberedText"/>
        <w:spacing w:after="300"/>
        <w:ind w:left="1021" w:hanging="293"/>
      </w:pPr>
      <w:r>
        <w:t>e)</w:t>
      </w:r>
      <w:r>
        <w:tab/>
        <w:t>Kontanter og kontantrelaterte eiendeler.</w:t>
      </w:r>
    </w:p>
    <w:p w14:paraId="6D352105" w14:textId="77777777" w:rsidR="006561BA" w:rsidRDefault="005B4ED6">
      <w:pPr>
        <w:pStyle w:val="AnnexNumberedText"/>
        <w:spacing w:after="300"/>
        <w:ind w:left="1021" w:hanging="293"/>
      </w:pPr>
      <w:r>
        <w:t>f)</w:t>
      </w:r>
      <w:r>
        <w:tab/>
        <w:t>Andre kategorier av eiendeler (for eksempel goodwill, varer osv.).»</w:t>
      </w:r>
    </w:p>
    <w:p w14:paraId="2A40B647" w14:textId="77777777" w:rsidR="006561BA" w:rsidRDefault="005B4ED6">
      <w:pPr>
        <w:pStyle w:val="AnnexNumberedText"/>
        <w:spacing w:after="300"/>
        <w:ind w:left="727" w:hanging="343"/>
      </w:pPr>
      <w:r>
        <w:t>b)</w:t>
      </w:r>
      <w:r>
        <w:tab/>
        <w:t>I avsnitt 1.2.1 skal femte ledd lyde:</w:t>
      </w:r>
    </w:p>
    <w:p w14:paraId="0F9D8635" w14:textId="77777777" w:rsidR="006561BA" w:rsidRDefault="005B4ED6">
      <w:pPr>
        <w:pStyle w:val="AnnexNormal"/>
        <w:ind w:left="727"/>
      </w:pPr>
      <w:r>
        <w:t>«I tillegg til GAR skal kredittinstitusjoner legge fram opplysninger om hvor stor prosentdel av deres samlede eiendeler som ikke er tatt med i telleren i GAR i samsvar med artikkel 7 nr. 2 og 3 i denne forordningen og punkt 1.1.2 i dette vedlegget.»</w:t>
      </w:r>
      <w:r>
        <w:br w:type="page"/>
      </w:r>
    </w:p>
    <w:p w14:paraId="29324C83" w14:textId="77777777" w:rsidR="006561BA" w:rsidRDefault="005B4ED6">
      <w:pPr>
        <w:pStyle w:val="AnnexNumberedText"/>
        <w:spacing w:after="200"/>
        <w:ind w:left="727" w:hanging="343"/>
      </w:pPr>
      <w:r>
        <w:lastRenderedPageBreak/>
        <w:t>c)</w:t>
      </w:r>
      <w:r>
        <w:tab/>
        <w:t>I avsnitt 1.2.1.1 skal tabellen i første ledd erstattes med følgende tabell:</w:t>
      </w:r>
    </w:p>
    <w:tbl>
      <w:tblPr>
        <w:tblStyle w:val="EFTATable"/>
        <w:tblW w:w="9486" w:type="dxa"/>
        <w:tblInd w:w="12" w:type="dxa"/>
        <w:tblLayout w:type="fixed"/>
        <w:tblLook w:val="04A0" w:firstRow="1" w:lastRow="0" w:firstColumn="1" w:lastColumn="0" w:noHBand="0" w:noVBand="1"/>
      </w:tblPr>
      <w:tblGrid>
        <w:gridCol w:w="2307"/>
        <w:gridCol w:w="2307"/>
        <w:gridCol w:w="2307"/>
        <w:gridCol w:w="2565"/>
      </w:tblGrid>
      <w:tr w:rsidR="006561BA" w14:paraId="32A90EC3" w14:textId="77777777" w:rsidTr="00B448E2">
        <w:trPr>
          <w:trHeight w:val="240"/>
        </w:trPr>
        <w:tc>
          <w:tcPr>
            <w:tcW w:w="2307" w:type="dxa"/>
            <w:tcBorders>
              <w:top w:val="nil"/>
              <w:bottom w:val="single" w:sz="4" w:space="0" w:color="auto"/>
              <w:right w:val="nil"/>
            </w:tcBorders>
            <w:tcMar>
              <w:top w:w="60" w:type="dxa"/>
              <w:left w:w="0" w:type="dxa"/>
              <w:bottom w:w="60" w:type="dxa"/>
            </w:tcMar>
            <w:vAlign w:val="center"/>
          </w:tcPr>
          <w:p w14:paraId="09AE0C58" w14:textId="77777777" w:rsidR="006561BA" w:rsidRDefault="005B4ED6">
            <w:pPr>
              <w:pStyle w:val="AnnexTableHeader"/>
              <w:spacing w:line="200" w:lineRule="exact"/>
            </w:pPr>
            <w:r>
              <w:rPr>
                <w:b/>
                <w:bCs/>
              </w:rPr>
              <w:t>«Miljømål</w:t>
            </w:r>
          </w:p>
        </w:tc>
        <w:tc>
          <w:tcPr>
            <w:tcW w:w="2307" w:type="dxa"/>
            <w:tcBorders>
              <w:top w:val="nil"/>
              <w:left w:val="nil"/>
              <w:bottom w:val="single" w:sz="4" w:space="0" w:color="auto"/>
              <w:right w:val="nil"/>
            </w:tcBorders>
            <w:tcMar>
              <w:top w:w="60" w:type="dxa"/>
              <w:left w:w="100" w:type="dxa"/>
              <w:bottom w:w="60" w:type="dxa"/>
              <w:right w:w="100" w:type="dxa"/>
            </w:tcMar>
            <w:vAlign w:val="center"/>
          </w:tcPr>
          <w:p w14:paraId="751C3BC5" w14:textId="77777777" w:rsidR="006561BA" w:rsidRDefault="005B4ED6">
            <w:pPr>
              <w:pStyle w:val="AnnexTableHeader"/>
              <w:spacing w:line="200" w:lineRule="exact"/>
            </w:pPr>
            <w:r>
              <w:rPr>
                <w:b/>
              </w:rPr>
              <w:t>Første trinn</w:t>
            </w:r>
          </w:p>
        </w:tc>
        <w:tc>
          <w:tcPr>
            <w:tcW w:w="2307" w:type="dxa"/>
            <w:tcBorders>
              <w:top w:val="nil"/>
              <w:left w:val="nil"/>
              <w:bottom w:val="single" w:sz="4" w:space="0" w:color="auto"/>
              <w:right w:val="nil"/>
            </w:tcBorders>
            <w:tcMar>
              <w:top w:w="60" w:type="dxa"/>
              <w:left w:w="100" w:type="dxa"/>
              <w:bottom w:w="60" w:type="dxa"/>
              <w:right w:w="100" w:type="dxa"/>
            </w:tcMar>
            <w:vAlign w:val="center"/>
          </w:tcPr>
          <w:p w14:paraId="572DF06C" w14:textId="77777777" w:rsidR="006561BA" w:rsidRDefault="005B4ED6">
            <w:pPr>
              <w:pStyle w:val="AnnexTableHeader"/>
              <w:spacing w:line="200" w:lineRule="exact"/>
            </w:pPr>
            <w:r>
              <w:rPr>
                <w:b/>
              </w:rPr>
              <w:t>Andre trinn</w:t>
            </w:r>
          </w:p>
        </w:tc>
        <w:tc>
          <w:tcPr>
            <w:tcW w:w="2565" w:type="dxa"/>
            <w:tcBorders>
              <w:top w:val="nil"/>
              <w:left w:val="nil"/>
              <w:bottom w:val="single" w:sz="4" w:space="0" w:color="auto"/>
            </w:tcBorders>
            <w:tcMar>
              <w:top w:w="60" w:type="dxa"/>
              <w:left w:w="100" w:type="dxa"/>
              <w:bottom w:w="60" w:type="dxa"/>
              <w:right w:w="100" w:type="dxa"/>
            </w:tcMar>
            <w:vAlign w:val="center"/>
          </w:tcPr>
          <w:p w14:paraId="186D42D1" w14:textId="77777777" w:rsidR="006561BA" w:rsidRDefault="005B4ED6">
            <w:pPr>
              <w:pStyle w:val="AnnexTableHeader"/>
              <w:spacing w:line="200" w:lineRule="exact"/>
            </w:pPr>
            <w:r>
              <w:rPr>
                <w:b/>
              </w:rPr>
              <w:t>Den grønne brøken (GAR)</w:t>
            </w:r>
          </w:p>
        </w:tc>
      </w:tr>
      <w:tr w:rsidR="006561BA" w14:paraId="326A0424" w14:textId="77777777" w:rsidTr="00B448E2">
        <w:trPr>
          <w:trHeight w:val="240"/>
        </w:trPr>
        <w:tc>
          <w:tcPr>
            <w:tcW w:w="2307" w:type="dxa"/>
            <w:tcBorders>
              <w:bottom w:val="nil"/>
              <w:right w:val="nil"/>
            </w:tcBorders>
            <w:tcMar>
              <w:top w:w="60" w:type="dxa"/>
              <w:left w:w="0" w:type="dxa"/>
              <w:bottom w:w="60" w:type="dxa"/>
            </w:tcMar>
          </w:tcPr>
          <w:p w14:paraId="1AA82995" w14:textId="77777777" w:rsidR="006561BA" w:rsidRDefault="005B4ED6">
            <w:pPr>
              <w:pStyle w:val="AnnexTableCellLeft"/>
              <w:spacing w:after="120"/>
            </w:pPr>
            <w:r>
              <w:t>Begrensning av klimaendringer</w:t>
            </w:r>
          </w:p>
          <w:p w14:paraId="404FEB55" w14:textId="77777777" w:rsidR="006561BA" w:rsidRDefault="005B4ED6">
            <w:pPr>
              <w:pStyle w:val="AnnexTableCellLeft"/>
            </w:pPr>
            <w:r>
              <w:t>(CCM)</w:t>
            </w:r>
          </w:p>
        </w:tc>
        <w:tc>
          <w:tcPr>
            <w:tcW w:w="2307" w:type="dxa"/>
            <w:tcBorders>
              <w:left w:val="nil"/>
              <w:bottom w:val="nil"/>
              <w:right w:val="nil"/>
            </w:tcBorders>
            <w:tcMar>
              <w:top w:w="60" w:type="dxa"/>
              <w:left w:w="100" w:type="dxa"/>
              <w:bottom w:w="60" w:type="dxa"/>
              <w:right w:w="100" w:type="dxa"/>
            </w:tcMar>
          </w:tcPr>
          <w:p w14:paraId="5503EA2E" w14:textId="77777777" w:rsidR="006561BA" w:rsidRDefault="005B4ED6">
            <w:pPr>
              <w:pStyle w:val="AnnexTableCellLeft"/>
            </w:pPr>
            <w:r>
              <w:t>Andelen lån og forskudd/gjeldsinstrumenter/egenkapitalinstrumenter som finansierer økonomiske aktiviteter som er omfattet av taksonomien, med begrensning av klimaendringer som mål, i forhold til samlede lån til / gjeldsinstrumenter i / egenkapitalinstrumenter i ikke-finansielle foretak og alle andre dekkede balanseførte eiendeler.</w:t>
            </w:r>
          </w:p>
        </w:tc>
        <w:tc>
          <w:tcPr>
            <w:tcW w:w="2307" w:type="dxa"/>
            <w:tcBorders>
              <w:left w:val="nil"/>
              <w:bottom w:val="nil"/>
              <w:right w:val="nil"/>
            </w:tcBorders>
            <w:tcMar>
              <w:top w:w="60" w:type="dxa"/>
              <w:left w:w="100" w:type="dxa"/>
              <w:bottom w:w="60" w:type="dxa"/>
              <w:right w:w="100" w:type="dxa"/>
            </w:tcMar>
          </w:tcPr>
          <w:p w14:paraId="123BB96F" w14:textId="77777777" w:rsidR="006561BA" w:rsidRDefault="005B4ED6">
            <w:pPr>
              <w:pStyle w:val="AnnexTableCellLeft"/>
              <w:spacing w:after="120"/>
            </w:pPr>
            <w:r>
              <w:t>Andelen lån og forskudd/gjeldsinstrumenter/egenkapitalinstrumenter som finansierer taksonomiforenlige økonomiske aktiviteter med begrensning av klimaendringer som mål, i forhold til lån og forskudd/gjeldsinstrumenter/egenkapitalinstrumenter som finansierer økonomiske aktiviteter i sektorer som er omfattet taksonomien, med begrensning av klimaendringer som mål.</w:t>
            </w:r>
          </w:p>
          <w:p w14:paraId="18459F2F" w14:textId="77777777" w:rsidR="006561BA" w:rsidRDefault="005B4ED6">
            <w:pPr>
              <w:pStyle w:val="AnnexTableCellLeft"/>
              <w:spacing w:after="120"/>
            </w:pPr>
            <w:r>
              <w:t>Hvorav: bruk av proveny</w:t>
            </w:r>
          </w:p>
          <w:p w14:paraId="41F888F8" w14:textId="77777777" w:rsidR="006561BA" w:rsidRDefault="005B4ED6">
            <w:pPr>
              <w:pStyle w:val="AnnexTableCellLeft"/>
              <w:spacing w:after="120"/>
            </w:pPr>
            <w:r>
              <w:t>Hvorav: muliggjørende aktiviteter</w:t>
            </w:r>
          </w:p>
          <w:p w14:paraId="76AB6317" w14:textId="77777777" w:rsidR="006561BA" w:rsidRDefault="005B4ED6">
            <w:pPr>
              <w:pStyle w:val="AnnexTableCellLeft"/>
            </w:pPr>
            <w:r>
              <w:t>Hvorav: omstillingsaktiviteter</w:t>
            </w:r>
          </w:p>
        </w:tc>
        <w:tc>
          <w:tcPr>
            <w:tcW w:w="2565" w:type="dxa"/>
            <w:tcBorders>
              <w:left w:val="nil"/>
              <w:bottom w:val="nil"/>
            </w:tcBorders>
            <w:tcMar>
              <w:top w:w="60" w:type="dxa"/>
              <w:left w:w="100" w:type="dxa"/>
              <w:bottom w:w="60" w:type="dxa"/>
              <w:right w:w="100" w:type="dxa"/>
            </w:tcMar>
          </w:tcPr>
          <w:p w14:paraId="280550C2" w14:textId="77777777" w:rsidR="006561BA" w:rsidRDefault="005B4ED6">
            <w:pPr>
              <w:pStyle w:val="AnnexTableCellLeft"/>
              <w:spacing w:after="120"/>
            </w:pPr>
            <w:r>
              <w:rPr>
                <w:b/>
              </w:rPr>
              <w:t>Andelen lån og forskudd/gjeldsinstrumenter/egenkapitalinstrumenter som finansierer taksonomiforenlige økonomiske aktiviteter med begrensning av klimaendringer som mål, i forhold til alle lån og forskudd til / gjeldsinstrumenter i / egenkapitalinstrumenter i ikke-finansielle foretak og alle andre dekkede balanseførte eiendeler.</w:t>
            </w:r>
          </w:p>
          <w:p w14:paraId="6EF7EF6D" w14:textId="77777777" w:rsidR="006561BA" w:rsidRDefault="005B4ED6">
            <w:pPr>
              <w:pStyle w:val="AnnexTableCellLeft"/>
              <w:spacing w:after="120"/>
            </w:pPr>
            <w:r>
              <w:rPr>
                <w:b/>
              </w:rPr>
              <w:t>Hvorav: bruk av proveny</w:t>
            </w:r>
          </w:p>
          <w:p w14:paraId="38A91758" w14:textId="77777777" w:rsidR="006561BA" w:rsidRDefault="005B4ED6">
            <w:pPr>
              <w:pStyle w:val="AnnexTableCellLeft"/>
              <w:spacing w:after="120"/>
            </w:pPr>
            <w:r>
              <w:rPr>
                <w:b/>
              </w:rPr>
              <w:t>Hvorav: muliggjørende aktiviteter</w:t>
            </w:r>
          </w:p>
          <w:p w14:paraId="49F1506D" w14:textId="77777777" w:rsidR="006561BA" w:rsidRDefault="005B4ED6">
            <w:pPr>
              <w:pStyle w:val="AnnexTableCellLeft"/>
              <w:spacing w:after="120"/>
            </w:pPr>
            <w:r>
              <w:rPr>
                <w:b/>
              </w:rPr>
              <w:t>Hvorav: omstillingsaktiviteter</w:t>
            </w:r>
          </w:p>
          <w:p w14:paraId="49A74E0C" w14:textId="77777777" w:rsidR="006561BA" w:rsidRDefault="005B4ED6">
            <w:pPr>
              <w:pStyle w:val="AnnexTableCellLeft"/>
              <w:jc w:val="center"/>
            </w:pPr>
            <w:r>
              <w:rPr>
                <w:i/>
              </w:rPr>
              <w:t>Beholdninger og strømmer</w:t>
            </w:r>
          </w:p>
        </w:tc>
      </w:tr>
      <w:tr w:rsidR="006561BA" w14:paraId="7C721053" w14:textId="77777777" w:rsidTr="00B448E2">
        <w:trPr>
          <w:trHeight w:val="1572"/>
        </w:trPr>
        <w:tc>
          <w:tcPr>
            <w:tcW w:w="9486" w:type="dxa"/>
            <w:gridSpan w:val="4"/>
            <w:tcBorders>
              <w:top w:val="nil"/>
              <w:bottom w:val="single" w:sz="4" w:space="0" w:color="auto"/>
            </w:tcBorders>
            <w:tcMar>
              <w:top w:w="60" w:type="dxa"/>
              <w:left w:w="100" w:type="dxa"/>
              <w:bottom w:w="60" w:type="dxa"/>
              <w:right w:w="100" w:type="dxa"/>
            </w:tcMar>
          </w:tcPr>
          <w:p w14:paraId="282DB47E" w14:textId="77777777" w:rsidR="006561BA" w:rsidRDefault="006561BA">
            <w:pPr>
              <w:pStyle w:val="AnnexTableCellLeft"/>
            </w:pPr>
          </w:p>
        </w:tc>
      </w:tr>
      <w:tr w:rsidR="006561BA" w14:paraId="10F0722A" w14:textId="77777777" w:rsidTr="00B448E2">
        <w:trPr>
          <w:trHeight w:val="240"/>
        </w:trPr>
        <w:tc>
          <w:tcPr>
            <w:tcW w:w="2307" w:type="dxa"/>
            <w:tcBorders>
              <w:bottom w:val="nil"/>
              <w:right w:val="nil"/>
            </w:tcBorders>
            <w:tcMar>
              <w:top w:w="60" w:type="dxa"/>
              <w:left w:w="0" w:type="dxa"/>
              <w:bottom w:w="60" w:type="dxa"/>
            </w:tcMar>
          </w:tcPr>
          <w:p w14:paraId="3EE93617" w14:textId="77777777" w:rsidR="006561BA" w:rsidRDefault="005B4ED6">
            <w:pPr>
              <w:pStyle w:val="AnnexTableCellLeft"/>
              <w:spacing w:after="100"/>
            </w:pPr>
            <w:r>
              <w:t>Tilpasning til klimaendringer</w:t>
            </w:r>
          </w:p>
          <w:p w14:paraId="13CCE69A" w14:textId="77777777" w:rsidR="006561BA" w:rsidRDefault="005B4ED6">
            <w:pPr>
              <w:pStyle w:val="AnnexTableCellLeft"/>
            </w:pPr>
            <w:r>
              <w:t>(CCA)</w:t>
            </w:r>
          </w:p>
        </w:tc>
        <w:tc>
          <w:tcPr>
            <w:tcW w:w="2307" w:type="dxa"/>
            <w:tcBorders>
              <w:left w:val="nil"/>
              <w:bottom w:val="nil"/>
              <w:right w:val="nil"/>
            </w:tcBorders>
            <w:tcMar>
              <w:top w:w="60" w:type="dxa"/>
              <w:left w:w="100" w:type="dxa"/>
              <w:bottom w:w="60" w:type="dxa"/>
              <w:right w:w="100" w:type="dxa"/>
            </w:tcMar>
          </w:tcPr>
          <w:p w14:paraId="36B7580B" w14:textId="77777777" w:rsidR="006561BA" w:rsidRDefault="005B4ED6">
            <w:pPr>
              <w:pStyle w:val="AnnexTableCellLeft"/>
            </w:pPr>
            <w:r>
              <w:t>Andelen lån og forskudd/gjeldsinstrumenter/egenkapitalinstrumenter som finansierer økonomiske aktiviteter som er omfattet av taksonomien, med tilpasning til klimaendringer som mål, i forhold til samlede lån til / gjeldsinstrumenter i / egenkapitalinstrumenter i ikke-finansielle foretak og alle andre dekkede balanseførte eiendeler.</w:t>
            </w:r>
          </w:p>
        </w:tc>
        <w:tc>
          <w:tcPr>
            <w:tcW w:w="2307" w:type="dxa"/>
            <w:tcBorders>
              <w:left w:val="nil"/>
              <w:bottom w:val="nil"/>
              <w:right w:val="nil"/>
            </w:tcBorders>
            <w:tcMar>
              <w:top w:w="60" w:type="dxa"/>
              <w:left w:w="100" w:type="dxa"/>
              <w:bottom w:w="60" w:type="dxa"/>
              <w:right w:w="100" w:type="dxa"/>
            </w:tcMar>
          </w:tcPr>
          <w:p w14:paraId="32B97D62" w14:textId="77777777" w:rsidR="006561BA" w:rsidRDefault="005B4ED6">
            <w:pPr>
              <w:pStyle w:val="AnnexTableCellLeft"/>
              <w:spacing w:after="120"/>
            </w:pPr>
            <w:r>
              <w:t>Andelen lån og forskudd/gjeldsinstrumenter/egenkapitalinstrumenter som finansierer taksonomiforenlige økonomiske aktiviteter med tilpasning til klimaendringer som mål, i forhold til lån og forskudd/gjeldsinstrumenter/egenkapitalinstrumenter som finansierer økonomiske aktiviteter i sektorer som er omfattet av taksonomien, med tilpasning til klimaendringer som mål.</w:t>
            </w:r>
          </w:p>
          <w:p w14:paraId="110BD4D9" w14:textId="77777777" w:rsidR="006561BA" w:rsidRDefault="005B4ED6">
            <w:pPr>
              <w:pStyle w:val="AnnexTableCellLeft"/>
              <w:spacing w:after="120"/>
            </w:pPr>
            <w:r>
              <w:t>Hvorav: bruk av proveny</w:t>
            </w:r>
          </w:p>
          <w:p w14:paraId="0DF13DCF" w14:textId="77777777" w:rsidR="006561BA" w:rsidRDefault="005B4ED6">
            <w:pPr>
              <w:pStyle w:val="AnnexTableCellLeft"/>
            </w:pPr>
            <w:r>
              <w:t>Hvorav: muliggjørende aktiviteter</w:t>
            </w:r>
          </w:p>
        </w:tc>
        <w:tc>
          <w:tcPr>
            <w:tcW w:w="2565" w:type="dxa"/>
            <w:tcBorders>
              <w:left w:val="nil"/>
              <w:bottom w:val="nil"/>
            </w:tcBorders>
            <w:tcMar>
              <w:top w:w="60" w:type="dxa"/>
              <w:left w:w="100" w:type="dxa"/>
              <w:bottom w:w="60" w:type="dxa"/>
              <w:right w:w="100" w:type="dxa"/>
            </w:tcMar>
          </w:tcPr>
          <w:p w14:paraId="7ADCF1C8" w14:textId="77777777" w:rsidR="006561BA" w:rsidRDefault="005B4ED6">
            <w:pPr>
              <w:pStyle w:val="AnnexTableCellLeft"/>
              <w:spacing w:after="120"/>
            </w:pPr>
            <w:r>
              <w:rPr>
                <w:b/>
              </w:rPr>
              <w:t>Andelen lån og forskudd/gjeldsinstrumenter/egenkapitalinstrumenter som finansierer taksonomiforenlige økonomiske aktiviteter med tilpasning til klimaendringer som mål, i forhold til alle lån og forskudd til / gjeldsinstrumenter i / egenkapitalinstrumenter i ikke-finansielle foretak og alle andre dekkede balanseførte eiendeler.</w:t>
            </w:r>
          </w:p>
          <w:p w14:paraId="09347FB8" w14:textId="77777777" w:rsidR="006561BA" w:rsidRDefault="005B4ED6">
            <w:pPr>
              <w:pStyle w:val="AnnexTableCellLeft"/>
              <w:spacing w:after="120"/>
            </w:pPr>
            <w:r>
              <w:rPr>
                <w:b/>
              </w:rPr>
              <w:t>Hvorav: bruk av proveny</w:t>
            </w:r>
          </w:p>
          <w:p w14:paraId="3E146546" w14:textId="77777777" w:rsidR="006561BA" w:rsidRDefault="005B4ED6">
            <w:pPr>
              <w:pStyle w:val="AnnexTableCellLeft"/>
              <w:spacing w:after="120"/>
            </w:pPr>
            <w:r>
              <w:rPr>
                <w:b/>
              </w:rPr>
              <w:t>Hvorav: muliggjørende aktiviteter</w:t>
            </w:r>
          </w:p>
          <w:p w14:paraId="2F7E0772" w14:textId="77777777" w:rsidR="006561BA" w:rsidRDefault="005B4ED6">
            <w:pPr>
              <w:pStyle w:val="AnnexTableCellLeft"/>
              <w:jc w:val="center"/>
            </w:pPr>
            <w:r>
              <w:rPr>
                <w:i/>
              </w:rPr>
              <w:t>Beholdninger og strømmer</w:t>
            </w:r>
          </w:p>
        </w:tc>
      </w:tr>
      <w:tr w:rsidR="006561BA" w14:paraId="22B0DAB8" w14:textId="77777777" w:rsidTr="00B448E2">
        <w:trPr>
          <w:trHeight w:val="1512"/>
        </w:trPr>
        <w:tc>
          <w:tcPr>
            <w:tcW w:w="9486" w:type="dxa"/>
            <w:gridSpan w:val="4"/>
            <w:tcBorders>
              <w:top w:val="nil"/>
              <w:bottom w:val="single" w:sz="4" w:space="0" w:color="auto"/>
            </w:tcBorders>
            <w:tcMar>
              <w:top w:w="60" w:type="dxa"/>
              <w:left w:w="100" w:type="dxa"/>
              <w:bottom w:w="60" w:type="dxa"/>
              <w:right w:w="100" w:type="dxa"/>
            </w:tcMar>
          </w:tcPr>
          <w:p w14:paraId="73586F40" w14:textId="77777777" w:rsidR="006561BA" w:rsidRDefault="006561BA">
            <w:pPr>
              <w:pStyle w:val="AnnexTableCellLeft"/>
            </w:pPr>
          </w:p>
        </w:tc>
      </w:tr>
      <w:tr w:rsidR="006561BA" w14:paraId="4D9E02B5" w14:textId="77777777" w:rsidTr="00B448E2">
        <w:trPr>
          <w:trHeight w:val="240"/>
        </w:trPr>
        <w:tc>
          <w:tcPr>
            <w:tcW w:w="2307" w:type="dxa"/>
            <w:tcBorders>
              <w:bottom w:val="nil"/>
              <w:right w:val="nil"/>
            </w:tcBorders>
            <w:tcMar>
              <w:top w:w="60" w:type="dxa"/>
              <w:left w:w="0" w:type="dxa"/>
              <w:bottom w:w="60" w:type="dxa"/>
            </w:tcMar>
          </w:tcPr>
          <w:p w14:paraId="75C3910B" w14:textId="77777777" w:rsidR="006561BA" w:rsidRDefault="005B4ED6">
            <w:pPr>
              <w:pStyle w:val="AnnexTableCellLeft"/>
              <w:pageBreakBefore/>
            </w:pPr>
            <w:r>
              <w:lastRenderedPageBreak/>
              <w:t>Vann- og havressurser</w:t>
            </w:r>
          </w:p>
          <w:p w14:paraId="6AA048C8" w14:textId="77777777" w:rsidR="006561BA" w:rsidRDefault="005B4ED6">
            <w:pPr>
              <w:pStyle w:val="AnnexTableCellLeft"/>
            </w:pPr>
            <w:r>
              <w:t>(WTR)</w:t>
            </w:r>
          </w:p>
        </w:tc>
        <w:tc>
          <w:tcPr>
            <w:tcW w:w="2307" w:type="dxa"/>
            <w:tcBorders>
              <w:left w:val="nil"/>
              <w:bottom w:val="nil"/>
              <w:right w:val="nil"/>
            </w:tcBorders>
            <w:tcMar>
              <w:top w:w="60" w:type="dxa"/>
              <w:left w:w="100" w:type="dxa"/>
              <w:bottom w:w="60" w:type="dxa"/>
              <w:right w:w="100" w:type="dxa"/>
            </w:tcMar>
          </w:tcPr>
          <w:p w14:paraId="22150F2D" w14:textId="77777777" w:rsidR="006561BA" w:rsidRDefault="005B4ED6">
            <w:pPr>
              <w:pStyle w:val="AnnexTableCellLeft"/>
            </w:pPr>
            <w:r>
              <w:t>Andelen lån og forskudd/gjeldsinstrumenter/egenkapitalinstrumenter som finansierer økonomiske aktiviteter som er omfattet av taksonomien, med bærekraftig bruk og beskyttelse av vann- og havressurser som mål, i forhold til samlede lån til / gjeldsinstrumenter i / egenkapitalinstrumenter i ikke-finansielle foretak og alle andre dekkede balanseførte eiendeler.</w:t>
            </w:r>
          </w:p>
        </w:tc>
        <w:tc>
          <w:tcPr>
            <w:tcW w:w="2307" w:type="dxa"/>
            <w:tcBorders>
              <w:left w:val="nil"/>
              <w:bottom w:val="nil"/>
              <w:right w:val="nil"/>
            </w:tcBorders>
            <w:tcMar>
              <w:top w:w="60" w:type="dxa"/>
              <w:left w:w="100" w:type="dxa"/>
              <w:bottom w:w="60" w:type="dxa"/>
              <w:right w:w="100" w:type="dxa"/>
            </w:tcMar>
          </w:tcPr>
          <w:p w14:paraId="1CF4081E" w14:textId="77777777" w:rsidR="006561BA" w:rsidRDefault="005B4ED6">
            <w:pPr>
              <w:pStyle w:val="AnnexTableCellLeft"/>
              <w:spacing w:after="120"/>
            </w:pPr>
            <w:r>
              <w:t>Andelen lån og forskudd/gjeldsinstrumenter/egenkapitalinstrumenter som finansierer taksonomiforenlige økonomiske aktiviteter med bærekraftig bruk og beskyttelse av vann- og havressurser som mål, i forhold til lån og forskudd/gjeldsinstrumenter/egenkapitalinstrumenter som finansierer økonomiske aktiviteter i sektorer som er omfattet av taksonomien, med bærekraftig bruk og beskyttelse av vann- og havressurser som mål.</w:t>
            </w:r>
          </w:p>
          <w:p w14:paraId="58E82769" w14:textId="77777777" w:rsidR="006561BA" w:rsidRDefault="005B4ED6">
            <w:pPr>
              <w:pStyle w:val="AnnexTableCellLeft"/>
              <w:spacing w:after="120"/>
            </w:pPr>
            <w:r>
              <w:t>Hvorav: bruk av proveny</w:t>
            </w:r>
          </w:p>
          <w:p w14:paraId="5D3CD00B" w14:textId="77777777" w:rsidR="006561BA" w:rsidRDefault="005B4ED6">
            <w:pPr>
              <w:pStyle w:val="AnnexTableCellLeft"/>
            </w:pPr>
            <w:r>
              <w:t>Hvorav: muliggjørende aktiviteter</w:t>
            </w:r>
          </w:p>
        </w:tc>
        <w:tc>
          <w:tcPr>
            <w:tcW w:w="2565" w:type="dxa"/>
            <w:tcBorders>
              <w:left w:val="nil"/>
              <w:bottom w:val="nil"/>
            </w:tcBorders>
            <w:tcMar>
              <w:top w:w="60" w:type="dxa"/>
              <w:left w:w="100" w:type="dxa"/>
              <w:bottom w:w="60" w:type="dxa"/>
              <w:right w:w="100" w:type="dxa"/>
            </w:tcMar>
          </w:tcPr>
          <w:p w14:paraId="01061B3A" w14:textId="77777777" w:rsidR="006561BA" w:rsidRDefault="005B4ED6">
            <w:pPr>
              <w:pStyle w:val="AnnexTableCellLeft"/>
              <w:spacing w:after="120"/>
            </w:pPr>
            <w:r>
              <w:rPr>
                <w:b/>
              </w:rPr>
              <w:t>Andelen lån og forskudd/gjeldsinstrumenter/egenkapitalinstrumenter som finansierer taksonomiforenlige økonomiske aktiviteter med bærekraftig bruk og beskyttelse av vann- og havressurser som mål, i forhold til samlede lån og forskudd til / gjeldsinstrumenter i / egenkapitalinstrumenter i ikke-finansielle foretak og alle andre dekkede balanseførte eiendeler.</w:t>
            </w:r>
          </w:p>
          <w:p w14:paraId="624F42C1" w14:textId="77777777" w:rsidR="006561BA" w:rsidRDefault="005B4ED6">
            <w:pPr>
              <w:pStyle w:val="AnnexTableCellLeft"/>
              <w:spacing w:after="120"/>
            </w:pPr>
            <w:r>
              <w:rPr>
                <w:b/>
              </w:rPr>
              <w:t>Hvorav: bruk av proveny</w:t>
            </w:r>
          </w:p>
          <w:p w14:paraId="15C0D948" w14:textId="77777777" w:rsidR="006561BA" w:rsidRDefault="005B4ED6">
            <w:pPr>
              <w:pStyle w:val="AnnexTableCellLeft"/>
              <w:spacing w:after="120"/>
            </w:pPr>
            <w:r>
              <w:rPr>
                <w:b/>
              </w:rPr>
              <w:t>Hvorav: muliggjørende aktiviteter</w:t>
            </w:r>
          </w:p>
          <w:p w14:paraId="225C6511" w14:textId="77777777" w:rsidR="006561BA" w:rsidRDefault="005B4ED6">
            <w:pPr>
              <w:pStyle w:val="AnnexTableCellLeft"/>
              <w:jc w:val="center"/>
            </w:pPr>
            <w:r>
              <w:rPr>
                <w:i/>
              </w:rPr>
              <w:t>Beholdninger og strømmer</w:t>
            </w:r>
          </w:p>
        </w:tc>
      </w:tr>
      <w:tr w:rsidR="006561BA" w14:paraId="4CF8B71C" w14:textId="77777777" w:rsidTr="00B448E2">
        <w:trPr>
          <w:trHeight w:val="240"/>
        </w:trPr>
        <w:tc>
          <w:tcPr>
            <w:tcW w:w="2307" w:type="dxa"/>
            <w:tcBorders>
              <w:bottom w:val="nil"/>
              <w:right w:val="nil"/>
            </w:tcBorders>
            <w:tcMar>
              <w:top w:w="60" w:type="dxa"/>
              <w:left w:w="0" w:type="dxa"/>
              <w:bottom w:w="60" w:type="dxa"/>
            </w:tcMar>
          </w:tcPr>
          <w:p w14:paraId="41DAC92C" w14:textId="77777777" w:rsidR="006561BA" w:rsidRDefault="005B4ED6">
            <w:pPr>
              <w:pStyle w:val="AnnexTableCellLeft"/>
            </w:pPr>
            <w:r>
              <w:t>Sirkulær økonomi</w:t>
            </w:r>
          </w:p>
          <w:p w14:paraId="01647AA6" w14:textId="77777777" w:rsidR="006561BA" w:rsidRDefault="005B4ED6">
            <w:pPr>
              <w:pStyle w:val="AnnexTableCellLeft"/>
            </w:pPr>
            <w:r>
              <w:t>(CE)</w:t>
            </w:r>
          </w:p>
        </w:tc>
        <w:tc>
          <w:tcPr>
            <w:tcW w:w="2307" w:type="dxa"/>
            <w:tcBorders>
              <w:left w:val="nil"/>
              <w:bottom w:val="nil"/>
              <w:right w:val="nil"/>
            </w:tcBorders>
            <w:tcMar>
              <w:top w:w="60" w:type="dxa"/>
              <w:left w:w="100" w:type="dxa"/>
              <w:bottom w:w="60" w:type="dxa"/>
              <w:right w:w="100" w:type="dxa"/>
            </w:tcMar>
          </w:tcPr>
          <w:p w14:paraId="06C1E7BB" w14:textId="77777777" w:rsidR="006561BA" w:rsidRDefault="005B4ED6">
            <w:pPr>
              <w:pStyle w:val="AnnexTableCellLeft"/>
            </w:pPr>
            <w:r>
              <w:t>Andelen lån og forskudd/gjeldsinstrumenter/egenkapitalinstrumenter som finansierer økonomiske aktiviteter som er omfattet av taksonomien, med omstilling til en sirkulær økonomi som mål, i forhold til samlede lån til / gjeldsinstrumenter i / egenkapitalinstrumenter i ikke-finansielle foretak og alle andre dekkede balanseførte eiendeler.</w:t>
            </w:r>
          </w:p>
        </w:tc>
        <w:tc>
          <w:tcPr>
            <w:tcW w:w="2307" w:type="dxa"/>
            <w:tcBorders>
              <w:left w:val="nil"/>
              <w:bottom w:val="nil"/>
              <w:right w:val="nil"/>
            </w:tcBorders>
            <w:tcMar>
              <w:top w:w="60" w:type="dxa"/>
              <w:left w:w="100" w:type="dxa"/>
              <w:bottom w:w="60" w:type="dxa"/>
              <w:right w:w="100" w:type="dxa"/>
            </w:tcMar>
          </w:tcPr>
          <w:p w14:paraId="57E3B7F7" w14:textId="77777777" w:rsidR="006561BA" w:rsidRDefault="005B4ED6">
            <w:pPr>
              <w:pStyle w:val="AnnexTableCellLeft"/>
              <w:spacing w:after="120"/>
            </w:pPr>
            <w:r>
              <w:t>Andelen lån og forskudd/gjeldsinstrumenter/egenkapitalinstrumenter som finansierer taksonomiforenlige økonomiske aktiviteter med omstilling til en sirkulær økonomi som mål, i forhold til lån og forskudd/gjeldsinstrumenter/egenkapitalinstrumenter som finansierer økonomiske aktiviteter i sektorer som er omfattet av taksonomien, med omstilling til en sirkulær økonomi som mål.</w:t>
            </w:r>
          </w:p>
          <w:p w14:paraId="56156B90" w14:textId="77777777" w:rsidR="006561BA" w:rsidRDefault="005B4ED6">
            <w:pPr>
              <w:pStyle w:val="AnnexTableCellLeft"/>
              <w:spacing w:after="120"/>
            </w:pPr>
            <w:r>
              <w:t>Hvorav: bruk av proveny</w:t>
            </w:r>
          </w:p>
          <w:p w14:paraId="0ECC59F8" w14:textId="77777777" w:rsidR="006561BA" w:rsidRDefault="005B4ED6">
            <w:pPr>
              <w:pStyle w:val="AnnexTableCellLeft"/>
            </w:pPr>
            <w:r>
              <w:t>Hvorav: muliggjørende aktiviteter</w:t>
            </w:r>
          </w:p>
        </w:tc>
        <w:tc>
          <w:tcPr>
            <w:tcW w:w="2565" w:type="dxa"/>
            <w:tcBorders>
              <w:left w:val="nil"/>
              <w:bottom w:val="nil"/>
            </w:tcBorders>
            <w:tcMar>
              <w:top w:w="60" w:type="dxa"/>
              <w:left w:w="100" w:type="dxa"/>
              <w:bottom w:w="60" w:type="dxa"/>
              <w:right w:w="100" w:type="dxa"/>
            </w:tcMar>
          </w:tcPr>
          <w:p w14:paraId="50A42CB9" w14:textId="77777777" w:rsidR="006561BA" w:rsidRDefault="005B4ED6">
            <w:pPr>
              <w:pStyle w:val="AnnexTableCellLeft"/>
              <w:spacing w:after="120"/>
            </w:pPr>
            <w:r>
              <w:rPr>
                <w:b/>
              </w:rPr>
              <w:t>Andelen lån og forskudd/gjeldsinstrumenter/egenkapitalinstrumenter som finansierer taksonomiforenlige økonomiske aktiviteter med omstilling til en sirkulær økonomi som mål, i forhold til samlede lån og forskudd til / gjeldsinstrumenter i / egenkapitalinstrumenter i ikke-finansielle foretak og alle andre dekkede balanseførte eiendeler.</w:t>
            </w:r>
          </w:p>
          <w:p w14:paraId="4554A6CC" w14:textId="77777777" w:rsidR="006561BA" w:rsidRDefault="005B4ED6">
            <w:pPr>
              <w:pStyle w:val="AnnexTableCellLeft"/>
              <w:spacing w:after="120"/>
            </w:pPr>
            <w:r>
              <w:rPr>
                <w:b/>
              </w:rPr>
              <w:t>Hvorav: bruk av proveny</w:t>
            </w:r>
          </w:p>
          <w:p w14:paraId="5B8FC809" w14:textId="77777777" w:rsidR="006561BA" w:rsidRDefault="005B4ED6">
            <w:pPr>
              <w:pStyle w:val="AnnexTableCellLeft"/>
              <w:spacing w:after="120"/>
            </w:pPr>
            <w:r>
              <w:rPr>
                <w:b/>
              </w:rPr>
              <w:t>Hvorav: muliggjørende aktiviteter</w:t>
            </w:r>
          </w:p>
          <w:p w14:paraId="35F9D8A3" w14:textId="77777777" w:rsidR="006561BA" w:rsidRDefault="005B4ED6">
            <w:pPr>
              <w:pStyle w:val="AnnexTableCellLeft"/>
              <w:jc w:val="center"/>
            </w:pPr>
            <w:r>
              <w:rPr>
                <w:i/>
              </w:rPr>
              <w:t>Beholdninger og strømmer</w:t>
            </w:r>
          </w:p>
        </w:tc>
      </w:tr>
      <w:tr w:rsidR="006561BA" w14:paraId="127A0C75" w14:textId="77777777" w:rsidTr="00B448E2">
        <w:trPr>
          <w:trHeight w:val="768"/>
        </w:trPr>
        <w:tc>
          <w:tcPr>
            <w:tcW w:w="9486" w:type="dxa"/>
            <w:gridSpan w:val="4"/>
            <w:tcBorders>
              <w:top w:val="nil"/>
              <w:bottom w:val="single" w:sz="4" w:space="0" w:color="auto"/>
            </w:tcBorders>
            <w:tcMar>
              <w:top w:w="60" w:type="dxa"/>
              <w:left w:w="100" w:type="dxa"/>
              <w:bottom w:w="60" w:type="dxa"/>
              <w:right w:w="100" w:type="dxa"/>
            </w:tcMar>
          </w:tcPr>
          <w:p w14:paraId="7C959B77" w14:textId="77777777" w:rsidR="006561BA" w:rsidRDefault="006561BA">
            <w:pPr>
              <w:pStyle w:val="AnnexTableCellLeft"/>
            </w:pPr>
          </w:p>
        </w:tc>
      </w:tr>
      <w:tr w:rsidR="006561BA" w14:paraId="6ED3C5A5" w14:textId="77777777" w:rsidTr="00B448E2">
        <w:trPr>
          <w:trHeight w:val="240"/>
        </w:trPr>
        <w:tc>
          <w:tcPr>
            <w:tcW w:w="2307" w:type="dxa"/>
            <w:tcBorders>
              <w:bottom w:val="nil"/>
              <w:right w:val="nil"/>
            </w:tcBorders>
            <w:tcMar>
              <w:top w:w="60" w:type="dxa"/>
              <w:left w:w="0" w:type="dxa"/>
              <w:bottom w:w="60" w:type="dxa"/>
            </w:tcMar>
          </w:tcPr>
          <w:p w14:paraId="6F3CB174" w14:textId="77777777" w:rsidR="006561BA" w:rsidRDefault="005B4ED6">
            <w:pPr>
              <w:pStyle w:val="AnnexTableCellLeft"/>
              <w:pageBreakBefore/>
            </w:pPr>
            <w:r>
              <w:lastRenderedPageBreak/>
              <w:t>Forurensning</w:t>
            </w:r>
          </w:p>
          <w:p w14:paraId="06709DE3" w14:textId="77777777" w:rsidR="006561BA" w:rsidRDefault="005B4ED6">
            <w:pPr>
              <w:pStyle w:val="AnnexTableCellLeft"/>
            </w:pPr>
            <w:r>
              <w:t>(PPC)</w:t>
            </w:r>
          </w:p>
        </w:tc>
        <w:tc>
          <w:tcPr>
            <w:tcW w:w="2307" w:type="dxa"/>
            <w:tcBorders>
              <w:left w:val="nil"/>
              <w:bottom w:val="nil"/>
              <w:right w:val="nil"/>
            </w:tcBorders>
            <w:tcMar>
              <w:top w:w="60" w:type="dxa"/>
              <w:left w:w="100" w:type="dxa"/>
              <w:bottom w:w="60" w:type="dxa"/>
              <w:right w:w="100" w:type="dxa"/>
            </w:tcMar>
          </w:tcPr>
          <w:p w14:paraId="2965D2ED" w14:textId="77777777" w:rsidR="006561BA" w:rsidRDefault="005B4ED6">
            <w:pPr>
              <w:pStyle w:val="AnnexTableCellLeft"/>
            </w:pPr>
            <w:r>
              <w:t>Andelen lån og forskudd/gjeldsinstrumenter/egenkapitalinstrumenter som finansierer økonomiske aktiviteter som er omfattet av taksonomien, med forebygging og begrensning av forurensning som mål, i forhold til samlede lån til / gjeldsinstrumenter i / egenkapitalinstrumenter i ikke-finansielle foretak og alle andre dekkede balanseførte eiendeler.</w:t>
            </w:r>
          </w:p>
        </w:tc>
        <w:tc>
          <w:tcPr>
            <w:tcW w:w="2307" w:type="dxa"/>
            <w:tcBorders>
              <w:left w:val="nil"/>
              <w:bottom w:val="nil"/>
              <w:right w:val="nil"/>
            </w:tcBorders>
            <w:tcMar>
              <w:top w:w="60" w:type="dxa"/>
              <w:left w:w="100" w:type="dxa"/>
              <w:bottom w:w="60" w:type="dxa"/>
              <w:right w:w="100" w:type="dxa"/>
            </w:tcMar>
          </w:tcPr>
          <w:p w14:paraId="4259902F" w14:textId="77777777" w:rsidR="006561BA" w:rsidRDefault="005B4ED6">
            <w:pPr>
              <w:pStyle w:val="AnnexTableCellLeft"/>
              <w:spacing w:after="120"/>
            </w:pPr>
            <w:r>
              <w:t>Andelen lån og forskudd/gjeldsinstrumenter/egenkapitalinstrumenter som finansierer taksonomiforenlige økonomiske aktiviteter med forebygging og begrensning av forurensning som mål, i forhold til lån og forskudd/gjeldsinstrumenter/egenkapitalinstrumenter som finansierer økonomiske aktiviteter i sektorer som er omfattet av taksonomien, med forebygging og begrensning av forurensning som mål.</w:t>
            </w:r>
          </w:p>
          <w:p w14:paraId="00FD3CDC" w14:textId="77777777" w:rsidR="006561BA" w:rsidRDefault="005B4ED6">
            <w:pPr>
              <w:pStyle w:val="AnnexTableCellLeft"/>
              <w:spacing w:after="120"/>
            </w:pPr>
            <w:r>
              <w:t>Hvorav: bruk av proveny</w:t>
            </w:r>
          </w:p>
          <w:p w14:paraId="0E1478F9" w14:textId="77777777" w:rsidR="006561BA" w:rsidRDefault="005B4ED6">
            <w:pPr>
              <w:pStyle w:val="AnnexTableCellLeft"/>
            </w:pPr>
            <w:r>
              <w:t>Hvorav: muliggjørende aktiviteter</w:t>
            </w:r>
          </w:p>
        </w:tc>
        <w:tc>
          <w:tcPr>
            <w:tcW w:w="2565" w:type="dxa"/>
            <w:tcBorders>
              <w:left w:val="nil"/>
              <w:bottom w:val="nil"/>
            </w:tcBorders>
            <w:tcMar>
              <w:top w:w="60" w:type="dxa"/>
              <w:left w:w="100" w:type="dxa"/>
              <w:bottom w:w="60" w:type="dxa"/>
              <w:right w:w="100" w:type="dxa"/>
            </w:tcMar>
          </w:tcPr>
          <w:p w14:paraId="4271B303" w14:textId="77777777" w:rsidR="006561BA" w:rsidRDefault="005B4ED6">
            <w:pPr>
              <w:pStyle w:val="AnnexTableCellLeft"/>
              <w:spacing w:after="120"/>
            </w:pPr>
            <w:r>
              <w:rPr>
                <w:b/>
              </w:rPr>
              <w:t>Andelen lån og forskudd/gjeldsinstrumenter/egenkapitalinstrumenter som finansierer taksonomiforenlige økonomiske aktiviteter med forebygging og begrensning av forurensning som mål, i forhold til samlede lån og forskudd til / gjeldsinstrumenter i / egenkapitalinstrumenter i ikke-finansielle foretak og alle andre dekkede balanseførte eiendeler.</w:t>
            </w:r>
          </w:p>
          <w:p w14:paraId="1EED552B" w14:textId="77777777" w:rsidR="006561BA" w:rsidRDefault="005B4ED6">
            <w:pPr>
              <w:pStyle w:val="AnnexTableCellLeft"/>
              <w:spacing w:after="120"/>
            </w:pPr>
            <w:r>
              <w:rPr>
                <w:b/>
              </w:rPr>
              <w:t>Hvorav: bruk av proveny</w:t>
            </w:r>
          </w:p>
          <w:p w14:paraId="11E910F7" w14:textId="77777777" w:rsidR="006561BA" w:rsidRDefault="005B4ED6">
            <w:pPr>
              <w:pStyle w:val="AnnexTableCellLeft"/>
              <w:spacing w:after="120"/>
            </w:pPr>
            <w:r>
              <w:rPr>
                <w:b/>
              </w:rPr>
              <w:t>Hvorav: muliggjørende aktiviteter</w:t>
            </w:r>
          </w:p>
          <w:p w14:paraId="353C8C01" w14:textId="77777777" w:rsidR="006561BA" w:rsidRDefault="005B4ED6">
            <w:pPr>
              <w:pStyle w:val="AnnexTableCellLeft"/>
              <w:jc w:val="center"/>
            </w:pPr>
            <w:r>
              <w:rPr>
                <w:i/>
              </w:rPr>
              <w:t>Beholdninger og strømmer</w:t>
            </w:r>
          </w:p>
        </w:tc>
      </w:tr>
      <w:tr w:rsidR="006561BA" w14:paraId="69C054AF" w14:textId="77777777" w:rsidTr="00B448E2">
        <w:trPr>
          <w:trHeight w:val="990"/>
        </w:trPr>
        <w:tc>
          <w:tcPr>
            <w:tcW w:w="9486" w:type="dxa"/>
            <w:gridSpan w:val="4"/>
            <w:tcBorders>
              <w:top w:val="nil"/>
            </w:tcBorders>
            <w:tcMar>
              <w:left w:w="100" w:type="dxa"/>
              <w:right w:w="100" w:type="dxa"/>
            </w:tcMar>
          </w:tcPr>
          <w:p w14:paraId="4D524F7D" w14:textId="77777777" w:rsidR="006561BA" w:rsidRDefault="006561BA">
            <w:pPr>
              <w:pStyle w:val="AnnexTableCellLeft"/>
            </w:pPr>
          </w:p>
        </w:tc>
      </w:tr>
      <w:tr w:rsidR="006561BA" w14:paraId="01B00302" w14:textId="77777777" w:rsidTr="00B448E2">
        <w:trPr>
          <w:trHeight w:val="240"/>
        </w:trPr>
        <w:tc>
          <w:tcPr>
            <w:tcW w:w="2307" w:type="dxa"/>
            <w:tcBorders>
              <w:right w:val="nil"/>
            </w:tcBorders>
            <w:tcMar>
              <w:top w:w="60" w:type="dxa"/>
              <w:left w:w="0" w:type="dxa"/>
              <w:bottom w:w="60" w:type="dxa"/>
            </w:tcMar>
          </w:tcPr>
          <w:p w14:paraId="127DBB75" w14:textId="77777777" w:rsidR="006561BA" w:rsidRDefault="005B4ED6">
            <w:pPr>
              <w:pStyle w:val="AnnexTableCellLeft"/>
            </w:pPr>
            <w:r>
              <w:t>Biologisk mangfold og økosystemer</w:t>
            </w:r>
          </w:p>
          <w:p w14:paraId="7C8D30F8" w14:textId="77777777" w:rsidR="006561BA" w:rsidRDefault="005B4ED6">
            <w:pPr>
              <w:pStyle w:val="AnnexTableCellLeft"/>
            </w:pPr>
            <w:r>
              <w:t>(BIO)</w:t>
            </w:r>
          </w:p>
        </w:tc>
        <w:tc>
          <w:tcPr>
            <w:tcW w:w="2307" w:type="dxa"/>
            <w:tcBorders>
              <w:left w:val="nil"/>
              <w:right w:val="nil"/>
            </w:tcBorders>
            <w:tcMar>
              <w:top w:w="60" w:type="dxa"/>
              <w:left w:w="100" w:type="dxa"/>
              <w:bottom w:w="60" w:type="dxa"/>
              <w:right w:w="100" w:type="dxa"/>
            </w:tcMar>
          </w:tcPr>
          <w:p w14:paraId="4F9CA682" w14:textId="77777777" w:rsidR="006561BA" w:rsidRDefault="005B4ED6">
            <w:pPr>
              <w:pStyle w:val="AnnexTableCellLeft"/>
            </w:pPr>
            <w:r>
              <w:t>Andelen lån og forskudd/gjeldsinstrumenter/egenkapitalinstrumenter som finansierer økonomiske aktiviteter som er omfattet av taksonomien, med beskyttelse og restaurering av biologisk mangfold og økosystemer som mål, i forhold til samlede lån til / gjeldsinstrumenter i / egenkapitalinstrumenter i ikke-finansielle foretak og alle andre dekkede balanseførte eiendeler.</w:t>
            </w:r>
          </w:p>
        </w:tc>
        <w:tc>
          <w:tcPr>
            <w:tcW w:w="2307" w:type="dxa"/>
            <w:tcBorders>
              <w:left w:val="nil"/>
              <w:right w:val="nil"/>
            </w:tcBorders>
            <w:tcMar>
              <w:top w:w="60" w:type="dxa"/>
              <w:left w:w="100" w:type="dxa"/>
              <w:bottom w:w="60" w:type="dxa"/>
              <w:right w:w="100" w:type="dxa"/>
            </w:tcMar>
          </w:tcPr>
          <w:p w14:paraId="47ACB25A" w14:textId="77777777" w:rsidR="006561BA" w:rsidRDefault="005B4ED6">
            <w:pPr>
              <w:pStyle w:val="AnnexTableCellLeft"/>
              <w:spacing w:after="120"/>
            </w:pPr>
            <w:r>
              <w:t>Andelen lån og forskudd/gjeldsinstrumenter/egenkapitalinstrumenter som finansierer taksonomiforenlige økonomiske aktiviteter med beskyttelse og restaurering av biologisk mangfold og økosystemer som mål, i forhold til lån og forskudd/gjeldsinstrumenter/egenkapitalinstrumenter som finansierer økonomiske aktiviteter i sektorer som er omfattet av taksonomien, med beskyttelse og restaurering av biologisk mangfold og økosystemer som mål.</w:t>
            </w:r>
          </w:p>
          <w:p w14:paraId="4742FA77" w14:textId="77777777" w:rsidR="006561BA" w:rsidRDefault="005B4ED6">
            <w:pPr>
              <w:pStyle w:val="AnnexTableCellLeft"/>
              <w:spacing w:after="120"/>
            </w:pPr>
            <w:r>
              <w:t>Hvorav: bruk av proveny</w:t>
            </w:r>
          </w:p>
          <w:p w14:paraId="6F8F83EA" w14:textId="77777777" w:rsidR="006561BA" w:rsidRDefault="005B4ED6">
            <w:pPr>
              <w:pStyle w:val="AnnexTableCellLeft"/>
              <w:spacing w:after="120"/>
            </w:pPr>
            <w:r>
              <w:t>Hvorav: muliggjørende aktiviteter</w:t>
            </w:r>
          </w:p>
        </w:tc>
        <w:tc>
          <w:tcPr>
            <w:tcW w:w="2565" w:type="dxa"/>
            <w:tcBorders>
              <w:left w:val="nil"/>
            </w:tcBorders>
            <w:tcMar>
              <w:top w:w="60" w:type="dxa"/>
              <w:left w:w="100" w:type="dxa"/>
              <w:bottom w:w="60" w:type="dxa"/>
              <w:right w:w="100" w:type="dxa"/>
            </w:tcMar>
          </w:tcPr>
          <w:p w14:paraId="6FC49C4B" w14:textId="77777777" w:rsidR="006561BA" w:rsidRDefault="005B4ED6">
            <w:pPr>
              <w:pStyle w:val="AnnexTableCellLeft"/>
              <w:spacing w:after="120"/>
            </w:pPr>
            <w:r>
              <w:rPr>
                <w:b/>
              </w:rPr>
              <w:t>Andelen lån og forskudd/gjeldsinstrumenter/egenkapitalinstrumenter som finansierer taksonomiforenlige økonomiske aktiviteter med beskyttelse og restaurering av biologisk mangfold og økosystemer som mål, i forhold til samlede lån og forskudd til / gjeldsinstrumenter i / egenkapitalinstrumenter i ikke-finansielle foretak og alle andre dekkede balanseførte eiendeler.</w:t>
            </w:r>
          </w:p>
          <w:p w14:paraId="64ACE5DA" w14:textId="77777777" w:rsidR="006561BA" w:rsidRDefault="005B4ED6">
            <w:pPr>
              <w:pStyle w:val="AnnexTableCellLeft"/>
              <w:spacing w:after="120"/>
            </w:pPr>
            <w:r>
              <w:rPr>
                <w:b/>
              </w:rPr>
              <w:t>Hvorav: bruk av proveny</w:t>
            </w:r>
          </w:p>
          <w:p w14:paraId="57FAB8BB" w14:textId="77777777" w:rsidR="006561BA" w:rsidRDefault="005B4ED6">
            <w:pPr>
              <w:pStyle w:val="AnnexTableCellLeft"/>
              <w:spacing w:after="120"/>
            </w:pPr>
            <w:r>
              <w:rPr>
                <w:b/>
              </w:rPr>
              <w:t>Hvorav: muliggjørende aktiviteter</w:t>
            </w:r>
          </w:p>
          <w:p w14:paraId="488DC449" w14:textId="77777777" w:rsidR="006561BA" w:rsidRDefault="005B4ED6">
            <w:pPr>
              <w:pStyle w:val="AnnexTableCellLeft"/>
              <w:jc w:val="center"/>
            </w:pPr>
            <w:r>
              <w:rPr>
                <w:i/>
              </w:rPr>
              <w:t>Beholdninger og strømmer»</w:t>
            </w:r>
          </w:p>
        </w:tc>
      </w:tr>
    </w:tbl>
    <w:p w14:paraId="58701913" w14:textId="77777777" w:rsidR="006561BA" w:rsidRDefault="005B4ED6">
      <w:pPr>
        <w:shd w:val="clear" w:color="auto" w:fill="auto"/>
        <w:spacing w:line="0" w:lineRule="auto"/>
        <w:jc w:val="left"/>
        <w:rPr>
          <w:color w:val="auto"/>
          <w14:ligatures w14:val="standard"/>
        </w:rPr>
      </w:pPr>
      <w:r>
        <w:br w:type="page"/>
      </w:r>
    </w:p>
    <w:p w14:paraId="5F7ED454" w14:textId="77777777" w:rsidR="006561BA" w:rsidRDefault="005B4ED6">
      <w:pPr>
        <w:pStyle w:val="AnnexNumberedText"/>
        <w:spacing w:after="300"/>
        <w:ind w:left="727" w:hanging="343"/>
      </w:pPr>
      <w:r>
        <w:lastRenderedPageBreak/>
        <w:t>d)</w:t>
      </w:r>
      <w:r>
        <w:tab/>
        <w:t>I avsnitt 1.2.1.1 skal overskriften til punkt i) lyde:</w:t>
      </w:r>
    </w:p>
    <w:p w14:paraId="1FA496F9" w14:textId="77777777" w:rsidR="006561BA" w:rsidRDefault="005B4ED6">
      <w:pPr>
        <w:pStyle w:val="AnnexNumberedText"/>
        <w:tabs>
          <w:tab w:val="right" w:pos="957"/>
        </w:tabs>
        <w:spacing w:after="300"/>
        <w:ind w:left="1101" w:hanging="373"/>
      </w:pPr>
      <w:r>
        <w:tab/>
        <w:t>«i)</w:t>
      </w:r>
      <w:r>
        <w:tab/>
        <w:t>GAR for utlånsaktiviteter til ikke-finansielle foretak (</w:t>
      </w:r>
      <w:r>
        <w:rPr>
          <w:i/>
        </w:rPr>
        <w:t>lån og forskudd– GAR L&amp;A)»</w:t>
      </w:r>
    </w:p>
    <w:p w14:paraId="08409CFC" w14:textId="77777777" w:rsidR="006561BA" w:rsidRDefault="005B4ED6">
      <w:pPr>
        <w:pStyle w:val="AnnexNumberedText"/>
        <w:spacing w:after="300"/>
        <w:ind w:left="727" w:hanging="343"/>
      </w:pPr>
      <w:r>
        <w:t>e)</w:t>
      </w:r>
      <w:r>
        <w:tab/>
        <w:t>I avsnitt 1.2.1.1 punkt i) skal andre ledd lyde:</w:t>
      </w:r>
    </w:p>
    <w:p w14:paraId="31D330D0" w14:textId="77777777" w:rsidR="006561BA" w:rsidRDefault="005B4ED6">
      <w:pPr>
        <w:pStyle w:val="AnnexNormal"/>
        <w:spacing w:after="300"/>
        <w:ind w:left="727"/>
      </w:pPr>
      <w:r>
        <w:t>«Beløpet for 1)(c) skal beregnes med følgende formel 1)(c) = (1)(c)(1) + (1)(c)(2), der</w:t>
      </w:r>
    </w:p>
    <w:p w14:paraId="0E04570F" w14:textId="77777777" w:rsidR="006561BA" w:rsidRDefault="005B4ED6">
      <w:pPr>
        <w:pStyle w:val="AnnexNormal"/>
        <w:spacing w:after="300"/>
        <w:ind w:left="727"/>
      </w:pPr>
      <w:r>
        <w:t>(1)(c)(1) er lån og forskudd der bruken av provenyet er kjent, herunder lån for spesielle formål som nevnt i artikkel 147 nr. 8 i forordning (EU) nr. 575/2013,</w:t>
      </w:r>
    </w:p>
    <w:p w14:paraId="578C9677" w14:textId="77777777" w:rsidR="006561BA" w:rsidRDefault="005B4ED6">
      <w:pPr>
        <w:pStyle w:val="AnnexNormal"/>
        <w:spacing w:after="300"/>
        <w:ind w:left="727"/>
      </w:pPr>
      <w:r>
        <w:t>(1)(c)(2) er lån og forskudd der bruken av provenyet er ukjent (generelle lån).»</w:t>
      </w:r>
    </w:p>
    <w:p w14:paraId="47754007" w14:textId="77777777" w:rsidR="006561BA" w:rsidRDefault="005B4ED6">
      <w:pPr>
        <w:pStyle w:val="AnnexNumberedText"/>
        <w:spacing w:after="300"/>
        <w:ind w:left="727" w:hanging="343"/>
      </w:pPr>
      <w:r>
        <w:t>f)</w:t>
      </w:r>
      <w:r>
        <w:tab/>
        <w:t>I avsnitt 1.2.1.1 punkt i) skal tredje ledd lyde:</w:t>
      </w:r>
    </w:p>
    <w:p w14:paraId="78261C7D" w14:textId="77777777" w:rsidR="006561BA" w:rsidRDefault="005B4ED6">
      <w:pPr>
        <w:pStyle w:val="AnnexNormal"/>
        <w:spacing w:after="300"/>
        <w:ind w:left="727"/>
      </w:pPr>
      <w:r>
        <w:t>«Når det gjelder punkt (1)(c)(1), skal kredittinstitusjoner inkludere brutto balanseført verdi av eksponeringer når bruken av provenyet er kjent, herunder eksponeringer i lån for spesielle formål, mot det ikke-finansielle foretaket, alt etter i hvilket omfang og med hvilken andel de finansierer en taksonomiforenlig økonomisk aktivitet. Vurderingen av hvorvidt dette kravet er oppfylt, skal baseres på opplysningene gitt av motparten om prosjektet eller aktivitetene som provenyet skal brukes til. Kredittinstitusjoner skal opplyse om typen økonomisk aktivitet som finansieres. Dobbelttelling er ikke tillatt. Dersom samme eksponering i lån for spesielle formål er relevant for to miljømål, skal kredittinstitusjonene føre den opp for det målet som er mest relevant.»</w:t>
      </w:r>
    </w:p>
    <w:p w14:paraId="691FE058" w14:textId="77777777" w:rsidR="006561BA" w:rsidRDefault="005B4ED6">
      <w:pPr>
        <w:pStyle w:val="AnnexNumberedText"/>
        <w:spacing w:after="300"/>
        <w:ind w:left="727" w:hanging="343"/>
      </w:pPr>
      <w:r>
        <w:t>g)</w:t>
      </w:r>
      <w:r>
        <w:tab/>
        <w:t>I avsnitt 1.2.1.1 punkt i) skal sjette ledd lyde:</w:t>
      </w:r>
    </w:p>
    <w:p w14:paraId="06EE7068" w14:textId="77777777" w:rsidR="006561BA" w:rsidRDefault="005B4ED6">
      <w:pPr>
        <w:pStyle w:val="AnnexNormal"/>
        <w:spacing w:after="300"/>
        <w:ind w:left="727"/>
      </w:pPr>
      <w:r>
        <w:t>«</w:t>
      </w:r>
      <w:r>
        <w:rPr>
          <w:b/>
        </w:rPr>
        <w:t>GAR L&amp;A (for hvert av miljømålene) = (1)(c)/(1)(a)</w:t>
      </w:r>
      <w:r>
        <w:t>. Kredittinstitusjoner skal legge fram GAR på grunnlag av KPI-en for investeringsutgifter og omsetning og separate opplysninger om den andelen av KPI-en som gjelder eventuelle muliggjørende aktiviteter og omstillingsaktiviteter.»</w:t>
      </w:r>
    </w:p>
    <w:p w14:paraId="045AF07F" w14:textId="77777777" w:rsidR="006561BA" w:rsidRDefault="005B4ED6">
      <w:pPr>
        <w:pStyle w:val="AnnexNumberedText"/>
        <w:spacing w:after="300"/>
        <w:ind w:left="727" w:hanging="343"/>
      </w:pPr>
      <w:r>
        <w:t>h)</w:t>
      </w:r>
      <w:r>
        <w:tab/>
        <w:t>I avsnitt 1.2.1.1 punkt ii) skal tredje ledd lyde:</w:t>
      </w:r>
    </w:p>
    <w:p w14:paraId="2FC8D9C8" w14:textId="77777777" w:rsidR="006561BA" w:rsidRDefault="005B4ED6">
      <w:pPr>
        <w:pStyle w:val="AnnexNormal"/>
        <w:spacing w:after="300"/>
        <w:ind w:left="727"/>
      </w:pPr>
      <w:r>
        <w:t>«Når det gjelder punkt (2)(c)(1), skal kredittinstitusjoner ta følgende i betraktning:</w:t>
      </w:r>
    </w:p>
    <w:p w14:paraId="4757967D" w14:textId="77777777" w:rsidR="006561BA" w:rsidRDefault="005B4ED6">
      <w:pPr>
        <w:pStyle w:val="AnnexNormal"/>
        <w:spacing w:after="300"/>
        <w:ind w:left="727"/>
      </w:pPr>
      <w:r>
        <w:t>(2)(c)(1)(a) Samlet brutto balanseført verdi av eksponeringer mot miljømessig bærekraftige obligasjoner som er utstedt i samsvar med Unionens regelverk. Løpende utstedelser av obligasjoner som er klassifisert som grønne obligasjoner, der utstederen må investere provenyet i økonomiske aktiviteter som er omfattet av taksonomien, skal vurderes ut fra i hvilken grad de økonomiske aktivitetene eller de finansierte prosjektene er taksonomiforenlige i samsvar med forordning (EU) 2020/852, på grunnlag av spesifikke opplysninger som utstederen har framlagt om en utstedelse. Kredittinstitusjoner skal sikre gjennomsiktighet om den typen av økonomisk aktivitet som skal finansieres. Dobbelttelling er ikke tillatt. Dersom samme grønne obligasjon kan være relevant for to miljømål, skal kredittinstitusjonene føre den opp for det målet som er mest relevant.</w:t>
      </w:r>
    </w:p>
    <w:p w14:paraId="0635022B" w14:textId="77777777" w:rsidR="006561BA" w:rsidRDefault="005B4ED6">
      <w:pPr>
        <w:pStyle w:val="AnnexNormal"/>
        <w:spacing w:after="300"/>
        <w:ind w:left="727"/>
      </w:pPr>
      <w:r>
        <w:t xml:space="preserve">(2)(c)(1)(b) Brutto balanseført verdi av gjeldsinstrumenter investert i eksponeringer når bruken av provenyet er kjent, herunder eksponeringer i lån for spesielle formål, i den utstrekning de finansierte aktivitetene er taksonomiforenlige økonomiske aktiviteter. Vurderingen skal baseres på spesifikke opplysninger fra utstederen av den aktuelle utstedelsen. Dobbelttelling er ikke tillatt. Dersom samme eksponering i lån for spesielle formål kan være relevant for to miljømål, skal kredittinstitusjonene føre den opp for det målet som er mest relevant. Kredittinstitusjoner skal sikre gjennomsiktighet om den typen av økonomisk aktivitet som finansieres.» </w:t>
      </w:r>
    </w:p>
    <w:p w14:paraId="3AA0ED69" w14:textId="77777777" w:rsidR="006561BA" w:rsidRDefault="005B4ED6">
      <w:pPr>
        <w:pStyle w:val="AnnexNumberedText"/>
        <w:spacing w:after="300"/>
        <w:ind w:left="727" w:hanging="343"/>
      </w:pPr>
      <w:r>
        <w:t>i)</w:t>
      </w:r>
      <w:r>
        <w:tab/>
        <w:t>I avsnitt 1.2.1.2 skal andre, tredje og fjerde ledd lyde:</w:t>
      </w:r>
    </w:p>
    <w:p w14:paraId="4AC09B0D" w14:textId="77777777" w:rsidR="006561BA" w:rsidRDefault="005B4ED6">
      <w:pPr>
        <w:pStyle w:val="AnnexNormal"/>
        <w:spacing w:after="0"/>
        <w:ind w:left="727"/>
      </w:pPr>
      <w:r>
        <w:t>«GAR skal inneholde opplysninger om alle miljømål og spesifisere hvor stor andel som gjelder muliggjørende aktiviteter. Når det gjelder begrensning av klimaendringer, skal GAR også inneholde opplysninger om omstillingsaktiviteter. Kredittinstitusjoner skal også gi opplysninger om beholdninger og strømmer.</w:t>
      </w:r>
      <w:r>
        <w:br w:type="page"/>
      </w:r>
    </w:p>
    <w:p w14:paraId="5A092D9E" w14:textId="5C799C8E" w:rsidR="006561BA" w:rsidRDefault="005B4ED6">
      <w:pPr>
        <w:pStyle w:val="AnnexNormal"/>
        <w:spacing w:after="400"/>
        <w:ind w:left="727"/>
      </w:pPr>
      <w:r>
        <w:lastRenderedPageBreak/>
        <w:t>For eksponeringer når bruken av provenyet er kjent, skal kredittinstitusjoner i telleren i GAR for finansforetak inkludere brutto balanseført verdi av lån og forskudd og gjeldsinstrumenter i relevante regnskapsporteføljer i finansforetak, alt etter i hvilket omfang og med hvilken andel disse eksponeringene finansierer taksonomiforenlige økonomiske aktiviteter. Vurderingen av hvorvidt dette kravet er oppfylt, skal baseres på opplysningene gitt av motparten. Dobbelttelling er ikke tillatt. Dersom samme eksponering er relevant for to miljømål, skal kredittinstitusjonene føre den opp for det målet som er mest relevant.</w:t>
      </w:r>
    </w:p>
    <w:p w14:paraId="2D27F5D1" w14:textId="4077E241" w:rsidR="006561BA" w:rsidRDefault="005B4ED6">
      <w:pPr>
        <w:pStyle w:val="AnnexNormal"/>
        <w:spacing w:after="400"/>
        <w:ind w:left="727"/>
      </w:pPr>
      <w:r>
        <w:t>For eksponeringer når bruken av provenyet ikke er kjent, skal telleren i GAR for finansforetak beregnes på grunnlag av motpartenes KPI-er beregnet i henhold til denne forordningen. Beløpet for lån og forskudd, gjeldsinstrumenter og egenkapitalbeholdninger i relevante regnskapsporteføljer i finansforetak som skal inkluderes i telleren, skal være summen av deres brutto balanseførte verdi, vektet med andelen taksonomiforenlige økonomiske aktiviteter, spesifisert etter alle miljømål og muliggjørende aktiviteter for hver motpart. Når det gjelder målet om begrensning av klimaendringer, skal det også spesifiseres etter omstillingsaktiviteter for hver motpart.</w:t>
      </w:r>
    </w:p>
    <w:p w14:paraId="710E3095" w14:textId="77777777" w:rsidR="006561BA" w:rsidRDefault="005B4ED6">
      <w:pPr>
        <w:pStyle w:val="AnnexNormal"/>
        <w:spacing w:after="400"/>
        <w:ind w:left="727"/>
      </w:pPr>
      <w:r>
        <w:t>Dersom motparten er en annen kredittinstitusjon som definert i artikkel 4 nr. 1 punkt 1) i forordning (EU) nr. 575/2013, og bare for dette formålet, en multilateral utviklingsbank som nevnt i artikkel 117 nr. 1 andre ledd eller artikkel 117 nr. 2 i den nevnte forordningen, skal KPI-er basert på omsetning og investeringsutgifter, være brutto balanseført verdi av gjeldsinstrumenter, lån og forskudd og egenkapitalinstrumenter i relevante regnskapsporteføljer vektet med «motpartens samlede grønne brøk (GAR)», det vil si brutto balanseført verdi multiplisert med motpartens «samlede grønne brøk (GAR)».»</w:t>
      </w:r>
    </w:p>
    <w:p w14:paraId="486AC647" w14:textId="77777777" w:rsidR="006561BA" w:rsidRDefault="005B4ED6">
      <w:pPr>
        <w:pStyle w:val="AnnexNumberedText"/>
        <w:spacing w:after="400"/>
        <w:ind w:left="727" w:hanging="343"/>
      </w:pPr>
      <w:r>
        <w:t>j)</w:t>
      </w:r>
      <w:r>
        <w:tab/>
        <w:t>I avsnitt 1.2.1.3 skal første ledd lyde:</w:t>
      </w:r>
    </w:p>
    <w:p w14:paraId="43457F43" w14:textId="77777777" w:rsidR="006561BA" w:rsidRDefault="005B4ED6">
      <w:pPr>
        <w:pStyle w:val="AnnexNormal"/>
        <w:spacing w:after="400"/>
        <w:ind w:left="727"/>
      </w:pPr>
      <w:r>
        <w:t>«GAR for massemarkedseksponeringer mot lån til boligeiendommer eller til renovering av hus skal beregnes som den andelen lån som er gitt til husholdninger med sikkerhet i boligeiendom eller der formålet er renovering av hus, og som er taksonomiforenlig i samsvar med de relevante tekniske screeningkriteriene for bygninger, nærmere bestemt renovering og erverv og eierskap i samsvar med henholdsvis avsnitt 7.1, 7.2, 7.3, 7.4, 7.5, 7.6 og 7.7 i vedlegg I eller II til delegert forordning (EU) 2021/2139 eller avsnitt 3.1 og 3.2 i vedlegg II til delegert forordning (EU) 2023/2486, i forhold til samlede lån til husholdninger som er gitt med sikkerhet i boligeiendom eller der formålet er renovering av hus. Denne GAR skal inneholde opplysninger om omstillingsaktiviteter og opplysninger om beholdninger og strømmer.»</w:t>
      </w:r>
    </w:p>
    <w:p w14:paraId="5C3015A3" w14:textId="77777777" w:rsidR="006561BA" w:rsidRDefault="005B4ED6">
      <w:pPr>
        <w:pStyle w:val="AnnexNumberedText"/>
        <w:spacing w:after="400"/>
        <w:ind w:left="727" w:hanging="343"/>
      </w:pPr>
      <w:r>
        <w:t>k)</w:t>
      </w:r>
      <w:r>
        <w:tab/>
        <w:t>I avsnitt 1.2.1.3 punkt i) skal første og andre ledd lyde:</w:t>
      </w:r>
    </w:p>
    <w:p w14:paraId="3BBB086C" w14:textId="77777777" w:rsidR="006561BA" w:rsidRDefault="005B4ED6">
      <w:pPr>
        <w:pStyle w:val="AnnexNormal"/>
        <w:spacing w:after="400"/>
        <w:ind w:left="727"/>
      </w:pPr>
      <w:r>
        <w:t>«Opplysningene om KPI-er som kredittinstitusjonene skal legge fram, skal omfatte porteføljen av lån til ikke-profesjonelle kunder, særlig pantelånsporteføljen. Når denne KPI-en legges fram, skal det tas hensyn til oppfyllelsen av de tekniske screeningkriteriene for bygninger som fastsatt i avsnitt 7.1, 7.2, 7.3, 7.4, 7.5, 7.6 og 7.7 i vedlegg I eller vedlegg II til delegert forordning (EU) 2021/2139 eller avsnitt 3.1 og 3.2 i vedlegg II til delegert forordning (EU) 2023/2486.</w:t>
      </w:r>
    </w:p>
    <w:p w14:paraId="113EFAE4" w14:textId="77777777" w:rsidR="006561BA" w:rsidRDefault="005B4ED6">
      <w:pPr>
        <w:pStyle w:val="AnnexNormal"/>
        <w:spacing w:after="400"/>
        <w:ind w:left="727"/>
      </w:pPr>
      <w:r>
        <w:t>Kredittinstitusjoner skal legge fram KPI-en for sin boliglånsportefølje som den andelen lån som er gitt til husholdninger med sikkerhet i boligeiendom som bidrar til relevante miljømål, som fastsatt særlig i avsnitt 7.1, 7.2, 7.3, 7.4, 7.5, 7.6 og 7.7 i vedlegg I eller vedlegg II til delegert forordning (EU) 2021/2139 eller avsnitt 3.1 og 3.2 i vedlegg II til delegert forordning (EU) 2023/2486, i forhold til samlede lån til husholdninger med sikkerhet i boligeiendom.»</w:t>
      </w:r>
    </w:p>
    <w:p w14:paraId="382BC6A2" w14:textId="77777777" w:rsidR="006561BA" w:rsidRDefault="005B4ED6">
      <w:pPr>
        <w:pStyle w:val="AnnexNumberedText"/>
        <w:spacing w:after="400"/>
        <w:ind w:left="727" w:hanging="343"/>
      </w:pPr>
      <w:r>
        <w:t>l)</w:t>
      </w:r>
      <w:r>
        <w:tab/>
        <w:t>I avsnitt 1.2.1.3 i punkt i) skal femte ledd lyde:</w:t>
      </w:r>
    </w:p>
    <w:p w14:paraId="02700B79" w14:textId="77777777" w:rsidR="006561BA" w:rsidRDefault="005B4ED6">
      <w:pPr>
        <w:pStyle w:val="AnnexNormal"/>
        <w:spacing w:after="0"/>
        <w:ind w:left="727"/>
      </w:pPr>
      <w:r>
        <w:t>«I telleren skal kredittinstitusjoner også ta med lån som er gitt til renovering av bygninger eller hus i samsvar med de relevante tekniske screeningkriteriene for bygninger, særlig i samsvar med avsnitt 7.1, 7.2, 7.3, 7.4, 7.5 og 7.6 i vedlegg I eller vedlegg II til delegert forordning (EU) 2021/2139 eller avsnitt 3.1 og 3.2 i vedlegg II til delegert forordning (EU) 2023/2486.»</w:t>
      </w:r>
      <w:r>
        <w:br w:type="page"/>
      </w:r>
    </w:p>
    <w:p w14:paraId="1F74D389" w14:textId="77777777" w:rsidR="006561BA" w:rsidRDefault="005B4ED6">
      <w:pPr>
        <w:pStyle w:val="AnnexNumberedText"/>
        <w:ind w:left="727" w:hanging="343"/>
      </w:pPr>
      <w:r>
        <w:lastRenderedPageBreak/>
        <w:t>m)</w:t>
      </w:r>
      <w:r>
        <w:tab/>
        <w:t>I avsnitt 1.2.1.4 skal første ledd lyde:</w:t>
      </w:r>
    </w:p>
    <w:p w14:paraId="5FE3F98C" w14:textId="77777777" w:rsidR="006561BA" w:rsidRDefault="005B4ED6">
      <w:pPr>
        <w:pStyle w:val="AnnexNormal"/>
        <w:ind w:left="727"/>
      </w:pPr>
      <w:r>
        <w:t>«Kredittinstitusjoner som har en forretningsmodell som i stor grad er basert på finansiering av offentlig eide boliger, skal legge fram en KPI for andelen eksponeringer mot offentlige myndigheters finansieringsvirksomhet i samsvar med de relevante tekniske screeningkriteriene, særlig i samsvar med avsnitt 7.1, 7.2, 7.3, 7.4, 7.5, 7.6 og 7.7 i vedlegg I eller vedlegg II til delegert forordning (EU) 2021/2139 eller avsnitt 3.1 og 3.2 i vedlegg II til delegert forordning (EU) 2023/2486. Kredittinstitusjoner skal anslå og legge fram opplysninger om denne GAR som en andel av eksponeringer knyttet til lån eller gjeldsinstrumenter mot kommuner som finansierer offentlig eide boliger som oppfyller de relevante tekniske screeningkriteriene, særlig i samsvar med avsnitt 7.1, 7.2, 7.3, 7.4, 7.5, 7.6 og 7.7 i vedlegg I eller vedlegg II til delegert forordning (EU) 2021/2139 eller avsnitt 3.1 og 3.2 i vedlegg II til delegert forordning (EU) 2023/2486, i forhold til samlede lån til kommuner som finansierer offentlig eide boliger. Kredittinstitusjonen skal legge fram opplysninger om beholdninger og strømmer.»</w:t>
      </w:r>
    </w:p>
    <w:p w14:paraId="47E96B57" w14:textId="77777777" w:rsidR="006561BA" w:rsidRDefault="005B4ED6">
      <w:pPr>
        <w:pStyle w:val="AnnexNumberedText"/>
        <w:ind w:left="727" w:hanging="343"/>
      </w:pPr>
      <w:r>
        <w:t>n)</w:t>
      </w:r>
      <w:r>
        <w:tab/>
        <w:t>I avsnitt 1.2.1.4 skal tredje ledd lyde:</w:t>
      </w:r>
    </w:p>
    <w:p w14:paraId="60C7CFA1" w14:textId="77777777" w:rsidR="006561BA" w:rsidRDefault="005B4ED6">
      <w:pPr>
        <w:pStyle w:val="AnnexNormal"/>
        <w:ind w:left="727"/>
      </w:pPr>
      <w:r>
        <w:t>«Når det gjelder finansiering av andre aktiviteter og eiendeler enn offentlig eide boliger, når bruken av provenyet er kjent, skal kredittinstitusjoner inkludere brutto balanseført verdi av disse eksponeringene, herunder eksponeringer i lån for spesielle formål, mot den offentlige myndigheten, alt etter i hvilket omfang og med hvilken andel utlånet finansierer en taksonomiforenlig økonomisk aktivitet. Vurderingen av hvorvidt dette kravet er oppfylt, skal baseres på opplysningene gitt av den offentlige myndigheten om prosjektet eller aktivitetene som provenyet skal brukes til. Kredittinstitusjoner skal opplyse om typen økonomisk aktivitet som finansieres. Dobbelttelling er ikke tillatt. Dersom samme eksponering i lån for spesielle formål er relevant for to miljømål, skal kredittinstitusjonene føre den opp for det målet som er mest relevant.»</w:t>
      </w:r>
    </w:p>
    <w:p w14:paraId="6C754A52" w14:textId="77777777" w:rsidR="006561BA" w:rsidRDefault="005B4ED6">
      <w:pPr>
        <w:pStyle w:val="AnnexNumberedText"/>
        <w:ind w:left="727" w:hanging="343"/>
      </w:pPr>
      <w:r>
        <w:t>o)</w:t>
      </w:r>
      <w:r>
        <w:tab/>
        <w:t>Avsnitt 1.2.1.6 skal lyde:</w:t>
      </w:r>
    </w:p>
    <w:p w14:paraId="6AB12F23" w14:textId="77777777" w:rsidR="006561BA" w:rsidRDefault="005B4ED6">
      <w:pPr>
        <w:pStyle w:val="AnnexNumberedText"/>
        <w:ind w:left="1471" w:hanging="743"/>
      </w:pPr>
      <w:r>
        <w:t>«</w:t>
      </w:r>
      <w:r>
        <w:rPr>
          <w:b/>
        </w:rPr>
        <w:t>1.2.1.6.</w:t>
      </w:r>
      <w:r>
        <w:rPr>
          <w:b/>
        </w:rPr>
        <w:tab/>
        <w:t>Samlet grønn brøk (GAR)</w:t>
      </w:r>
    </w:p>
    <w:p w14:paraId="2A6A3B97" w14:textId="77777777" w:rsidR="006561BA" w:rsidRDefault="005B4ED6">
      <w:pPr>
        <w:pStyle w:val="AnnexNormal"/>
        <w:ind w:left="728"/>
      </w:pPr>
      <w:r>
        <w:t>Kredittinstitusjoner skal legge fram opplysninger om samlet GAR. Dette skal gjenspeile den samlede verdien av de eksponeringsbaserte KPI-ene, idet nevneren skal inneholde samlede balanseførte eiendeler uten eksponeringer som nevnt i artikkel 7 nr. 1, og den samlede telleren skal inneholde alle tellerne for miljømessig bærekraftige eksponeringer i de eksponeringsbaserte KPI-ene:</w:t>
      </w:r>
    </w:p>
    <w:p w14:paraId="487CDC95" w14:textId="77777777" w:rsidR="006561BA" w:rsidRDefault="005B4ED6">
      <w:pPr>
        <w:pStyle w:val="AnnexNumberedText"/>
        <w:ind w:left="1021" w:hanging="293"/>
      </w:pPr>
      <w:r>
        <w:t>a)</w:t>
      </w:r>
      <w:r>
        <w:tab/>
        <w:t>Samlet GAR for finansieringsvirksomhet rettet mot finansforetak, for alle miljømålene.</w:t>
      </w:r>
    </w:p>
    <w:p w14:paraId="792719F7" w14:textId="77777777" w:rsidR="006561BA" w:rsidRDefault="005B4ED6">
      <w:pPr>
        <w:pStyle w:val="AnnexNumberedText"/>
        <w:ind w:left="1021" w:hanging="293"/>
      </w:pPr>
      <w:r>
        <w:t>b)</w:t>
      </w:r>
      <w:r>
        <w:tab/>
        <w:t>Samlet GAR for finansieringsvirksomhet rettet mot ikke-finansielle foretak, for alle miljømålene.</w:t>
      </w:r>
    </w:p>
    <w:p w14:paraId="6C1C10C3" w14:textId="77777777" w:rsidR="006561BA" w:rsidRDefault="005B4ED6">
      <w:pPr>
        <w:pStyle w:val="AnnexNumberedText"/>
        <w:ind w:left="1021" w:hanging="293"/>
      </w:pPr>
      <w:r>
        <w:t>c)</w:t>
      </w:r>
      <w:r>
        <w:tab/>
        <w:t>GAR for eksponeringer i boligeiendommer, herunder lån til renovering av hus, med begrensning av klimaendringer, tilpasning til klimaendringer og sirkulær økonomi som mål.</w:t>
      </w:r>
    </w:p>
    <w:p w14:paraId="0BBC08BF" w14:textId="77777777" w:rsidR="006561BA" w:rsidRDefault="005B4ED6">
      <w:pPr>
        <w:pStyle w:val="AnnexNumberedText"/>
        <w:ind w:left="1021" w:hanging="293"/>
      </w:pPr>
      <w:r>
        <w:t>d)</w:t>
      </w:r>
      <w:r>
        <w:tab/>
        <w:t>GAR for billån til privatpersoner, med begrensning av klimaendringer som mål.</w:t>
      </w:r>
    </w:p>
    <w:p w14:paraId="47A83D43" w14:textId="77777777" w:rsidR="006561BA" w:rsidRDefault="005B4ED6">
      <w:pPr>
        <w:pStyle w:val="AnnexNumberedText"/>
        <w:ind w:left="1021" w:hanging="293"/>
      </w:pPr>
      <w:r>
        <w:t>e)</w:t>
      </w:r>
      <w:r>
        <w:tab/>
        <w:t>GAR for bruk av proveny som finansierer lokale myndigheter, for alle miljømålene.</w:t>
      </w:r>
    </w:p>
    <w:p w14:paraId="1C42FDD2" w14:textId="77777777" w:rsidR="006561BA" w:rsidRDefault="005B4ED6">
      <w:pPr>
        <w:pStyle w:val="AnnexNumberedText"/>
        <w:ind w:left="1021" w:hanging="293"/>
      </w:pPr>
      <w:r>
        <w:t>f)</w:t>
      </w:r>
      <w:r>
        <w:tab/>
        <w:t>GAR for overtatte sikkerheter i næringseiendommer og boligeiendommer som innehas for salg, for alle mål med hensyn til klimaendringer.</w:t>
      </w:r>
    </w:p>
    <w:p w14:paraId="511029E5" w14:textId="77777777" w:rsidR="006561BA" w:rsidRDefault="005B4ED6">
      <w:pPr>
        <w:pStyle w:val="AnnexNormal"/>
        <w:ind w:left="1021"/>
      </w:pPr>
      <w:r>
        <w:t>Sammen med samlet GAR skal kredittinstitusjoner legge fram opplysninger om hvor stor prosentdel av deres eiendeler som ikke er tatt med i telleren i GAR i samsvar med artikkel 7 nr. 2 og 3 og avsnitt 1.1.2 i dette vedlegget.»</w:t>
      </w:r>
    </w:p>
    <w:p w14:paraId="74241067" w14:textId="77777777" w:rsidR="006561BA" w:rsidRDefault="005B4ED6">
      <w:pPr>
        <w:pStyle w:val="AnnexNumberedText"/>
        <w:ind w:left="727" w:hanging="343"/>
      </w:pPr>
      <w:r>
        <w:t>p)</w:t>
      </w:r>
      <w:r>
        <w:tab/>
        <w:t>I avsnitt 1.2.2.1 skal første ledd lyde:</w:t>
      </w:r>
    </w:p>
    <w:p w14:paraId="269633EF" w14:textId="77777777" w:rsidR="006561BA" w:rsidRDefault="005B4ED6">
      <w:pPr>
        <w:pStyle w:val="AnnexNormal"/>
        <w:spacing w:after="0"/>
        <w:ind w:left="727"/>
      </w:pPr>
      <w:r>
        <w:t>«Grønn andel for finansielle garantier til foretak skal defineres som den andelen finansielle garantier for lån og forskudd og gjeldsinstrumenter som finansierer taksonomiforenlige økonomiske aktiviteter, i forhold til alle finansielle garantier for lån og forskudd og gjeldsinstrumenter rettet mot foretak. Dette skal omfatte opplysninger om beholdninger og strømmer, for alle miljømålene. Når det gjelder begrensning av klimaendringer, skal det også opplyses om hva som er muliggjørende aktiviteter, og hva som er omstillingsaktiviteter. Når det gjelder andre miljømål, skal det opplyses om hva som er muliggjørende aktiviteter.»</w:t>
      </w:r>
      <w:r>
        <w:br w:type="page"/>
      </w:r>
    </w:p>
    <w:p w14:paraId="6B531CAE" w14:textId="77777777" w:rsidR="006561BA" w:rsidRDefault="005B4ED6">
      <w:pPr>
        <w:pStyle w:val="AnnexNumberedText"/>
        <w:ind w:left="727" w:hanging="343"/>
      </w:pPr>
      <w:r>
        <w:lastRenderedPageBreak/>
        <w:t>q)</w:t>
      </w:r>
      <w:r>
        <w:tab/>
        <w:t>I avsnitt 1.2.2.2 skal første ledd lyde:</w:t>
      </w:r>
    </w:p>
    <w:p w14:paraId="6E803CA3" w14:textId="77777777" w:rsidR="006561BA" w:rsidRDefault="005B4ED6">
      <w:pPr>
        <w:pStyle w:val="AnnexNormal"/>
        <w:ind w:left="727"/>
      </w:pPr>
      <w:r>
        <w:t>«Grønn andel for eiendeler under forvaltning skal være andelen eiendeler under forvaltning (egenkapital, gjeldsinstrumenter og fast eiendom) som tilhører foretak som finansierer taksonomiforenlige økonomiske aktiviteter, i forhold til samlede eiendeler under forvaltning (egenkapital, gjeldsinstrumenter og andre eiendeler). Dette skal omfatte opplysninger om beholdninger og strømmer, for alle miljømålene. Når det gjelder begrensning av klimaendringer, skal det også opplyses om hva som er muliggjørende aktiviteter, og hva som er omstillingsaktiviteter. Når det gjelder andre miljømål, skal det opplyses om hva som er muliggjørende aktiviteter.»</w:t>
      </w:r>
    </w:p>
    <w:p w14:paraId="48A33C1D" w14:textId="77777777" w:rsidR="006561BA" w:rsidRDefault="005B4ED6">
      <w:pPr>
        <w:pStyle w:val="AnnexNumberedText"/>
        <w:ind w:left="727" w:hanging="343"/>
      </w:pPr>
      <w:r>
        <w:t>r)</w:t>
      </w:r>
      <w:r>
        <w:tab/>
        <w:t>I avsnitt 1.2.3 andre og tredje ledd endres «gjennomføringsforordning (EU) 680/2014» til «gjennomføringsforordning (EU) 2021/451».</w:t>
      </w:r>
    </w:p>
    <w:p w14:paraId="39460AF6" w14:textId="77777777" w:rsidR="006561BA" w:rsidRDefault="005B4ED6">
      <w:pPr>
        <w:pStyle w:val="AnnexNumberedText"/>
        <w:spacing w:after="200"/>
        <w:ind w:left="727" w:hanging="343"/>
      </w:pPr>
      <w:r>
        <w:t>s)</w:t>
      </w:r>
      <w:r>
        <w:tab/>
        <w:t>I vedlegg V endres «egenkapitalbeholdninger» til «egenkapitalinstrumenter».</w:t>
      </w:r>
    </w:p>
    <w:p w14:paraId="4F1F64D2" w14:textId="77777777" w:rsidR="006561BA" w:rsidRDefault="005B4ED6">
      <w:pPr>
        <w:pStyle w:val="AnnexNumberedText"/>
        <w:ind w:left="383" w:hanging="383"/>
      </w:pPr>
      <w:r>
        <w:t>6)</w:t>
      </w:r>
      <w:r>
        <w:tab/>
        <w:t>I vedlegg VII avsnitt 2.4 innsettes følgende tekst etter femte ledd:</w:t>
      </w:r>
    </w:p>
    <w:p w14:paraId="026BA3E2" w14:textId="3B56E1FB" w:rsidR="006561BA" w:rsidRDefault="005B4ED6">
      <w:pPr>
        <w:pStyle w:val="AnnexNormal"/>
        <w:ind w:left="383"/>
      </w:pPr>
      <w:r>
        <w:t>«Som unntak fra andre og tredje ledd i nr. 2.4 skal investeringer i fast eiendom tas med i telleren, alt etter i hvilket omfang og med hvilken andel de finansierer taksonomiforenlige økonomiske aktiviteter.»</w:t>
      </w:r>
    </w:p>
    <w:p w14:paraId="767AD589" w14:textId="77777777" w:rsidR="006561BA" w:rsidRDefault="005B4ED6">
      <w:pPr>
        <w:pStyle w:val="AnnexNumberedText"/>
        <w:ind w:left="383" w:hanging="383"/>
      </w:pPr>
      <w:r>
        <w:t>7)</w:t>
      </w:r>
      <w:r>
        <w:tab/>
        <w:t>I vedlegg IX nr. 1 skal sjette ledd lyde:</w:t>
      </w:r>
    </w:p>
    <w:p w14:paraId="615EF111" w14:textId="0F281C0D" w:rsidR="006561BA" w:rsidRDefault="005B4ED6">
      <w:pPr>
        <w:pStyle w:val="AnnexNormal"/>
        <w:ind w:left="383"/>
      </w:pPr>
      <w:r>
        <w:t>«Som unntak fra første og femte ledd i nr. 1 skal gjeldsinstrumenter som har som formål å finansiere konkrete, identifiserte aktiviteter eller prosjekter, eller miljømessig bærekraftige obligasjoner som er utstedt av et foretak som det er investert i, tas med i telleren opp til verdien av de taksonomiforenlige økonomiske aktivitetene som provenyet fra disse obligasjonene og gjeldsinstrumentene finansierer, på grunnlag av opplysninger framlagt av foretaket som det er investert i.»</w:t>
      </w:r>
    </w:p>
    <w:p w14:paraId="1252F32B" w14:textId="77777777" w:rsidR="006561BA" w:rsidRDefault="005B4ED6">
      <w:pPr>
        <w:pStyle w:val="AnnexNumberedText"/>
        <w:ind w:left="383" w:hanging="383"/>
      </w:pPr>
      <w:r>
        <w:t>8)</w:t>
      </w:r>
      <w:r>
        <w:tab/>
        <w:t>I vedlegg IX skal følgende ledd tilføyes på slutten av nr. 1:</w:t>
      </w:r>
    </w:p>
    <w:p w14:paraId="134771DF" w14:textId="10C8C53D" w:rsidR="006561BA" w:rsidRDefault="005B4ED6">
      <w:pPr>
        <w:pStyle w:val="AnnexNormal"/>
        <w:ind w:left="383"/>
      </w:pPr>
      <w:r>
        <w:t>«Som unntak fra første og femte ledd i nr. 1 skal investeringer i fast eiendom tas med i telleren, alt etter i hvilket omfang og med hvilken andel de finansierer taksonomiforenlige økonomiske aktiviteter.»</w:t>
      </w:r>
    </w:p>
    <w:p w14:paraId="36E822CC" w14:textId="77777777" w:rsidR="006561BA" w:rsidRDefault="005B4ED6">
      <w:pPr>
        <w:pStyle w:val="AnnexNumberedText"/>
        <w:ind w:left="383" w:hanging="383"/>
      </w:pPr>
      <w:r>
        <w:t>9)</w:t>
      </w:r>
      <w:r>
        <w:tab/>
        <w:t>I vedlegg IX avsnitt 2 skal første ledd lyde:</w:t>
      </w:r>
    </w:p>
    <w:p w14:paraId="028BBB16" w14:textId="77777777" w:rsidR="006561BA" w:rsidRDefault="005B4ED6">
      <w:pPr>
        <w:pStyle w:val="AnnexNormal"/>
        <w:ind w:left="383"/>
      </w:pPr>
      <w:r>
        <w:t>«Forsikrings- og gjenforsikringsforetak som ikke er livsforsikringsforetak, skal beregne KPI-en for forsikringsvirksomheten og legge fram skadeforsikringsinntektene som «tegnede bruttopremier», eventuelt gjenforsikringsinntektene, knyttet til taksonomiforenlige forsikrings- eller gjenforsikringsaktiviteter i samsvar med avsnitt 10.1 og 10.2 i vedlegg II til den delegerte klimarettsakten. KPI-en skal oppgis i prosent i forhold til et av følgende, alt etter hva som er relevant:</w:t>
      </w:r>
    </w:p>
    <w:p w14:paraId="4594FFB4" w14:textId="77777777" w:rsidR="006561BA" w:rsidRDefault="005B4ED6">
      <w:pPr>
        <w:pStyle w:val="AnnexNumberedText"/>
        <w:ind w:left="677" w:hanging="293"/>
      </w:pPr>
      <w:r>
        <w:t>a)</w:t>
      </w:r>
      <w:r>
        <w:tab/>
        <w:t>Samlede tegnede bruttopremier for skadeforsikring.</w:t>
      </w:r>
    </w:p>
    <w:p w14:paraId="00226587" w14:textId="77777777" w:rsidR="006561BA" w:rsidRDefault="005B4ED6">
      <w:pPr>
        <w:pStyle w:val="AnnexNumberedText"/>
        <w:ind w:left="677" w:hanging="293"/>
      </w:pPr>
      <w:r>
        <w:t>b)</w:t>
      </w:r>
      <w:r>
        <w:tab/>
        <w:t>Samlede tegnede bruttopremier for gjenforsikring av annen forsikring enn livsforsikring.</w:t>
      </w:r>
    </w:p>
    <w:p w14:paraId="429D9AF3" w14:textId="77777777" w:rsidR="006561BA" w:rsidRDefault="005B4ED6">
      <w:pPr>
        <w:pStyle w:val="AnnexNumberedText"/>
        <w:ind w:left="677" w:hanging="293"/>
      </w:pPr>
      <w:r>
        <w:t>c)</w:t>
      </w:r>
      <w:r>
        <w:tab/>
        <w:t>Samlede skadeforsikringsinntekter.</w:t>
      </w:r>
    </w:p>
    <w:p w14:paraId="334E2AE1" w14:textId="77777777" w:rsidR="006561BA" w:rsidRDefault="005B4ED6">
      <w:pPr>
        <w:pStyle w:val="AnnexNumberedText"/>
        <w:spacing w:after="200"/>
        <w:ind w:left="677" w:hanging="293"/>
      </w:pPr>
      <w:r>
        <w:t>d)</w:t>
      </w:r>
      <w:r>
        <w:tab/>
        <w:t>Samlede inntekter fra gjenforsikring av annen forsikring enn livsforsikring.</w:t>
      </w:r>
    </w:p>
    <w:p w14:paraId="58CFD05B" w14:textId="77777777" w:rsidR="006561BA" w:rsidRDefault="005B4ED6">
      <w:pPr>
        <w:pStyle w:val="AnnexNumberedText"/>
        <w:spacing w:after="0"/>
        <w:ind w:left="383" w:hanging="383"/>
      </w:pPr>
      <w:r>
        <w:t>10)</w:t>
      </w:r>
      <w:r>
        <w:tab/>
        <w:t>I vedlegg </w:t>
      </w:r>
      <w:proofErr w:type="spellStart"/>
      <w:r>
        <w:t>X</w:t>
      </w:r>
      <w:proofErr w:type="spellEnd"/>
      <w:r>
        <w:t xml:space="preserve"> skal første mal erstattes av følgende mal:</w:t>
      </w:r>
    </w:p>
    <w:p w14:paraId="37790C00" w14:textId="77777777" w:rsidR="006561BA" w:rsidRDefault="006561BA">
      <w:pPr>
        <w:pStyle w:val="AnnexTI"/>
        <w:ind w:left="383"/>
        <w:sectPr w:rsidR="006561BA" w:rsidSect="000D3D55">
          <w:footnotePr>
            <w:pos w:val="beneathText"/>
            <w:numRestart w:val="eachPage"/>
          </w:footnotePr>
          <w:pgSz w:w="11906" w:h="16838" w:code="9"/>
          <w:pgMar w:top="1680" w:right="1333" w:bottom="840" w:left="1333" w:header="920" w:footer="280" w:gutter="0"/>
          <w:cols w:space="708"/>
          <w:docGrid w:linePitch="360"/>
        </w:sectPr>
      </w:pPr>
    </w:p>
    <w:p w14:paraId="39CE26C7" w14:textId="77777777" w:rsidR="006561BA" w:rsidRDefault="005B4ED6">
      <w:pPr>
        <w:pStyle w:val="AnnexTI"/>
        <w:spacing w:after="360"/>
        <w:ind w:left="383"/>
      </w:pPr>
      <w:r>
        <w:lastRenderedPageBreak/>
        <w:t xml:space="preserve">«VEDLEGG </w:t>
      </w:r>
      <w:proofErr w:type="spellStart"/>
      <w:r>
        <w:t>X</w:t>
      </w:r>
      <w:proofErr w:type="spellEnd"/>
    </w:p>
    <w:p w14:paraId="34B284C6" w14:textId="77777777" w:rsidR="006561BA" w:rsidRDefault="005B4ED6">
      <w:pPr>
        <w:pStyle w:val="AnnexSTI"/>
        <w:spacing w:after="200" w:line="200" w:lineRule="exact"/>
        <w:ind w:left="383"/>
        <w:rPr>
          <w:sz w:val="16"/>
        </w:rPr>
      </w:pPr>
      <w:r>
        <w:rPr>
          <w:sz w:val="16"/>
        </w:rPr>
        <w:t>MAL FOR KPI-er FOR FORSIKRINGS- OG GJENFORSIKRINGSFORETAK</w:t>
      </w:r>
    </w:p>
    <w:p w14:paraId="3F9C69A9" w14:textId="77777777" w:rsidR="006561BA" w:rsidRDefault="005B4ED6">
      <w:pPr>
        <w:pStyle w:val="AnnexGrSeq1"/>
        <w:spacing w:after="300" w:line="240" w:lineRule="exact"/>
        <w:ind w:left="383"/>
        <w:rPr>
          <w:sz w:val="18"/>
        </w:rPr>
      </w:pPr>
      <w:r>
        <w:rPr>
          <w:i/>
          <w:sz w:val="18"/>
        </w:rPr>
        <w:t>Mal: KPI for forsikringsvirksomheten for skadeforsikrings- og gjenforsikringsforetak</w:t>
      </w:r>
    </w:p>
    <w:tbl>
      <w:tblPr>
        <w:tblStyle w:val="EFTATable"/>
        <w:tblW w:w="14316" w:type="dxa"/>
        <w:tblInd w:w="12" w:type="dxa"/>
        <w:tblLayout w:type="fixed"/>
        <w:tblLook w:val="04A0" w:firstRow="1" w:lastRow="0" w:firstColumn="1" w:lastColumn="0" w:noHBand="0" w:noVBand="1"/>
      </w:tblPr>
      <w:tblGrid>
        <w:gridCol w:w="4063"/>
        <w:gridCol w:w="1137"/>
        <w:gridCol w:w="1138"/>
        <w:gridCol w:w="1150"/>
        <w:gridCol w:w="1126"/>
        <w:gridCol w:w="1138"/>
        <w:gridCol w:w="1138"/>
        <w:gridCol w:w="1138"/>
        <w:gridCol w:w="1148"/>
        <w:gridCol w:w="1140"/>
      </w:tblGrid>
      <w:tr w:rsidR="006561BA" w14:paraId="0235FF49" w14:textId="77777777">
        <w:trPr>
          <w:tblHeader/>
        </w:trPr>
        <w:tc>
          <w:tcPr>
            <w:tcW w:w="4063" w:type="dxa"/>
            <w:tcMar>
              <w:top w:w="60" w:type="dxa"/>
              <w:left w:w="0" w:type="dxa"/>
              <w:bottom w:w="60" w:type="dxa"/>
            </w:tcMar>
            <w:vAlign w:val="center"/>
          </w:tcPr>
          <w:p w14:paraId="6E8E480A" w14:textId="77777777" w:rsidR="006561BA" w:rsidRDefault="006561BA">
            <w:pPr>
              <w:pStyle w:val="AnnexTableHeader"/>
              <w:spacing w:line="200" w:lineRule="exact"/>
            </w:pPr>
          </w:p>
        </w:tc>
        <w:tc>
          <w:tcPr>
            <w:tcW w:w="3425" w:type="dxa"/>
            <w:gridSpan w:val="3"/>
            <w:tcMar>
              <w:top w:w="60" w:type="dxa"/>
              <w:bottom w:w="60" w:type="dxa"/>
            </w:tcMar>
            <w:vAlign w:val="center"/>
          </w:tcPr>
          <w:p w14:paraId="636EAB0E" w14:textId="77777777" w:rsidR="006561BA" w:rsidRDefault="005B4ED6">
            <w:pPr>
              <w:pStyle w:val="AnnexTableHeader"/>
              <w:spacing w:line="200" w:lineRule="exact"/>
            </w:pPr>
            <w:r>
              <w:rPr>
                <w:b/>
              </w:rPr>
              <w:t>Vesentlig bidrag til tilpasning til klimaendringer</w:t>
            </w:r>
          </w:p>
        </w:tc>
        <w:tc>
          <w:tcPr>
            <w:tcW w:w="5688" w:type="dxa"/>
            <w:gridSpan w:val="5"/>
            <w:tcMar>
              <w:top w:w="60" w:type="dxa"/>
              <w:bottom w:w="60" w:type="dxa"/>
            </w:tcMar>
            <w:vAlign w:val="center"/>
          </w:tcPr>
          <w:p w14:paraId="27A52901" w14:textId="77777777" w:rsidR="006561BA" w:rsidRDefault="005B4ED6">
            <w:pPr>
              <w:pStyle w:val="AnnexTableHeader"/>
              <w:spacing w:line="200" w:lineRule="exact"/>
            </w:pPr>
            <w:r>
              <w:rPr>
                <w:b/>
              </w:rPr>
              <w:t>DNSH (prinsippet om ikke å gjøre betydelig skade)</w:t>
            </w:r>
          </w:p>
        </w:tc>
        <w:tc>
          <w:tcPr>
            <w:tcW w:w="1140" w:type="dxa"/>
            <w:tcMar>
              <w:top w:w="60" w:type="dxa"/>
              <w:bottom w:w="60" w:type="dxa"/>
              <w:right w:w="0" w:type="dxa"/>
            </w:tcMar>
            <w:vAlign w:val="center"/>
          </w:tcPr>
          <w:p w14:paraId="0622DAF1" w14:textId="77777777" w:rsidR="006561BA" w:rsidRDefault="006561BA">
            <w:pPr>
              <w:pStyle w:val="AnnexTableHeader"/>
              <w:spacing w:line="200" w:lineRule="exact"/>
            </w:pPr>
          </w:p>
        </w:tc>
      </w:tr>
      <w:tr w:rsidR="006561BA" w14:paraId="34B7CD57" w14:textId="77777777">
        <w:trPr>
          <w:tblHeader/>
        </w:trPr>
        <w:tc>
          <w:tcPr>
            <w:tcW w:w="4063" w:type="dxa"/>
            <w:tcMar>
              <w:top w:w="60" w:type="dxa"/>
              <w:left w:w="0" w:type="dxa"/>
              <w:bottom w:w="60" w:type="dxa"/>
            </w:tcMar>
            <w:vAlign w:val="center"/>
          </w:tcPr>
          <w:p w14:paraId="6C8F3BAE" w14:textId="77777777" w:rsidR="006561BA" w:rsidRDefault="005B4ED6">
            <w:pPr>
              <w:pStyle w:val="AnnexTableHeader"/>
              <w:spacing w:line="200" w:lineRule="exact"/>
            </w:pPr>
            <w:r>
              <w:rPr>
                <w:b/>
              </w:rPr>
              <w:t>Økonomiske aktiviteter (1)</w:t>
            </w:r>
          </w:p>
        </w:tc>
        <w:tc>
          <w:tcPr>
            <w:tcW w:w="1137" w:type="dxa"/>
            <w:tcMar>
              <w:top w:w="60" w:type="dxa"/>
              <w:bottom w:w="60" w:type="dxa"/>
            </w:tcMar>
            <w:vAlign w:val="center"/>
          </w:tcPr>
          <w:p w14:paraId="4DF169D7" w14:textId="77777777" w:rsidR="006561BA" w:rsidRDefault="005B4ED6">
            <w:pPr>
              <w:pStyle w:val="AnnexTableHeader"/>
              <w:spacing w:line="200" w:lineRule="exact"/>
            </w:pPr>
            <w:r>
              <w:rPr>
                <w:b/>
              </w:rPr>
              <w:t>Absolutte premier, år t (2)</w:t>
            </w:r>
          </w:p>
        </w:tc>
        <w:tc>
          <w:tcPr>
            <w:tcW w:w="1138" w:type="dxa"/>
            <w:tcMar>
              <w:top w:w="60" w:type="dxa"/>
              <w:bottom w:w="60" w:type="dxa"/>
            </w:tcMar>
            <w:vAlign w:val="center"/>
          </w:tcPr>
          <w:p w14:paraId="41762F9A" w14:textId="77777777" w:rsidR="006561BA" w:rsidRDefault="005B4ED6">
            <w:pPr>
              <w:pStyle w:val="AnnexTableHeader"/>
              <w:spacing w:line="200" w:lineRule="exact"/>
            </w:pPr>
            <w:r>
              <w:rPr>
                <w:b/>
              </w:rPr>
              <w:t>Premieandel, år t (3)</w:t>
            </w:r>
          </w:p>
        </w:tc>
        <w:tc>
          <w:tcPr>
            <w:tcW w:w="1150" w:type="dxa"/>
            <w:tcMar>
              <w:top w:w="60" w:type="dxa"/>
              <w:bottom w:w="60" w:type="dxa"/>
            </w:tcMar>
            <w:vAlign w:val="center"/>
          </w:tcPr>
          <w:p w14:paraId="6E0D0042" w14:textId="77777777" w:rsidR="006561BA" w:rsidRDefault="005B4ED6">
            <w:pPr>
              <w:pStyle w:val="AnnexTableHeader"/>
              <w:spacing w:line="200" w:lineRule="exact"/>
            </w:pPr>
            <w:r>
              <w:rPr>
                <w:b/>
              </w:rPr>
              <w:t>Premieandel, år t-1 (4)</w:t>
            </w:r>
          </w:p>
        </w:tc>
        <w:tc>
          <w:tcPr>
            <w:tcW w:w="1126" w:type="dxa"/>
            <w:tcMar>
              <w:top w:w="60" w:type="dxa"/>
              <w:bottom w:w="60" w:type="dxa"/>
            </w:tcMar>
            <w:vAlign w:val="center"/>
          </w:tcPr>
          <w:p w14:paraId="03CFD19A" w14:textId="77777777" w:rsidR="006561BA" w:rsidRDefault="005B4ED6">
            <w:pPr>
              <w:pStyle w:val="AnnexTableHeader"/>
              <w:spacing w:line="200" w:lineRule="exact"/>
            </w:pPr>
            <w:r>
              <w:rPr>
                <w:b/>
              </w:rPr>
              <w:t>Begrensning av klimaendringer (5)</w:t>
            </w:r>
          </w:p>
        </w:tc>
        <w:tc>
          <w:tcPr>
            <w:tcW w:w="1138" w:type="dxa"/>
            <w:tcMar>
              <w:top w:w="60" w:type="dxa"/>
              <w:bottom w:w="60" w:type="dxa"/>
            </w:tcMar>
            <w:vAlign w:val="center"/>
          </w:tcPr>
          <w:p w14:paraId="56A8AA88" w14:textId="77777777" w:rsidR="006561BA" w:rsidRDefault="005B4ED6">
            <w:pPr>
              <w:pStyle w:val="AnnexTableHeader"/>
              <w:spacing w:line="200" w:lineRule="exact"/>
            </w:pPr>
            <w:r>
              <w:rPr>
                <w:b/>
              </w:rPr>
              <w:t>Vann- og havressurser (6)</w:t>
            </w:r>
          </w:p>
        </w:tc>
        <w:tc>
          <w:tcPr>
            <w:tcW w:w="1138" w:type="dxa"/>
            <w:tcMar>
              <w:top w:w="60" w:type="dxa"/>
              <w:bottom w:w="60" w:type="dxa"/>
            </w:tcMar>
            <w:vAlign w:val="center"/>
          </w:tcPr>
          <w:p w14:paraId="1FA2F5FB" w14:textId="77777777" w:rsidR="006561BA" w:rsidRDefault="005B4ED6">
            <w:pPr>
              <w:pStyle w:val="AnnexTableHeader"/>
              <w:spacing w:line="200" w:lineRule="exact"/>
            </w:pPr>
            <w:r>
              <w:rPr>
                <w:b/>
              </w:rPr>
              <w:t>Sirkulær økonomi (7)</w:t>
            </w:r>
          </w:p>
        </w:tc>
        <w:tc>
          <w:tcPr>
            <w:tcW w:w="1138" w:type="dxa"/>
            <w:tcMar>
              <w:top w:w="60" w:type="dxa"/>
              <w:bottom w:w="60" w:type="dxa"/>
            </w:tcMar>
            <w:vAlign w:val="center"/>
          </w:tcPr>
          <w:p w14:paraId="49C3581A" w14:textId="77777777" w:rsidR="006561BA" w:rsidRDefault="005B4ED6">
            <w:pPr>
              <w:pStyle w:val="AnnexTableHeader"/>
              <w:spacing w:line="200" w:lineRule="exact"/>
            </w:pPr>
            <w:r>
              <w:rPr>
                <w:b/>
              </w:rPr>
              <w:t>Forurensning (8)</w:t>
            </w:r>
          </w:p>
        </w:tc>
        <w:tc>
          <w:tcPr>
            <w:tcW w:w="1148" w:type="dxa"/>
            <w:tcMar>
              <w:top w:w="60" w:type="dxa"/>
              <w:bottom w:w="60" w:type="dxa"/>
            </w:tcMar>
            <w:vAlign w:val="center"/>
          </w:tcPr>
          <w:p w14:paraId="6617C6F1" w14:textId="77777777" w:rsidR="006561BA" w:rsidRDefault="005B4ED6">
            <w:pPr>
              <w:pStyle w:val="AnnexTableHeader"/>
              <w:spacing w:line="200" w:lineRule="exact"/>
            </w:pPr>
            <w:r>
              <w:rPr>
                <w:b/>
              </w:rPr>
              <w:t>Biologisk mangfold og økosystemer (9)</w:t>
            </w:r>
          </w:p>
        </w:tc>
        <w:tc>
          <w:tcPr>
            <w:tcW w:w="1140" w:type="dxa"/>
            <w:tcMar>
              <w:top w:w="60" w:type="dxa"/>
              <w:bottom w:w="60" w:type="dxa"/>
              <w:right w:w="0" w:type="dxa"/>
            </w:tcMar>
            <w:vAlign w:val="center"/>
          </w:tcPr>
          <w:p w14:paraId="3938022A" w14:textId="77777777" w:rsidR="006561BA" w:rsidRDefault="005B4ED6">
            <w:pPr>
              <w:pStyle w:val="AnnexTableHeader"/>
              <w:spacing w:line="200" w:lineRule="exact"/>
            </w:pPr>
            <w:r>
              <w:rPr>
                <w:b/>
              </w:rPr>
              <w:t>Minstegarantier (10)</w:t>
            </w:r>
          </w:p>
        </w:tc>
      </w:tr>
      <w:tr w:rsidR="006561BA" w14:paraId="3E7AA88E" w14:textId="77777777">
        <w:trPr>
          <w:tblHeader/>
        </w:trPr>
        <w:tc>
          <w:tcPr>
            <w:tcW w:w="4063" w:type="dxa"/>
            <w:tcMar>
              <w:top w:w="60" w:type="dxa"/>
              <w:left w:w="0" w:type="dxa"/>
              <w:bottom w:w="60" w:type="dxa"/>
            </w:tcMar>
            <w:vAlign w:val="center"/>
          </w:tcPr>
          <w:p w14:paraId="0A4D5268" w14:textId="77777777" w:rsidR="006561BA" w:rsidRDefault="006561BA">
            <w:pPr>
              <w:pStyle w:val="AnnexTableHeader"/>
              <w:spacing w:line="200" w:lineRule="exact"/>
            </w:pPr>
          </w:p>
        </w:tc>
        <w:tc>
          <w:tcPr>
            <w:tcW w:w="1137" w:type="dxa"/>
            <w:tcMar>
              <w:top w:w="60" w:type="dxa"/>
              <w:bottom w:w="60" w:type="dxa"/>
            </w:tcMar>
            <w:vAlign w:val="center"/>
          </w:tcPr>
          <w:p w14:paraId="535F246A" w14:textId="77777777" w:rsidR="006561BA" w:rsidRDefault="005B4ED6">
            <w:pPr>
              <w:pStyle w:val="AnnexTableHeader"/>
              <w:spacing w:line="200" w:lineRule="exact"/>
            </w:pPr>
            <w:r>
              <w:rPr>
                <w:b/>
              </w:rPr>
              <w:t>Valuta</w:t>
            </w:r>
          </w:p>
        </w:tc>
        <w:tc>
          <w:tcPr>
            <w:tcW w:w="1138" w:type="dxa"/>
            <w:tcMar>
              <w:top w:w="60" w:type="dxa"/>
              <w:bottom w:w="60" w:type="dxa"/>
            </w:tcMar>
            <w:vAlign w:val="center"/>
          </w:tcPr>
          <w:p w14:paraId="0404DF09" w14:textId="77777777" w:rsidR="006561BA" w:rsidRDefault="005B4ED6">
            <w:pPr>
              <w:pStyle w:val="AnnexTableHeader"/>
              <w:spacing w:line="200" w:lineRule="exact"/>
            </w:pPr>
            <w:r>
              <w:rPr>
                <w:b/>
              </w:rPr>
              <w:t>%</w:t>
            </w:r>
          </w:p>
        </w:tc>
        <w:tc>
          <w:tcPr>
            <w:tcW w:w="1150" w:type="dxa"/>
            <w:tcMar>
              <w:top w:w="60" w:type="dxa"/>
              <w:bottom w:w="60" w:type="dxa"/>
            </w:tcMar>
            <w:vAlign w:val="center"/>
          </w:tcPr>
          <w:p w14:paraId="49ED1EA8" w14:textId="77777777" w:rsidR="006561BA" w:rsidRDefault="005B4ED6">
            <w:pPr>
              <w:pStyle w:val="AnnexTableHeader"/>
              <w:spacing w:line="200" w:lineRule="exact"/>
            </w:pPr>
            <w:r>
              <w:rPr>
                <w:b/>
              </w:rPr>
              <w:t>%</w:t>
            </w:r>
          </w:p>
        </w:tc>
        <w:tc>
          <w:tcPr>
            <w:tcW w:w="1126" w:type="dxa"/>
            <w:tcMar>
              <w:top w:w="60" w:type="dxa"/>
              <w:bottom w:w="60" w:type="dxa"/>
            </w:tcMar>
            <w:vAlign w:val="center"/>
          </w:tcPr>
          <w:p w14:paraId="28BDEA53" w14:textId="77777777" w:rsidR="006561BA" w:rsidRDefault="005B4ED6">
            <w:pPr>
              <w:pStyle w:val="AnnexTableHeader"/>
              <w:spacing w:line="200" w:lineRule="exact"/>
            </w:pPr>
            <w:r>
              <w:rPr>
                <w:b/>
              </w:rPr>
              <w:t>J/N</w:t>
            </w:r>
          </w:p>
        </w:tc>
        <w:tc>
          <w:tcPr>
            <w:tcW w:w="1138" w:type="dxa"/>
            <w:tcMar>
              <w:top w:w="60" w:type="dxa"/>
              <w:bottom w:w="60" w:type="dxa"/>
            </w:tcMar>
            <w:vAlign w:val="center"/>
          </w:tcPr>
          <w:p w14:paraId="18D33D15" w14:textId="77777777" w:rsidR="006561BA" w:rsidRDefault="005B4ED6">
            <w:pPr>
              <w:pStyle w:val="AnnexTableHeader"/>
              <w:spacing w:line="200" w:lineRule="exact"/>
            </w:pPr>
            <w:r>
              <w:rPr>
                <w:b/>
              </w:rPr>
              <w:t>J/N</w:t>
            </w:r>
          </w:p>
        </w:tc>
        <w:tc>
          <w:tcPr>
            <w:tcW w:w="1138" w:type="dxa"/>
            <w:tcMar>
              <w:top w:w="60" w:type="dxa"/>
              <w:bottom w:w="60" w:type="dxa"/>
            </w:tcMar>
            <w:vAlign w:val="center"/>
          </w:tcPr>
          <w:p w14:paraId="7ADB1AAE" w14:textId="77777777" w:rsidR="006561BA" w:rsidRDefault="005B4ED6">
            <w:pPr>
              <w:pStyle w:val="AnnexTableHeader"/>
              <w:spacing w:line="200" w:lineRule="exact"/>
            </w:pPr>
            <w:r>
              <w:rPr>
                <w:b/>
              </w:rPr>
              <w:t>J/N</w:t>
            </w:r>
          </w:p>
        </w:tc>
        <w:tc>
          <w:tcPr>
            <w:tcW w:w="1138" w:type="dxa"/>
            <w:tcMar>
              <w:top w:w="60" w:type="dxa"/>
              <w:bottom w:w="60" w:type="dxa"/>
            </w:tcMar>
            <w:vAlign w:val="center"/>
          </w:tcPr>
          <w:p w14:paraId="429B6D10" w14:textId="77777777" w:rsidR="006561BA" w:rsidRDefault="005B4ED6">
            <w:pPr>
              <w:pStyle w:val="AnnexTableHeader"/>
              <w:spacing w:line="200" w:lineRule="exact"/>
            </w:pPr>
            <w:r>
              <w:rPr>
                <w:b/>
              </w:rPr>
              <w:t>J/N</w:t>
            </w:r>
          </w:p>
        </w:tc>
        <w:tc>
          <w:tcPr>
            <w:tcW w:w="1148" w:type="dxa"/>
            <w:tcMar>
              <w:top w:w="60" w:type="dxa"/>
              <w:bottom w:w="60" w:type="dxa"/>
            </w:tcMar>
            <w:vAlign w:val="center"/>
          </w:tcPr>
          <w:p w14:paraId="5FB3CF5C" w14:textId="77777777" w:rsidR="006561BA" w:rsidRDefault="005B4ED6">
            <w:pPr>
              <w:pStyle w:val="AnnexTableHeader"/>
              <w:spacing w:line="200" w:lineRule="exact"/>
            </w:pPr>
            <w:r>
              <w:rPr>
                <w:b/>
              </w:rPr>
              <w:t>J/N</w:t>
            </w:r>
          </w:p>
        </w:tc>
        <w:tc>
          <w:tcPr>
            <w:tcW w:w="1140" w:type="dxa"/>
            <w:tcMar>
              <w:top w:w="60" w:type="dxa"/>
              <w:bottom w:w="60" w:type="dxa"/>
              <w:right w:w="0" w:type="dxa"/>
            </w:tcMar>
            <w:vAlign w:val="center"/>
          </w:tcPr>
          <w:p w14:paraId="1026E061" w14:textId="77777777" w:rsidR="006561BA" w:rsidRDefault="005B4ED6">
            <w:pPr>
              <w:pStyle w:val="AnnexTableHeader"/>
              <w:spacing w:line="200" w:lineRule="exact"/>
            </w:pPr>
            <w:r>
              <w:rPr>
                <w:b/>
              </w:rPr>
              <w:t>J/N</w:t>
            </w:r>
          </w:p>
        </w:tc>
      </w:tr>
      <w:tr w:rsidR="006561BA" w14:paraId="7E84329C" w14:textId="77777777">
        <w:tc>
          <w:tcPr>
            <w:tcW w:w="4063" w:type="dxa"/>
            <w:tcMar>
              <w:top w:w="60" w:type="dxa"/>
              <w:left w:w="0" w:type="dxa"/>
              <w:bottom w:w="60" w:type="dxa"/>
            </w:tcMar>
          </w:tcPr>
          <w:p w14:paraId="02A115B9" w14:textId="77777777" w:rsidR="006561BA" w:rsidRDefault="005B4ED6">
            <w:pPr>
              <w:pStyle w:val="AnnexNumberedText"/>
              <w:tabs>
                <w:tab w:val="left" w:pos="437"/>
              </w:tabs>
              <w:spacing w:after="0"/>
              <w:ind w:left="0" w:firstLine="0"/>
            </w:pPr>
            <w:r>
              <w:t>A.1.</w:t>
            </w:r>
            <w:r>
              <w:rPr>
                <w:b/>
              </w:rPr>
              <w:tab/>
              <w:t>Skadeforsikrings- og gjenforsikringsvirksomhet knyttet til taksonomiforenlige aktiviteter (miljømessig bærekraftige)</w:t>
            </w:r>
          </w:p>
        </w:tc>
        <w:tc>
          <w:tcPr>
            <w:tcW w:w="1137" w:type="dxa"/>
            <w:tcMar>
              <w:top w:w="60" w:type="dxa"/>
              <w:bottom w:w="60" w:type="dxa"/>
            </w:tcMar>
          </w:tcPr>
          <w:p w14:paraId="78CB0E47" w14:textId="77777777" w:rsidR="006561BA" w:rsidRDefault="006561BA">
            <w:pPr>
              <w:pStyle w:val="AnnexTableCellLeft"/>
              <w:jc w:val="center"/>
            </w:pPr>
          </w:p>
        </w:tc>
        <w:tc>
          <w:tcPr>
            <w:tcW w:w="1138" w:type="dxa"/>
            <w:tcMar>
              <w:top w:w="60" w:type="dxa"/>
              <w:bottom w:w="60" w:type="dxa"/>
            </w:tcMar>
          </w:tcPr>
          <w:p w14:paraId="20EFC337" w14:textId="77777777" w:rsidR="006561BA" w:rsidRDefault="006561BA">
            <w:pPr>
              <w:pStyle w:val="AnnexTableCellLeft"/>
              <w:jc w:val="center"/>
            </w:pPr>
          </w:p>
        </w:tc>
        <w:tc>
          <w:tcPr>
            <w:tcW w:w="1150" w:type="dxa"/>
            <w:tcMar>
              <w:top w:w="60" w:type="dxa"/>
              <w:bottom w:w="60" w:type="dxa"/>
            </w:tcMar>
          </w:tcPr>
          <w:p w14:paraId="2920E47B" w14:textId="77777777" w:rsidR="006561BA" w:rsidRDefault="006561BA">
            <w:pPr>
              <w:pStyle w:val="AnnexTableCellLeft"/>
              <w:jc w:val="center"/>
            </w:pPr>
          </w:p>
        </w:tc>
        <w:tc>
          <w:tcPr>
            <w:tcW w:w="1126" w:type="dxa"/>
            <w:tcMar>
              <w:top w:w="60" w:type="dxa"/>
              <w:bottom w:w="60" w:type="dxa"/>
            </w:tcMar>
          </w:tcPr>
          <w:p w14:paraId="6DEA11CE" w14:textId="77777777" w:rsidR="006561BA" w:rsidRDefault="006561BA">
            <w:pPr>
              <w:pStyle w:val="AnnexTableCellLeft"/>
              <w:jc w:val="center"/>
            </w:pPr>
          </w:p>
        </w:tc>
        <w:tc>
          <w:tcPr>
            <w:tcW w:w="1138" w:type="dxa"/>
            <w:tcMar>
              <w:top w:w="60" w:type="dxa"/>
              <w:bottom w:w="60" w:type="dxa"/>
            </w:tcMar>
          </w:tcPr>
          <w:p w14:paraId="47BA04D8" w14:textId="77777777" w:rsidR="006561BA" w:rsidRDefault="006561BA">
            <w:pPr>
              <w:pStyle w:val="AnnexTableCellLeft"/>
              <w:jc w:val="center"/>
            </w:pPr>
          </w:p>
        </w:tc>
        <w:tc>
          <w:tcPr>
            <w:tcW w:w="1138" w:type="dxa"/>
            <w:tcMar>
              <w:top w:w="60" w:type="dxa"/>
              <w:bottom w:w="60" w:type="dxa"/>
            </w:tcMar>
          </w:tcPr>
          <w:p w14:paraId="4658B9CB" w14:textId="77777777" w:rsidR="006561BA" w:rsidRDefault="006561BA">
            <w:pPr>
              <w:pStyle w:val="AnnexTableCellLeft"/>
              <w:jc w:val="center"/>
            </w:pPr>
          </w:p>
        </w:tc>
        <w:tc>
          <w:tcPr>
            <w:tcW w:w="1138" w:type="dxa"/>
            <w:tcMar>
              <w:top w:w="60" w:type="dxa"/>
              <w:bottom w:w="60" w:type="dxa"/>
            </w:tcMar>
          </w:tcPr>
          <w:p w14:paraId="54DC8D17" w14:textId="77777777" w:rsidR="006561BA" w:rsidRDefault="006561BA">
            <w:pPr>
              <w:pStyle w:val="AnnexTableCellLeft"/>
              <w:jc w:val="center"/>
            </w:pPr>
          </w:p>
        </w:tc>
        <w:tc>
          <w:tcPr>
            <w:tcW w:w="1148" w:type="dxa"/>
            <w:tcMar>
              <w:top w:w="60" w:type="dxa"/>
              <w:bottom w:w="60" w:type="dxa"/>
            </w:tcMar>
          </w:tcPr>
          <w:p w14:paraId="2C1D9E39" w14:textId="77777777" w:rsidR="006561BA" w:rsidRDefault="006561BA">
            <w:pPr>
              <w:pStyle w:val="AnnexTableCellLeft"/>
              <w:jc w:val="center"/>
            </w:pPr>
          </w:p>
        </w:tc>
        <w:tc>
          <w:tcPr>
            <w:tcW w:w="1140" w:type="dxa"/>
            <w:tcMar>
              <w:top w:w="60" w:type="dxa"/>
              <w:bottom w:w="60" w:type="dxa"/>
              <w:right w:w="0" w:type="dxa"/>
            </w:tcMar>
          </w:tcPr>
          <w:p w14:paraId="074BB5A5" w14:textId="77777777" w:rsidR="006561BA" w:rsidRDefault="006561BA">
            <w:pPr>
              <w:pStyle w:val="AnnexTableCellLeft"/>
              <w:jc w:val="center"/>
            </w:pPr>
          </w:p>
        </w:tc>
      </w:tr>
      <w:tr w:rsidR="006561BA" w14:paraId="55B62C89" w14:textId="77777777">
        <w:tc>
          <w:tcPr>
            <w:tcW w:w="4063" w:type="dxa"/>
            <w:tcMar>
              <w:top w:w="60" w:type="dxa"/>
              <w:left w:w="0" w:type="dxa"/>
              <w:bottom w:w="60" w:type="dxa"/>
            </w:tcMar>
          </w:tcPr>
          <w:p w14:paraId="3096894D" w14:textId="77777777" w:rsidR="006561BA" w:rsidRDefault="005B4ED6">
            <w:pPr>
              <w:pStyle w:val="AnnexNumberedText"/>
              <w:spacing w:after="0"/>
              <w:ind w:left="588" w:hanging="588"/>
            </w:pPr>
            <w:r>
              <w:t>A.1.1.</w:t>
            </w:r>
            <w:r>
              <w:tab/>
              <w:t>Hvorav gjenforsikret</w:t>
            </w:r>
          </w:p>
        </w:tc>
        <w:tc>
          <w:tcPr>
            <w:tcW w:w="1137" w:type="dxa"/>
            <w:tcMar>
              <w:top w:w="60" w:type="dxa"/>
              <w:bottom w:w="60" w:type="dxa"/>
            </w:tcMar>
          </w:tcPr>
          <w:p w14:paraId="1A1E27EA" w14:textId="77777777" w:rsidR="006561BA" w:rsidRDefault="006561BA">
            <w:pPr>
              <w:pStyle w:val="AnnexTableCellLeft"/>
              <w:jc w:val="center"/>
            </w:pPr>
          </w:p>
        </w:tc>
        <w:tc>
          <w:tcPr>
            <w:tcW w:w="1138" w:type="dxa"/>
            <w:tcMar>
              <w:top w:w="60" w:type="dxa"/>
              <w:bottom w:w="60" w:type="dxa"/>
            </w:tcMar>
          </w:tcPr>
          <w:p w14:paraId="11EE06CA" w14:textId="77777777" w:rsidR="006561BA" w:rsidRDefault="006561BA">
            <w:pPr>
              <w:pStyle w:val="AnnexTableCellLeft"/>
              <w:jc w:val="center"/>
            </w:pPr>
          </w:p>
        </w:tc>
        <w:tc>
          <w:tcPr>
            <w:tcW w:w="1150" w:type="dxa"/>
            <w:tcMar>
              <w:top w:w="60" w:type="dxa"/>
              <w:bottom w:w="60" w:type="dxa"/>
            </w:tcMar>
          </w:tcPr>
          <w:p w14:paraId="7387317F" w14:textId="77777777" w:rsidR="006561BA" w:rsidRDefault="006561BA">
            <w:pPr>
              <w:pStyle w:val="AnnexTableCellLeft"/>
              <w:jc w:val="center"/>
            </w:pPr>
          </w:p>
        </w:tc>
        <w:tc>
          <w:tcPr>
            <w:tcW w:w="1126" w:type="dxa"/>
            <w:tcMar>
              <w:top w:w="60" w:type="dxa"/>
              <w:bottom w:w="60" w:type="dxa"/>
            </w:tcMar>
          </w:tcPr>
          <w:p w14:paraId="2482C53B" w14:textId="77777777" w:rsidR="006561BA" w:rsidRDefault="006561BA">
            <w:pPr>
              <w:pStyle w:val="AnnexTableCellLeft"/>
              <w:jc w:val="center"/>
            </w:pPr>
          </w:p>
        </w:tc>
        <w:tc>
          <w:tcPr>
            <w:tcW w:w="1138" w:type="dxa"/>
            <w:tcMar>
              <w:top w:w="60" w:type="dxa"/>
              <w:bottom w:w="60" w:type="dxa"/>
            </w:tcMar>
          </w:tcPr>
          <w:p w14:paraId="47D53815" w14:textId="77777777" w:rsidR="006561BA" w:rsidRDefault="006561BA">
            <w:pPr>
              <w:pStyle w:val="AnnexTableCellLeft"/>
              <w:jc w:val="center"/>
            </w:pPr>
          </w:p>
        </w:tc>
        <w:tc>
          <w:tcPr>
            <w:tcW w:w="1138" w:type="dxa"/>
            <w:tcMar>
              <w:top w:w="60" w:type="dxa"/>
              <w:bottom w:w="60" w:type="dxa"/>
            </w:tcMar>
          </w:tcPr>
          <w:p w14:paraId="59D55AB0" w14:textId="77777777" w:rsidR="006561BA" w:rsidRDefault="006561BA">
            <w:pPr>
              <w:pStyle w:val="AnnexTableCellLeft"/>
              <w:jc w:val="center"/>
            </w:pPr>
          </w:p>
        </w:tc>
        <w:tc>
          <w:tcPr>
            <w:tcW w:w="1138" w:type="dxa"/>
            <w:tcMar>
              <w:top w:w="60" w:type="dxa"/>
              <w:bottom w:w="60" w:type="dxa"/>
            </w:tcMar>
          </w:tcPr>
          <w:p w14:paraId="690502B4" w14:textId="77777777" w:rsidR="006561BA" w:rsidRDefault="006561BA">
            <w:pPr>
              <w:pStyle w:val="AnnexTableCellLeft"/>
              <w:jc w:val="center"/>
            </w:pPr>
          </w:p>
        </w:tc>
        <w:tc>
          <w:tcPr>
            <w:tcW w:w="1148" w:type="dxa"/>
            <w:tcMar>
              <w:top w:w="60" w:type="dxa"/>
              <w:bottom w:w="60" w:type="dxa"/>
            </w:tcMar>
          </w:tcPr>
          <w:p w14:paraId="00459B65" w14:textId="77777777" w:rsidR="006561BA" w:rsidRDefault="006561BA">
            <w:pPr>
              <w:pStyle w:val="AnnexTableCellLeft"/>
              <w:jc w:val="center"/>
            </w:pPr>
          </w:p>
        </w:tc>
        <w:tc>
          <w:tcPr>
            <w:tcW w:w="1140" w:type="dxa"/>
            <w:tcMar>
              <w:top w:w="60" w:type="dxa"/>
              <w:bottom w:w="60" w:type="dxa"/>
              <w:right w:w="0" w:type="dxa"/>
            </w:tcMar>
          </w:tcPr>
          <w:p w14:paraId="096729AB" w14:textId="77777777" w:rsidR="006561BA" w:rsidRDefault="006561BA">
            <w:pPr>
              <w:pStyle w:val="AnnexTableCellLeft"/>
              <w:jc w:val="center"/>
            </w:pPr>
          </w:p>
        </w:tc>
      </w:tr>
      <w:tr w:rsidR="006561BA" w14:paraId="21B56C09" w14:textId="77777777">
        <w:tc>
          <w:tcPr>
            <w:tcW w:w="4063" w:type="dxa"/>
            <w:tcMar>
              <w:top w:w="60" w:type="dxa"/>
              <w:left w:w="0" w:type="dxa"/>
              <w:bottom w:w="60" w:type="dxa"/>
            </w:tcMar>
          </w:tcPr>
          <w:p w14:paraId="48D75A74" w14:textId="77777777" w:rsidR="006561BA" w:rsidRDefault="005B4ED6">
            <w:pPr>
              <w:pStyle w:val="AnnexNumberedText"/>
              <w:spacing w:after="0"/>
              <w:ind w:left="588" w:hanging="588"/>
            </w:pPr>
            <w:r>
              <w:t>A.1.2.</w:t>
            </w:r>
            <w:r>
              <w:tab/>
              <w:t>Hvorav som stammer fra gjenforsikringsvirksomhet</w:t>
            </w:r>
          </w:p>
        </w:tc>
        <w:tc>
          <w:tcPr>
            <w:tcW w:w="1137" w:type="dxa"/>
            <w:tcMar>
              <w:top w:w="60" w:type="dxa"/>
              <w:bottom w:w="60" w:type="dxa"/>
            </w:tcMar>
          </w:tcPr>
          <w:p w14:paraId="08B5E4C4" w14:textId="77777777" w:rsidR="006561BA" w:rsidRDefault="006561BA">
            <w:pPr>
              <w:pStyle w:val="AnnexTableCellLeft"/>
              <w:jc w:val="center"/>
            </w:pPr>
          </w:p>
        </w:tc>
        <w:tc>
          <w:tcPr>
            <w:tcW w:w="1138" w:type="dxa"/>
            <w:tcMar>
              <w:top w:w="60" w:type="dxa"/>
              <w:bottom w:w="60" w:type="dxa"/>
            </w:tcMar>
          </w:tcPr>
          <w:p w14:paraId="4515F7C3" w14:textId="77777777" w:rsidR="006561BA" w:rsidRDefault="006561BA">
            <w:pPr>
              <w:pStyle w:val="AnnexTableCellLeft"/>
              <w:jc w:val="center"/>
            </w:pPr>
          </w:p>
        </w:tc>
        <w:tc>
          <w:tcPr>
            <w:tcW w:w="1150" w:type="dxa"/>
            <w:tcMar>
              <w:top w:w="60" w:type="dxa"/>
              <w:bottom w:w="60" w:type="dxa"/>
            </w:tcMar>
          </w:tcPr>
          <w:p w14:paraId="76CED565" w14:textId="77777777" w:rsidR="006561BA" w:rsidRDefault="006561BA">
            <w:pPr>
              <w:pStyle w:val="AnnexTableCellLeft"/>
              <w:jc w:val="center"/>
            </w:pPr>
          </w:p>
        </w:tc>
        <w:tc>
          <w:tcPr>
            <w:tcW w:w="1126" w:type="dxa"/>
            <w:tcMar>
              <w:top w:w="60" w:type="dxa"/>
              <w:bottom w:w="60" w:type="dxa"/>
            </w:tcMar>
          </w:tcPr>
          <w:p w14:paraId="77DD708F" w14:textId="77777777" w:rsidR="006561BA" w:rsidRDefault="006561BA">
            <w:pPr>
              <w:pStyle w:val="AnnexTableCellLeft"/>
              <w:jc w:val="center"/>
            </w:pPr>
          </w:p>
        </w:tc>
        <w:tc>
          <w:tcPr>
            <w:tcW w:w="1138" w:type="dxa"/>
            <w:tcMar>
              <w:top w:w="60" w:type="dxa"/>
              <w:bottom w:w="60" w:type="dxa"/>
            </w:tcMar>
          </w:tcPr>
          <w:p w14:paraId="05341B4F" w14:textId="77777777" w:rsidR="006561BA" w:rsidRDefault="006561BA">
            <w:pPr>
              <w:pStyle w:val="AnnexTableCellLeft"/>
              <w:jc w:val="center"/>
            </w:pPr>
          </w:p>
        </w:tc>
        <w:tc>
          <w:tcPr>
            <w:tcW w:w="1138" w:type="dxa"/>
            <w:tcMar>
              <w:top w:w="60" w:type="dxa"/>
              <w:bottom w:w="60" w:type="dxa"/>
            </w:tcMar>
          </w:tcPr>
          <w:p w14:paraId="3B0854D4" w14:textId="77777777" w:rsidR="006561BA" w:rsidRDefault="006561BA">
            <w:pPr>
              <w:pStyle w:val="AnnexTableCellLeft"/>
              <w:jc w:val="center"/>
            </w:pPr>
          </w:p>
        </w:tc>
        <w:tc>
          <w:tcPr>
            <w:tcW w:w="1138" w:type="dxa"/>
            <w:tcMar>
              <w:top w:w="60" w:type="dxa"/>
              <w:bottom w:w="60" w:type="dxa"/>
            </w:tcMar>
          </w:tcPr>
          <w:p w14:paraId="49AB2C85" w14:textId="77777777" w:rsidR="006561BA" w:rsidRDefault="006561BA">
            <w:pPr>
              <w:pStyle w:val="AnnexTableCellLeft"/>
              <w:jc w:val="center"/>
            </w:pPr>
          </w:p>
        </w:tc>
        <w:tc>
          <w:tcPr>
            <w:tcW w:w="1148" w:type="dxa"/>
            <w:tcMar>
              <w:top w:w="60" w:type="dxa"/>
              <w:bottom w:w="60" w:type="dxa"/>
            </w:tcMar>
          </w:tcPr>
          <w:p w14:paraId="46D7CC8C" w14:textId="77777777" w:rsidR="006561BA" w:rsidRDefault="006561BA">
            <w:pPr>
              <w:pStyle w:val="AnnexTableCellLeft"/>
              <w:jc w:val="center"/>
            </w:pPr>
          </w:p>
        </w:tc>
        <w:tc>
          <w:tcPr>
            <w:tcW w:w="1140" w:type="dxa"/>
            <w:tcMar>
              <w:top w:w="60" w:type="dxa"/>
              <w:bottom w:w="60" w:type="dxa"/>
              <w:right w:w="0" w:type="dxa"/>
            </w:tcMar>
          </w:tcPr>
          <w:p w14:paraId="5FCEF5B8" w14:textId="77777777" w:rsidR="006561BA" w:rsidRDefault="006561BA">
            <w:pPr>
              <w:pStyle w:val="AnnexTableCellLeft"/>
              <w:jc w:val="center"/>
            </w:pPr>
          </w:p>
        </w:tc>
      </w:tr>
      <w:tr w:rsidR="006561BA" w14:paraId="01A03DAB" w14:textId="77777777">
        <w:tc>
          <w:tcPr>
            <w:tcW w:w="4063" w:type="dxa"/>
            <w:tcMar>
              <w:top w:w="60" w:type="dxa"/>
              <w:left w:w="0" w:type="dxa"/>
              <w:bottom w:w="60" w:type="dxa"/>
            </w:tcMar>
          </w:tcPr>
          <w:p w14:paraId="47FE6717" w14:textId="77777777" w:rsidR="006561BA" w:rsidRDefault="005B4ED6">
            <w:pPr>
              <w:pStyle w:val="AnnexNumberedText"/>
              <w:spacing w:after="0"/>
              <w:ind w:left="723" w:hanging="723"/>
            </w:pPr>
            <w:r>
              <w:t>A.1.2.1.</w:t>
            </w:r>
            <w:r>
              <w:tab/>
              <w:t>Hvorav gjenforsikret (retrocesjon)</w:t>
            </w:r>
          </w:p>
        </w:tc>
        <w:tc>
          <w:tcPr>
            <w:tcW w:w="1137" w:type="dxa"/>
            <w:tcMar>
              <w:top w:w="60" w:type="dxa"/>
              <w:bottom w:w="60" w:type="dxa"/>
            </w:tcMar>
          </w:tcPr>
          <w:p w14:paraId="05C5C4AF" w14:textId="77777777" w:rsidR="006561BA" w:rsidRDefault="006561BA">
            <w:pPr>
              <w:pStyle w:val="AnnexTableCellLeft"/>
              <w:jc w:val="center"/>
            </w:pPr>
          </w:p>
        </w:tc>
        <w:tc>
          <w:tcPr>
            <w:tcW w:w="1138" w:type="dxa"/>
            <w:tcMar>
              <w:top w:w="60" w:type="dxa"/>
              <w:bottom w:w="60" w:type="dxa"/>
            </w:tcMar>
          </w:tcPr>
          <w:p w14:paraId="0F173390" w14:textId="77777777" w:rsidR="006561BA" w:rsidRDefault="006561BA">
            <w:pPr>
              <w:pStyle w:val="AnnexTableCellLeft"/>
              <w:jc w:val="center"/>
            </w:pPr>
          </w:p>
        </w:tc>
        <w:tc>
          <w:tcPr>
            <w:tcW w:w="1150" w:type="dxa"/>
            <w:tcMar>
              <w:top w:w="60" w:type="dxa"/>
              <w:bottom w:w="60" w:type="dxa"/>
            </w:tcMar>
          </w:tcPr>
          <w:p w14:paraId="0821C174" w14:textId="77777777" w:rsidR="006561BA" w:rsidRDefault="006561BA">
            <w:pPr>
              <w:pStyle w:val="AnnexTableCellLeft"/>
              <w:jc w:val="center"/>
            </w:pPr>
          </w:p>
        </w:tc>
        <w:tc>
          <w:tcPr>
            <w:tcW w:w="1126" w:type="dxa"/>
            <w:tcMar>
              <w:top w:w="60" w:type="dxa"/>
              <w:bottom w:w="60" w:type="dxa"/>
            </w:tcMar>
          </w:tcPr>
          <w:p w14:paraId="12074414" w14:textId="77777777" w:rsidR="006561BA" w:rsidRDefault="006561BA">
            <w:pPr>
              <w:pStyle w:val="AnnexTableCellLeft"/>
              <w:jc w:val="center"/>
            </w:pPr>
          </w:p>
        </w:tc>
        <w:tc>
          <w:tcPr>
            <w:tcW w:w="1138" w:type="dxa"/>
            <w:tcMar>
              <w:top w:w="60" w:type="dxa"/>
              <w:bottom w:w="60" w:type="dxa"/>
            </w:tcMar>
          </w:tcPr>
          <w:p w14:paraId="3BCB6AF0" w14:textId="77777777" w:rsidR="006561BA" w:rsidRDefault="006561BA">
            <w:pPr>
              <w:pStyle w:val="AnnexTableCellLeft"/>
              <w:jc w:val="center"/>
            </w:pPr>
          </w:p>
        </w:tc>
        <w:tc>
          <w:tcPr>
            <w:tcW w:w="1138" w:type="dxa"/>
            <w:tcMar>
              <w:top w:w="60" w:type="dxa"/>
              <w:bottom w:w="60" w:type="dxa"/>
            </w:tcMar>
          </w:tcPr>
          <w:p w14:paraId="05D25175" w14:textId="77777777" w:rsidR="006561BA" w:rsidRDefault="006561BA">
            <w:pPr>
              <w:pStyle w:val="AnnexTableCellLeft"/>
              <w:jc w:val="center"/>
            </w:pPr>
          </w:p>
        </w:tc>
        <w:tc>
          <w:tcPr>
            <w:tcW w:w="1138" w:type="dxa"/>
            <w:tcMar>
              <w:top w:w="60" w:type="dxa"/>
              <w:bottom w:w="60" w:type="dxa"/>
            </w:tcMar>
          </w:tcPr>
          <w:p w14:paraId="708BA7EE" w14:textId="77777777" w:rsidR="006561BA" w:rsidRDefault="006561BA">
            <w:pPr>
              <w:pStyle w:val="AnnexTableCellLeft"/>
              <w:jc w:val="center"/>
            </w:pPr>
          </w:p>
        </w:tc>
        <w:tc>
          <w:tcPr>
            <w:tcW w:w="1148" w:type="dxa"/>
            <w:tcMar>
              <w:top w:w="60" w:type="dxa"/>
              <w:bottom w:w="60" w:type="dxa"/>
            </w:tcMar>
          </w:tcPr>
          <w:p w14:paraId="38B638AB" w14:textId="77777777" w:rsidR="006561BA" w:rsidRDefault="006561BA">
            <w:pPr>
              <w:pStyle w:val="AnnexTableCellLeft"/>
              <w:jc w:val="center"/>
            </w:pPr>
          </w:p>
        </w:tc>
        <w:tc>
          <w:tcPr>
            <w:tcW w:w="1140" w:type="dxa"/>
            <w:tcMar>
              <w:top w:w="60" w:type="dxa"/>
              <w:bottom w:w="60" w:type="dxa"/>
              <w:right w:w="0" w:type="dxa"/>
            </w:tcMar>
          </w:tcPr>
          <w:p w14:paraId="41A8BE7B" w14:textId="77777777" w:rsidR="006561BA" w:rsidRDefault="006561BA">
            <w:pPr>
              <w:pStyle w:val="AnnexTableCellLeft"/>
              <w:jc w:val="center"/>
            </w:pPr>
          </w:p>
        </w:tc>
      </w:tr>
      <w:tr w:rsidR="006561BA" w14:paraId="262F9367" w14:textId="77777777">
        <w:tc>
          <w:tcPr>
            <w:tcW w:w="4063" w:type="dxa"/>
            <w:tcMar>
              <w:top w:w="60" w:type="dxa"/>
              <w:left w:w="0" w:type="dxa"/>
              <w:bottom w:w="60" w:type="dxa"/>
            </w:tcMar>
          </w:tcPr>
          <w:p w14:paraId="7B6A7972" w14:textId="77777777" w:rsidR="006561BA" w:rsidRDefault="005B4ED6">
            <w:pPr>
              <w:pStyle w:val="AnnexNumberedText"/>
              <w:tabs>
                <w:tab w:val="left" w:pos="437"/>
              </w:tabs>
              <w:spacing w:after="0"/>
              <w:ind w:left="0" w:firstLine="0"/>
            </w:pPr>
            <w:r>
              <w:t>A.2.</w:t>
            </w:r>
            <w:r>
              <w:rPr>
                <w:b/>
              </w:rPr>
              <w:tab/>
              <w:t>Skadeforsikrings- og gjenforsikringsvirksomhet knyttet til aktiviteter som er omfattet av taksonomien, men som ikke er miljømessig bærekraftige (ikke taksonomiforenlige aktiviteter)</w:t>
            </w:r>
          </w:p>
        </w:tc>
        <w:tc>
          <w:tcPr>
            <w:tcW w:w="1137" w:type="dxa"/>
            <w:tcMar>
              <w:top w:w="60" w:type="dxa"/>
              <w:bottom w:w="60" w:type="dxa"/>
            </w:tcMar>
          </w:tcPr>
          <w:p w14:paraId="3EC210B0" w14:textId="77777777" w:rsidR="006561BA" w:rsidRDefault="006561BA">
            <w:pPr>
              <w:pStyle w:val="AnnexTableCellLeft"/>
              <w:jc w:val="center"/>
            </w:pPr>
          </w:p>
        </w:tc>
        <w:tc>
          <w:tcPr>
            <w:tcW w:w="1138" w:type="dxa"/>
            <w:tcMar>
              <w:top w:w="60" w:type="dxa"/>
              <w:bottom w:w="60" w:type="dxa"/>
            </w:tcMar>
          </w:tcPr>
          <w:p w14:paraId="36070223" w14:textId="77777777" w:rsidR="006561BA" w:rsidRDefault="006561BA">
            <w:pPr>
              <w:pStyle w:val="AnnexTableCellLeft"/>
              <w:jc w:val="center"/>
            </w:pPr>
          </w:p>
        </w:tc>
        <w:tc>
          <w:tcPr>
            <w:tcW w:w="1150" w:type="dxa"/>
            <w:shd w:val="clear" w:color="auto" w:fill="auto"/>
            <w:tcMar>
              <w:top w:w="60" w:type="dxa"/>
              <w:bottom w:w="60" w:type="dxa"/>
            </w:tcMar>
          </w:tcPr>
          <w:p w14:paraId="45E9B628" w14:textId="77777777" w:rsidR="006561BA" w:rsidRDefault="006561BA">
            <w:pPr>
              <w:pStyle w:val="AnnexTableCellLeft"/>
              <w:jc w:val="center"/>
            </w:pPr>
          </w:p>
        </w:tc>
        <w:tc>
          <w:tcPr>
            <w:tcW w:w="1126" w:type="dxa"/>
            <w:shd w:val="clear" w:color="auto" w:fill="000000" w:themeFill="text1"/>
            <w:tcMar>
              <w:top w:w="60" w:type="dxa"/>
              <w:bottom w:w="60" w:type="dxa"/>
            </w:tcMar>
          </w:tcPr>
          <w:p w14:paraId="31FDF446" w14:textId="77777777" w:rsidR="006561BA" w:rsidRDefault="006561BA">
            <w:pPr>
              <w:pStyle w:val="AnnexTableCellLeft"/>
              <w:jc w:val="center"/>
            </w:pPr>
          </w:p>
        </w:tc>
        <w:tc>
          <w:tcPr>
            <w:tcW w:w="1138" w:type="dxa"/>
            <w:shd w:val="clear" w:color="auto" w:fill="000000" w:themeFill="text1"/>
            <w:tcMar>
              <w:top w:w="60" w:type="dxa"/>
              <w:bottom w:w="60" w:type="dxa"/>
            </w:tcMar>
          </w:tcPr>
          <w:p w14:paraId="7690EFCD" w14:textId="77777777" w:rsidR="006561BA" w:rsidRDefault="006561BA">
            <w:pPr>
              <w:pStyle w:val="AnnexTableCellLeft"/>
              <w:jc w:val="center"/>
            </w:pPr>
          </w:p>
        </w:tc>
        <w:tc>
          <w:tcPr>
            <w:tcW w:w="1138" w:type="dxa"/>
            <w:shd w:val="clear" w:color="auto" w:fill="000000" w:themeFill="text1"/>
            <w:tcMar>
              <w:top w:w="60" w:type="dxa"/>
              <w:bottom w:w="60" w:type="dxa"/>
            </w:tcMar>
          </w:tcPr>
          <w:p w14:paraId="314C8B87" w14:textId="77777777" w:rsidR="006561BA" w:rsidRDefault="006561BA">
            <w:pPr>
              <w:pStyle w:val="AnnexTableCellLeft"/>
              <w:jc w:val="center"/>
            </w:pPr>
          </w:p>
        </w:tc>
        <w:tc>
          <w:tcPr>
            <w:tcW w:w="1138" w:type="dxa"/>
            <w:shd w:val="clear" w:color="auto" w:fill="000000" w:themeFill="text1"/>
            <w:tcMar>
              <w:top w:w="60" w:type="dxa"/>
              <w:bottom w:w="60" w:type="dxa"/>
            </w:tcMar>
          </w:tcPr>
          <w:p w14:paraId="60917DDA" w14:textId="77777777" w:rsidR="006561BA" w:rsidRDefault="006561BA">
            <w:pPr>
              <w:pStyle w:val="AnnexTableCellLeft"/>
              <w:jc w:val="center"/>
            </w:pPr>
          </w:p>
        </w:tc>
        <w:tc>
          <w:tcPr>
            <w:tcW w:w="1148" w:type="dxa"/>
            <w:shd w:val="clear" w:color="auto" w:fill="000000" w:themeFill="text1"/>
            <w:tcMar>
              <w:top w:w="60" w:type="dxa"/>
              <w:bottom w:w="60" w:type="dxa"/>
            </w:tcMar>
          </w:tcPr>
          <w:p w14:paraId="4895FCCC" w14:textId="77777777" w:rsidR="006561BA" w:rsidRDefault="006561BA">
            <w:pPr>
              <w:pStyle w:val="AnnexTableCellLeft"/>
              <w:jc w:val="center"/>
            </w:pPr>
          </w:p>
        </w:tc>
        <w:tc>
          <w:tcPr>
            <w:tcW w:w="1140" w:type="dxa"/>
            <w:shd w:val="clear" w:color="auto" w:fill="000000" w:themeFill="text1"/>
            <w:tcMar>
              <w:top w:w="60" w:type="dxa"/>
              <w:bottom w:w="60" w:type="dxa"/>
              <w:right w:w="0" w:type="dxa"/>
            </w:tcMar>
          </w:tcPr>
          <w:p w14:paraId="3D0FE777" w14:textId="77777777" w:rsidR="006561BA" w:rsidRDefault="006561BA">
            <w:pPr>
              <w:pStyle w:val="AnnexTableCellLeft"/>
              <w:jc w:val="center"/>
            </w:pPr>
          </w:p>
        </w:tc>
      </w:tr>
      <w:tr w:rsidR="006561BA" w14:paraId="5CCE15AA" w14:textId="77777777">
        <w:tc>
          <w:tcPr>
            <w:tcW w:w="4063" w:type="dxa"/>
            <w:tcMar>
              <w:top w:w="60" w:type="dxa"/>
              <w:left w:w="0" w:type="dxa"/>
              <w:bottom w:w="60" w:type="dxa"/>
            </w:tcMar>
          </w:tcPr>
          <w:p w14:paraId="0A36A1B9" w14:textId="77777777" w:rsidR="006561BA" w:rsidRDefault="005B4ED6">
            <w:pPr>
              <w:pStyle w:val="AnnexNumberedText"/>
              <w:tabs>
                <w:tab w:val="left" w:pos="252"/>
              </w:tabs>
              <w:spacing w:after="0"/>
              <w:ind w:left="0" w:firstLine="0"/>
            </w:pPr>
            <w:r>
              <w:t>B.</w:t>
            </w:r>
            <w:r>
              <w:rPr>
                <w:b/>
              </w:rPr>
              <w:tab/>
              <w:t>Skadeforsikrings- og gjenforsikringsvirksomhet knyttet til aktiviteter som ikke er omfattet av taksonomien</w:t>
            </w:r>
          </w:p>
        </w:tc>
        <w:tc>
          <w:tcPr>
            <w:tcW w:w="1137" w:type="dxa"/>
            <w:tcMar>
              <w:top w:w="60" w:type="dxa"/>
              <w:bottom w:w="60" w:type="dxa"/>
            </w:tcMar>
          </w:tcPr>
          <w:p w14:paraId="6CE6FEBC" w14:textId="77777777" w:rsidR="006561BA" w:rsidRDefault="006561BA">
            <w:pPr>
              <w:pStyle w:val="AnnexTableCellLeft"/>
              <w:jc w:val="center"/>
            </w:pPr>
          </w:p>
        </w:tc>
        <w:tc>
          <w:tcPr>
            <w:tcW w:w="1138" w:type="dxa"/>
            <w:shd w:val="clear" w:color="auto" w:fill="auto"/>
            <w:tcMar>
              <w:top w:w="60" w:type="dxa"/>
              <w:bottom w:w="60" w:type="dxa"/>
            </w:tcMar>
          </w:tcPr>
          <w:p w14:paraId="74C76BE7" w14:textId="77777777" w:rsidR="006561BA" w:rsidRDefault="006561BA">
            <w:pPr>
              <w:pStyle w:val="AnnexTableCellLeft"/>
              <w:jc w:val="center"/>
            </w:pPr>
          </w:p>
        </w:tc>
        <w:tc>
          <w:tcPr>
            <w:tcW w:w="1150" w:type="dxa"/>
            <w:shd w:val="clear" w:color="auto" w:fill="auto"/>
            <w:tcMar>
              <w:top w:w="60" w:type="dxa"/>
              <w:bottom w:w="60" w:type="dxa"/>
            </w:tcMar>
          </w:tcPr>
          <w:p w14:paraId="218375A1" w14:textId="77777777" w:rsidR="006561BA" w:rsidRDefault="006561BA">
            <w:pPr>
              <w:pStyle w:val="AnnexTableCellLeft"/>
              <w:jc w:val="center"/>
            </w:pPr>
          </w:p>
        </w:tc>
        <w:tc>
          <w:tcPr>
            <w:tcW w:w="1126" w:type="dxa"/>
            <w:shd w:val="clear" w:color="auto" w:fill="000000" w:themeFill="text1"/>
            <w:tcMar>
              <w:top w:w="60" w:type="dxa"/>
              <w:bottom w:w="60" w:type="dxa"/>
            </w:tcMar>
          </w:tcPr>
          <w:p w14:paraId="4B446CF1" w14:textId="77777777" w:rsidR="006561BA" w:rsidRDefault="006561BA">
            <w:pPr>
              <w:pStyle w:val="AnnexTableCellLeft"/>
              <w:jc w:val="center"/>
            </w:pPr>
          </w:p>
        </w:tc>
        <w:tc>
          <w:tcPr>
            <w:tcW w:w="1138" w:type="dxa"/>
            <w:shd w:val="clear" w:color="auto" w:fill="000000" w:themeFill="text1"/>
            <w:tcMar>
              <w:top w:w="60" w:type="dxa"/>
              <w:bottom w:w="60" w:type="dxa"/>
              <w:right w:w="0" w:type="dxa"/>
            </w:tcMar>
          </w:tcPr>
          <w:p w14:paraId="1B143005" w14:textId="77777777" w:rsidR="006561BA" w:rsidRDefault="006561BA">
            <w:pPr>
              <w:pStyle w:val="AnnexTableCellLeft"/>
              <w:jc w:val="center"/>
            </w:pPr>
          </w:p>
        </w:tc>
        <w:tc>
          <w:tcPr>
            <w:tcW w:w="1138" w:type="dxa"/>
            <w:shd w:val="clear" w:color="auto" w:fill="000000" w:themeFill="text1"/>
          </w:tcPr>
          <w:p w14:paraId="7082FAD1" w14:textId="77777777" w:rsidR="006561BA" w:rsidRDefault="006561BA">
            <w:pPr>
              <w:pStyle w:val="AnnexTableCellLeft"/>
              <w:jc w:val="center"/>
            </w:pPr>
          </w:p>
        </w:tc>
        <w:tc>
          <w:tcPr>
            <w:tcW w:w="1138" w:type="dxa"/>
            <w:shd w:val="clear" w:color="auto" w:fill="000000" w:themeFill="text1"/>
          </w:tcPr>
          <w:p w14:paraId="6BDD1D4F" w14:textId="77777777" w:rsidR="006561BA" w:rsidRDefault="006561BA">
            <w:pPr>
              <w:pStyle w:val="AnnexTableCellLeft"/>
              <w:jc w:val="center"/>
            </w:pPr>
          </w:p>
        </w:tc>
        <w:tc>
          <w:tcPr>
            <w:tcW w:w="1148" w:type="dxa"/>
            <w:shd w:val="clear" w:color="auto" w:fill="000000" w:themeFill="text1"/>
          </w:tcPr>
          <w:p w14:paraId="1CBA436E" w14:textId="77777777" w:rsidR="006561BA" w:rsidRDefault="006561BA">
            <w:pPr>
              <w:pStyle w:val="AnnexTableCellLeft"/>
              <w:jc w:val="center"/>
            </w:pPr>
          </w:p>
        </w:tc>
        <w:tc>
          <w:tcPr>
            <w:tcW w:w="1140" w:type="dxa"/>
            <w:shd w:val="clear" w:color="auto" w:fill="000000" w:themeFill="text1"/>
          </w:tcPr>
          <w:p w14:paraId="30B9A3CF" w14:textId="77777777" w:rsidR="006561BA" w:rsidRDefault="006561BA">
            <w:pPr>
              <w:pStyle w:val="AnnexTableCellLeft"/>
              <w:jc w:val="center"/>
            </w:pPr>
          </w:p>
        </w:tc>
      </w:tr>
      <w:tr w:rsidR="006561BA" w14:paraId="52264A35" w14:textId="77777777">
        <w:tc>
          <w:tcPr>
            <w:tcW w:w="4063" w:type="dxa"/>
            <w:tcMar>
              <w:top w:w="60" w:type="dxa"/>
              <w:left w:w="0" w:type="dxa"/>
              <w:bottom w:w="60" w:type="dxa"/>
            </w:tcMar>
          </w:tcPr>
          <w:p w14:paraId="6921EFF3" w14:textId="77777777" w:rsidR="006561BA" w:rsidRDefault="005B4ED6">
            <w:pPr>
              <w:pStyle w:val="AnnexTableCellLeft"/>
            </w:pPr>
            <w:r>
              <w:rPr>
                <w:b/>
              </w:rPr>
              <w:t>Sum (A.1 + A.2 B)</w:t>
            </w:r>
          </w:p>
        </w:tc>
        <w:tc>
          <w:tcPr>
            <w:tcW w:w="1137" w:type="dxa"/>
            <w:tcMar>
              <w:top w:w="60" w:type="dxa"/>
              <w:bottom w:w="60" w:type="dxa"/>
            </w:tcMar>
          </w:tcPr>
          <w:p w14:paraId="55FF2B45" w14:textId="77777777" w:rsidR="006561BA" w:rsidRDefault="006561BA">
            <w:pPr>
              <w:pStyle w:val="AnnexTableCellLeft"/>
              <w:jc w:val="center"/>
            </w:pPr>
          </w:p>
        </w:tc>
        <w:tc>
          <w:tcPr>
            <w:tcW w:w="1138" w:type="dxa"/>
            <w:tcMar>
              <w:top w:w="60" w:type="dxa"/>
              <w:bottom w:w="60" w:type="dxa"/>
            </w:tcMar>
          </w:tcPr>
          <w:p w14:paraId="392BE8C8" w14:textId="77777777" w:rsidR="006561BA" w:rsidRDefault="005B4ED6">
            <w:pPr>
              <w:pStyle w:val="AnnexTableCellLeft"/>
              <w:jc w:val="center"/>
            </w:pPr>
            <w:r>
              <w:rPr>
                <w:b/>
              </w:rPr>
              <w:t>100 %</w:t>
            </w:r>
          </w:p>
        </w:tc>
        <w:tc>
          <w:tcPr>
            <w:tcW w:w="1150" w:type="dxa"/>
            <w:shd w:val="clear" w:color="auto" w:fill="auto"/>
            <w:tcMar>
              <w:top w:w="60" w:type="dxa"/>
              <w:bottom w:w="60" w:type="dxa"/>
            </w:tcMar>
          </w:tcPr>
          <w:p w14:paraId="648E1E04" w14:textId="77777777" w:rsidR="006561BA" w:rsidRDefault="005B4ED6">
            <w:pPr>
              <w:pStyle w:val="AnnexTableCellLeft"/>
              <w:jc w:val="center"/>
            </w:pPr>
            <w:r>
              <w:rPr>
                <w:b/>
              </w:rPr>
              <w:t>100 %</w:t>
            </w:r>
          </w:p>
        </w:tc>
        <w:tc>
          <w:tcPr>
            <w:tcW w:w="1126" w:type="dxa"/>
            <w:shd w:val="clear" w:color="auto" w:fill="000000" w:themeFill="text1"/>
            <w:tcMar>
              <w:top w:w="60" w:type="dxa"/>
              <w:bottom w:w="60" w:type="dxa"/>
            </w:tcMar>
          </w:tcPr>
          <w:p w14:paraId="3B2265BB" w14:textId="77777777" w:rsidR="006561BA" w:rsidRDefault="006561BA">
            <w:pPr>
              <w:pStyle w:val="AnnexTableCellLeft"/>
              <w:jc w:val="center"/>
            </w:pPr>
          </w:p>
        </w:tc>
        <w:tc>
          <w:tcPr>
            <w:tcW w:w="1138" w:type="dxa"/>
            <w:shd w:val="clear" w:color="auto" w:fill="000000" w:themeFill="text1"/>
            <w:tcMar>
              <w:top w:w="60" w:type="dxa"/>
              <w:bottom w:w="60" w:type="dxa"/>
            </w:tcMar>
          </w:tcPr>
          <w:p w14:paraId="31A58E73" w14:textId="77777777" w:rsidR="006561BA" w:rsidRDefault="006561BA">
            <w:pPr>
              <w:pStyle w:val="AnnexTableCellLeft"/>
              <w:jc w:val="center"/>
            </w:pPr>
          </w:p>
        </w:tc>
        <w:tc>
          <w:tcPr>
            <w:tcW w:w="1138" w:type="dxa"/>
            <w:shd w:val="clear" w:color="auto" w:fill="000000" w:themeFill="text1"/>
            <w:tcMar>
              <w:top w:w="60" w:type="dxa"/>
              <w:bottom w:w="60" w:type="dxa"/>
            </w:tcMar>
          </w:tcPr>
          <w:p w14:paraId="3756B19D" w14:textId="77777777" w:rsidR="006561BA" w:rsidRDefault="006561BA">
            <w:pPr>
              <w:pStyle w:val="AnnexTableCellLeft"/>
              <w:jc w:val="center"/>
            </w:pPr>
          </w:p>
        </w:tc>
        <w:tc>
          <w:tcPr>
            <w:tcW w:w="1138" w:type="dxa"/>
            <w:shd w:val="clear" w:color="auto" w:fill="000000" w:themeFill="text1"/>
            <w:tcMar>
              <w:top w:w="60" w:type="dxa"/>
              <w:bottom w:w="60" w:type="dxa"/>
            </w:tcMar>
          </w:tcPr>
          <w:p w14:paraId="13E893BA" w14:textId="77777777" w:rsidR="006561BA" w:rsidRDefault="006561BA">
            <w:pPr>
              <w:pStyle w:val="AnnexTableCellLeft"/>
              <w:jc w:val="center"/>
            </w:pPr>
          </w:p>
        </w:tc>
        <w:tc>
          <w:tcPr>
            <w:tcW w:w="1148" w:type="dxa"/>
            <w:shd w:val="clear" w:color="auto" w:fill="000000" w:themeFill="text1"/>
            <w:tcMar>
              <w:top w:w="60" w:type="dxa"/>
              <w:bottom w:w="60" w:type="dxa"/>
            </w:tcMar>
          </w:tcPr>
          <w:p w14:paraId="5C78092E" w14:textId="77777777" w:rsidR="006561BA" w:rsidRDefault="006561BA">
            <w:pPr>
              <w:pStyle w:val="AnnexTableCellLeft"/>
              <w:jc w:val="center"/>
            </w:pPr>
          </w:p>
        </w:tc>
        <w:tc>
          <w:tcPr>
            <w:tcW w:w="1140" w:type="dxa"/>
            <w:shd w:val="clear" w:color="auto" w:fill="000000" w:themeFill="text1"/>
            <w:tcMar>
              <w:top w:w="60" w:type="dxa"/>
              <w:bottom w:w="60" w:type="dxa"/>
              <w:right w:w="0" w:type="dxa"/>
            </w:tcMar>
          </w:tcPr>
          <w:p w14:paraId="040515E9" w14:textId="77777777" w:rsidR="006561BA" w:rsidRDefault="006561BA">
            <w:pPr>
              <w:pStyle w:val="AnnexTableCellLeft"/>
              <w:jc w:val="center"/>
            </w:pPr>
          </w:p>
        </w:tc>
      </w:tr>
      <w:tr w:rsidR="006561BA" w14:paraId="454FD29E" w14:textId="77777777">
        <w:tc>
          <w:tcPr>
            <w:tcW w:w="14316" w:type="dxa"/>
            <w:gridSpan w:val="10"/>
            <w:tcMar>
              <w:top w:w="60" w:type="dxa"/>
              <w:left w:w="0" w:type="dxa"/>
              <w:bottom w:w="60" w:type="dxa"/>
              <w:right w:w="0" w:type="dxa"/>
            </w:tcMar>
          </w:tcPr>
          <w:p w14:paraId="21F9C6CC" w14:textId="77777777" w:rsidR="006561BA" w:rsidRDefault="005B4ED6">
            <w:pPr>
              <w:pStyle w:val="Para"/>
              <w:spacing w:line="200" w:lineRule="exact"/>
              <w:rPr>
                <w:sz w:val="16"/>
              </w:rPr>
            </w:pPr>
            <w:r>
              <w:rPr>
                <w:sz w:val="16"/>
              </w:rPr>
              <w:t>«Premier» i kolonne (2) og (3) skal rapporteres som tegnede bruttopremier eller eventuelt omsetning som knytter seg til skadeforsikrings- eller gjenforsikringsvirksomhet.</w:t>
            </w:r>
          </w:p>
          <w:p w14:paraId="064C3709" w14:textId="77777777" w:rsidR="006561BA" w:rsidRDefault="005B4ED6">
            <w:pPr>
              <w:pStyle w:val="Para"/>
              <w:spacing w:line="200" w:lineRule="exact"/>
              <w:rPr>
                <w:sz w:val="16"/>
              </w:rPr>
            </w:pPr>
            <w:r>
              <w:rPr>
                <w:sz w:val="16"/>
              </w:rPr>
              <w:t>Opplysningene i kolonne (4) skal rapporteres fra og med år 2024.</w:t>
            </w:r>
          </w:p>
          <w:p w14:paraId="34E80D37" w14:textId="77777777" w:rsidR="006561BA" w:rsidRDefault="005B4ED6">
            <w:pPr>
              <w:pStyle w:val="Para"/>
              <w:spacing w:line="200" w:lineRule="exact"/>
              <w:rPr>
                <w:sz w:val="16"/>
              </w:rPr>
            </w:pPr>
            <w:r>
              <w:rPr>
                <w:sz w:val="16"/>
              </w:rPr>
              <w:t>Skadeforsikring og gjenforsikring kan bare oppfylle kravene i forordning (EU) 2020/852 dersom aktiviteten muliggjør tilpasning til klimaendringer».</w:t>
            </w:r>
          </w:p>
        </w:tc>
      </w:tr>
    </w:tbl>
    <w:p w14:paraId="224FD6DC" w14:textId="77777777" w:rsidR="006561BA" w:rsidRDefault="006561BA">
      <w:pPr>
        <w:pStyle w:val="AnnexNumberedText"/>
        <w:ind w:left="383" w:hanging="383"/>
      </w:pPr>
    </w:p>
    <w:p w14:paraId="6BF27921" w14:textId="77777777" w:rsidR="006561BA" w:rsidRDefault="006561BA">
      <w:pPr>
        <w:pStyle w:val="AnnexNumberedText"/>
        <w:ind w:left="383" w:hanging="383"/>
        <w:sectPr w:rsidR="006561BA" w:rsidSect="000D3D55">
          <w:footnotePr>
            <w:pos w:val="beneathText"/>
            <w:numRestart w:val="eachPage"/>
          </w:footnotePr>
          <w:pgSz w:w="16838" w:h="11906" w:orient="landscape" w:code="9"/>
          <w:pgMar w:top="1120" w:right="1680" w:bottom="1120" w:left="840" w:header="920" w:footer="280" w:gutter="0"/>
          <w:cols w:space="708"/>
          <w:docGrid w:linePitch="360"/>
        </w:sectPr>
      </w:pPr>
    </w:p>
    <w:p w14:paraId="501DE491" w14:textId="77777777" w:rsidR="006561BA" w:rsidRDefault="005B4ED6">
      <w:pPr>
        <w:pStyle w:val="AnnexNumberedText"/>
        <w:spacing w:after="300"/>
        <w:ind w:left="383" w:hanging="383"/>
      </w:pPr>
      <w:r>
        <w:lastRenderedPageBreak/>
        <w:t>11)</w:t>
      </w:r>
      <w:r>
        <w:tab/>
        <w:t xml:space="preserve">I vedlegg </w:t>
      </w:r>
      <w:proofErr w:type="spellStart"/>
      <w:r>
        <w:t>X</w:t>
      </w:r>
      <w:proofErr w:type="spellEnd"/>
      <w:r>
        <w:t>, i den andre malen, i avsnittet «Spesifikasjon av telleren i KPI-en etter miljømål» utgår «Omstillingsaktiviteter»: A % (Omsetning, investeringsutgifter)» fra rad 2)–6).</w:t>
      </w:r>
    </w:p>
    <w:p w14:paraId="25D67900" w14:textId="77777777" w:rsidR="006561BA" w:rsidRDefault="005B4ED6">
      <w:pPr>
        <w:pStyle w:val="AnnexNumberedText"/>
        <w:spacing w:after="200"/>
        <w:ind w:left="383" w:hanging="383"/>
      </w:pPr>
      <w:r>
        <w:t>12)</w:t>
      </w:r>
      <w:r>
        <w:tab/>
        <w:t>I vedlegg </w:t>
      </w:r>
      <w:proofErr w:type="spellStart"/>
      <w:r>
        <w:t>X</w:t>
      </w:r>
      <w:proofErr w:type="spellEnd"/>
      <w:r>
        <w:t>, i den andre malen, skal åttende rad erstattes med følgende:</w:t>
      </w:r>
    </w:p>
    <w:tbl>
      <w:tblPr>
        <w:tblStyle w:val="EFTATable"/>
        <w:tblW w:w="8856" w:type="dxa"/>
        <w:tblInd w:w="383" w:type="dxa"/>
        <w:tblLayout w:type="fixed"/>
        <w:tblLook w:val="04A0" w:firstRow="1" w:lastRow="0" w:firstColumn="1" w:lastColumn="0" w:noHBand="0" w:noVBand="1"/>
      </w:tblPr>
      <w:tblGrid>
        <w:gridCol w:w="4428"/>
        <w:gridCol w:w="4428"/>
      </w:tblGrid>
      <w:tr w:rsidR="006561BA" w14:paraId="1F3526A1" w14:textId="77777777">
        <w:trPr>
          <w:trHeight w:val="240"/>
        </w:trPr>
        <w:tc>
          <w:tcPr>
            <w:tcW w:w="4428" w:type="dxa"/>
            <w:vMerge w:val="restart"/>
            <w:tcMar>
              <w:top w:w="60" w:type="dxa"/>
              <w:left w:w="0" w:type="dxa"/>
              <w:bottom w:w="60" w:type="dxa"/>
            </w:tcMar>
          </w:tcPr>
          <w:p w14:paraId="2FECC52D" w14:textId="77777777" w:rsidR="006561BA" w:rsidRDefault="005B4ED6">
            <w:pPr>
              <w:pStyle w:val="AnnexTableCellLeft"/>
              <w:spacing w:after="120"/>
            </w:pPr>
            <w:r>
              <w:t xml:space="preserve">«Andelen </w:t>
            </w:r>
            <w:r>
              <w:rPr>
                <w:b/>
              </w:rPr>
              <w:t>eksponeringer mot andre motparter og eiendeler</w:t>
            </w:r>
            <w:r>
              <w:t xml:space="preserve"> i forhold til de samlede eiendelene som dekkes av KPI-en:</w:t>
            </w:r>
          </w:p>
          <w:p w14:paraId="29551076" w14:textId="77777777" w:rsidR="006561BA" w:rsidRDefault="005B4ED6">
            <w:pPr>
              <w:pStyle w:val="AnnexTableCellLeft"/>
            </w:pPr>
            <w:proofErr w:type="spellStart"/>
            <w:r>
              <w:t>X</w:t>
            </w:r>
            <w:proofErr w:type="spellEnd"/>
            <w:r>
              <w:t> %</w:t>
            </w:r>
          </w:p>
        </w:tc>
        <w:tc>
          <w:tcPr>
            <w:tcW w:w="4428" w:type="dxa"/>
            <w:vMerge w:val="restart"/>
            <w:tcMar>
              <w:top w:w="60" w:type="dxa"/>
              <w:bottom w:w="60" w:type="dxa"/>
              <w:right w:w="0" w:type="dxa"/>
            </w:tcMar>
          </w:tcPr>
          <w:p w14:paraId="3F6552CA" w14:textId="77777777" w:rsidR="006561BA" w:rsidRDefault="005B4ED6">
            <w:pPr>
              <w:pStyle w:val="AnnexTableCellLeft"/>
              <w:spacing w:after="120"/>
            </w:pPr>
            <w:r>
              <w:t xml:space="preserve">Verdien av </w:t>
            </w:r>
            <w:r>
              <w:rPr>
                <w:b/>
              </w:rPr>
              <w:t>eksponeringer mot andre motparter</w:t>
            </w:r>
            <w:r>
              <w:rPr>
                <w:b/>
                <w:bCs/>
              </w:rPr>
              <w:t xml:space="preserve"> og eiendeler</w:t>
            </w:r>
            <w:r>
              <w:t>:</w:t>
            </w:r>
          </w:p>
          <w:p w14:paraId="2D25D3A5" w14:textId="77777777" w:rsidR="006561BA" w:rsidRDefault="005B4ED6">
            <w:pPr>
              <w:pStyle w:val="AnnexTableCellLeft"/>
            </w:pPr>
            <w:r>
              <w:t>[pengebeløp]»</w:t>
            </w:r>
          </w:p>
        </w:tc>
      </w:tr>
    </w:tbl>
    <w:p w14:paraId="55179F1E" w14:textId="77777777" w:rsidR="006561BA" w:rsidRDefault="005B4ED6">
      <w:pPr>
        <w:pStyle w:val="AnnexNumberedText"/>
        <w:spacing w:before="300" w:after="200"/>
        <w:ind w:left="383" w:hanging="383"/>
      </w:pPr>
      <w:r>
        <w:t>13)</w:t>
      </w:r>
      <w:r>
        <w:tab/>
        <w:t>I vedlegg </w:t>
      </w:r>
      <w:proofErr w:type="spellStart"/>
      <w:r>
        <w:t>X</w:t>
      </w:r>
      <w:proofErr w:type="spellEnd"/>
      <w:r>
        <w:t>, i den andre malen, skal femtende rad erstattes med følgende:</w:t>
      </w:r>
    </w:p>
    <w:tbl>
      <w:tblPr>
        <w:tblStyle w:val="EFTATable"/>
        <w:tblW w:w="8856" w:type="dxa"/>
        <w:tblInd w:w="383" w:type="dxa"/>
        <w:tblLayout w:type="fixed"/>
        <w:tblLook w:val="04A0" w:firstRow="1" w:lastRow="0" w:firstColumn="1" w:lastColumn="0" w:noHBand="0" w:noVBand="1"/>
      </w:tblPr>
      <w:tblGrid>
        <w:gridCol w:w="4428"/>
        <w:gridCol w:w="4428"/>
      </w:tblGrid>
      <w:tr w:rsidR="006561BA" w14:paraId="06081018" w14:textId="77777777">
        <w:trPr>
          <w:trHeight w:val="240"/>
        </w:trPr>
        <w:tc>
          <w:tcPr>
            <w:tcW w:w="4428" w:type="dxa"/>
            <w:vMerge w:val="restart"/>
            <w:tcMar>
              <w:top w:w="60" w:type="dxa"/>
              <w:left w:w="0" w:type="dxa"/>
              <w:bottom w:w="60" w:type="dxa"/>
            </w:tcMar>
          </w:tcPr>
          <w:p w14:paraId="06401752" w14:textId="77777777" w:rsidR="006561BA" w:rsidRDefault="005B4ED6">
            <w:pPr>
              <w:pStyle w:val="AnnexTableCellLeft"/>
              <w:spacing w:after="120"/>
            </w:pPr>
            <w:r>
              <w:t xml:space="preserve">«Andelen </w:t>
            </w:r>
            <w:r>
              <w:rPr>
                <w:b/>
              </w:rPr>
              <w:t>taksonomiforenlige eksponeringer mot andre motparter</w:t>
            </w:r>
            <w:r>
              <w:rPr>
                <w:b/>
                <w:bCs/>
              </w:rPr>
              <w:t xml:space="preserve"> og eiendeler</w:t>
            </w:r>
            <w:r>
              <w:t xml:space="preserve"> i forhold til de samlede eiendelene som dekkes av KPI-en:</w:t>
            </w:r>
          </w:p>
          <w:p w14:paraId="63CB5AF6" w14:textId="77777777" w:rsidR="006561BA" w:rsidRDefault="005B4ED6">
            <w:pPr>
              <w:pStyle w:val="AnnexTableCellLeft"/>
              <w:spacing w:after="120"/>
            </w:pPr>
            <w:r>
              <w:t>Basert på omsetning: %</w:t>
            </w:r>
          </w:p>
          <w:p w14:paraId="0B6D75B9" w14:textId="77777777" w:rsidR="006561BA" w:rsidRDefault="005B4ED6">
            <w:pPr>
              <w:pStyle w:val="AnnexTableCellLeft"/>
            </w:pPr>
            <w:r>
              <w:t>Basert på investeringsutgifter: %</w:t>
            </w:r>
          </w:p>
        </w:tc>
        <w:tc>
          <w:tcPr>
            <w:tcW w:w="4428" w:type="dxa"/>
            <w:vMerge w:val="restart"/>
            <w:tcMar>
              <w:top w:w="60" w:type="dxa"/>
              <w:bottom w:w="60" w:type="dxa"/>
              <w:right w:w="0" w:type="dxa"/>
            </w:tcMar>
          </w:tcPr>
          <w:p w14:paraId="0149F255" w14:textId="77777777" w:rsidR="006561BA" w:rsidRDefault="005B4ED6">
            <w:pPr>
              <w:pStyle w:val="AnnexTableCellLeft"/>
              <w:spacing w:after="120"/>
            </w:pPr>
            <w:r>
              <w:t xml:space="preserve">Verdien av </w:t>
            </w:r>
            <w:r>
              <w:rPr>
                <w:b/>
              </w:rPr>
              <w:t>taksonomiforenlige eksponeringer mot andre motparter og eiendeler</w:t>
            </w:r>
            <w:r>
              <w:t xml:space="preserve"> i forhold til de samlede eiendelene som dekkes av KPI-en:</w:t>
            </w:r>
          </w:p>
          <w:p w14:paraId="0CE25C3B" w14:textId="77777777" w:rsidR="006561BA" w:rsidRDefault="005B4ED6">
            <w:pPr>
              <w:pStyle w:val="AnnexTableCellLeft"/>
              <w:spacing w:after="120"/>
            </w:pPr>
            <w:r>
              <w:t>Basert på omsetning: [pengebeløp]</w:t>
            </w:r>
          </w:p>
          <w:p w14:paraId="62F9037F" w14:textId="77777777" w:rsidR="006561BA" w:rsidRDefault="005B4ED6">
            <w:pPr>
              <w:pStyle w:val="AnnexTableCellLeft"/>
            </w:pPr>
            <w:r>
              <w:t>Basert på investeringsutgifter: [pengebeløp]»</w:t>
            </w:r>
          </w:p>
        </w:tc>
      </w:tr>
    </w:tbl>
    <w:p w14:paraId="7E5E288E" w14:textId="77777777" w:rsidR="006561BA" w:rsidRDefault="006561BA">
      <w:pPr>
        <w:pStyle w:val="AnnexTI"/>
        <w:rPr>
          <w:i w:val="0"/>
          <w:sz w:val="18"/>
        </w:rPr>
      </w:pPr>
    </w:p>
    <w:p w14:paraId="7D46C67E" w14:textId="77777777" w:rsidR="006561BA" w:rsidRDefault="006561BA">
      <w:pPr>
        <w:pStyle w:val="AnnexTI"/>
        <w:sectPr w:rsidR="006561BA" w:rsidSect="000D3D55">
          <w:footnotePr>
            <w:pos w:val="beneathText"/>
            <w:numRestart w:val="eachPage"/>
          </w:footnotePr>
          <w:pgSz w:w="11906" w:h="16838" w:code="9"/>
          <w:pgMar w:top="1680" w:right="1333" w:bottom="840" w:left="1333" w:header="920" w:footer="280" w:gutter="0"/>
          <w:cols w:space="708"/>
          <w:docGrid w:linePitch="360"/>
        </w:sectPr>
      </w:pPr>
    </w:p>
    <w:p w14:paraId="1F39DA2B" w14:textId="77777777" w:rsidR="006561BA" w:rsidRDefault="005B4ED6">
      <w:pPr>
        <w:pStyle w:val="AnnexTI"/>
        <w:spacing w:after="360"/>
      </w:pPr>
      <w:r>
        <w:lastRenderedPageBreak/>
        <w:t>VEDLEGG VI</w:t>
      </w:r>
    </w:p>
    <w:p w14:paraId="097369FB" w14:textId="77777777" w:rsidR="006561BA" w:rsidRDefault="005B4ED6">
      <w:pPr>
        <w:pStyle w:val="AnnexTI"/>
        <w:spacing w:after="360"/>
      </w:pPr>
      <w:r>
        <w:t>«VEDLEGG VI</w:t>
      </w:r>
    </w:p>
    <w:p w14:paraId="2BB58B2A" w14:textId="77777777" w:rsidR="006561BA" w:rsidRDefault="005B4ED6">
      <w:pPr>
        <w:pStyle w:val="AnnexSTI"/>
        <w:spacing w:after="200"/>
      </w:pPr>
      <w:r>
        <w:t>Mal for kredittinstitusjoners KPI-er</w:t>
      </w:r>
    </w:p>
    <w:tbl>
      <w:tblPr>
        <w:tblStyle w:val="EFTATable"/>
        <w:tblW w:w="14304" w:type="dxa"/>
        <w:tblInd w:w="12" w:type="dxa"/>
        <w:tblLayout w:type="fixed"/>
        <w:tblLook w:val="04A0" w:firstRow="1" w:lastRow="0" w:firstColumn="1" w:lastColumn="0" w:noHBand="0" w:noVBand="1"/>
      </w:tblPr>
      <w:tblGrid>
        <w:gridCol w:w="1152"/>
        <w:gridCol w:w="13152"/>
      </w:tblGrid>
      <w:tr w:rsidR="006561BA" w14:paraId="0D7D7A19" w14:textId="77777777">
        <w:trPr>
          <w:trHeight w:val="240"/>
          <w:tblHeader/>
        </w:trPr>
        <w:tc>
          <w:tcPr>
            <w:tcW w:w="1152" w:type="dxa"/>
            <w:shd w:val="clear" w:color="auto" w:fill="F2F2F2"/>
            <w:tcMar>
              <w:top w:w="60" w:type="dxa"/>
              <w:left w:w="0" w:type="dxa"/>
              <w:bottom w:w="60" w:type="dxa"/>
            </w:tcMar>
            <w:vAlign w:val="center"/>
          </w:tcPr>
          <w:p w14:paraId="6EA8A0F3" w14:textId="77777777" w:rsidR="006561BA" w:rsidRDefault="005B4ED6">
            <w:pPr>
              <w:pStyle w:val="AnnexTableHeader"/>
              <w:spacing w:line="200" w:lineRule="exact"/>
            </w:pPr>
            <w:r>
              <w:rPr>
                <w:b/>
              </w:rPr>
              <w:t>Mal nr.</w:t>
            </w:r>
          </w:p>
        </w:tc>
        <w:tc>
          <w:tcPr>
            <w:tcW w:w="13152" w:type="dxa"/>
            <w:shd w:val="clear" w:color="auto" w:fill="F2F2F2"/>
            <w:tcMar>
              <w:top w:w="60" w:type="dxa"/>
              <w:bottom w:w="60" w:type="dxa"/>
              <w:right w:w="0" w:type="dxa"/>
            </w:tcMar>
            <w:vAlign w:val="center"/>
          </w:tcPr>
          <w:p w14:paraId="56336A2F" w14:textId="77777777" w:rsidR="006561BA" w:rsidRDefault="005B4ED6">
            <w:pPr>
              <w:pStyle w:val="AnnexTableHeader"/>
              <w:spacing w:line="200" w:lineRule="exact"/>
            </w:pPr>
            <w:r>
              <w:rPr>
                <w:b/>
              </w:rPr>
              <w:t>Betegnelse</w:t>
            </w:r>
          </w:p>
        </w:tc>
      </w:tr>
      <w:tr w:rsidR="006561BA" w14:paraId="29354215" w14:textId="77777777">
        <w:trPr>
          <w:trHeight w:val="240"/>
        </w:trPr>
        <w:tc>
          <w:tcPr>
            <w:tcW w:w="1152" w:type="dxa"/>
            <w:tcMar>
              <w:top w:w="60" w:type="dxa"/>
              <w:left w:w="0" w:type="dxa"/>
              <w:bottom w:w="60" w:type="dxa"/>
            </w:tcMar>
          </w:tcPr>
          <w:p w14:paraId="21C1CF93" w14:textId="77777777" w:rsidR="006561BA" w:rsidRDefault="005B4ED6">
            <w:pPr>
              <w:pStyle w:val="AnnexTableCellLeft"/>
              <w:jc w:val="center"/>
            </w:pPr>
            <w:r>
              <w:t>0</w:t>
            </w:r>
          </w:p>
        </w:tc>
        <w:tc>
          <w:tcPr>
            <w:tcW w:w="13152" w:type="dxa"/>
            <w:tcMar>
              <w:top w:w="60" w:type="dxa"/>
              <w:bottom w:w="60" w:type="dxa"/>
              <w:right w:w="0" w:type="dxa"/>
            </w:tcMar>
          </w:tcPr>
          <w:p w14:paraId="2345009D" w14:textId="77777777" w:rsidR="006561BA" w:rsidRDefault="005B4ED6">
            <w:pPr>
              <w:pStyle w:val="AnnexTableCellLeft"/>
            </w:pPr>
            <w:r>
              <w:t>Sammendrag av KPI-er</w:t>
            </w:r>
          </w:p>
        </w:tc>
      </w:tr>
      <w:tr w:rsidR="006561BA" w14:paraId="65025CC9" w14:textId="77777777">
        <w:trPr>
          <w:trHeight w:val="240"/>
        </w:trPr>
        <w:tc>
          <w:tcPr>
            <w:tcW w:w="1152" w:type="dxa"/>
            <w:tcMar>
              <w:top w:w="60" w:type="dxa"/>
              <w:left w:w="0" w:type="dxa"/>
              <w:bottom w:w="60" w:type="dxa"/>
            </w:tcMar>
          </w:tcPr>
          <w:p w14:paraId="7B34D832" w14:textId="77777777" w:rsidR="006561BA" w:rsidRDefault="005B4ED6">
            <w:pPr>
              <w:pStyle w:val="AnnexTableCellLeft"/>
              <w:jc w:val="center"/>
            </w:pPr>
            <w:r>
              <w:t>1</w:t>
            </w:r>
          </w:p>
        </w:tc>
        <w:tc>
          <w:tcPr>
            <w:tcW w:w="13152" w:type="dxa"/>
            <w:tcMar>
              <w:top w:w="60" w:type="dxa"/>
              <w:bottom w:w="60" w:type="dxa"/>
              <w:right w:w="0" w:type="dxa"/>
            </w:tcMar>
          </w:tcPr>
          <w:p w14:paraId="3556FBB0" w14:textId="77777777" w:rsidR="006561BA" w:rsidRDefault="005B4ED6">
            <w:pPr>
              <w:pStyle w:val="AnnexTableCellLeft"/>
            </w:pPr>
            <w:r>
              <w:t>Eiendeler som inngår i beregningen av GAR</w:t>
            </w:r>
          </w:p>
        </w:tc>
      </w:tr>
      <w:tr w:rsidR="006561BA" w14:paraId="51679F0B" w14:textId="77777777">
        <w:trPr>
          <w:trHeight w:val="240"/>
        </w:trPr>
        <w:tc>
          <w:tcPr>
            <w:tcW w:w="1152" w:type="dxa"/>
            <w:tcMar>
              <w:top w:w="60" w:type="dxa"/>
              <w:left w:w="0" w:type="dxa"/>
              <w:bottom w:w="60" w:type="dxa"/>
            </w:tcMar>
          </w:tcPr>
          <w:p w14:paraId="26AE80A9" w14:textId="77777777" w:rsidR="006561BA" w:rsidRDefault="005B4ED6">
            <w:pPr>
              <w:pStyle w:val="AnnexTableCellLeft"/>
              <w:jc w:val="center"/>
            </w:pPr>
            <w:r>
              <w:t>2</w:t>
            </w:r>
          </w:p>
        </w:tc>
        <w:tc>
          <w:tcPr>
            <w:tcW w:w="13152" w:type="dxa"/>
            <w:tcMar>
              <w:top w:w="60" w:type="dxa"/>
              <w:bottom w:w="60" w:type="dxa"/>
              <w:right w:w="0" w:type="dxa"/>
            </w:tcMar>
          </w:tcPr>
          <w:p w14:paraId="0F8A8D9E" w14:textId="77777777" w:rsidR="006561BA" w:rsidRDefault="005B4ED6">
            <w:pPr>
              <w:pStyle w:val="AnnexTableCellLeft"/>
            </w:pPr>
            <w:r>
              <w:t>GAR – sektoropplysninger</w:t>
            </w:r>
          </w:p>
        </w:tc>
      </w:tr>
      <w:tr w:rsidR="006561BA" w14:paraId="149BDAF8" w14:textId="77777777">
        <w:trPr>
          <w:trHeight w:val="240"/>
        </w:trPr>
        <w:tc>
          <w:tcPr>
            <w:tcW w:w="1152" w:type="dxa"/>
            <w:tcMar>
              <w:top w:w="60" w:type="dxa"/>
              <w:left w:w="0" w:type="dxa"/>
              <w:bottom w:w="60" w:type="dxa"/>
            </w:tcMar>
          </w:tcPr>
          <w:p w14:paraId="0F4D4F20" w14:textId="77777777" w:rsidR="006561BA" w:rsidRDefault="005B4ED6">
            <w:pPr>
              <w:pStyle w:val="AnnexTableCellLeft"/>
              <w:jc w:val="center"/>
            </w:pPr>
            <w:r>
              <w:t>3</w:t>
            </w:r>
          </w:p>
        </w:tc>
        <w:tc>
          <w:tcPr>
            <w:tcW w:w="13152" w:type="dxa"/>
            <w:tcMar>
              <w:top w:w="60" w:type="dxa"/>
              <w:bottom w:w="60" w:type="dxa"/>
              <w:right w:w="0" w:type="dxa"/>
            </w:tcMar>
          </w:tcPr>
          <w:p w14:paraId="23E14835" w14:textId="77777777" w:rsidR="006561BA" w:rsidRDefault="005B4ED6">
            <w:pPr>
              <w:pStyle w:val="AnnexTableCellLeft"/>
            </w:pPr>
            <w:r>
              <w:t>GAR – KPI for beholdninger</w:t>
            </w:r>
          </w:p>
        </w:tc>
      </w:tr>
      <w:tr w:rsidR="006561BA" w14:paraId="69EED9C7" w14:textId="77777777">
        <w:trPr>
          <w:trHeight w:val="240"/>
        </w:trPr>
        <w:tc>
          <w:tcPr>
            <w:tcW w:w="1152" w:type="dxa"/>
            <w:tcMar>
              <w:top w:w="60" w:type="dxa"/>
              <w:left w:w="0" w:type="dxa"/>
              <w:bottom w:w="60" w:type="dxa"/>
            </w:tcMar>
          </w:tcPr>
          <w:p w14:paraId="3A2C1B09" w14:textId="77777777" w:rsidR="006561BA" w:rsidRDefault="005B4ED6">
            <w:pPr>
              <w:pStyle w:val="AnnexTableCellLeft"/>
              <w:jc w:val="center"/>
            </w:pPr>
            <w:r>
              <w:t>4</w:t>
            </w:r>
          </w:p>
        </w:tc>
        <w:tc>
          <w:tcPr>
            <w:tcW w:w="13152" w:type="dxa"/>
            <w:tcMar>
              <w:top w:w="60" w:type="dxa"/>
              <w:bottom w:w="60" w:type="dxa"/>
              <w:right w:w="0" w:type="dxa"/>
            </w:tcMar>
          </w:tcPr>
          <w:p w14:paraId="4915F1EC" w14:textId="77777777" w:rsidR="006561BA" w:rsidRDefault="005B4ED6">
            <w:pPr>
              <w:pStyle w:val="AnnexTableCellLeft"/>
            </w:pPr>
            <w:r>
              <w:t>GAR – KPI for strømmer</w:t>
            </w:r>
          </w:p>
        </w:tc>
      </w:tr>
      <w:tr w:rsidR="006561BA" w14:paraId="7FEF93DA" w14:textId="77777777">
        <w:trPr>
          <w:trHeight w:val="240"/>
        </w:trPr>
        <w:tc>
          <w:tcPr>
            <w:tcW w:w="1152" w:type="dxa"/>
            <w:tcMar>
              <w:top w:w="60" w:type="dxa"/>
              <w:left w:w="0" w:type="dxa"/>
              <w:bottom w:w="60" w:type="dxa"/>
            </w:tcMar>
          </w:tcPr>
          <w:p w14:paraId="0B25887A" w14:textId="77777777" w:rsidR="006561BA" w:rsidRDefault="005B4ED6">
            <w:pPr>
              <w:pStyle w:val="AnnexTableCellLeft"/>
              <w:jc w:val="center"/>
            </w:pPr>
            <w:r>
              <w:t>5</w:t>
            </w:r>
          </w:p>
        </w:tc>
        <w:tc>
          <w:tcPr>
            <w:tcW w:w="13152" w:type="dxa"/>
            <w:tcMar>
              <w:top w:w="60" w:type="dxa"/>
              <w:bottom w:w="60" w:type="dxa"/>
              <w:right w:w="0" w:type="dxa"/>
            </w:tcMar>
          </w:tcPr>
          <w:p w14:paraId="39F17A5A" w14:textId="77777777" w:rsidR="006561BA" w:rsidRDefault="005B4ED6">
            <w:pPr>
              <w:pStyle w:val="AnnexTableCellLeft"/>
            </w:pPr>
            <w:r>
              <w:t>KPI for eksponeringer utenfor balansen</w:t>
            </w:r>
          </w:p>
        </w:tc>
      </w:tr>
      <w:tr w:rsidR="006561BA" w14:paraId="5830D60D" w14:textId="77777777">
        <w:trPr>
          <w:trHeight w:val="240"/>
        </w:trPr>
        <w:tc>
          <w:tcPr>
            <w:tcW w:w="1152" w:type="dxa"/>
            <w:tcMar>
              <w:top w:w="60" w:type="dxa"/>
              <w:left w:w="0" w:type="dxa"/>
              <w:bottom w:w="60" w:type="dxa"/>
            </w:tcMar>
          </w:tcPr>
          <w:p w14:paraId="25080523" w14:textId="77777777" w:rsidR="006561BA" w:rsidRDefault="005B4ED6">
            <w:pPr>
              <w:pStyle w:val="AnnexTableCellLeft"/>
              <w:jc w:val="center"/>
            </w:pPr>
            <w:r>
              <w:t>6</w:t>
            </w:r>
          </w:p>
        </w:tc>
        <w:tc>
          <w:tcPr>
            <w:tcW w:w="13152" w:type="dxa"/>
            <w:tcMar>
              <w:top w:w="60" w:type="dxa"/>
              <w:bottom w:w="60" w:type="dxa"/>
              <w:right w:w="0" w:type="dxa"/>
            </w:tcMar>
          </w:tcPr>
          <w:p w14:paraId="3FB9DBC4" w14:textId="77777777" w:rsidR="006561BA" w:rsidRDefault="005B4ED6">
            <w:pPr>
              <w:pStyle w:val="AnnexTableCellLeft"/>
            </w:pPr>
            <w:r>
              <w:t>KPI for gebyr- og provisjonsinntekter fra andre tjenester enn utlån og kapitalforvaltning</w:t>
            </w:r>
          </w:p>
        </w:tc>
      </w:tr>
      <w:tr w:rsidR="006561BA" w14:paraId="793951BB" w14:textId="77777777">
        <w:trPr>
          <w:trHeight w:val="240"/>
        </w:trPr>
        <w:tc>
          <w:tcPr>
            <w:tcW w:w="1152" w:type="dxa"/>
            <w:tcMar>
              <w:top w:w="60" w:type="dxa"/>
              <w:left w:w="0" w:type="dxa"/>
              <w:bottom w:w="60" w:type="dxa"/>
            </w:tcMar>
          </w:tcPr>
          <w:p w14:paraId="6490A77B" w14:textId="77777777" w:rsidR="006561BA" w:rsidRDefault="005B4ED6">
            <w:pPr>
              <w:pStyle w:val="AnnexTableCellLeft"/>
              <w:jc w:val="center"/>
            </w:pPr>
            <w:r>
              <w:t>7</w:t>
            </w:r>
          </w:p>
        </w:tc>
        <w:tc>
          <w:tcPr>
            <w:tcW w:w="13152" w:type="dxa"/>
            <w:tcMar>
              <w:top w:w="60" w:type="dxa"/>
              <w:bottom w:w="60" w:type="dxa"/>
              <w:right w:w="0" w:type="dxa"/>
            </w:tcMar>
          </w:tcPr>
          <w:p w14:paraId="1C761611" w14:textId="77777777" w:rsidR="006561BA" w:rsidRDefault="005B4ED6">
            <w:pPr>
              <w:pStyle w:val="AnnexTableCellLeft"/>
            </w:pPr>
            <w:r>
              <w:t>KPI for handelsporteføljen</w:t>
            </w:r>
          </w:p>
        </w:tc>
      </w:tr>
    </w:tbl>
    <w:p w14:paraId="27015EAF" w14:textId="77777777" w:rsidR="006561BA" w:rsidRDefault="005B4ED6">
      <w:pPr>
        <w:shd w:val="clear" w:color="auto" w:fill="auto"/>
        <w:jc w:val="left"/>
        <w:rPr>
          <w:color w:val="auto"/>
          <w14:ligatures w14:val="standard"/>
        </w:rPr>
      </w:pPr>
      <w:r>
        <w:br w:type="page"/>
      </w:r>
    </w:p>
    <w:p w14:paraId="7A9A1AD7" w14:textId="77777777" w:rsidR="006561BA" w:rsidRDefault="005B4ED6">
      <w:pPr>
        <w:pStyle w:val="AnnexNumberedText"/>
        <w:spacing w:after="300"/>
        <w:ind w:left="279" w:hanging="279"/>
      </w:pPr>
      <w:r>
        <w:lastRenderedPageBreak/>
        <w:t>0.</w:t>
      </w:r>
      <w:r>
        <w:rPr>
          <w:b/>
        </w:rPr>
        <w:tab/>
        <w:t>Sammendrag av KPI-er som skal legges fram av kredittinstitusjoner i henhold til artikkel 8 i taksonomiforordningen</w:t>
      </w:r>
    </w:p>
    <w:tbl>
      <w:tblPr>
        <w:tblStyle w:val="EFTATable"/>
        <w:tblW w:w="14316" w:type="dxa"/>
        <w:tblInd w:w="12" w:type="dxa"/>
        <w:tblLayout w:type="fixed"/>
        <w:tblLook w:val="04A0" w:firstRow="1" w:lastRow="0" w:firstColumn="1" w:lastColumn="0" w:noHBand="0" w:noVBand="1"/>
      </w:tblPr>
      <w:tblGrid>
        <w:gridCol w:w="1284"/>
        <w:gridCol w:w="2388"/>
        <w:gridCol w:w="2064"/>
        <w:gridCol w:w="1044"/>
        <w:gridCol w:w="1044"/>
        <w:gridCol w:w="2094"/>
        <w:gridCol w:w="2514"/>
        <w:gridCol w:w="1884"/>
      </w:tblGrid>
      <w:tr w:rsidR="006561BA" w14:paraId="176F92E3" w14:textId="77777777">
        <w:tc>
          <w:tcPr>
            <w:tcW w:w="3672" w:type="dxa"/>
            <w:gridSpan w:val="2"/>
            <w:shd w:val="clear" w:color="auto" w:fill="F2F2F2"/>
            <w:tcMar>
              <w:top w:w="60" w:type="dxa"/>
              <w:left w:w="0" w:type="dxa"/>
              <w:bottom w:w="60" w:type="dxa"/>
            </w:tcMar>
          </w:tcPr>
          <w:p w14:paraId="05049DF3" w14:textId="77777777" w:rsidR="006561BA" w:rsidRDefault="006561BA">
            <w:pPr>
              <w:pStyle w:val="AnnexTableCellLeft"/>
              <w:spacing w:line="200" w:lineRule="exact"/>
              <w:rPr>
                <w:sz w:val="16"/>
                <w:szCs w:val="16"/>
              </w:rPr>
            </w:pPr>
          </w:p>
        </w:tc>
        <w:tc>
          <w:tcPr>
            <w:tcW w:w="2064" w:type="dxa"/>
            <w:shd w:val="clear" w:color="auto" w:fill="F2F2F2"/>
            <w:tcMar>
              <w:top w:w="60" w:type="dxa"/>
              <w:bottom w:w="60" w:type="dxa"/>
            </w:tcMar>
          </w:tcPr>
          <w:p w14:paraId="1D2C1FDD" w14:textId="77777777" w:rsidR="006561BA" w:rsidRDefault="005B4ED6">
            <w:pPr>
              <w:pStyle w:val="AnnexTableCellLeft"/>
              <w:spacing w:line="200" w:lineRule="exact"/>
              <w:jc w:val="left"/>
              <w:rPr>
                <w:sz w:val="16"/>
                <w:szCs w:val="16"/>
              </w:rPr>
            </w:pPr>
            <w:r>
              <w:rPr>
                <w:b/>
                <w:sz w:val="16"/>
              </w:rPr>
              <w:t>Sum miljømessig bærekraftige eiendeler</w:t>
            </w:r>
          </w:p>
        </w:tc>
        <w:tc>
          <w:tcPr>
            <w:tcW w:w="1044" w:type="dxa"/>
            <w:shd w:val="clear" w:color="auto" w:fill="F2F2F2"/>
            <w:tcMar>
              <w:top w:w="60" w:type="dxa"/>
              <w:bottom w:w="60" w:type="dxa"/>
            </w:tcMar>
          </w:tcPr>
          <w:p w14:paraId="40CF17AF" w14:textId="302F875D" w:rsidR="006561BA" w:rsidRDefault="005B4ED6">
            <w:pPr>
              <w:pStyle w:val="AnnexTableCellLeft"/>
              <w:spacing w:line="200" w:lineRule="exact"/>
              <w:rPr>
                <w:sz w:val="16"/>
                <w:szCs w:val="16"/>
              </w:rPr>
            </w:pPr>
            <w:proofErr w:type="gramStart"/>
            <w:r>
              <w:rPr>
                <w:b/>
                <w:sz w:val="16"/>
              </w:rPr>
              <w:t>KPI</w:t>
            </w:r>
            <w:r>
              <w:rPr>
                <w:sz w:val="16"/>
              </w:rPr>
              <w:t>(</w:t>
            </w:r>
            <w:proofErr w:type="gramEnd"/>
            <w:r>
              <w:rPr>
                <w:sz w:val="16"/>
              </w:rPr>
              <w:fldChar w:fldCharType="begin"/>
            </w:r>
            <w:r>
              <w:rPr>
                <w:sz w:val="16"/>
              </w:rPr>
              <w:instrText xml:space="preserve"> REF NOTE_400 \h  \* MERGEFORMAT </w:instrText>
            </w:r>
            <w:r>
              <w:rPr>
                <w:sz w:val="16"/>
              </w:rPr>
            </w:r>
            <w:r>
              <w:rPr>
                <w:sz w:val="16"/>
              </w:rPr>
              <w:fldChar w:fldCharType="separate"/>
            </w:r>
            <w:r w:rsidR="00770AA2" w:rsidRPr="00770AA2">
              <w:rPr>
                <w:sz w:val="16"/>
              </w:rPr>
              <w:t>****</w:t>
            </w:r>
            <w:r>
              <w:rPr>
                <w:sz w:val="16"/>
              </w:rPr>
              <w:fldChar w:fldCharType="end"/>
            </w:r>
            <w:r>
              <w:rPr>
                <w:sz w:val="16"/>
              </w:rPr>
              <w:t>)</w:t>
            </w:r>
          </w:p>
        </w:tc>
        <w:tc>
          <w:tcPr>
            <w:tcW w:w="1044" w:type="dxa"/>
            <w:shd w:val="clear" w:color="auto" w:fill="F2F2F2"/>
            <w:tcMar>
              <w:top w:w="60" w:type="dxa"/>
              <w:bottom w:w="60" w:type="dxa"/>
            </w:tcMar>
            <w:vAlign w:val="center"/>
          </w:tcPr>
          <w:p w14:paraId="63CC6977" w14:textId="6EDBDDC8" w:rsidR="006561BA" w:rsidRDefault="005B4ED6">
            <w:pPr>
              <w:pStyle w:val="AnnexTableCellLeft"/>
              <w:spacing w:line="200" w:lineRule="exact"/>
              <w:jc w:val="left"/>
              <w:rPr>
                <w:sz w:val="16"/>
                <w:szCs w:val="16"/>
              </w:rPr>
            </w:pPr>
            <w:proofErr w:type="gramStart"/>
            <w:r>
              <w:rPr>
                <w:b/>
                <w:sz w:val="16"/>
              </w:rPr>
              <w:t>KPI</w:t>
            </w:r>
            <w:r>
              <w:rPr>
                <w:sz w:val="16"/>
              </w:rPr>
              <w:t>(</w:t>
            </w:r>
            <w:proofErr w:type="gramEnd"/>
            <w:r>
              <w:rPr>
                <w:sz w:val="16"/>
              </w:rPr>
              <w:fldChar w:fldCharType="begin"/>
            </w:r>
            <w:r>
              <w:rPr>
                <w:sz w:val="16"/>
              </w:rPr>
              <w:instrText xml:space="preserve"> REF NOTE_401 \h  \* MERGEFORMAT </w:instrText>
            </w:r>
            <w:r>
              <w:rPr>
                <w:sz w:val="16"/>
              </w:rPr>
            </w:r>
            <w:r>
              <w:rPr>
                <w:sz w:val="16"/>
              </w:rPr>
              <w:fldChar w:fldCharType="separate"/>
            </w:r>
            <w:r w:rsidR="00770AA2" w:rsidRPr="00770AA2">
              <w:rPr>
                <w:sz w:val="16"/>
              </w:rPr>
              <w:t>*****</w:t>
            </w:r>
            <w:r>
              <w:rPr>
                <w:sz w:val="16"/>
              </w:rPr>
              <w:fldChar w:fldCharType="end"/>
            </w:r>
            <w:r>
              <w:rPr>
                <w:sz w:val="16"/>
              </w:rPr>
              <w:t>)</w:t>
            </w:r>
          </w:p>
        </w:tc>
        <w:tc>
          <w:tcPr>
            <w:tcW w:w="2094" w:type="dxa"/>
            <w:shd w:val="clear" w:color="auto" w:fill="F2F2F2"/>
            <w:tcMar>
              <w:top w:w="60" w:type="dxa"/>
              <w:bottom w:w="60" w:type="dxa"/>
            </w:tcMar>
            <w:vAlign w:val="center"/>
          </w:tcPr>
          <w:p w14:paraId="33F6F2B7" w14:textId="5B9BBE91" w:rsidR="006561BA" w:rsidRDefault="005B4ED6">
            <w:pPr>
              <w:pStyle w:val="AnnexTableCellLeft"/>
              <w:spacing w:line="200" w:lineRule="exact"/>
              <w:jc w:val="left"/>
              <w:rPr>
                <w:sz w:val="16"/>
                <w:szCs w:val="16"/>
              </w:rPr>
            </w:pPr>
            <w:r>
              <w:rPr>
                <w:b/>
                <w:bCs/>
              </w:rPr>
              <w:t xml:space="preserve">Dekningsgrad i % (av samlede </w:t>
            </w:r>
            <w:proofErr w:type="gramStart"/>
            <w:r>
              <w:rPr>
                <w:b/>
                <w:bCs/>
              </w:rPr>
              <w:t>eiendeler)</w:t>
            </w:r>
            <w:r>
              <w:rPr>
                <w:sz w:val="16"/>
              </w:rPr>
              <w:t>(</w:t>
            </w:r>
            <w:proofErr w:type="gramEnd"/>
            <w:r>
              <w:rPr>
                <w:sz w:val="16"/>
              </w:rPr>
              <w:fldChar w:fldCharType="begin"/>
            </w:r>
            <w:r>
              <w:rPr>
                <w:sz w:val="16"/>
              </w:rPr>
              <w:instrText xml:space="preserve"> REF NOTE_399 \h  \* MERGEFORMAT </w:instrText>
            </w:r>
            <w:r>
              <w:rPr>
                <w:sz w:val="16"/>
              </w:rPr>
            </w:r>
            <w:r>
              <w:rPr>
                <w:sz w:val="16"/>
              </w:rPr>
              <w:fldChar w:fldCharType="separate"/>
            </w:r>
            <w:r w:rsidR="00770AA2" w:rsidRPr="00770AA2">
              <w:rPr>
                <w:sz w:val="16"/>
              </w:rPr>
              <w:t>***</w:t>
            </w:r>
            <w:r>
              <w:rPr>
                <w:sz w:val="16"/>
              </w:rPr>
              <w:fldChar w:fldCharType="end"/>
            </w:r>
            <w:r>
              <w:rPr>
                <w:sz w:val="16"/>
              </w:rPr>
              <w:t>)</w:t>
            </w:r>
          </w:p>
        </w:tc>
        <w:tc>
          <w:tcPr>
            <w:tcW w:w="2514" w:type="dxa"/>
            <w:shd w:val="clear" w:color="auto" w:fill="F2F2F2"/>
            <w:tcMar>
              <w:top w:w="60" w:type="dxa"/>
              <w:bottom w:w="60" w:type="dxa"/>
            </w:tcMar>
          </w:tcPr>
          <w:p w14:paraId="23CA3352" w14:textId="77777777" w:rsidR="006561BA" w:rsidRDefault="005B4ED6">
            <w:pPr>
              <w:pStyle w:val="AnnexTableCellLeft"/>
              <w:spacing w:line="200" w:lineRule="exact"/>
              <w:rPr>
                <w:sz w:val="16"/>
                <w:szCs w:val="16"/>
              </w:rPr>
            </w:pPr>
            <w:r>
              <w:rPr>
                <w:b/>
                <w:sz w:val="16"/>
              </w:rPr>
              <w:t>% av eiendeler som ikke er tatt med i telleren i GAR (artikkel 7 nr. 2 og 3 og avsnitt 1.1.2 i vedlegg V)</w:t>
            </w:r>
          </w:p>
        </w:tc>
        <w:tc>
          <w:tcPr>
            <w:tcW w:w="1884" w:type="dxa"/>
            <w:shd w:val="clear" w:color="auto" w:fill="F2F2F2"/>
            <w:tcMar>
              <w:top w:w="60" w:type="dxa"/>
              <w:bottom w:w="60" w:type="dxa"/>
              <w:right w:w="0" w:type="dxa"/>
            </w:tcMar>
          </w:tcPr>
          <w:p w14:paraId="1F1F864A" w14:textId="77777777" w:rsidR="006561BA" w:rsidRDefault="005B4ED6">
            <w:pPr>
              <w:pStyle w:val="AnnexTableCellLeft"/>
              <w:spacing w:line="200" w:lineRule="exact"/>
              <w:rPr>
                <w:sz w:val="16"/>
                <w:szCs w:val="16"/>
              </w:rPr>
            </w:pPr>
            <w:r>
              <w:rPr>
                <w:b/>
                <w:sz w:val="16"/>
              </w:rPr>
              <w:t>% av eiendeler som ikke er tatt med i nevneren i GAR (artikkel 7 nr. 1 og avsnitt 1.2.4 i vedlegg V)</w:t>
            </w:r>
          </w:p>
        </w:tc>
      </w:tr>
      <w:tr w:rsidR="006561BA" w14:paraId="58885143" w14:textId="77777777">
        <w:tc>
          <w:tcPr>
            <w:tcW w:w="1284" w:type="dxa"/>
            <w:tcMar>
              <w:top w:w="60" w:type="dxa"/>
              <w:left w:w="0" w:type="dxa"/>
              <w:bottom w:w="60" w:type="dxa"/>
            </w:tcMar>
          </w:tcPr>
          <w:p w14:paraId="2E62C550" w14:textId="77777777" w:rsidR="006561BA" w:rsidRDefault="005B4ED6">
            <w:pPr>
              <w:pStyle w:val="AnnexTableCellLeft"/>
              <w:spacing w:line="200" w:lineRule="exact"/>
              <w:rPr>
                <w:sz w:val="16"/>
                <w:szCs w:val="16"/>
              </w:rPr>
            </w:pPr>
            <w:r>
              <w:rPr>
                <w:b/>
                <w:sz w:val="16"/>
              </w:rPr>
              <w:t>Hoved-KPI</w:t>
            </w:r>
          </w:p>
        </w:tc>
        <w:tc>
          <w:tcPr>
            <w:tcW w:w="2388" w:type="dxa"/>
            <w:tcMar>
              <w:top w:w="60" w:type="dxa"/>
              <w:bottom w:w="60" w:type="dxa"/>
            </w:tcMar>
          </w:tcPr>
          <w:p w14:paraId="1E386668" w14:textId="77777777" w:rsidR="006561BA" w:rsidRDefault="005B4ED6">
            <w:pPr>
              <w:pStyle w:val="AnnexTableCellLeft"/>
              <w:spacing w:line="200" w:lineRule="exact"/>
              <w:rPr>
                <w:sz w:val="16"/>
                <w:szCs w:val="16"/>
              </w:rPr>
            </w:pPr>
            <w:r>
              <w:rPr>
                <w:b/>
                <w:sz w:val="16"/>
              </w:rPr>
              <w:t>Grønn brøk (GAR) for beholdninger</w:t>
            </w:r>
          </w:p>
        </w:tc>
        <w:tc>
          <w:tcPr>
            <w:tcW w:w="2064" w:type="dxa"/>
            <w:tcMar>
              <w:top w:w="60" w:type="dxa"/>
              <w:bottom w:w="60" w:type="dxa"/>
            </w:tcMar>
          </w:tcPr>
          <w:p w14:paraId="74BD5D2C" w14:textId="77777777" w:rsidR="006561BA" w:rsidRDefault="006561BA">
            <w:pPr>
              <w:pStyle w:val="AnnexTableCellLeft"/>
              <w:spacing w:line="200" w:lineRule="exact"/>
              <w:jc w:val="left"/>
              <w:rPr>
                <w:sz w:val="16"/>
                <w:szCs w:val="16"/>
              </w:rPr>
            </w:pPr>
          </w:p>
        </w:tc>
        <w:tc>
          <w:tcPr>
            <w:tcW w:w="1044" w:type="dxa"/>
            <w:tcMar>
              <w:top w:w="60" w:type="dxa"/>
              <w:bottom w:w="60" w:type="dxa"/>
            </w:tcMar>
          </w:tcPr>
          <w:p w14:paraId="1FAC666F" w14:textId="77777777" w:rsidR="006561BA" w:rsidRDefault="006561BA">
            <w:pPr>
              <w:pStyle w:val="AnnexTableCellLeft"/>
              <w:spacing w:line="200" w:lineRule="exact"/>
              <w:rPr>
                <w:sz w:val="16"/>
                <w:szCs w:val="16"/>
              </w:rPr>
            </w:pPr>
          </w:p>
        </w:tc>
        <w:tc>
          <w:tcPr>
            <w:tcW w:w="1044" w:type="dxa"/>
            <w:tcMar>
              <w:top w:w="60" w:type="dxa"/>
              <w:bottom w:w="60" w:type="dxa"/>
            </w:tcMar>
          </w:tcPr>
          <w:p w14:paraId="33E27722" w14:textId="77777777" w:rsidR="006561BA" w:rsidRDefault="006561BA">
            <w:pPr>
              <w:pStyle w:val="AnnexTableCellLeft"/>
              <w:spacing w:line="200" w:lineRule="exact"/>
              <w:rPr>
                <w:sz w:val="16"/>
                <w:szCs w:val="16"/>
              </w:rPr>
            </w:pPr>
          </w:p>
        </w:tc>
        <w:tc>
          <w:tcPr>
            <w:tcW w:w="2094" w:type="dxa"/>
            <w:tcMar>
              <w:top w:w="60" w:type="dxa"/>
              <w:bottom w:w="60" w:type="dxa"/>
            </w:tcMar>
          </w:tcPr>
          <w:p w14:paraId="12011FC8" w14:textId="77777777" w:rsidR="006561BA" w:rsidRDefault="006561BA">
            <w:pPr>
              <w:pStyle w:val="AnnexTableCellLeft"/>
              <w:spacing w:line="200" w:lineRule="exact"/>
              <w:rPr>
                <w:sz w:val="16"/>
                <w:szCs w:val="16"/>
              </w:rPr>
            </w:pPr>
          </w:p>
        </w:tc>
        <w:tc>
          <w:tcPr>
            <w:tcW w:w="2514" w:type="dxa"/>
            <w:tcMar>
              <w:top w:w="60" w:type="dxa"/>
              <w:bottom w:w="60" w:type="dxa"/>
            </w:tcMar>
          </w:tcPr>
          <w:p w14:paraId="502CF99F" w14:textId="77777777" w:rsidR="006561BA" w:rsidRDefault="006561BA">
            <w:pPr>
              <w:pStyle w:val="AnnexTableCellLeft"/>
              <w:spacing w:line="200" w:lineRule="exact"/>
              <w:rPr>
                <w:sz w:val="16"/>
                <w:szCs w:val="16"/>
              </w:rPr>
            </w:pPr>
          </w:p>
        </w:tc>
        <w:tc>
          <w:tcPr>
            <w:tcW w:w="1884" w:type="dxa"/>
            <w:tcMar>
              <w:top w:w="60" w:type="dxa"/>
              <w:bottom w:w="60" w:type="dxa"/>
              <w:right w:w="0" w:type="dxa"/>
            </w:tcMar>
          </w:tcPr>
          <w:p w14:paraId="68712AEA" w14:textId="77777777" w:rsidR="006561BA" w:rsidRDefault="006561BA">
            <w:pPr>
              <w:pStyle w:val="AnnexTableCellLeft"/>
              <w:spacing w:line="200" w:lineRule="exact"/>
              <w:rPr>
                <w:sz w:val="16"/>
                <w:szCs w:val="16"/>
              </w:rPr>
            </w:pPr>
          </w:p>
        </w:tc>
      </w:tr>
      <w:tr w:rsidR="006561BA" w14:paraId="451A8146" w14:textId="77777777">
        <w:tc>
          <w:tcPr>
            <w:tcW w:w="1284" w:type="dxa"/>
            <w:tcMar>
              <w:top w:w="60" w:type="dxa"/>
              <w:left w:w="0" w:type="dxa"/>
              <w:bottom w:w="60" w:type="dxa"/>
            </w:tcMar>
          </w:tcPr>
          <w:p w14:paraId="00A253A8" w14:textId="77777777" w:rsidR="006561BA" w:rsidRDefault="006561BA">
            <w:pPr>
              <w:pStyle w:val="AnnexTableCellLeft"/>
              <w:spacing w:line="200" w:lineRule="exact"/>
              <w:rPr>
                <w:sz w:val="16"/>
                <w:szCs w:val="16"/>
              </w:rPr>
            </w:pPr>
          </w:p>
        </w:tc>
        <w:tc>
          <w:tcPr>
            <w:tcW w:w="2388" w:type="dxa"/>
            <w:tcMar>
              <w:top w:w="60" w:type="dxa"/>
              <w:bottom w:w="60" w:type="dxa"/>
            </w:tcMar>
          </w:tcPr>
          <w:p w14:paraId="6E6FFF1D" w14:textId="77777777" w:rsidR="006561BA" w:rsidRDefault="006561BA">
            <w:pPr>
              <w:pStyle w:val="AnnexTableCellLeft"/>
              <w:spacing w:line="200" w:lineRule="exact"/>
              <w:rPr>
                <w:sz w:val="16"/>
                <w:szCs w:val="16"/>
              </w:rPr>
            </w:pPr>
          </w:p>
        </w:tc>
        <w:tc>
          <w:tcPr>
            <w:tcW w:w="2064" w:type="dxa"/>
            <w:tcMar>
              <w:top w:w="60" w:type="dxa"/>
              <w:bottom w:w="60" w:type="dxa"/>
            </w:tcMar>
          </w:tcPr>
          <w:p w14:paraId="599AE662" w14:textId="77777777" w:rsidR="006561BA" w:rsidRDefault="006561BA">
            <w:pPr>
              <w:pStyle w:val="AnnexTableCellLeft"/>
              <w:spacing w:line="200" w:lineRule="exact"/>
              <w:jc w:val="left"/>
              <w:rPr>
                <w:sz w:val="16"/>
                <w:szCs w:val="16"/>
              </w:rPr>
            </w:pPr>
          </w:p>
        </w:tc>
        <w:tc>
          <w:tcPr>
            <w:tcW w:w="1044" w:type="dxa"/>
            <w:tcMar>
              <w:top w:w="60" w:type="dxa"/>
              <w:bottom w:w="60" w:type="dxa"/>
            </w:tcMar>
          </w:tcPr>
          <w:p w14:paraId="268523BB" w14:textId="77777777" w:rsidR="006561BA" w:rsidRDefault="006561BA">
            <w:pPr>
              <w:pStyle w:val="AnnexTableCellLeft"/>
              <w:spacing w:line="200" w:lineRule="exact"/>
              <w:rPr>
                <w:sz w:val="16"/>
                <w:szCs w:val="16"/>
              </w:rPr>
            </w:pPr>
          </w:p>
        </w:tc>
        <w:tc>
          <w:tcPr>
            <w:tcW w:w="1044" w:type="dxa"/>
            <w:tcMar>
              <w:top w:w="60" w:type="dxa"/>
              <w:bottom w:w="60" w:type="dxa"/>
            </w:tcMar>
          </w:tcPr>
          <w:p w14:paraId="5CB88683" w14:textId="77777777" w:rsidR="006561BA" w:rsidRDefault="006561BA">
            <w:pPr>
              <w:pStyle w:val="AnnexTableCellLeft"/>
              <w:spacing w:line="200" w:lineRule="exact"/>
              <w:rPr>
                <w:sz w:val="16"/>
                <w:szCs w:val="16"/>
              </w:rPr>
            </w:pPr>
          </w:p>
        </w:tc>
        <w:tc>
          <w:tcPr>
            <w:tcW w:w="2094" w:type="dxa"/>
            <w:tcMar>
              <w:top w:w="60" w:type="dxa"/>
              <w:bottom w:w="60" w:type="dxa"/>
            </w:tcMar>
          </w:tcPr>
          <w:p w14:paraId="2E0D37AB" w14:textId="77777777" w:rsidR="006561BA" w:rsidRDefault="006561BA">
            <w:pPr>
              <w:pStyle w:val="AnnexTableCellLeft"/>
              <w:spacing w:line="200" w:lineRule="exact"/>
              <w:rPr>
                <w:sz w:val="16"/>
                <w:szCs w:val="16"/>
              </w:rPr>
            </w:pPr>
          </w:p>
        </w:tc>
        <w:tc>
          <w:tcPr>
            <w:tcW w:w="2514" w:type="dxa"/>
            <w:tcMar>
              <w:top w:w="60" w:type="dxa"/>
              <w:bottom w:w="60" w:type="dxa"/>
            </w:tcMar>
          </w:tcPr>
          <w:p w14:paraId="4C1D5A0F" w14:textId="77777777" w:rsidR="006561BA" w:rsidRDefault="006561BA">
            <w:pPr>
              <w:pStyle w:val="AnnexTableCellLeft"/>
              <w:spacing w:line="200" w:lineRule="exact"/>
              <w:rPr>
                <w:sz w:val="16"/>
                <w:szCs w:val="16"/>
              </w:rPr>
            </w:pPr>
          </w:p>
        </w:tc>
        <w:tc>
          <w:tcPr>
            <w:tcW w:w="1884" w:type="dxa"/>
            <w:tcMar>
              <w:top w:w="60" w:type="dxa"/>
              <w:bottom w:w="60" w:type="dxa"/>
              <w:right w:w="0" w:type="dxa"/>
            </w:tcMar>
          </w:tcPr>
          <w:p w14:paraId="1D14E178" w14:textId="77777777" w:rsidR="006561BA" w:rsidRDefault="006561BA">
            <w:pPr>
              <w:pStyle w:val="AnnexTableCellLeft"/>
              <w:spacing w:line="200" w:lineRule="exact"/>
              <w:rPr>
                <w:sz w:val="16"/>
                <w:szCs w:val="16"/>
              </w:rPr>
            </w:pPr>
          </w:p>
        </w:tc>
      </w:tr>
      <w:tr w:rsidR="006561BA" w14:paraId="646CCBE6" w14:textId="77777777">
        <w:tc>
          <w:tcPr>
            <w:tcW w:w="3672" w:type="dxa"/>
            <w:gridSpan w:val="2"/>
            <w:shd w:val="clear" w:color="auto" w:fill="F2F2F2"/>
            <w:tcMar>
              <w:top w:w="60" w:type="dxa"/>
              <w:left w:w="0" w:type="dxa"/>
              <w:bottom w:w="60" w:type="dxa"/>
            </w:tcMar>
          </w:tcPr>
          <w:p w14:paraId="24DE3B9D" w14:textId="77777777" w:rsidR="006561BA" w:rsidRDefault="006561BA">
            <w:pPr>
              <w:pStyle w:val="AnnexTableCellLeft"/>
              <w:spacing w:line="200" w:lineRule="exact"/>
              <w:rPr>
                <w:sz w:val="16"/>
                <w:szCs w:val="16"/>
              </w:rPr>
            </w:pPr>
          </w:p>
        </w:tc>
        <w:tc>
          <w:tcPr>
            <w:tcW w:w="2064" w:type="dxa"/>
            <w:shd w:val="clear" w:color="auto" w:fill="F2F2F2"/>
            <w:tcMar>
              <w:top w:w="60" w:type="dxa"/>
              <w:bottom w:w="60" w:type="dxa"/>
            </w:tcMar>
          </w:tcPr>
          <w:p w14:paraId="7CA1C010" w14:textId="77777777" w:rsidR="006561BA" w:rsidRDefault="005B4ED6">
            <w:pPr>
              <w:pStyle w:val="AnnexTableCellLeft"/>
              <w:spacing w:line="200" w:lineRule="exact"/>
              <w:jc w:val="left"/>
              <w:rPr>
                <w:sz w:val="16"/>
                <w:szCs w:val="16"/>
              </w:rPr>
            </w:pPr>
            <w:r>
              <w:rPr>
                <w:sz w:val="16"/>
              </w:rPr>
              <w:t>Sum miljømessig bærekraftige aktiviteter</w:t>
            </w:r>
          </w:p>
        </w:tc>
        <w:tc>
          <w:tcPr>
            <w:tcW w:w="1044" w:type="dxa"/>
            <w:shd w:val="clear" w:color="auto" w:fill="F2F2F2"/>
            <w:tcMar>
              <w:top w:w="60" w:type="dxa"/>
              <w:bottom w:w="60" w:type="dxa"/>
            </w:tcMar>
          </w:tcPr>
          <w:p w14:paraId="64521155" w14:textId="77777777" w:rsidR="006561BA" w:rsidRDefault="005B4ED6">
            <w:pPr>
              <w:pStyle w:val="AnnexTableCellLeft"/>
              <w:spacing w:line="200" w:lineRule="exact"/>
              <w:rPr>
                <w:sz w:val="16"/>
                <w:szCs w:val="16"/>
              </w:rPr>
            </w:pPr>
            <w:r>
              <w:rPr>
                <w:sz w:val="16"/>
              </w:rPr>
              <w:t>KPI</w:t>
            </w:r>
          </w:p>
        </w:tc>
        <w:tc>
          <w:tcPr>
            <w:tcW w:w="1044" w:type="dxa"/>
            <w:shd w:val="clear" w:color="auto" w:fill="F2F2F2"/>
            <w:tcMar>
              <w:top w:w="60" w:type="dxa"/>
              <w:bottom w:w="60" w:type="dxa"/>
            </w:tcMar>
            <w:vAlign w:val="center"/>
          </w:tcPr>
          <w:p w14:paraId="3B6FDCE5" w14:textId="77777777" w:rsidR="006561BA" w:rsidRDefault="005B4ED6">
            <w:pPr>
              <w:pStyle w:val="AnnexTableCellLeft"/>
              <w:spacing w:line="200" w:lineRule="exact"/>
              <w:jc w:val="left"/>
              <w:rPr>
                <w:sz w:val="16"/>
                <w:szCs w:val="16"/>
              </w:rPr>
            </w:pPr>
            <w:r>
              <w:rPr>
                <w:sz w:val="16"/>
              </w:rPr>
              <w:t>KPI</w:t>
            </w:r>
          </w:p>
        </w:tc>
        <w:tc>
          <w:tcPr>
            <w:tcW w:w="2094" w:type="dxa"/>
            <w:shd w:val="clear" w:color="auto" w:fill="F2F2F2"/>
            <w:tcMar>
              <w:top w:w="60" w:type="dxa"/>
              <w:bottom w:w="60" w:type="dxa"/>
            </w:tcMar>
            <w:vAlign w:val="center"/>
          </w:tcPr>
          <w:p w14:paraId="4D7A1010" w14:textId="77777777" w:rsidR="006561BA" w:rsidRDefault="005B4ED6">
            <w:pPr>
              <w:pStyle w:val="AnnexTableCellLeft"/>
              <w:spacing w:line="200" w:lineRule="exact"/>
              <w:jc w:val="left"/>
              <w:rPr>
                <w:sz w:val="16"/>
                <w:szCs w:val="16"/>
              </w:rPr>
            </w:pPr>
            <w:r>
              <w:rPr>
                <w:sz w:val="16"/>
              </w:rPr>
              <w:t>Dekningsgrad i % (av samlede eiendeler)</w:t>
            </w:r>
          </w:p>
        </w:tc>
        <w:tc>
          <w:tcPr>
            <w:tcW w:w="2514" w:type="dxa"/>
            <w:shd w:val="clear" w:color="auto" w:fill="F2F2F2"/>
            <w:tcMar>
              <w:top w:w="60" w:type="dxa"/>
              <w:bottom w:w="60" w:type="dxa"/>
            </w:tcMar>
          </w:tcPr>
          <w:p w14:paraId="5EC70B9B" w14:textId="77777777" w:rsidR="006561BA" w:rsidRDefault="005B4ED6">
            <w:pPr>
              <w:pStyle w:val="AnnexTableCellLeft"/>
              <w:spacing w:line="200" w:lineRule="exact"/>
              <w:rPr>
                <w:sz w:val="16"/>
                <w:szCs w:val="16"/>
              </w:rPr>
            </w:pPr>
            <w:r>
              <w:rPr>
                <w:b/>
                <w:sz w:val="16"/>
              </w:rPr>
              <w:t>% av eiendeler som ikke er tatt med i telleren i GAR (artikkel 7 nr. 2 og 3 og avsnitt 1.1.2 i vedlegg V)</w:t>
            </w:r>
          </w:p>
        </w:tc>
        <w:tc>
          <w:tcPr>
            <w:tcW w:w="1884" w:type="dxa"/>
            <w:shd w:val="clear" w:color="auto" w:fill="F2F2F2"/>
            <w:tcMar>
              <w:top w:w="60" w:type="dxa"/>
              <w:bottom w:w="60" w:type="dxa"/>
              <w:right w:w="0" w:type="dxa"/>
            </w:tcMar>
          </w:tcPr>
          <w:p w14:paraId="15151254" w14:textId="77777777" w:rsidR="006561BA" w:rsidRDefault="005B4ED6">
            <w:pPr>
              <w:pStyle w:val="AnnexTableCellLeft"/>
              <w:spacing w:line="200" w:lineRule="exact"/>
              <w:rPr>
                <w:sz w:val="16"/>
                <w:szCs w:val="16"/>
              </w:rPr>
            </w:pPr>
            <w:r>
              <w:rPr>
                <w:b/>
                <w:sz w:val="16"/>
              </w:rPr>
              <w:t>% av eiendeler som ikke er tatt med i nevneren i GAR (artikkel 7 nr. 1 og avsnitt 1.2.4 i vedlegg V)</w:t>
            </w:r>
          </w:p>
        </w:tc>
      </w:tr>
      <w:tr w:rsidR="006561BA" w14:paraId="5CD0645A" w14:textId="77777777">
        <w:tc>
          <w:tcPr>
            <w:tcW w:w="1284" w:type="dxa"/>
            <w:tcMar>
              <w:top w:w="60" w:type="dxa"/>
              <w:left w:w="0" w:type="dxa"/>
              <w:bottom w:w="60" w:type="dxa"/>
            </w:tcMar>
          </w:tcPr>
          <w:p w14:paraId="3CD716EA" w14:textId="77777777" w:rsidR="006561BA" w:rsidRDefault="005B4ED6">
            <w:pPr>
              <w:pStyle w:val="AnnexTableCellLeft"/>
              <w:spacing w:line="200" w:lineRule="exact"/>
              <w:rPr>
                <w:sz w:val="16"/>
                <w:szCs w:val="16"/>
              </w:rPr>
            </w:pPr>
            <w:r>
              <w:rPr>
                <w:i/>
                <w:sz w:val="16"/>
              </w:rPr>
              <w:t>Andre KPI-er</w:t>
            </w:r>
          </w:p>
        </w:tc>
        <w:tc>
          <w:tcPr>
            <w:tcW w:w="2388" w:type="dxa"/>
            <w:tcMar>
              <w:top w:w="60" w:type="dxa"/>
              <w:bottom w:w="60" w:type="dxa"/>
            </w:tcMar>
          </w:tcPr>
          <w:p w14:paraId="2296D91D" w14:textId="77777777" w:rsidR="006561BA" w:rsidRDefault="005B4ED6">
            <w:pPr>
              <w:pStyle w:val="AnnexTableCellLeft"/>
              <w:spacing w:line="200" w:lineRule="exact"/>
              <w:rPr>
                <w:sz w:val="16"/>
                <w:szCs w:val="16"/>
              </w:rPr>
            </w:pPr>
            <w:r>
              <w:rPr>
                <w:i/>
                <w:sz w:val="16"/>
              </w:rPr>
              <w:t>GAR (strøm)</w:t>
            </w:r>
          </w:p>
        </w:tc>
        <w:tc>
          <w:tcPr>
            <w:tcW w:w="2064" w:type="dxa"/>
            <w:tcMar>
              <w:top w:w="60" w:type="dxa"/>
              <w:bottom w:w="60" w:type="dxa"/>
            </w:tcMar>
          </w:tcPr>
          <w:p w14:paraId="1013F9AA" w14:textId="77777777" w:rsidR="006561BA" w:rsidRDefault="006561BA">
            <w:pPr>
              <w:pStyle w:val="AnnexTableCellLeft"/>
              <w:spacing w:line="200" w:lineRule="exact"/>
              <w:rPr>
                <w:sz w:val="16"/>
                <w:szCs w:val="16"/>
              </w:rPr>
            </w:pPr>
          </w:p>
        </w:tc>
        <w:tc>
          <w:tcPr>
            <w:tcW w:w="1044" w:type="dxa"/>
            <w:tcMar>
              <w:top w:w="60" w:type="dxa"/>
              <w:bottom w:w="60" w:type="dxa"/>
            </w:tcMar>
          </w:tcPr>
          <w:p w14:paraId="695DB736" w14:textId="77777777" w:rsidR="006561BA" w:rsidRDefault="006561BA">
            <w:pPr>
              <w:pStyle w:val="AnnexTableCellLeft"/>
              <w:spacing w:line="200" w:lineRule="exact"/>
              <w:rPr>
                <w:sz w:val="16"/>
                <w:szCs w:val="16"/>
              </w:rPr>
            </w:pPr>
          </w:p>
        </w:tc>
        <w:tc>
          <w:tcPr>
            <w:tcW w:w="1044" w:type="dxa"/>
            <w:tcMar>
              <w:top w:w="60" w:type="dxa"/>
              <w:bottom w:w="60" w:type="dxa"/>
            </w:tcMar>
          </w:tcPr>
          <w:p w14:paraId="4B4A8542" w14:textId="77777777" w:rsidR="006561BA" w:rsidRDefault="006561BA">
            <w:pPr>
              <w:pStyle w:val="AnnexTableCellLeft"/>
              <w:spacing w:line="200" w:lineRule="exact"/>
              <w:rPr>
                <w:sz w:val="16"/>
                <w:szCs w:val="16"/>
              </w:rPr>
            </w:pPr>
          </w:p>
        </w:tc>
        <w:tc>
          <w:tcPr>
            <w:tcW w:w="2094" w:type="dxa"/>
            <w:tcMar>
              <w:top w:w="60" w:type="dxa"/>
              <w:bottom w:w="60" w:type="dxa"/>
            </w:tcMar>
          </w:tcPr>
          <w:p w14:paraId="04E70B5F" w14:textId="77777777" w:rsidR="006561BA" w:rsidRDefault="006561BA">
            <w:pPr>
              <w:pStyle w:val="AnnexTableCellLeft"/>
              <w:spacing w:line="200" w:lineRule="exact"/>
              <w:rPr>
                <w:sz w:val="16"/>
                <w:szCs w:val="16"/>
              </w:rPr>
            </w:pPr>
          </w:p>
        </w:tc>
        <w:tc>
          <w:tcPr>
            <w:tcW w:w="2514" w:type="dxa"/>
            <w:tcMar>
              <w:top w:w="60" w:type="dxa"/>
              <w:bottom w:w="60" w:type="dxa"/>
            </w:tcMar>
          </w:tcPr>
          <w:p w14:paraId="2EABFF8C" w14:textId="77777777" w:rsidR="006561BA" w:rsidRDefault="006561BA">
            <w:pPr>
              <w:pStyle w:val="AnnexTableCellLeft"/>
              <w:spacing w:line="200" w:lineRule="exact"/>
              <w:rPr>
                <w:sz w:val="16"/>
                <w:szCs w:val="16"/>
              </w:rPr>
            </w:pPr>
          </w:p>
        </w:tc>
        <w:tc>
          <w:tcPr>
            <w:tcW w:w="1884" w:type="dxa"/>
            <w:tcMar>
              <w:top w:w="60" w:type="dxa"/>
              <w:bottom w:w="60" w:type="dxa"/>
              <w:right w:w="0" w:type="dxa"/>
            </w:tcMar>
          </w:tcPr>
          <w:p w14:paraId="17777501" w14:textId="77777777" w:rsidR="006561BA" w:rsidRDefault="006561BA">
            <w:pPr>
              <w:pStyle w:val="AnnexTableCellLeft"/>
              <w:spacing w:line="200" w:lineRule="exact"/>
              <w:rPr>
                <w:sz w:val="16"/>
                <w:szCs w:val="16"/>
              </w:rPr>
            </w:pPr>
          </w:p>
        </w:tc>
      </w:tr>
      <w:tr w:rsidR="006561BA" w14:paraId="5BD5F648" w14:textId="77777777">
        <w:tc>
          <w:tcPr>
            <w:tcW w:w="1284" w:type="dxa"/>
            <w:tcMar>
              <w:top w:w="60" w:type="dxa"/>
              <w:left w:w="0" w:type="dxa"/>
              <w:bottom w:w="60" w:type="dxa"/>
            </w:tcMar>
          </w:tcPr>
          <w:p w14:paraId="41A6CB5A" w14:textId="77777777" w:rsidR="006561BA" w:rsidRDefault="006561BA">
            <w:pPr>
              <w:pStyle w:val="AnnexTableCellLeft"/>
              <w:spacing w:line="200" w:lineRule="exact"/>
              <w:rPr>
                <w:sz w:val="16"/>
                <w:szCs w:val="16"/>
              </w:rPr>
            </w:pPr>
          </w:p>
        </w:tc>
        <w:tc>
          <w:tcPr>
            <w:tcW w:w="2388" w:type="dxa"/>
            <w:tcMar>
              <w:top w:w="60" w:type="dxa"/>
              <w:bottom w:w="60" w:type="dxa"/>
            </w:tcMar>
          </w:tcPr>
          <w:p w14:paraId="36D422CC" w14:textId="1A7B8A6E" w:rsidR="006561BA" w:rsidRDefault="005B4ED6">
            <w:pPr>
              <w:pStyle w:val="AnnexTableCellLeft"/>
              <w:spacing w:line="200" w:lineRule="exact"/>
              <w:rPr>
                <w:sz w:val="16"/>
                <w:szCs w:val="16"/>
              </w:rPr>
            </w:pPr>
            <w:proofErr w:type="gramStart"/>
            <w:r>
              <w:rPr>
                <w:i/>
                <w:iCs/>
                <w:sz w:val="16"/>
              </w:rPr>
              <w:t>Handelsportefølje</w:t>
            </w:r>
            <w:r>
              <w:rPr>
                <w:sz w:val="16"/>
              </w:rPr>
              <w:t>(</w:t>
            </w:r>
            <w:proofErr w:type="gramEnd"/>
            <w:r>
              <w:rPr>
                <w:sz w:val="16"/>
              </w:rPr>
              <w:fldChar w:fldCharType="begin"/>
            </w:r>
            <w:r>
              <w:rPr>
                <w:sz w:val="16"/>
              </w:rPr>
              <w:instrText xml:space="preserve"> REF NOTE_397 \h  \* MERGEFORMAT </w:instrText>
            </w:r>
            <w:r>
              <w:rPr>
                <w:sz w:val="16"/>
              </w:rPr>
            </w:r>
            <w:r>
              <w:rPr>
                <w:sz w:val="16"/>
              </w:rPr>
              <w:fldChar w:fldCharType="separate"/>
            </w:r>
            <w:r w:rsidR="00770AA2" w:rsidRPr="00770AA2">
              <w:rPr>
                <w:sz w:val="16"/>
              </w:rPr>
              <w:t>*</w:t>
            </w:r>
            <w:r>
              <w:rPr>
                <w:sz w:val="16"/>
              </w:rPr>
              <w:fldChar w:fldCharType="end"/>
            </w:r>
            <w:r>
              <w:rPr>
                <w:sz w:val="16"/>
              </w:rPr>
              <w:t>)</w:t>
            </w:r>
          </w:p>
        </w:tc>
        <w:tc>
          <w:tcPr>
            <w:tcW w:w="2064" w:type="dxa"/>
            <w:tcMar>
              <w:top w:w="60" w:type="dxa"/>
              <w:bottom w:w="60" w:type="dxa"/>
            </w:tcMar>
          </w:tcPr>
          <w:p w14:paraId="0347C38E" w14:textId="77777777" w:rsidR="006561BA" w:rsidRDefault="006561BA">
            <w:pPr>
              <w:pStyle w:val="AnnexTableCellLeft"/>
              <w:spacing w:line="200" w:lineRule="exact"/>
              <w:rPr>
                <w:sz w:val="16"/>
                <w:szCs w:val="16"/>
              </w:rPr>
            </w:pPr>
          </w:p>
        </w:tc>
        <w:tc>
          <w:tcPr>
            <w:tcW w:w="1044" w:type="dxa"/>
            <w:tcMar>
              <w:top w:w="60" w:type="dxa"/>
              <w:bottom w:w="60" w:type="dxa"/>
            </w:tcMar>
          </w:tcPr>
          <w:p w14:paraId="7325D116" w14:textId="77777777" w:rsidR="006561BA" w:rsidRDefault="006561BA">
            <w:pPr>
              <w:pStyle w:val="AnnexTableCellLeft"/>
              <w:spacing w:line="200" w:lineRule="exact"/>
              <w:rPr>
                <w:sz w:val="16"/>
                <w:szCs w:val="16"/>
              </w:rPr>
            </w:pPr>
          </w:p>
        </w:tc>
        <w:tc>
          <w:tcPr>
            <w:tcW w:w="1044" w:type="dxa"/>
            <w:tcMar>
              <w:top w:w="60" w:type="dxa"/>
              <w:bottom w:w="60" w:type="dxa"/>
            </w:tcMar>
          </w:tcPr>
          <w:p w14:paraId="0CD3232C" w14:textId="77777777" w:rsidR="006561BA" w:rsidRDefault="006561BA">
            <w:pPr>
              <w:pStyle w:val="AnnexTableCellLeft"/>
              <w:spacing w:line="200" w:lineRule="exact"/>
              <w:rPr>
                <w:sz w:val="16"/>
                <w:szCs w:val="16"/>
              </w:rPr>
            </w:pPr>
          </w:p>
        </w:tc>
        <w:tc>
          <w:tcPr>
            <w:tcW w:w="2094" w:type="dxa"/>
            <w:shd w:val="clear" w:color="auto" w:fill="000000" w:themeFill="text1"/>
            <w:tcMar>
              <w:top w:w="60" w:type="dxa"/>
              <w:bottom w:w="60" w:type="dxa"/>
            </w:tcMar>
          </w:tcPr>
          <w:p w14:paraId="1AF901DD" w14:textId="77777777" w:rsidR="006561BA" w:rsidRDefault="006561BA">
            <w:pPr>
              <w:pStyle w:val="AnnexTableCellLeft"/>
              <w:spacing w:line="200" w:lineRule="exact"/>
              <w:rPr>
                <w:sz w:val="16"/>
                <w:szCs w:val="16"/>
              </w:rPr>
            </w:pPr>
          </w:p>
        </w:tc>
        <w:tc>
          <w:tcPr>
            <w:tcW w:w="2514" w:type="dxa"/>
            <w:shd w:val="clear" w:color="auto" w:fill="000000" w:themeFill="text1"/>
            <w:tcMar>
              <w:top w:w="60" w:type="dxa"/>
              <w:bottom w:w="60" w:type="dxa"/>
            </w:tcMar>
          </w:tcPr>
          <w:p w14:paraId="5DC93B92" w14:textId="77777777" w:rsidR="006561BA" w:rsidRDefault="006561BA">
            <w:pPr>
              <w:pStyle w:val="AnnexTableCellLeft"/>
              <w:spacing w:line="200" w:lineRule="exact"/>
              <w:rPr>
                <w:sz w:val="16"/>
                <w:szCs w:val="16"/>
              </w:rPr>
            </w:pPr>
          </w:p>
        </w:tc>
        <w:tc>
          <w:tcPr>
            <w:tcW w:w="1884" w:type="dxa"/>
            <w:shd w:val="clear" w:color="auto" w:fill="000000" w:themeFill="text1"/>
            <w:tcMar>
              <w:top w:w="60" w:type="dxa"/>
              <w:bottom w:w="60" w:type="dxa"/>
              <w:right w:w="0" w:type="dxa"/>
            </w:tcMar>
          </w:tcPr>
          <w:p w14:paraId="0BFF4A67" w14:textId="77777777" w:rsidR="006561BA" w:rsidRDefault="006561BA">
            <w:pPr>
              <w:pStyle w:val="AnnexTableCellLeft"/>
              <w:spacing w:line="200" w:lineRule="exact"/>
              <w:rPr>
                <w:sz w:val="16"/>
                <w:szCs w:val="16"/>
              </w:rPr>
            </w:pPr>
          </w:p>
        </w:tc>
      </w:tr>
      <w:tr w:rsidR="006561BA" w14:paraId="26B0EFCA" w14:textId="77777777">
        <w:tc>
          <w:tcPr>
            <w:tcW w:w="1284" w:type="dxa"/>
            <w:tcMar>
              <w:top w:w="60" w:type="dxa"/>
              <w:left w:w="0" w:type="dxa"/>
              <w:bottom w:w="60" w:type="dxa"/>
            </w:tcMar>
          </w:tcPr>
          <w:p w14:paraId="3A561015" w14:textId="77777777" w:rsidR="006561BA" w:rsidRDefault="006561BA">
            <w:pPr>
              <w:pStyle w:val="AnnexTableCellLeft"/>
              <w:spacing w:line="200" w:lineRule="exact"/>
              <w:rPr>
                <w:sz w:val="16"/>
                <w:szCs w:val="16"/>
              </w:rPr>
            </w:pPr>
          </w:p>
        </w:tc>
        <w:tc>
          <w:tcPr>
            <w:tcW w:w="2388" w:type="dxa"/>
            <w:tcMar>
              <w:top w:w="60" w:type="dxa"/>
              <w:bottom w:w="60" w:type="dxa"/>
            </w:tcMar>
          </w:tcPr>
          <w:p w14:paraId="12B3CD00" w14:textId="77777777" w:rsidR="006561BA" w:rsidRDefault="005B4ED6">
            <w:pPr>
              <w:pStyle w:val="AnnexTableCellLeft"/>
              <w:spacing w:line="200" w:lineRule="exact"/>
              <w:rPr>
                <w:sz w:val="16"/>
                <w:szCs w:val="16"/>
              </w:rPr>
            </w:pPr>
            <w:r>
              <w:rPr>
                <w:i/>
                <w:sz w:val="16"/>
              </w:rPr>
              <w:t>Finansielle garantier</w:t>
            </w:r>
          </w:p>
        </w:tc>
        <w:tc>
          <w:tcPr>
            <w:tcW w:w="2064" w:type="dxa"/>
            <w:tcMar>
              <w:top w:w="60" w:type="dxa"/>
              <w:bottom w:w="60" w:type="dxa"/>
            </w:tcMar>
          </w:tcPr>
          <w:p w14:paraId="16CC2489" w14:textId="77777777" w:rsidR="006561BA" w:rsidRDefault="006561BA">
            <w:pPr>
              <w:pStyle w:val="AnnexTableCellLeft"/>
              <w:spacing w:line="200" w:lineRule="exact"/>
              <w:rPr>
                <w:sz w:val="16"/>
                <w:szCs w:val="16"/>
              </w:rPr>
            </w:pPr>
          </w:p>
        </w:tc>
        <w:tc>
          <w:tcPr>
            <w:tcW w:w="1044" w:type="dxa"/>
            <w:tcMar>
              <w:top w:w="60" w:type="dxa"/>
              <w:bottom w:w="60" w:type="dxa"/>
            </w:tcMar>
          </w:tcPr>
          <w:p w14:paraId="30A263B4" w14:textId="77777777" w:rsidR="006561BA" w:rsidRDefault="006561BA">
            <w:pPr>
              <w:pStyle w:val="AnnexTableCellLeft"/>
              <w:spacing w:line="200" w:lineRule="exact"/>
              <w:rPr>
                <w:sz w:val="16"/>
                <w:szCs w:val="16"/>
              </w:rPr>
            </w:pPr>
          </w:p>
        </w:tc>
        <w:tc>
          <w:tcPr>
            <w:tcW w:w="1044" w:type="dxa"/>
            <w:tcMar>
              <w:top w:w="60" w:type="dxa"/>
              <w:bottom w:w="60" w:type="dxa"/>
            </w:tcMar>
          </w:tcPr>
          <w:p w14:paraId="60D7B240" w14:textId="77777777" w:rsidR="006561BA" w:rsidRDefault="006561BA">
            <w:pPr>
              <w:pStyle w:val="AnnexTableCellLeft"/>
              <w:spacing w:line="200" w:lineRule="exact"/>
              <w:rPr>
                <w:sz w:val="16"/>
                <w:szCs w:val="16"/>
              </w:rPr>
            </w:pPr>
          </w:p>
        </w:tc>
        <w:tc>
          <w:tcPr>
            <w:tcW w:w="2094" w:type="dxa"/>
            <w:shd w:val="clear" w:color="auto" w:fill="000000" w:themeFill="text1"/>
            <w:tcMar>
              <w:top w:w="60" w:type="dxa"/>
              <w:bottom w:w="60" w:type="dxa"/>
            </w:tcMar>
          </w:tcPr>
          <w:p w14:paraId="4DDE347D" w14:textId="77777777" w:rsidR="006561BA" w:rsidRDefault="006561BA">
            <w:pPr>
              <w:pStyle w:val="AnnexTableCellLeft"/>
              <w:spacing w:line="200" w:lineRule="exact"/>
              <w:rPr>
                <w:sz w:val="16"/>
                <w:szCs w:val="16"/>
              </w:rPr>
            </w:pPr>
          </w:p>
        </w:tc>
        <w:tc>
          <w:tcPr>
            <w:tcW w:w="2514" w:type="dxa"/>
            <w:shd w:val="clear" w:color="auto" w:fill="000000" w:themeFill="text1"/>
            <w:tcMar>
              <w:top w:w="60" w:type="dxa"/>
              <w:bottom w:w="60" w:type="dxa"/>
            </w:tcMar>
          </w:tcPr>
          <w:p w14:paraId="6090872F" w14:textId="77777777" w:rsidR="006561BA" w:rsidRDefault="006561BA">
            <w:pPr>
              <w:pStyle w:val="AnnexTableCellLeft"/>
              <w:spacing w:line="200" w:lineRule="exact"/>
              <w:rPr>
                <w:sz w:val="16"/>
                <w:szCs w:val="16"/>
              </w:rPr>
            </w:pPr>
          </w:p>
        </w:tc>
        <w:tc>
          <w:tcPr>
            <w:tcW w:w="1884" w:type="dxa"/>
            <w:shd w:val="clear" w:color="auto" w:fill="000000" w:themeFill="text1"/>
            <w:tcMar>
              <w:top w:w="60" w:type="dxa"/>
              <w:bottom w:w="60" w:type="dxa"/>
              <w:right w:w="0" w:type="dxa"/>
            </w:tcMar>
          </w:tcPr>
          <w:p w14:paraId="239F05DF" w14:textId="77777777" w:rsidR="006561BA" w:rsidRDefault="006561BA">
            <w:pPr>
              <w:pStyle w:val="AnnexTableCellLeft"/>
              <w:spacing w:line="200" w:lineRule="exact"/>
              <w:rPr>
                <w:sz w:val="16"/>
                <w:szCs w:val="16"/>
              </w:rPr>
            </w:pPr>
          </w:p>
        </w:tc>
      </w:tr>
      <w:tr w:rsidR="006561BA" w14:paraId="68586EC4" w14:textId="77777777">
        <w:tc>
          <w:tcPr>
            <w:tcW w:w="1284" w:type="dxa"/>
            <w:tcMar>
              <w:top w:w="60" w:type="dxa"/>
              <w:left w:w="0" w:type="dxa"/>
              <w:bottom w:w="60" w:type="dxa"/>
            </w:tcMar>
          </w:tcPr>
          <w:p w14:paraId="6CEBDF90" w14:textId="77777777" w:rsidR="006561BA" w:rsidRDefault="006561BA">
            <w:pPr>
              <w:pStyle w:val="AnnexTableCellLeft"/>
              <w:spacing w:line="200" w:lineRule="exact"/>
              <w:rPr>
                <w:sz w:val="16"/>
                <w:szCs w:val="16"/>
              </w:rPr>
            </w:pPr>
          </w:p>
        </w:tc>
        <w:tc>
          <w:tcPr>
            <w:tcW w:w="2388" w:type="dxa"/>
            <w:tcMar>
              <w:top w:w="60" w:type="dxa"/>
              <w:bottom w:w="60" w:type="dxa"/>
            </w:tcMar>
          </w:tcPr>
          <w:p w14:paraId="2FEC8695" w14:textId="77777777" w:rsidR="006561BA" w:rsidRDefault="005B4ED6">
            <w:pPr>
              <w:pStyle w:val="AnnexTableCellLeft"/>
              <w:spacing w:line="200" w:lineRule="exact"/>
              <w:rPr>
                <w:sz w:val="16"/>
                <w:szCs w:val="16"/>
              </w:rPr>
            </w:pPr>
            <w:r>
              <w:rPr>
                <w:i/>
                <w:sz w:val="16"/>
              </w:rPr>
              <w:t>Eiendeler under forvaltning</w:t>
            </w:r>
          </w:p>
        </w:tc>
        <w:tc>
          <w:tcPr>
            <w:tcW w:w="2064" w:type="dxa"/>
            <w:tcMar>
              <w:top w:w="60" w:type="dxa"/>
              <w:bottom w:w="60" w:type="dxa"/>
            </w:tcMar>
          </w:tcPr>
          <w:p w14:paraId="1FF3D1EE" w14:textId="77777777" w:rsidR="006561BA" w:rsidRDefault="006561BA">
            <w:pPr>
              <w:pStyle w:val="AnnexTableCellLeft"/>
              <w:spacing w:line="200" w:lineRule="exact"/>
              <w:rPr>
                <w:sz w:val="16"/>
                <w:szCs w:val="16"/>
              </w:rPr>
            </w:pPr>
          </w:p>
        </w:tc>
        <w:tc>
          <w:tcPr>
            <w:tcW w:w="1044" w:type="dxa"/>
            <w:tcMar>
              <w:top w:w="60" w:type="dxa"/>
              <w:bottom w:w="60" w:type="dxa"/>
            </w:tcMar>
          </w:tcPr>
          <w:p w14:paraId="67C95C18" w14:textId="77777777" w:rsidR="006561BA" w:rsidRDefault="006561BA">
            <w:pPr>
              <w:pStyle w:val="AnnexTableCellLeft"/>
              <w:spacing w:line="200" w:lineRule="exact"/>
              <w:rPr>
                <w:sz w:val="16"/>
                <w:szCs w:val="16"/>
              </w:rPr>
            </w:pPr>
          </w:p>
        </w:tc>
        <w:tc>
          <w:tcPr>
            <w:tcW w:w="1044" w:type="dxa"/>
            <w:tcMar>
              <w:top w:w="60" w:type="dxa"/>
              <w:bottom w:w="60" w:type="dxa"/>
            </w:tcMar>
          </w:tcPr>
          <w:p w14:paraId="32DEED3F" w14:textId="77777777" w:rsidR="006561BA" w:rsidRDefault="006561BA">
            <w:pPr>
              <w:pStyle w:val="AnnexTableCellLeft"/>
              <w:spacing w:line="200" w:lineRule="exact"/>
              <w:rPr>
                <w:sz w:val="16"/>
                <w:szCs w:val="16"/>
              </w:rPr>
            </w:pPr>
          </w:p>
        </w:tc>
        <w:tc>
          <w:tcPr>
            <w:tcW w:w="2094" w:type="dxa"/>
            <w:shd w:val="clear" w:color="auto" w:fill="000000" w:themeFill="text1"/>
            <w:tcMar>
              <w:top w:w="60" w:type="dxa"/>
              <w:bottom w:w="60" w:type="dxa"/>
            </w:tcMar>
          </w:tcPr>
          <w:p w14:paraId="2D404C46" w14:textId="77777777" w:rsidR="006561BA" w:rsidRDefault="006561BA">
            <w:pPr>
              <w:pStyle w:val="AnnexTableCellLeft"/>
              <w:spacing w:line="200" w:lineRule="exact"/>
              <w:rPr>
                <w:sz w:val="16"/>
                <w:szCs w:val="16"/>
              </w:rPr>
            </w:pPr>
          </w:p>
        </w:tc>
        <w:tc>
          <w:tcPr>
            <w:tcW w:w="2514" w:type="dxa"/>
            <w:shd w:val="clear" w:color="auto" w:fill="000000" w:themeFill="text1"/>
            <w:tcMar>
              <w:top w:w="60" w:type="dxa"/>
              <w:bottom w:w="60" w:type="dxa"/>
            </w:tcMar>
          </w:tcPr>
          <w:p w14:paraId="16BAF0B9" w14:textId="77777777" w:rsidR="006561BA" w:rsidRDefault="006561BA">
            <w:pPr>
              <w:pStyle w:val="AnnexTableCellLeft"/>
              <w:spacing w:line="200" w:lineRule="exact"/>
              <w:rPr>
                <w:sz w:val="16"/>
                <w:szCs w:val="16"/>
              </w:rPr>
            </w:pPr>
          </w:p>
        </w:tc>
        <w:tc>
          <w:tcPr>
            <w:tcW w:w="1884" w:type="dxa"/>
            <w:shd w:val="clear" w:color="auto" w:fill="000000" w:themeFill="text1"/>
            <w:tcMar>
              <w:top w:w="60" w:type="dxa"/>
              <w:bottom w:w="60" w:type="dxa"/>
              <w:right w:w="0" w:type="dxa"/>
            </w:tcMar>
          </w:tcPr>
          <w:p w14:paraId="1CB1B423" w14:textId="77777777" w:rsidR="006561BA" w:rsidRDefault="006561BA">
            <w:pPr>
              <w:pStyle w:val="AnnexTableCellLeft"/>
              <w:spacing w:line="200" w:lineRule="exact"/>
              <w:rPr>
                <w:sz w:val="16"/>
                <w:szCs w:val="16"/>
              </w:rPr>
            </w:pPr>
          </w:p>
        </w:tc>
      </w:tr>
      <w:tr w:rsidR="006561BA" w14:paraId="4E8755E8" w14:textId="77777777">
        <w:tc>
          <w:tcPr>
            <w:tcW w:w="1284" w:type="dxa"/>
            <w:tcBorders>
              <w:bottom w:val="single" w:sz="4" w:space="0" w:color="auto"/>
            </w:tcBorders>
            <w:tcMar>
              <w:top w:w="60" w:type="dxa"/>
              <w:left w:w="0" w:type="dxa"/>
              <w:bottom w:w="60" w:type="dxa"/>
            </w:tcMar>
          </w:tcPr>
          <w:p w14:paraId="239E3D0E" w14:textId="77777777" w:rsidR="006561BA" w:rsidRDefault="006561BA">
            <w:pPr>
              <w:pStyle w:val="AnnexTableCellLeft"/>
              <w:spacing w:line="200" w:lineRule="exact"/>
              <w:rPr>
                <w:sz w:val="16"/>
                <w:szCs w:val="16"/>
              </w:rPr>
            </w:pPr>
          </w:p>
        </w:tc>
        <w:tc>
          <w:tcPr>
            <w:tcW w:w="2388" w:type="dxa"/>
            <w:tcBorders>
              <w:bottom w:val="single" w:sz="4" w:space="0" w:color="auto"/>
            </w:tcBorders>
            <w:tcMar>
              <w:top w:w="60" w:type="dxa"/>
              <w:bottom w:w="60" w:type="dxa"/>
            </w:tcMar>
          </w:tcPr>
          <w:p w14:paraId="0899127D" w14:textId="6CA04026" w:rsidR="006561BA" w:rsidRDefault="005B4ED6">
            <w:pPr>
              <w:pStyle w:val="AnnexTableCellLeft"/>
              <w:spacing w:line="200" w:lineRule="exact"/>
              <w:rPr>
                <w:sz w:val="16"/>
                <w:szCs w:val="16"/>
              </w:rPr>
            </w:pPr>
            <w:r>
              <w:rPr>
                <w:i/>
                <w:sz w:val="16"/>
              </w:rPr>
              <w:t xml:space="preserve">Gebyr- og </w:t>
            </w:r>
            <w:proofErr w:type="gramStart"/>
            <w:r>
              <w:rPr>
                <w:i/>
                <w:sz w:val="16"/>
              </w:rPr>
              <w:t>provisjonsinntekter</w:t>
            </w:r>
            <w:r>
              <w:rPr>
                <w:sz w:val="16"/>
              </w:rPr>
              <w:t>(</w:t>
            </w:r>
            <w:proofErr w:type="gramEnd"/>
            <w:r>
              <w:rPr>
                <w:sz w:val="16"/>
              </w:rPr>
              <w:fldChar w:fldCharType="begin"/>
            </w:r>
            <w:r>
              <w:rPr>
                <w:sz w:val="16"/>
              </w:rPr>
              <w:instrText xml:space="preserve"> REF NOTE_398 \h  \* MERGEFORMAT </w:instrText>
            </w:r>
            <w:r>
              <w:rPr>
                <w:sz w:val="16"/>
              </w:rPr>
            </w:r>
            <w:r>
              <w:rPr>
                <w:sz w:val="16"/>
              </w:rPr>
              <w:fldChar w:fldCharType="separate"/>
            </w:r>
            <w:r w:rsidR="00770AA2" w:rsidRPr="00770AA2">
              <w:rPr>
                <w:sz w:val="16"/>
              </w:rPr>
              <w:t>**</w:t>
            </w:r>
            <w:r>
              <w:rPr>
                <w:sz w:val="16"/>
              </w:rPr>
              <w:fldChar w:fldCharType="end"/>
            </w:r>
            <w:r>
              <w:rPr>
                <w:sz w:val="16"/>
              </w:rPr>
              <w:t>)</w:t>
            </w:r>
          </w:p>
        </w:tc>
        <w:tc>
          <w:tcPr>
            <w:tcW w:w="2064" w:type="dxa"/>
            <w:tcBorders>
              <w:bottom w:val="single" w:sz="4" w:space="0" w:color="auto"/>
            </w:tcBorders>
            <w:tcMar>
              <w:top w:w="60" w:type="dxa"/>
              <w:bottom w:w="60" w:type="dxa"/>
            </w:tcMar>
          </w:tcPr>
          <w:p w14:paraId="7366F510" w14:textId="77777777" w:rsidR="006561BA" w:rsidRDefault="006561BA">
            <w:pPr>
              <w:pStyle w:val="AnnexTableCellLeft"/>
              <w:spacing w:line="200" w:lineRule="exact"/>
              <w:rPr>
                <w:sz w:val="16"/>
                <w:szCs w:val="16"/>
              </w:rPr>
            </w:pPr>
          </w:p>
        </w:tc>
        <w:tc>
          <w:tcPr>
            <w:tcW w:w="1044" w:type="dxa"/>
            <w:tcBorders>
              <w:bottom w:val="single" w:sz="4" w:space="0" w:color="auto"/>
            </w:tcBorders>
            <w:tcMar>
              <w:top w:w="60" w:type="dxa"/>
              <w:bottom w:w="60" w:type="dxa"/>
            </w:tcMar>
          </w:tcPr>
          <w:p w14:paraId="4FD454BB" w14:textId="77777777" w:rsidR="006561BA" w:rsidRDefault="006561BA">
            <w:pPr>
              <w:pStyle w:val="AnnexTableCellLeft"/>
              <w:spacing w:line="200" w:lineRule="exact"/>
              <w:rPr>
                <w:sz w:val="16"/>
                <w:szCs w:val="16"/>
              </w:rPr>
            </w:pPr>
          </w:p>
        </w:tc>
        <w:tc>
          <w:tcPr>
            <w:tcW w:w="1044" w:type="dxa"/>
            <w:tcBorders>
              <w:bottom w:val="single" w:sz="4" w:space="0" w:color="auto"/>
            </w:tcBorders>
            <w:tcMar>
              <w:top w:w="60" w:type="dxa"/>
              <w:bottom w:w="60" w:type="dxa"/>
            </w:tcMar>
          </w:tcPr>
          <w:p w14:paraId="1FC375C2" w14:textId="77777777" w:rsidR="006561BA" w:rsidRDefault="006561BA">
            <w:pPr>
              <w:pStyle w:val="AnnexTableCellLeft"/>
              <w:spacing w:line="200" w:lineRule="exact"/>
              <w:rPr>
                <w:sz w:val="16"/>
                <w:szCs w:val="16"/>
              </w:rPr>
            </w:pPr>
          </w:p>
        </w:tc>
        <w:tc>
          <w:tcPr>
            <w:tcW w:w="2094" w:type="dxa"/>
            <w:tcBorders>
              <w:bottom w:val="single" w:sz="4" w:space="0" w:color="auto"/>
            </w:tcBorders>
            <w:shd w:val="clear" w:color="auto" w:fill="000000" w:themeFill="text1"/>
            <w:tcMar>
              <w:top w:w="60" w:type="dxa"/>
              <w:bottom w:w="60" w:type="dxa"/>
            </w:tcMar>
          </w:tcPr>
          <w:p w14:paraId="28895591" w14:textId="77777777" w:rsidR="006561BA" w:rsidRDefault="006561BA">
            <w:pPr>
              <w:pStyle w:val="AnnexTableCellLeft"/>
              <w:spacing w:line="200" w:lineRule="exact"/>
              <w:rPr>
                <w:sz w:val="16"/>
                <w:szCs w:val="16"/>
              </w:rPr>
            </w:pPr>
          </w:p>
        </w:tc>
        <w:tc>
          <w:tcPr>
            <w:tcW w:w="2514" w:type="dxa"/>
            <w:tcBorders>
              <w:bottom w:val="single" w:sz="4" w:space="0" w:color="auto"/>
            </w:tcBorders>
            <w:shd w:val="clear" w:color="auto" w:fill="000000" w:themeFill="text1"/>
            <w:tcMar>
              <w:top w:w="60" w:type="dxa"/>
              <w:bottom w:w="60" w:type="dxa"/>
            </w:tcMar>
          </w:tcPr>
          <w:p w14:paraId="37A45718" w14:textId="77777777" w:rsidR="006561BA" w:rsidRDefault="006561BA">
            <w:pPr>
              <w:pStyle w:val="AnnexTableCellLeft"/>
              <w:spacing w:line="200" w:lineRule="exact"/>
              <w:rPr>
                <w:sz w:val="16"/>
                <w:szCs w:val="16"/>
              </w:rPr>
            </w:pPr>
          </w:p>
        </w:tc>
        <w:tc>
          <w:tcPr>
            <w:tcW w:w="1884" w:type="dxa"/>
            <w:tcBorders>
              <w:bottom w:val="single" w:sz="4" w:space="0" w:color="auto"/>
            </w:tcBorders>
            <w:shd w:val="clear" w:color="auto" w:fill="000000" w:themeFill="text1"/>
            <w:tcMar>
              <w:top w:w="60" w:type="dxa"/>
              <w:bottom w:w="60" w:type="dxa"/>
              <w:right w:w="0" w:type="dxa"/>
            </w:tcMar>
          </w:tcPr>
          <w:p w14:paraId="36AE0F22" w14:textId="77777777" w:rsidR="006561BA" w:rsidRDefault="006561BA">
            <w:pPr>
              <w:pStyle w:val="AnnexTableCellLeft"/>
              <w:spacing w:line="200" w:lineRule="exact"/>
              <w:rPr>
                <w:sz w:val="16"/>
                <w:szCs w:val="16"/>
              </w:rPr>
            </w:pPr>
          </w:p>
        </w:tc>
      </w:tr>
      <w:tr w:rsidR="006561BA" w14:paraId="4194A17C" w14:textId="77777777">
        <w:tc>
          <w:tcPr>
            <w:tcW w:w="14316" w:type="dxa"/>
            <w:gridSpan w:val="8"/>
            <w:tcBorders>
              <w:bottom w:val="nil"/>
            </w:tcBorders>
            <w:tcMar>
              <w:top w:w="60" w:type="dxa"/>
              <w:left w:w="0" w:type="dxa"/>
              <w:bottom w:w="60" w:type="dxa"/>
              <w:right w:w="0" w:type="dxa"/>
            </w:tcMar>
          </w:tcPr>
          <w:p w14:paraId="38F774DB" w14:textId="77777777" w:rsidR="006561BA" w:rsidRDefault="005B4ED6">
            <w:pPr>
              <w:pStyle w:val="AnnexTableGrNotes"/>
              <w:spacing w:line="200" w:lineRule="exact"/>
              <w:ind w:left="482" w:hanging="482"/>
              <w:rPr>
                <w:sz w:val="14"/>
                <w:szCs w:val="14"/>
              </w:rPr>
            </w:pPr>
            <w:r>
              <w:rPr>
                <w:sz w:val="14"/>
              </w:rPr>
              <w:t>(*)</w:t>
            </w:r>
            <w:r>
              <w:rPr>
                <w:sz w:val="14"/>
              </w:rPr>
              <w:tab/>
              <w:t xml:space="preserve">For kredittinstitusjoner som ikke oppfyller vilkårene i artikkel 94 nr. 1 i </w:t>
            </w:r>
            <w:proofErr w:type="spellStart"/>
            <w:r>
              <w:rPr>
                <w:sz w:val="14"/>
              </w:rPr>
              <w:t>kapitalkravsforordningen</w:t>
            </w:r>
            <w:proofErr w:type="spellEnd"/>
            <w:r>
              <w:rPr>
                <w:sz w:val="14"/>
              </w:rPr>
              <w:t xml:space="preserve"> (CRR) eller vilkårene fastsatt i artikkel 325a nr. 1 i samme forordning.</w:t>
            </w:r>
          </w:p>
          <w:p w14:paraId="084ACBA8" w14:textId="77777777" w:rsidR="006561BA" w:rsidRDefault="005B4ED6">
            <w:pPr>
              <w:pStyle w:val="AnnexTableGrNotes"/>
              <w:spacing w:line="200" w:lineRule="exact"/>
              <w:ind w:left="482" w:hanging="482"/>
              <w:rPr>
                <w:sz w:val="14"/>
                <w:szCs w:val="14"/>
              </w:rPr>
            </w:pPr>
            <w:r>
              <w:rPr>
                <w:sz w:val="14"/>
              </w:rPr>
              <w:t>(**)</w:t>
            </w:r>
            <w:r>
              <w:rPr>
                <w:sz w:val="14"/>
              </w:rPr>
              <w:tab/>
              <w:t>Gebyr- og provisjonsinntekter fra andre tjenester enn utlån og eiendeler under forvaltning. Institusjoner skal legge fram framtidsrettede opplysninger for disse KPI-ene, herunder opplysninger om mål, sammen med relevante redegjørelser for metoden som er brukt.</w:t>
            </w:r>
          </w:p>
          <w:p w14:paraId="38739432" w14:textId="77777777" w:rsidR="006561BA" w:rsidRDefault="005B4ED6">
            <w:pPr>
              <w:pStyle w:val="AnnexTableGrNotes"/>
              <w:spacing w:line="200" w:lineRule="exact"/>
              <w:ind w:left="482" w:hanging="482"/>
              <w:rPr>
                <w:sz w:val="14"/>
                <w:szCs w:val="14"/>
              </w:rPr>
            </w:pPr>
            <w:r>
              <w:rPr>
                <w:sz w:val="14"/>
              </w:rPr>
              <w:t>(***)</w:t>
            </w:r>
            <w:r>
              <w:rPr>
                <w:sz w:val="14"/>
              </w:rPr>
              <w:tab/>
              <w:t>% av eiendelene som dekkes av KPI-en, i forhold til bankens samlede eiendeler.</w:t>
            </w:r>
          </w:p>
          <w:p w14:paraId="4509036D" w14:textId="77777777" w:rsidR="006561BA" w:rsidRDefault="005B4ED6">
            <w:pPr>
              <w:pStyle w:val="AnnexTableGrNotes"/>
              <w:spacing w:line="200" w:lineRule="exact"/>
              <w:ind w:left="482" w:hanging="482"/>
              <w:rPr>
                <w:sz w:val="14"/>
                <w:szCs w:val="14"/>
              </w:rPr>
            </w:pPr>
            <w:r>
              <w:rPr>
                <w:sz w:val="14"/>
              </w:rPr>
              <w:t>(****)</w:t>
            </w:r>
            <w:r>
              <w:rPr>
                <w:sz w:val="14"/>
              </w:rPr>
              <w:tab/>
              <w:t>Basert på motpartens KPI for omsetning.</w:t>
            </w:r>
          </w:p>
          <w:p w14:paraId="05D54E75" w14:textId="77777777" w:rsidR="006561BA" w:rsidRDefault="005B4ED6">
            <w:pPr>
              <w:pStyle w:val="AnnexTableGrNotes"/>
              <w:spacing w:line="200" w:lineRule="exact"/>
              <w:ind w:left="482" w:hanging="482"/>
              <w:rPr>
                <w:sz w:val="14"/>
                <w:szCs w:val="14"/>
              </w:rPr>
            </w:pPr>
            <w:r>
              <w:rPr>
                <w:sz w:val="14"/>
              </w:rPr>
              <w:t>(</w:t>
            </w:r>
            <w:bookmarkStart w:id="413" w:name="NOTE_401"/>
            <w:r>
              <w:rPr>
                <w:sz w:val="14"/>
              </w:rPr>
              <w:t>*****</w:t>
            </w:r>
            <w:bookmarkEnd w:id="413"/>
            <w:r>
              <w:rPr>
                <w:sz w:val="14"/>
              </w:rPr>
              <w:t>)</w:t>
            </w:r>
            <w:r>
              <w:rPr>
                <w:sz w:val="14"/>
              </w:rPr>
              <w:tab/>
              <w:t>Basert på motpartens KPI for investeringsutgifter, med unntak av utlånsaktiviteter, der KPI-en for omsetning for generelle lån skal legges til grunn.</w:t>
            </w:r>
          </w:p>
          <w:p w14:paraId="632F9A85" w14:textId="2F9498F7" w:rsidR="006561BA" w:rsidRDefault="005B4ED6">
            <w:pPr>
              <w:pStyle w:val="AnnexTableGrAnnotations"/>
              <w:spacing w:line="200" w:lineRule="exact"/>
              <w:ind w:left="621" w:hanging="621"/>
            </w:pPr>
            <w:r>
              <w:rPr>
                <w:b/>
              </w:rPr>
              <w:t>Merknad 1:</w:t>
            </w:r>
            <w:r w:rsidR="000847EB">
              <w:rPr>
                <w:b/>
              </w:rPr>
              <w:t xml:space="preserve"> </w:t>
            </w:r>
            <w:r>
              <w:rPr>
                <w:b/>
              </w:rPr>
              <w:t>For alle rapporteringsmaler: Svarte felt skal ikke fylles ut.</w:t>
            </w:r>
          </w:p>
          <w:p w14:paraId="3447CD1D" w14:textId="57849B27" w:rsidR="006561BA" w:rsidRDefault="005B4ED6">
            <w:pPr>
              <w:pStyle w:val="AnnexTableGrAnnotations"/>
              <w:spacing w:line="200" w:lineRule="exact"/>
              <w:ind w:left="621" w:hanging="621"/>
            </w:pPr>
            <w:r>
              <w:rPr>
                <w:b/>
              </w:rPr>
              <w:t>Merknad 2:</w:t>
            </w:r>
            <w:r w:rsidR="000847EB">
              <w:rPr>
                <w:b/>
              </w:rPr>
              <w:t xml:space="preserve"> </w:t>
            </w:r>
            <w:r>
              <w:rPr>
                <w:b/>
              </w:rPr>
              <w:t>KPI for gebyrer og provisjoner (ark 6) og handelsportefølje (ark 7) skal ikke legges fram før i 2026. SMB-er skal bare tas med i denne KPI-en dersom resultatet av konsekvensutredningen er positivt.</w:t>
            </w:r>
          </w:p>
        </w:tc>
      </w:tr>
    </w:tbl>
    <w:p w14:paraId="7E03E49D" w14:textId="77777777" w:rsidR="006561BA" w:rsidRDefault="005B4ED6">
      <w:pPr>
        <w:shd w:val="clear" w:color="auto" w:fill="auto"/>
        <w:jc w:val="left"/>
        <w:rPr>
          <w:color w:val="auto"/>
          <w14:ligatures w14:val="standard"/>
        </w:rPr>
      </w:pPr>
      <w:r>
        <w:br w:type="page"/>
      </w:r>
    </w:p>
    <w:p w14:paraId="766661AE" w14:textId="77777777" w:rsidR="006561BA" w:rsidRDefault="005B4ED6">
      <w:pPr>
        <w:pStyle w:val="AnnexNumberedText"/>
        <w:spacing w:after="300"/>
        <w:ind w:left="279" w:hanging="279"/>
      </w:pPr>
      <w:r>
        <w:lastRenderedPageBreak/>
        <w:t>1.</w:t>
      </w:r>
      <w:r>
        <w:rPr>
          <w:b/>
        </w:rPr>
        <w:tab/>
        <w:t>Eiendeler som inngår i beregningen av GAR</w:t>
      </w:r>
    </w:p>
    <w:tbl>
      <w:tblPr>
        <w:tblOverlap w:val="never"/>
        <w:tblW w:w="14030" w:type="dxa"/>
        <w:tblInd w:w="283" w:type="dxa"/>
        <w:tblLayout w:type="fixed"/>
        <w:tblCellMar>
          <w:left w:w="10" w:type="dxa"/>
          <w:right w:w="10" w:type="dxa"/>
        </w:tblCellMar>
        <w:tblLook w:val="04A0" w:firstRow="1" w:lastRow="0" w:firstColumn="1" w:lastColumn="0" w:noHBand="0" w:noVBand="1"/>
      </w:tblPr>
      <w:tblGrid>
        <w:gridCol w:w="943"/>
        <w:gridCol w:w="1799"/>
        <w:gridCol w:w="395"/>
        <w:gridCol w:w="256"/>
        <w:gridCol w:w="118"/>
        <w:gridCol w:w="222"/>
        <w:gridCol w:w="156"/>
        <w:gridCol w:w="283"/>
        <w:gridCol w:w="95"/>
        <w:gridCol w:w="294"/>
        <w:gridCol w:w="84"/>
        <w:gridCol w:w="378"/>
        <w:gridCol w:w="10"/>
        <w:gridCol w:w="417"/>
        <w:gridCol w:w="56"/>
        <w:gridCol w:w="241"/>
        <w:gridCol w:w="79"/>
        <w:gridCol w:w="303"/>
        <w:gridCol w:w="17"/>
        <w:gridCol w:w="321"/>
        <w:gridCol w:w="448"/>
        <w:gridCol w:w="76"/>
        <w:gridCol w:w="257"/>
        <w:gridCol w:w="76"/>
        <w:gridCol w:w="320"/>
        <w:gridCol w:w="13"/>
        <w:gridCol w:w="325"/>
        <w:gridCol w:w="8"/>
        <w:gridCol w:w="367"/>
        <w:gridCol w:w="79"/>
        <w:gridCol w:w="249"/>
        <w:gridCol w:w="81"/>
        <w:gridCol w:w="315"/>
        <w:gridCol w:w="15"/>
        <w:gridCol w:w="330"/>
        <w:gridCol w:w="347"/>
        <w:gridCol w:w="75"/>
        <w:gridCol w:w="258"/>
        <w:gridCol w:w="76"/>
        <w:gridCol w:w="324"/>
        <w:gridCol w:w="10"/>
        <w:gridCol w:w="328"/>
        <w:gridCol w:w="6"/>
        <w:gridCol w:w="344"/>
        <w:gridCol w:w="264"/>
        <w:gridCol w:w="73"/>
        <w:gridCol w:w="191"/>
        <w:gridCol w:w="205"/>
        <w:gridCol w:w="59"/>
        <w:gridCol w:w="264"/>
        <w:gridCol w:w="17"/>
        <w:gridCol w:w="366"/>
        <w:gridCol w:w="331"/>
        <w:gridCol w:w="38"/>
        <w:gridCol w:w="358"/>
        <w:gridCol w:w="11"/>
        <w:gridCol w:w="374"/>
        <w:gridCol w:w="7"/>
        <w:gridCol w:w="278"/>
      </w:tblGrid>
      <w:tr w:rsidR="006561BA" w14:paraId="7B0E1F2B" w14:textId="77777777">
        <w:trPr>
          <w:trHeight w:val="94"/>
        </w:trPr>
        <w:tc>
          <w:tcPr>
            <w:tcW w:w="2742" w:type="dxa"/>
            <w:gridSpan w:val="2"/>
            <w:tcMar>
              <w:left w:w="0" w:type="dxa"/>
            </w:tcMar>
            <w:vAlign w:val="center"/>
          </w:tcPr>
          <w:p w14:paraId="50BE39C9"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395" w:type="dxa"/>
            <w:tcBorders>
              <w:top w:val="single" w:sz="4" w:space="0" w:color="auto"/>
              <w:left w:val="single" w:sz="4" w:space="0" w:color="auto"/>
              <w:bottom w:val="single" w:sz="4" w:space="0" w:color="auto"/>
              <w:right w:val="single" w:sz="4" w:space="0" w:color="auto"/>
            </w:tcBorders>
            <w:vAlign w:val="center"/>
          </w:tcPr>
          <w:p w14:paraId="2CBBAB50"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w:t>
            </w:r>
          </w:p>
        </w:tc>
        <w:tc>
          <w:tcPr>
            <w:tcW w:w="374" w:type="dxa"/>
            <w:gridSpan w:val="2"/>
            <w:tcBorders>
              <w:top w:val="single" w:sz="4" w:space="0" w:color="auto"/>
              <w:left w:val="single" w:sz="4" w:space="0" w:color="auto"/>
              <w:bottom w:val="single" w:sz="4" w:space="0" w:color="auto"/>
              <w:right w:val="single" w:sz="4" w:space="0" w:color="auto"/>
            </w:tcBorders>
            <w:vAlign w:val="center"/>
          </w:tcPr>
          <w:p w14:paraId="36A7E6F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b</w:t>
            </w:r>
          </w:p>
        </w:tc>
        <w:tc>
          <w:tcPr>
            <w:tcW w:w="378" w:type="dxa"/>
            <w:gridSpan w:val="2"/>
            <w:tcBorders>
              <w:top w:val="single" w:sz="4" w:space="0" w:color="auto"/>
              <w:left w:val="single" w:sz="4" w:space="0" w:color="auto"/>
              <w:bottom w:val="single" w:sz="4" w:space="0" w:color="auto"/>
              <w:right w:val="single" w:sz="4" w:space="0" w:color="auto"/>
            </w:tcBorders>
            <w:vAlign w:val="center"/>
          </w:tcPr>
          <w:p w14:paraId="62556A5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c</w:t>
            </w:r>
          </w:p>
        </w:tc>
        <w:tc>
          <w:tcPr>
            <w:tcW w:w="378" w:type="dxa"/>
            <w:gridSpan w:val="2"/>
            <w:tcBorders>
              <w:top w:val="single" w:sz="4" w:space="0" w:color="auto"/>
              <w:left w:val="single" w:sz="4" w:space="0" w:color="auto"/>
              <w:bottom w:val="single" w:sz="4" w:space="0" w:color="auto"/>
              <w:right w:val="single" w:sz="4" w:space="0" w:color="auto"/>
            </w:tcBorders>
            <w:vAlign w:val="center"/>
          </w:tcPr>
          <w:p w14:paraId="01DCDA02"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d</w:t>
            </w:r>
          </w:p>
        </w:tc>
        <w:tc>
          <w:tcPr>
            <w:tcW w:w="378" w:type="dxa"/>
            <w:gridSpan w:val="2"/>
            <w:tcBorders>
              <w:top w:val="single" w:sz="4" w:space="0" w:color="auto"/>
              <w:left w:val="single" w:sz="4" w:space="0" w:color="auto"/>
              <w:bottom w:val="single" w:sz="4" w:space="0" w:color="auto"/>
              <w:right w:val="single" w:sz="4" w:space="0" w:color="auto"/>
            </w:tcBorders>
            <w:vAlign w:val="center"/>
          </w:tcPr>
          <w:p w14:paraId="10A428C4"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e</w:t>
            </w:r>
          </w:p>
        </w:tc>
        <w:tc>
          <w:tcPr>
            <w:tcW w:w="378" w:type="dxa"/>
            <w:tcBorders>
              <w:top w:val="single" w:sz="4" w:space="0" w:color="auto"/>
              <w:left w:val="single" w:sz="4" w:space="0" w:color="auto"/>
              <w:bottom w:val="single" w:sz="4" w:space="0" w:color="auto"/>
              <w:right w:val="single" w:sz="4" w:space="0" w:color="auto"/>
            </w:tcBorders>
            <w:vAlign w:val="center"/>
          </w:tcPr>
          <w:p w14:paraId="04BC96D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f</w:t>
            </w:r>
          </w:p>
        </w:tc>
        <w:tc>
          <w:tcPr>
            <w:tcW w:w="483" w:type="dxa"/>
            <w:gridSpan w:val="3"/>
            <w:tcBorders>
              <w:top w:val="single" w:sz="4" w:space="0" w:color="auto"/>
              <w:left w:val="single" w:sz="4" w:space="0" w:color="auto"/>
              <w:bottom w:val="single" w:sz="4" w:space="0" w:color="auto"/>
              <w:right w:val="single" w:sz="4" w:space="0" w:color="auto"/>
            </w:tcBorders>
            <w:vAlign w:val="center"/>
          </w:tcPr>
          <w:p w14:paraId="51F4547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g</w:t>
            </w:r>
          </w:p>
        </w:tc>
        <w:tc>
          <w:tcPr>
            <w:tcW w:w="320" w:type="dxa"/>
            <w:gridSpan w:val="2"/>
            <w:tcBorders>
              <w:top w:val="single" w:sz="4" w:space="0" w:color="auto"/>
              <w:left w:val="single" w:sz="4" w:space="0" w:color="auto"/>
              <w:bottom w:val="single" w:sz="4" w:space="0" w:color="auto"/>
              <w:right w:val="single" w:sz="4" w:space="0" w:color="auto"/>
            </w:tcBorders>
            <w:vAlign w:val="center"/>
          </w:tcPr>
          <w:p w14:paraId="2559D55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h</w:t>
            </w:r>
          </w:p>
        </w:tc>
        <w:tc>
          <w:tcPr>
            <w:tcW w:w="320" w:type="dxa"/>
            <w:gridSpan w:val="2"/>
            <w:tcBorders>
              <w:top w:val="single" w:sz="4" w:space="0" w:color="auto"/>
              <w:left w:val="single" w:sz="4" w:space="0" w:color="auto"/>
              <w:bottom w:val="single" w:sz="4" w:space="0" w:color="auto"/>
              <w:right w:val="single" w:sz="4" w:space="0" w:color="auto"/>
            </w:tcBorders>
            <w:vAlign w:val="center"/>
          </w:tcPr>
          <w:p w14:paraId="025B331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i</w:t>
            </w:r>
          </w:p>
        </w:tc>
        <w:tc>
          <w:tcPr>
            <w:tcW w:w="321" w:type="dxa"/>
            <w:tcBorders>
              <w:top w:val="single" w:sz="4" w:space="0" w:color="auto"/>
              <w:left w:val="single" w:sz="4" w:space="0" w:color="auto"/>
              <w:bottom w:val="single" w:sz="4" w:space="0" w:color="auto"/>
              <w:right w:val="single" w:sz="4" w:space="0" w:color="auto"/>
            </w:tcBorders>
            <w:vAlign w:val="center"/>
          </w:tcPr>
          <w:p w14:paraId="7FC3DF2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j</w:t>
            </w:r>
          </w:p>
        </w:tc>
        <w:tc>
          <w:tcPr>
            <w:tcW w:w="524" w:type="dxa"/>
            <w:gridSpan w:val="2"/>
            <w:tcBorders>
              <w:top w:val="single" w:sz="4" w:space="0" w:color="auto"/>
              <w:left w:val="single" w:sz="4" w:space="0" w:color="auto"/>
              <w:bottom w:val="single" w:sz="4" w:space="0" w:color="auto"/>
              <w:right w:val="single" w:sz="4" w:space="0" w:color="auto"/>
            </w:tcBorders>
            <w:vAlign w:val="center"/>
          </w:tcPr>
          <w:p w14:paraId="1855E22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k</w:t>
            </w:r>
          </w:p>
        </w:tc>
        <w:tc>
          <w:tcPr>
            <w:tcW w:w="333" w:type="dxa"/>
            <w:gridSpan w:val="2"/>
            <w:tcBorders>
              <w:top w:val="single" w:sz="4" w:space="0" w:color="auto"/>
              <w:left w:val="single" w:sz="4" w:space="0" w:color="auto"/>
              <w:bottom w:val="single" w:sz="4" w:space="0" w:color="auto"/>
              <w:right w:val="single" w:sz="4" w:space="0" w:color="auto"/>
            </w:tcBorders>
            <w:vAlign w:val="center"/>
          </w:tcPr>
          <w:p w14:paraId="31D18EB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l</w:t>
            </w:r>
          </w:p>
        </w:tc>
        <w:tc>
          <w:tcPr>
            <w:tcW w:w="333" w:type="dxa"/>
            <w:gridSpan w:val="2"/>
            <w:tcBorders>
              <w:top w:val="single" w:sz="4" w:space="0" w:color="auto"/>
              <w:left w:val="single" w:sz="4" w:space="0" w:color="auto"/>
              <w:bottom w:val="single" w:sz="4" w:space="0" w:color="auto"/>
              <w:right w:val="single" w:sz="4" w:space="0" w:color="auto"/>
            </w:tcBorders>
            <w:vAlign w:val="center"/>
          </w:tcPr>
          <w:p w14:paraId="4F5CE430"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m</w:t>
            </w:r>
          </w:p>
        </w:tc>
        <w:tc>
          <w:tcPr>
            <w:tcW w:w="333" w:type="dxa"/>
            <w:gridSpan w:val="2"/>
            <w:tcBorders>
              <w:top w:val="single" w:sz="4" w:space="0" w:color="auto"/>
              <w:left w:val="single" w:sz="4" w:space="0" w:color="auto"/>
              <w:bottom w:val="single" w:sz="4" w:space="0" w:color="auto"/>
              <w:right w:val="single" w:sz="4" w:space="0" w:color="auto"/>
            </w:tcBorders>
            <w:vAlign w:val="center"/>
          </w:tcPr>
          <w:p w14:paraId="39AAD9E2"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n</w:t>
            </w:r>
          </w:p>
        </w:tc>
        <w:tc>
          <w:tcPr>
            <w:tcW w:w="446" w:type="dxa"/>
            <w:gridSpan w:val="2"/>
            <w:tcBorders>
              <w:top w:val="single" w:sz="4" w:space="0" w:color="auto"/>
              <w:left w:val="single" w:sz="4" w:space="0" w:color="auto"/>
              <w:bottom w:val="single" w:sz="4" w:space="0" w:color="auto"/>
              <w:right w:val="single" w:sz="4" w:space="0" w:color="auto"/>
            </w:tcBorders>
            <w:vAlign w:val="center"/>
          </w:tcPr>
          <w:p w14:paraId="6A7581C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o</w:t>
            </w:r>
          </w:p>
        </w:tc>
        <w:tc>
          <w:tcPr>
            <w:tcW w:w="330" w:type="dxa"/>
            <w:gridSpan w:val="2"/>
            <w:tcBorders>
              <w:top w:val="single" w:sz="4" w:space="0" w:color="auto"/>
              <w:left w:val="single" w:sz="4" w:space="0" w:color="auto"/>
              <w:bottom w:val="single" w:sz="4" w:space="0" w:color="auto"/>
              <w:right w:val="single" w:sz="4" w:space="0" w:color="auto"/>
            </w:tcBorders>
            <w:vAlign w:val="center"/>
          </w:tcPr>
          <w:p w14:paraId="39007E7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p</w:t>
            </w:r>
          </w:p>
        </w:tc>
        <w:tc>
          <w:tcPr>
            <w:tcW w:w="330" w:type="dxa"/>
            <w:gridSpan w:val="2"/>
            <w:tcBorders>
              <w:top w:val="single" w:sz="4" w:space="0" w:color="auto"/>
              <w:left w:val="single" w:sz="4" w:space="0" w:color="auto"/>
              <w:bottom w:val="single" w:sz="4" w:space="0" w:color="auto"/>
              <w:right w:val="single" w:sz="4" w:space="0" w:color="auto"/>
            </w:tcBorders>
            <w:vAlign w:val="center"/>
          </w:tcPr>
          <w:p w14:paraId="6301816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q</w:t>
            </w:r>
          </w:p>
        </w:tc>
        <w:tc>
          <w:tcPr>
            <w:tcW w:w="330" w:type="dxa"/>
            <w:tcBorders>
              <w:top w:val="single" w:sz="4" w:space="0" w:color="auto"/>
              <w:left w:val="single" w:sz="4" w:space="0" w:color="auto"/>
              <w:bottom w:val="single" w:sz="4" w:space="0" w:color="auto"/>
              <w:right w:val="single" w:sz="4" w:space="0" w:color="auto"/>
            </w:tcBorders>
            <w:vAlign w:val="center"/>
          </w:tcPr>
          <w:p w14:paraId="4BCD961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r</w:t>
            </w:r>
          </w:p>
        </w:tc>
        <w:tc>
          <w:tcPr>
            <w:tcW w:w="422" w:type="dxa"/>
            <w:gridSpan w:val="2"/>
            <w:tcBorders>
              <w:top w:val="single" w:sz="4" w:space="0" w:color="auto"/>
              <w:left w:val="single" w:sz="4" w:space="0" w:color="auto"/>
              <w:bottom w:val="single" w:sz="4" w:space="0" w:color="auto"/>
              <w:right w:val="single" w:sz="4" w:space="0" w:color="auto"/>
            </w:tcBorders>
            <w:vAlign w:val="center"/>
          </w:tcPr>
          <w:p w14:paraId="2903FC7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s</w:t>
            </w:r>
          </w:p>
        </w:tc>
        <w:tc>
          <w:tcPr>
            <w:tcW w:w="334" w:type="dxa"/>
            <w:gridSpan w:val="2"/>
            <w:tcBorders>
              <w:top w:val="single" w:sz="4" w:space="0" w:color="auto"/>
              <w:left w:val="single" w:sz="4" w:space="0" w:color="auto"/>
              <w:bottom w:val="single" w:sz="4" w:space="0" w:color="auto"/>
              <w:right w:val="single" w:sz="4" w:space="0" w:color="auto"/>
            </w:tcBorders>
            <w:vAlign w:val="center"/>
          </w:tcPr>
          <w:p w14:paraId="18F97B10"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t</w:t>
            </w:r>
          </w:p>
        </w:tc>
        <w:tc>
          <w:tcPr>
            <w:tcW w:w="334" w:type="dxa"/>
            <w:gridSpan w:val="2"/>
            <w:tcBorders>
              <w:top w:val="single" w:sz="4" w:space="0" w:color="auto"/>
              <w:left w:val="single" w:sz="4" w:space="0" w:color="auto"/>
              <w:bottom w:val="single" w:sz="4" w:space="0" w:color="auto"/>
              <w:right w:val="single" w:sz="4" w:space="0" w:color="auto"/>
            </w:tcBorders>
            <w:vAlign w:val="center"/>
          </w:tcPr>
          <w:p w14:paraId="35F2C4C4"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u</w:t>
            </w:r>
          </w:p>
        </w:tc>
        <w:tc>
          <w:tcPr>
            <w:tcW w:w="334" w:type="dxa"/>
            <w:gridSpan w:val="2"/>
            <w:tcBorders>
              <w:top w:val="single" w:sz="4" w:space="0" w:color="auto"/>
              <w:left w:val="single" w:sz="4" w:space="0" w:color="auto"/>
              <w:bottom w:val="single" w:sz="4" w:space="0" w:color="auto"/>
              <w:right w:val="single" w:sz="4" w:space="0" w:color="auto"/>
            </w:tcBorders>
            <w:vAlign w:val="center"/>
          </w:tcPr>
          <w:p w14:paraId="3D7376A2"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v</w:t>
            </w:r>
          </w:p>
        </w:tc>
        <w:tc>
          <w:tcPr>
            <w:tcW w:w="344" w:type="dxa"/>
            <w:tcBorders>
              <w:top w:val="single" w:sz="4" w:space="0" w:color="auto"/>
              <w:left w:val="single" w:sz="4" w:space="0" w:color="auto"/>
              <w:bottom w:val="single" w:sz="4" w:space="0" w:color="auto"/>
              <w:right w:val="single" w:sz="4" w:space="0" w:color="auto"/>
            </w:tcBorders>
            <w:vAlign w:val="center"/>
          </w:tcPr>
          <w:p w14:paraId="119B001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w</w:t>
            </w:r>
          </w:p>
        </w:tc>
        <w:tc>
          <w:tcPr>
            <w:tcW w:w="264" w:type="dxa"/>
            <w:tcBorders>
              <w:top w:val="single" w:sz="4" w:space="0" w:color="auto"/>
              <w:left w:val="single" w:sz="4" w:space="0" w:color="auto"/>
              <w:bottom w:val="single" w:sz="4" w:space="0" w:color="auto"/>
              <w:right w:val="single" w:sz="4" w:space="0" w:color="auto"/>
            </w:tcBorders>
            <w:vAlign w:val="center"/>
          </w:tcPr>
          <w:p w14:paraId="02603B8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x</w:t>
            </w:r>
          </w:p>
        </w:tc>
        <w:tc>
          <w:tcPr>
            <w:tcW w:w="264" w:type="dxa"/>
            <w:gridSpan w:val="2"/>
            <w:tcBorders>
              <w:top w:val="single" w:sz="4" w:space="0" w:color="auto"/>
              <w:left w:val="single" w:sz="4" w:space="0" w:color="auto"/>
              <w:bottom w:val="single" w:sz="4" w:space="0" w:color="auto"/>
              <w:right w:val="single" w:sz="4" w:space="0" w:color="auto"/>
            </w:tcBorders>
            <w:vAlign w:val="center"/>
          </w:tcPr>
          <w:p w14:paraId="40D80EC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y</w:t>
            </w:r>
          </w:p>
        </w:tc>
        <w:tc>
          <w:tcPr>
            <w:tcW w:w="264" w:type="dxa"/>
            <w:gridSpan w:val="2"/>
            <w:tcBorders>
              <w:top w:val="single" w:sz="4" w:space="0" w:color="auto"/>
              <w:left w:val="single" w:sz="4" w:space="0" w:color="auto"/>
              <w:bottom w:val="single" w:sz="4" w:space="0" w:color="auto"/>
              <w:right w:val="single" w:sz="4" w:space="0" w:color="auto"/>
            </w:tcBorders>
            <w:vAlign w:val="center"/>
          </w:tcPr>
          <w:p w14:paraId="3BBB70EA"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z</w:t>
            </w:r>
          </w:p>
        </w:tc>
        <w:tc>
          <w:tcPr>
            <w:tcW w:w="264" w:type="dxa"/>
            <w:tcBorders>
              <w:top w:val="single" w:sz="4" w:space="0" w:color="auto"/>
              <w:left w:val="single" w:sz="4" w:space="0" w:color="auto"/>
              <w:bottom w:val="single" w:sz="4" w:space="0" w:color="auto"/>
              <w:right w:val="single" w:sz="4" w:space="0" w:color="auto"/>
            </w:tcBorders>
            <w:vAlign w:val="center"/>
          </w:tcPr>
          <w:p w14:paraId="20E7873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aa</w:t>
            </w:r>
            <w:proofErr w:type="spellEnd"/>
          </w:p>
        </w:tc>
        <w:tc>
          <w:tcPr>
            <w:tcW w:w="383" w:type="dxa"/>
            <w:gridSpan w:val="2"/>
            <w:tcBorders>
              <w:top w:val="single" w:sz="4" w:space="0" w:color="auto"/>
              <w:left w:val="single" w:sz="4" w:space="0" w:color="auto"/>
              <w:bottom w:val="single" w:sz="4" w:space="0" w:color="auto"/>
              <w:right w:val="single" w:sz="4" w:space="0" w:color="auto"/>
            </w:tcBorders>
            <w:vAlign w:val="center"/>
          </w:tcPr>
          <w:p w14:paraId="6D3B2A6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ab</w:t>
            </w:r>
          </w:p>
        </w:tc>
        <w:tc>
          <w:tcPr>
            <w:tcW w:w="369" w:type="dxa"/>
            <w:gridSpan w:val="2"/>
            <w:tcBorders>
              <w:top w:val="single" w:sz="4" w:space="0" w:color="auto"/>
              <w:left w:val="single" w:sz="4" w:space="0" w:color="auto"/>
              <w:bottom w:val="single" w:sz="4" w:space="0" w:color="auto"/>
              <w:right w:val="single" w:sz="4" w:space="0" w:color="auto"/>
            </w:tcBorders>
            <w:vAlign w:val="center"/>
          </w:tcPr>
          <w:p w14:paraId="11D5F6E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ac</w:t>
            </w:r>
            <w:proofErr w:type="spellEnd"/>
          </w:p>
        </w:tc>
        <w:tc>
          <w:tcPr>
            <w:tcW w:w="369" w:type="dxa"/>
            <w:gridSpan w:val="2"/>
            <w:tcBorders>
              <w:top w:val="single" w:sz="4" w:space="0" w:color="auto"/>
              <w:left w:val="single" w:sz="4" w:space="0" w:color="auto"/>
              <w:bottom w:val="single" w:sz="4" w:space="0" w:color="auto"/>
              <w:right w:val="single" w:sz="4" w:space="0" w:color="auto"/>
            </w:tcBorders>
            <w:vAlign w:val="center"/>
          </w:tcPr>
          <w:p w14:paraId="586DB4CA"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ad</w:t>
            </w:r>
          </w:p>
        </w:tc>
        <w:tc>
          <w:tcPr>
            <w:tcW w:w="374" w:type="dxa"/>
            <w:tcBorders>
              <w:top w:val="single" w:sz="4" w:space="0" w:color="auto"/>
              <w:left w:val="single" w:sz="4" w:space="0" w:color="auto"/>
              <w:bottom w:val="single" w:sz="4" w:space="0" w:color="auto"/>
              <w:right w:val="single" w:sz="4" w:space="0" w:color="auto"/>
            </w:tcBorders>
            <w:vAlign w:val="center"/>
          </w:tcPr>
          <w:p w14:paraId="03BD7E0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ae</w:t>
            </w:r>
            <w:proofErr w:type="spellEnd"/>
          </w:p>
        </w:tc>
        <w:tc>
          <w:tcPr>
            <w:tcW w:w="285" w:type="dxa"/>
            <w:gridSpan w:val="2"/>
            <w:tcBorders>
              <w:top w:val="single" w:sz="4" w:space="0" w:color="auto"/>
              <w:left w:val="single" w:sz="4" w:space="0" w:color="auto"/>
              <w:bottom w:val="single" w:sz="4" w:space="0" w:color="auto"/>
              <w:right w:val="single" w:sz="4" w:space="0" w:color="auto"/>
            </w:tcBorders>
            <w:vAlign w:val="center"/>
          </w:tcPr>
          <w:p w14:paraId="17999C4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af</w:t>
            </w:r>
            <w:proofErr w:type="spellEnd"/>
          </w:p>
        </w:tc>
      </w:tr>
      <w:tr w:rsidR="006561BA" w14:paraId="265D241A" w14:textId="77777777">
        <w:trPr>
          <w:trHeight w:val="162"/>
        </w:trPr>
        <w:tc>
          <w:tcPr>
            <w:tcW w:w="2742" w:type="dxa"/>
            <w:gridSpan w:val="2"/>
            <w:vMerge w:val="restart"/>
            <w:tcBorders>
              <w:top w:val="single" w:sz="4" w:space="0" w:color="auto"/>
              <w:left w:val="single" w:sz="4" w:space="0" w:color="auto"/>
            </w:tcBorders>
            <w:tcMar>
              <w:left w:w="0" w:type="dxa"/>
            </w:tcMar>
            <w:vAlign w:val="center"/>
          </w:tcPr>
          <w:p w14:paraId="67CEB5B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Millioner euro</w:t>
            </w:r>
          </w:p>
        </w:tc>
        <w:tc>
          <w:tcPr>
            <w:tcW w:w="11288" w:type="dxa"/>
            <w:gridSpan w:val="57"/>
            <w:tcBorders>
              <w:top w:val="single" w:sz="4" w:space="0" w:color="auto"/>
              <w:left w:val="single" w:sz="4" w:space="0" w:color="auto"/>
              <w:right w:val="single" w:sz="4" w:space="0" w:color="auto"/>
            </w:tcBorders>
            <w:vAlign w:val="center"/>
          </w:tcPr>
          <w:p w14:paraId="001E52DA" w14:textId="77777777" w:rsidR="006561BA" w:rsidRDefault="005B4ED6">
            <w:pPr>
              <w:pageBreakBefore/>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Referansedato for opplysningene T</w:t>
            </w:r>
          </w:p>
        </w:tc>
      </w:tr>
      <w:tr w:rsidR="006561BA" w:rsidRPr="00980A19" w14:paraId="7D4ACB14" w14:textId="77777777">
        <w:trPr>
          <w:trHeight w:val="83"/>
        </w:trPr>
        <w:tc>
          <w:tcPr>
            <w:tcW w:w="2742" w:type="dxa"/>
            <w:gridSpan w:val="2"/>
            <w:vMerge/>
            <w:tcBorders>
              <w:left w:val="single" w:sz="4" w:space="0" w:color="auto"/>
            </w:tcBorders>
            <w:tcMar>
              <w:left w:w="0" w:type="dxa"/>
            </w:tcMar>
            <w:vAlign w:val="center"/>
          </w:tcPr>
          <w:p w14:paraId="5E3EC80C" w14:textId="77777777" w:rsidR="006561BA" w:rsidRDefault="006561BA">
            <w:pPr>
              <w:widowControl w:val="0"/>
              <w:shd w:val="clear" w:color="auto" w:fill="auto"/>
              <w:spacing w:after="0" w:line="240" w:lineRule="auto"/>
              <w:jc w:val="center"/>
              <w:rPr>
                <w:rFonts w:ascii="Helvetica" w:eastAsia="Arial Unicode MS" w:hAnsi="Helvetica" w:cs="Helvetica"/>
                <w:color w:val="000000"/>
                <w:sz w:val="6"/>
                <w:szCs w:val="6"/>
                <w:lang w:val="en-US"/>
              </w:rPr>
            </w:pPr>
          </w:p>
        </w:tc>
        <w:tc>
          <w:tcPr>
            <w:tcW w:w="395" w:type="dxa"/>
            <w:vMerge w:val="restart"/>
            <w:tcBorders>
              <w:left w:val="single" w:sz="4" w:space="0" w:color="auto"/>
            </w:tcBorders>
            <w:vAlign w:val="center"/>
          </w:tcPr>
          <w:p w14:paraId="298D4AFA"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Samlet [brutto] balanseført verdi</w:t>
            </w:r>
          </w:p>
        </w:tc>
        <w:tc>
          <w:tcPr>
            <w:tcW w:w="1896" w:type="dxa"/>
            <w:gridSpan w:val="10"/>
            <w:tcBorders>
              <w:top w:val="single" w:sz="4" w:space="0" w:color="auto"/>
              <w:left w:val="single" w:sz="4" w:space="0" w:color="auto"/>
            </w:tcBorders>
            <w:shd w:val="clear" w:color="auto" w:fill="B5B5B5"/>
            <w:vAlign w:val="center"/>
          </w:tcPr>
          <w:p w14:paraId="2C8231C3"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Begrensning av klimaendringer (CCM)</w:t>
            </w:r>
          </w:p>
        </w:tc>
        <w:tc>
          <w:tcPr>
            <w:tcW w:w="1434" w:type="dxa"/>
            <w:gridSpan w:val="7"/>
            <w:tcBorders>
              <w:top w:val="single" w:sz="4" w:space="0" w:color="auto"/>
              <w:left w:val="single" w:sz="4" w:space="0" w:color="auto"/>
            </w:tcBorders>
            <w:shd w:val="clear" w:color="auto" w:fill="B5B5B5"/>
            <w:vAlign w:val="center"/>
          </w:tcPr>
          <w:p w14:paraId="19BBD09F"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Tilpasning til klimaendringer (CCA)</w:t>
            </w:r>
          </w:p>
        </w:tc>
        <w:tc>
          <w:tcPr>
            <w:tcW w:w="1515" w:type="dxa"/>
            <w:gridSpan w:val="7"/>
            <w:tcBorders>
              <w:top w:val="single" w:sz="4" w:space="0" w:color="auto"/>
              <w:left w:val="single" w:sz="4" w:space="0" w:color="auto"/>
            </w:tcBorders>
            <w:shd w:val="clear" w:color="auto" w:fill="B5B5B5"/>
            <w:vAlign w:val="center"/>
          </w:tcPr>
          <w:p w14:paraId="553F21E0"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Vann- og havressurser (WTR)</w:t>
            </w:r>
          </w:p>
        </w:tc>
        <w:tc>
          <w:tcPr>
            <w:tcW w:w="1444" w:type="dxa"/>
            <w:gridSpan w:val="8"/>
            <w:tcBorders>
              <w:top w:val="single" w:sz="4" w:space="0" w:color="auto"/>
              <w:left w:val="single" w:sz="4" w:space="0" w:color="auto"/>
            </w:tcBorders>
            <w:shd w:val="clear" w:color="auto" w:fill="B5B5B5"/>
            <w:vAlign w:val="center"/>
          </w:tcPr>
          <w:p w14:paraId="72037E77"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Sirkulær økonomi (CE)</w:t>
            </w:r>
          </w:p>
        </w:tc>
        <w:tc>
          <w:tcPr>
            <w:tcW w:w="1418" w:type="dxa"/>
            <w:gridSpan w:val="7"/>
            <w:tcBorders>
              <w:top w:val="single" w:sz="4" w:space="0" w:color="auto"/>
              <w:left w:val="single" w:sz="4" w:space="0" w:color="auto"/>
            </w:tcBorders>
            <w:shd w:val="clear" w:color="auto" w:fill="B5B5B5"/>
            <w:vAlign w:val="center"/>
          </w:tcPr>
          <w:p w14:paraId="0B17913F"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Forurensning (PPC)</w:t>
            </w:r>
          </w:p>
        </w:tc>
        <w:tc>
          <w:tcPr>
            <w:tcW w:w="1423" w:type="dxa"/>
            <w:gridSpan w:val="9"/>
            <w:tcBorders>
              <w:top w:val="single" w:sz="4" w:space="0" w:color="auto"/>
              <w:left w:val="single" w:sz="4" w:space="0" w:color="auto"/>
            </w:tcBorders>
            <w:shd w:val="clear" w:color="auto" w:fill="B5B5B5"/>
            <w:vAlign w:val="center"/>
          </w:tcPr>
          <w:p w14:paraId="222BD4A9"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Biologisk mangfold og økosystemer (BIO)</w:t>
            </w:r>
          </w:p>
        </w:tc>
        <w:tc>
          <w:tcPr>
            <w:tcW w:w="1763" w:type="dxa"/>
            <w:gridSpan w:val="8"/>
            <w:tcBorders>
              <w:top w:val="single" w:sz="4" w:space="0" w:color="auto"/>
              <w:left w:val="single" w:sz="4" w:space="0" w:color="auto"/>
              <w:right w:val="single" w:sz="4" w:space="0" w:color="auto"/>
            </w:tcBorders>
            <w:shd w:val="clear" w:color="auto" w:fill="B5B5B5"/>
            <w:vAlign w:val="center"/>
          </w:tcPr>
          <w:p w14:paraId="068A28C5" w14:textId="77777777" w:rsidR="006561BA" w:rsidRPr="00770AA2" w:rsidRDefault="005B4ED6">
            <w:pPr>
              <w:widowControl w:val="0"/>
              <w:shd w:val="clear" w:color="auto" w:fill="auto"/>
              <w:spacing w:after="0" w:line="240" w:lineRule="auto"/>
              <w:ind w:firstLine="360"/>
              <w:jc w:val="center"/>
              <w:rPr>
                <w:rFonts w:ascii="Helvetica" w:eastAsia="Arial Unicode MS" w:hAnsi="Helvetica" w:cs="Helvetica"/>
                <w:b/>
                <w:color w:val="000000"/>
                <w:sz w:val="6"/>
                <w:szCs w:val="6"/>
                <w:lang w:val="en-US"/>
              </w:rPr>
            </w:pPr>
            <w:r w:rsidRPr="00770AA2">
              <w:rPr>
                <w:rFonts w:ascii="Helvetica" w:hAnsi="Helvetica"/>
                <w:b/>
                <w:color w:val="000000"/>
                <w:sz w:val="6"/>
                <w:lang w:val="en-US"/>
              </w:rPr>
              <w:t>SUM (CCM + CCA + WTR + CE + PPC + BIO)</w:t>
            </w:r>
          </w:p>
        </w:tc>
      </w:tr>
      <w:tr w:rsidR="006561BA" w14:paraId="332BEB75" w14:textId="77777777">
        <w:trPr>
          <w:trHeight w:val="187"/>
        </w:trPr>
        <w:tc>
          <w:tcPr>
            <w:tcW w:w="2742" w:type="dxa"/>
            <w:gridSpan w:val="2"/>
            <w:vMerge/>
            <w:tcBorders>
              <w:left w:val="single" w:sz="4" w:space="0" w:color="auto"/>
            </w:tcBorders>
            <w:tcMar>
              <w:left w:w="0" w:type="dxa"/>
            </w:tcMar>
            <w:vAlign w:val="center"/>
          </w:tcPr>
          <w:p w14:paraId="395DC357" w14:textId="77777777" w:rsidR="006561BA" w:rsidRDefault="006561BA">
            <w:pPr>
              <w:widowControl w:val="0"/>
              <w:shd w:val="clear" w:color="auto" w:fill="auto"/>
              <w:spacing w:after="0" w:line="240" w:lineRule="auto"/>
              <w:jc w:val="center"/>
              <w:rPr>
                <w:rFonts w:ascii="Helvetica" w:eastAsia="Arial Unicode MS" w:hAnsi="Helvetica" w:cs="Helvetica"/>
                <w:color w:val="000000"/>
                <w:sz w:val="6"/>
                <w:szCs w:val="6"/>
                <w:lang w:val="en-US"/>
              </w:rPr>
            </w:pPr>
          </w:p>
        </w:tc>
        <w:tc>
          <w:tcPr>
            <w:tcW w:w="395" w:type="dxa"/>
            <w:vMerge/>
            <w:tcBorders>
              <w:left w:val="single" w:sz="4" w:space="0" w:color="auto"/>
            </w:tcBorders>
            <w:vAlign w:val="center"/>
          </w:tcPr>
          <w:p w14:paraId="5D1BAAD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896" w:type="dxa"/>
            <w:gridSpan w:val="10"/>
            <w:tcBorders>
              <w:top w:val="single" w:sz="4" w:space="0" w:color="auto"/>
              <w:left w:val="single" w:sz="4" w:space="0" w:color="auto"/>
            </w:tcBorders>
            <w:vAlign w:val="center"/>
          </w:tcPr>
          <w:p w14:paraId="097693F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Hvorav mot taksonomirelevante sektorer (omfattet av taksonomien)</w:t>
            </w:r>
          </w:p>
        </w:tc>
        <w:tc>
          <w:tcPr>
            <w:tcW w:w="1434" w:type="dxa"/>
            <w:gridSpan w:val="7"/>
            <w:tcBorders>
              <w:top w:val="single" w:sz="4" w:space="0" w:color="auto"/>
              <w:left w:val="single" w:sz="4" w:space="0" w:color="auto"/>
            </w:tcBorders>
            <w:vAlign w:val="center"/>
          </w:tcPr>
          <w:p w14:paraId="25181120"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Hvorav mot taksonomirelevante sektorer (omfattet av taksonomien)</w:t>
            </w:r>
          </w:p>
        </w:tc>
        <w:tc>
          <w:tcPr>
            <w:tcW w:w="1515" w:type="dxa"/>
            <w:gridSpan w:val="7"/>
            <w:tcBorders>
              <w:top w:val="single" w:sz="4" w:space="0" w:color="auto"/>
              <w:left w:val="single" w:sz="4" w:space="0" w:color="auto"/>
            </w:tcBorders>
            <w:vAlign w:val="center"/>
          </w:tcPr>
          <w:p w14:paraId="2755C5A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Hvorav mot taksonomirelevante sektorer (omfattet av taksonomien)</w:t>
            </w:r>
          </w:p>
        </w:tc>
        <w:tc>
          <w:tcPr>
            <w:tcW w:w="1444" w:type="dxa"/>
            <w:gridSpan w:val="8"/>
            <w:tcBorders>
              <w:top w:val="single" w:sz="4" w:space="0" w:color="auto"/>
              <w:left w:val="single" w:sz="4" w:space="0" w:color="auto"/>
            </w:tcBorders>
            <w:vAlign w:val="center"/>
          </w:tcPr>
          <w:p w14:paraId="208C670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Hvorav mot taksonomirelevante sektorer (omfattet av taksonomien)</w:t>
            </w:r>
          </w:p>
        </w:tc>
        <w:tc>
          <w:tcPr>
            <w:tcW w:w="1418" w:type="dxa"/>
            <w:gridSpan w:val="7"/>
            <w:tcBorders>
              <w:top w:val="single" w:sz="4" w:space="0" w:color="auto"/>
              <w:left w:val="single" w:sz="4" w:space="0" w:color="auto"/>
            </w:tcBorders>
            <w:vAlign w:val="center"/>
          </w:tcPr>
          <w:p w14:paraId="4558EC0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Hvorav mot taksonomirelevante sektorer (omfattet av taksonomien)</w:t>
            </w:r>
          </w:p>
        </w:tc>
        <w:tc>
          <w:tcPr>
            <w:tcW w:w="1423" w:type="dxa"/>
            <w:gridSpan w:val="9"/>
            <w:tcBorders>
              <w:top w:val="single" w:sz="4" w:space="0" w:color="auto"/>
              <w:left w:val="single" w:sz="4" w:space="0" w:color="auto"/>
            </w:tcBorders>
            <w:vAlign w:val="center"/>
          </w:tcPr>
          <w:p w14:paraId="7F62BD3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Hvorav mot taksonomirelevante sektorer (omfattet av taksonomien)</w:t>
            </w:r>
          </w:p>
        </w:tc>
        <w:tc>
          <w:tcPr>
            <w:tcW w:w="366" w:type="dxa"/>
            <w:tcBorders>
              <w:top w:val="single" w:sz="4" w:space="0" w:color="auto"/>
              <w:left w:val="single" w:sz="4" w:space="0" w:color="auto"/>
            </w:tcBorders>
            <w:vAlign w:val="center"/>
          </w:tcPr>
          <w:p w14:paraId="0A0326C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1397" w:type="dxa"/>
            <w:gridSpan w:val="7"/>
            <w:tcBorders>
              <w:top w:val="single" w:sz="4" w:space="0" w:color="auto"/>
              <w:right w:val="single" w:sz="4" w:space="0" w:color="auto"/>
            </w:tcBorders>
            <w:vAlign w:val="center"/>
          </w:tcPr>
          <w:p w14:paraId="35F2802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51D8D329" w14:textId="77777777">
        <w:trPr>
          <w:trHeight w:val="187"/>
        </w:trPr>
        <w:tc>
          <w:tcPr>
            <w:tcW w:w="2742" w:type="dxa"/>
            <w:gridSpan w:val="2"/>
            <w:vMerge/>
            <w:tcBorders>
              <w:left w:val="single" w:sz="4" w:space="0" w:color="auto"/>
            </w:tcBorders>
            <w:tcMar>
              <w:left w:w="0" w:type="dxa"/>
            </w:tcMar>
            <w:vAlign w:val="center"/>
          </w:tcPr>
          <w:p w14:paraId="36F4A851"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395" w:type="dxa"/>
            <w:vMerge/>
            <w:tcBorders>
              <w:left w:val="single" w:sz="4" w:space="0" w:color="auto"/>
            </w:tcBorders>
            <w:vAlign w:val="center"/>
          </w:tcPr>
          <w:p w14:paraId="62EA09D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56" w:type="dxa"/>
            <w:vMerge w:val="restart"/>
            <w:tcBorders>
              <w:left w:val="single" w:sz="4" w:space="0" w:color="auto"/>
            </w:tcBorders>
            <w:vAlign w:val="center"/>
          </w:tcPr>
          <w:p w14:paraId="47882B7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1640" w:type="dxa"/>
            <w:gridSpan w:val="9"/>
            <w:tcBorders>
              <w:top w:val="single" w:sz="4" w:space="0" w:color="auto"/>
              <w:left w:val="single" w:sz="4" w:space="0" w:color="auto"/>
            </w:tcBorders>
            <w:vAlign w:val="center"/>
          </w:tcPr>
          <w:p w14:paraId="4DF91E9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Hvorav miljømessig bærekraftige (taksonomiforenlige)</w:t>
            </w:r>
          </w:p>
        </w:tc>
        <w:tc>
          <w:tcPr>
            <w:tcW w:w="417" w:type="dxa"/>
            <w:vMerge w:val="restart"/>
            <w:tcBorders>
              <w:left w:val="single" w:sz="4" w:space="0" w:color="auto"/>
            </w:tcBorders>
            <w:vAlign w:val="center"/>
          </w:tcPr>
          <w:p w14:paraId="6917924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017" w:type="dxa"/>
            <w:gridSpan w:val="6"/>
            <w:tcBorders>
              <w:top w:val="single" w:sz="4" w:space="0" w:color="auto"/>
              <w:left w:val="single" w:sz="4" w:space="0" w:color="auto"/>
            </w:tcBorders>
            <w:vAlign w:val="center"/>
          </w:tcPr>
          <w:p w14:paraId="485448B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Hvorav miljømessig bærekraftige (taksonomiforenlige)</w:t>
            </w:r>
          </w:p>
        </w:tc>
        <w:tc>
          <w:tcPr>
            <w:tcW w:w="448" w:type="dxa"/>
            <w:vMerge w:val="restart"/>
            <w:tcBorders>
              <w:left w:val="single" w:sz="4" w:space="0" w:color="auto"/>
            </w:tcBorders>
            <w:vAlign w:val="center"/>
          </w:tcPr>
          <w:p w14:paraId="6476B64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067" w:type="dxa"/>
            <w:gridSpan w:val="6"/>
            <w:tcBorders>
              <w:top w:val="single" w:sz="4" w:space="0" w:color="auto"/>
              <w:left w:val="single" w:sz="4" w:space="0" w:color="auto"/>
            </w:tcBorders>
            <w:vAlign w:val="center"/>
          </w:tcPr>
          <w:p w14:paraId="393A954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Hvorav miljømessig bærekraftige (taksonomiforenlige)</w:t>
            </w:r>
          </w:p>
        </w:tc>
        <w:tc>
          <w:tcPr>
            <w:tcW w:w="375" w:type="dxa"/>
            <w:gridSpan w:val="2"/>
            <w:vMerge w:val="restart"/>
            <w:tcBorders>
              <w:left w:val="single" w:sz="4" w:space="0" w:color="auto"/>
            </w:tcBorders>
            <w:vAlign w:val="center"/>
          </w:tcPr>
          <w:p w14:paraId="177ECC4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IN"/>
              </w:rPr>
            </w:pPr>
          </w:p>
        </w:tc>
        <w:tc>
          <w:tcPr>
            <w:tcW w:w="1069" w:type="dxa"/>
            <w:gridSpan w:val="6"/>
            <w:tcBorders>
              <w:top w:val="single" w:sz="4" w:space="0" w:color="auto"/>
              <w:left w:val="single" w:sz="4" w:space="0" w:color="auto"/>
            </w:tcBorders>
            <w:vAlign w:val="center"/>
          </w:tcPr>
          <w:p w14:paraId="767035D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Hvorav miljømessig bærekraftige (taksonomiforenlige)</w:t>
            </w:r>
          </w:p>
        </w:tc>
        <w:tc>
          <w:tcPr>
            <w:tcW w:w="347" w:type="dxa"/>
            <w:vMerge w:val="restart"/>
            <w:tcBorders>
              <w:left w:val="single" w:sz="4" w:space="0" w:color="auto"/>
            </w:tcBorders>
            <w:vAlign w:val="center"/>
          </w:tcPr>
          <w:p w14:paraId="49CEFFE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071" w:type="dxa"/>
            <w:gridSpan w:val="6"/>
            <w:tcBorders>
              <w:top w:val="single" w:sz="4" w:space="0" w:color="auto"/>
              <w:left w:val="single" w:sz="4" w:space="0" w:color="auto"/>
            </w:tcBorders>
            <w:vAlign w:val="center"/>
          </w:tcPr>
          <w:p w14:paraId="253B352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Hvorav miljømessig bærekraftige (taksonomiforenlige)</w:t>
            </w:r>
          </w:p>
        </w:tc>
        <w:tc>
          <w:tcPr>
            <w:tcW w:w="350" w:type="dxa"/>
            <w:gridSpan w:val="2"/>
            <w:vMerge w:val="restart"/>
            <w:tcBorders>
              <w:left w:val="single" w:sz="4" w:space="0" w:color="auto"/>
            </w:tcBorders>
            <w:vAlign w:val="center"/>
          </w:tcPr>
          <w:p w14:paraId="6B73E26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073" w:type="dxa"/>
            <w:gridSpan w:val="7"/>
            <w:tcBorders>
              <w:top w:val="single" w:sz="4" w:space="0" w:color="auto"/>
              <w:left w:val="single" w:sz="4" w:space="0" w:color="auto"/>
            </w:tcBorders>
            <w:vAlign w:val="center"/>
          </w:tcPr>
          <w:p w14:paraId="57C1683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Hvorav miljømessig bærekraftige (taksonomiforenlige)</w:t>
            </w:r>
          </w:p>
        </w:tc>
        <w:tc>
          <w:tcPr>
            <w:tcW w:w="366" w:type="dxa"/>
            <w:vMerge w:val="restart"/>
            <w:tcBorders>
              <w:left w:val="single" w:sz="4" w:space="0" w:color="auto"/>
            </w:tcBorders>
            <w:vAlign w:val="center"/>
          </w:tcPr>
          <w:p w14:paraId="31C7643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97" w:type="dxa"/>
            <w:gridSpan w:val="7"/>
            <w:tcBorders>
              <w:top w:val="single" w:sz="4" w:space="0" w:color="auto"/>
              <w:left w:val="single" w:sz="4" w:space="0" w:color="auto"/>
              <w:right w:val="single" w:sz="4" w:space="0" w:color="auto"/>
            </w:tcBorders>
            <w:vAlign w:val="center"/>
          </w:tcPr>
          <w:p w14:paraId="495B625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Hvorav miljømessig bærekraftige (taksonomiforenlige)</w:t>
            </w:r>
          </w:p>
        </w:tc>
      </w:tr>
      <w:tr w:rsidR="006561BA" w14:paraId="55BA8DD1" w14:textId="77777777">
        <w:trPr>
          <w:trHeight w:val="166"/>
        </w:trPr>
        <w:tc>
          <w:tcPr>
            <w:tcW w:w="2742" w:type="dxa"/>
            <w:gridSpan w:val="2"/>
            <w:vMerge/>
            <w:tcBorders>
              <w:left w:val="single" w:sz="4" w:space="0" w:color="auto"/>
            </w:tcBorders>
            <w:tcMar>
              <w:left w:w="0" w:type="dxa"/>
            </w:tcMar>
            <w:vAlign w:val="center"/>
          </w:tcPr>
          <w:p w14:paraId="0629BC24" w14:textId="77777777" w:rsidR="006561BA" w:rsidRDefault="006561BA">
            <w:pPr>
              <w:widowControl w:val="0"/>
              <w:shd w:val="clear" w:color="auto" w:fill="auto"/>
              <w:spacing w:after="0" w:line="240" w:lineRule="auto"/>
              <w:jc w:val="center"/>
              <w:rPr>
                <w:rFonts w:ascii="Helvetica" w:eastAsia="Arial Unicode MS" w:hAnsi="Helvetica" w:cs="Helvetica"/>
                <w:color w:val="000000"/>
                <w:sz w:val="6"/>
                <w:szCs w:val="6"/>
                <w:lang w:val="en-US"/>
              </w:rPr>
            </w:pPr>
          </w:p>
        </w:tc>
        <w:tc>
          <w:tcPr>
            <w:tcW w:w="395" w:type="dxa"/>
            <w:vMerge/>
            <w:tcBorders>
              <w:left w:val="single" w:sz="4" w:space="0" w:color="auto"/>
            </w:tcBorders>
            <w:vAlign w:val="center"/>
          </w:tcPr>
          <w:p w14:paraId="0A23684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vMerge/>
            <w:tcBorders>
              <w:left w:val="single" w:sz="4" w:space="0" w:color="auto"/>
            </w:tcBorders>
            <w:vAlign w:val="center"/>
          </w:tcPr>
          <w:p w14:paraId="0B6526C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left w:val="single" w:sz="4" w:space="0" w:color="auto"/>
            </w:tcBorders>
            <w:vAlign w:val="center"/>
          </w:tcPr>
          <w:p w14:paraId="428E04E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vAlign w:val="center"/>
          </w:tcPr>
          <w:p w14:paraId="5D5ECC83"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bruk av proveny</w:t>
            </w:r>
          </w:p>
        </w:tc>
        <w:tc>
          <w:tcPr>
            <w:tcW w:w="389" w:type="dxa"/>
            <w:gridSpan w:val="2"/>
            <w:tcBorders>
              <w:top w:val="single" w:sz="4" w:space="0" w:color="auto"/>
              <w:left w:val="single" w:sz="4" w:space="0" w:color="auto"/>
            </w:tcBorders>
            <w:vAlign w:val="center"/>
          </w:tcPr>
          <w:p w14:paraId="18D89914"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omstilling</w:t>
            </w:r>
          </w:p>
        </w:tc>
        <w:tc>
          <w:tcPr>
            <w:tcW w:w="472" w:type="dxa"/>
            <w:gridSpan w:val="3"/>
            <w:tcBorders>
              <w:top w:val="single" w:sz="4" w:space="0" w:color="auto"/>
              <w:left w:val="single" w:sz="4" w:space="0" w:color="auto"/>
            </w:tcBorders>
            <w:vAlign w:val="center"/>
          </w:tcPr>
          <w:p w14:paraId="487565CA"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muliggjørende</w:t>
            </w:r>
          </w:p>
        </w:tc>
        <w:tc>
          <w:tcPr>
            <w:tcW w:w="417" w:type="dxa"/>
            <w:vMerge/>
            <w:tcBorders>
              <w:left w:val="single" w:sz="4" w:space="0" w:color="auto"/>
            </w:tcBorders>
            <w:vAlign w:val="center"/>
          </w:tcPr>
          <w:p w14:paraId="5ACEC1D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left w:val="single" w:sz="4" w:space="0" w:color="auto"/>
            </w:tcBorders>
            <w:vAlign w:val="center"/>
          </w:tcPr>
          <w:p w14:paraId="48EF053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vAlign w:val="center"/>
          </w:tcPr>
          <w:p w14:paraId="14A7B3A0"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bruk av proveny</w:t>
            </w:r>
          </w:p>
        </w:tc>
        <w:tc>
          <w:tcPr>
            <w:tcW w:w="338" w:type="dxa"/>
            <w:gridSpan w:val="2"/>
            <w:tcBorders>
              <w:top w:val="single" w:sz="4" w:space="0" w:color="auto"/>
              <w:left w:val="single" w:sz="4" w:space="0" w:color="auto"/>
            </w:tcBorders>
            <w:vAlign w:val="center"/>
          </w:tcPr>
          <w:p w14:paraId="00A2ADC9"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muliggjørende</w:t>
            </w:r>
          </w:p>
        </w:tc>
        <w:tc>
          <w:tcPr>
            <w:tcW w:w="448" w:type="dxa"/>
            <w:vMerge/>
            <w:tcBorders>
              <w:left w:val="single" w:sz="4" w:space="0" w:color="auto"/>
            </w:tcBorders>
            <w:vAlign w:val="center"/>
          </w:tcPr>
          <w:p w14:paraId="7BF1B56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left w:val="single" w:sz="4" w:space="0" w:color="auto"/>
            </w:tcBorders>
            <w:vAlign w:val="center"/>
          </w:tcPr>
          <w:p w14:paraId="02C867B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5D409BB2"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bruk av proveny</w:t>
            </w:r>
          </w:p>
        </w:tc>
        <w:tc>
          <w:tcPr>
            <w:tcW w:w="338" w:type="dxa"/>
            <w:gridSpan w:val="2"/>
            <w:tcBorders>
              <w:top w:val="single" w:sz="4" w:space="0" w:color="auto"/>
              <w:left w:val="single" w:sz="4" w:space="0" w:color="auto"/>
            </w:tcBorders>
            <w:vAlign w:val="center"/>
          </w:tcPr>
          <w:p w14:paraId="12A1D3EF"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muliggjørende</w:t>
            </w:r>
          </w:p>
        </w:tc>
        <w:tc>
          <w:tcPr>
            <w:tcW w:w="375" w:type="dxa"/>
            <w:gridSpan w:val="2"/>
            <w:vMerge/>
            <w:tcBorders>
              <w:left w:val="single" w:sz="4" w:space="0" w:color="auto"/>
            </w:tcBorders>
            <w:vAlign w:val="center"/>
          </w:tcPr>
          <w:p w14:paraId="654C414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left w:val="single" w:sz="4" w:space="0" w:color="auto"/>
            </w:tcBorders>
            <w:vAlign w:val="center"/>
          </w:tcPr>
          <w:p w14:paraId="397034C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20A4974C"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bruk av proveny</w:t>
            </w:r>
          </w:p>
        </w:tc>
        <w:tc>
          <w:tcPr>
            <w:tcW w:w="345" w:type="dxa"/>
            <w:gridSpan w:val="2"/>
            <w:tcBorders>
              <w:top w:val="single" w:sz="4" w:space="0" w:color="auto"/>
              <w:left w:val="single" w:sz="4" w:space="0" w:color="auto"/>
            </w:tcBorders>
            <w:vAlign w:val="center"/>
          </w:tcPr>
          <w:p w14:paraId="654D0783"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muliggjørende</w:t>
            </w:r>
          </w:p>
        </w:tc>
        <w:tc>
          <w:tcPr>
            <w:tcW w:w="347" w:type="dxa"/>
            <w:vMerge/>
            <w:tcBorders>
              <w:left w:val="single" w:sz="4" w:space="0" w:color="auto"/>
            </w:tcBorders>
            <w:vAlign w:val="center"/>
          </w:tcPr>
          <w:p w14:paraId="572622A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left w:val="single" w:sz="4" w:space="0" w:color="auto"/>
            </w:tcBorders>
            <w:vAlign w:val="center"/>
          </w:tcPr>
          <w:p w14:paraId="6D0D2AE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vAlign w:val="center"/>
          </w:tcPr>
          <w:p w14:paraId="2D32C006"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bruk av proveny</w:t>
            </w:r>
          </w:p>
        </w:tc>
        <w:tc>
          <w:tcPr>
            <w:tcW w:w="338" w:type="dxa"/>
            <w:gridSpan w:val="2"/>
            <w:tcBorders>
              <w:top w:val="single" w:sz="4" w:space="0" w:color="auto"/>
              <w:left w:val="single" w:sz="4" w:space="0" w:color="auto"/>
            </w:tcBorders>
            <w:vAlign w:val="center"/>
          </w:tcPr>
          <w:p w14:paraId="0EFD6858"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muliggjørende</w:t>
            </w:r>
          </w:p>
        </w:tc>
        <w:tc>
          <w:tcPr>
            <w:tcW w:w="350" w:type="dxa"/>
            <w:gridSpan w:val="2"/>
            <w:vMerge/>
            <w:tcBorders>
              <w:left w:val="single" w:sz="4" w:space="0" w:color="auto"/>
            </w:tcBorders>
            <w:vAlign w:val="center"/>
          </w:tcPr>
          <w:p w14:paraId="2A98BA5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left w:val="single" w:sz="4" w:space="0" w:color="auto"/>
            </w:tcBorders>
            <w:vAlign w:val="center"/>
          </w:tcPr>
          <w:p w14:paraId="40320C5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5B10A39F"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bruk av proveny</w:t>
            </w:r>
          </w:p>
        </w:tc>
        <w:tc>
          <w:tcPr>
            <w:tcW w:w="340" w:type="dxa"/>
            <w:gridSpan w:val="3"/>
            <w:tcBorders>
              <w:top w:val="single" w:sz="4" w:space="0" w:color="auto"/>
              <w:left w:val="single" w:sz="4" w:space="0" w:color="auto"/>
            </w:tcBorders>
            <w:vAlign w:val="center"/>
          </w:tcPr>
          <w:p w14:paraId="2861FD2E"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muliggjørende</w:t>
            </w:r>
          </w:p>
        </w:tc>
        <w:tc>
          <w:tcPr>
            <w:tcW w:w="366" w:type="dxa"/>
            <w:vMerge/>
            <w:tcBorders>
              <w:left w:val="single" w:sz="4" w:space="0" w:color="auto"/>
            </w:tcBorders>
            <w:vAlign w:val="center"/>
          </w:tcPr>
          <w:p w14:paraId="523A8F3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left w:val="single" w:sz="4" w:space="0" w:color="auto"/>
            </w:tcBorders>
            <w:vAlign w:val="center"/>
          </w:tcPr>
          <w:p w14:paraId="2B9467E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7763C51D"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bruk av proveny</w:t>
            </w:r>
          </w:p>
        </w:tc>
        <w:tc>
          <w:tcPr>
            <w:tcW w:w="392" w:type="dxa"/>
            <w:gridSpan w:val="3"/>
            <w:tcBorders>
              <w:top w:val="single" w:sz="4" w:space="0" w:color="auto"/>
              <w:left w:val="single" w:sz="4" w:space="0" w:color="auto"/>
            </w:tcBorders>
            <w:vAlign w:val="center"/>
          </w:tcPr>
          <w:p w14:paraId="498DD774"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omstilling</w:t>
            </w:r>
          </w:p>
        </w:tc>
        <w:tc>
          <w:tcPr>
            <w:tcW w:w="278" w:type="dxa"/>
            <w:tcBorders>
              <w:top w:val="single" w:sz="4" w:space="0" w:color="auto"/>
              <w:left w:val="single" w:sz="4" w:space="0" w:color="auto"/>
              <w:right w:val="single" w:sz="4" w:space="0" w:color="auto"/>
            </w:tcBorders>
            <w:vAlign w:val="center"/>
          </w:tcPr>
          <w:p w14:paraId="618F68F6"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muliggjørende</w:t>
            </w:r>
          </w:p>
        </w:tc>
      </w:tr>
      <w:tr w:rsidR="006561BA" w14:paraId="5A88BBDE" w14:textId="77777777">
        <w:trPr>
          <w:trHeight w:val="90"/>
        </w:trPr>
        <w:tc>
          <w:tcPr>
            <w:tcW w:w="943" w:type="dxa"/>
            <w:tcBorders>
              <w:top w:val="single" w:sz="4" w:space="0" w:color="auto"/>
              <w:left w:val="single" w:sz="4" w:space="0" w:color="auto"/>
            </w:tcBorders>
            <w:tcMar>
              <w:left w:w="0" w:type="dxa"/>
            </w:tcMar>
            <w:vAlign w:val="center"/>
          </w:tcPr>
          <w:p w14:paraId="70DF6CB4" w14:textId="77777777" w:rsidR="006561BA" w:rsidRDefault="006561BA">
            <w:pPr>
              <w:widowControl w:val="0"/>
              <w:shd w:val="clear" w:color="auto" w:fill="auto"/>
              <w:spacing w:after="0" w:line="240" w:lineRule="auto"/>
              <w:jc w:val="center"/>
              <w:rPr>
                <w:rFonts w:ascii="Helvetica" w:eastAsia="Arial Unicode MS" w:hAnsi="Helvetica" w:cs="Helvetica"/>
                <w:color w:val="000000"/>
                <w:sz w:val="6"/>
                <w:szCs w:val="6"/>
                <w:lang w:val="en-US"/>
              </w:rPr>
            </w:pPr>
          </w:p>
        </w:tc>
        <w:tc>
          <w:tcPr>
            <w:tcW w:w="1799" w:type="dxa"/>
            <w:tcBorders>
              <w:top w:val="single" w:sz="4" w:space="0" w:color="auto"/>
              <w:left w:val="single" w:sz="4" w:space="0" w:color="auto"/>
            </w:tcBorders>
            <w:vAlign w:val="center"/>
          </w:tcPr>
          <w:p w14:paraId="465A372B" w14:textId="77777777" w:rsidR="006561BA" w:rsidRDefault="005B4ED6">
            <w:pPr>
              <w:widowControl w:val="0"/>
              <w:shd w:val="clear" w:color="auto" w:fill="auto"/>
              <w:spacing w:after="0" w:line="240" w:lineRule="auto"/>
              <w:jc w:val="left"/>
              <w:rPr>
                <w:rFonts w:ascii="Helvetica" w:eastAsia="Arial Unicode MS" w:hAnsi="Helvetica" w:cs="Helvetica"/>
                <w:b/>
                <w:color w:val="000000"/>
                <w:sz w:val="6"/>
                <w:szCs w:val="6"/>
                <w:u w:val="single"/>
              </w:rPr>
            </w:pPr>
            <w:r>
              <w:rPr>
                <w:rFonts w:ascii="Helvetica" w:hAnsi="Helvetica"/>
                <w:b/>
                <w:color w:val="000000"/>
                <w:sz w:val="6"/>
                <w:u w:val="single"/>
              </w:rPr>
              <w:t xml:space="preserve">GAR </w:t>
            </w:r>
            <w:r>
              <w:rPr>
                <w:rFonts w:ascii="Helvetica" w:hAnsi="Helvetica"/>
                <w:b/>
                <w:color w:val="000000"/>
                <w:sz w:val="6"/>
                <w:u w:val="single"/>
              </w:rPr>
              <w:sym w:font="Symbol" w:char="F02D"/>
            </w:r>
            <w:r>
              <w:rPr>
                <w:rFonts w:ascii="Helvetica" w:hAnsi="Helvetica"/>
                <w:b/>
                <w:color w:val="000000"/>
                <w:sz w:val="6"/>
                <w:u w:val="single"/>
              </w:rPr>
              <w:t xml:space="preserve"> dekkede eiendeler i både teller og nevner</w:t>
            </w:r>
          </w:p>
        </w:tc>
        <w:tc>
          <w:tcPr>
            <w:tcW w:w="395" w:type="dxa"/>
            <w:tcBorders>
              <w:top w:val="single" w:sz="4" w:space="0" w:color="auto"/>
              <w:left w:val="single" w:sz="4" w:space="0" w:color="auto"/>
            </w:tcBorders>
            <w:shd w:val="clear" w:color="auto" w:fill="000000" w:themeFill="text1"/>
            <w:vAlign w:val="center"/>
          </w:tcPr>
          <w:p w14:paraId="0E03372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56" w:type="dxa"/>
            <w:tcBorders>
              <w:top w:val="single" w:sz="4" w:space="0" w:color="auto"/>
              <w:left w:val="single" w:sz="4" w:space="0" w:color="auto"/>
            </w:tcBorders>
            <w:shd w:val="clear" w:color="auto" w:fill="000000" w:themeFill="text1"/>
            <w:vAlign w:val="center"/>
          </w:tcPr>
          <w:p w14:paraId="2C6888E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2"/>
            <w:tcBorders>
              <w:top w:val="single" w:sz="4" w:space="0" w:color="auto"/>
              <w:left w:val="single" w:sz="4" w:space="0" w:color="auto"/>
            </w:tcBorders>
            <w:shd w:val="clear" w:color="auto" w:fill="000000" w:themeFill="text1"/>
            <w:vAlign w:val="center"/>
          </w:tcPr>
          <w:p w14:paraId="41599BD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39" w:type="dxa"/>
            <w:gridSpan w:val="2"/>
            <w:tcBorders>
              <w:top w:val="single" w:sz="4" w:space="0" w:color="auto"/>
              <w:left w:val="single" w:sz="4" w:space="0" w:color="auto"/>
            </w:tcBorders>
            <w:shd w:val="clear" w:color="auto" w:fill="000000" w:themeFill="text1"/>
            <w:vAlign w:val="center"/>
          </w:tcPr>
          <w:p w14:paraId="25BBE28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9" w:type="dxa"/>
            <w:gridSpan w:val="2"/>
            <w:tcBorders>
              <w:top w:val="single" w:sz="4" w:space="0" w:color="auto"/>
              <w:left w:val="single" w:sz="4" w:space="0" w:color="auto"/>
            </w:tcBorders>
            <w:shd w:val="clear" w:color="auto" w:fill="000000" w:themeFill="text1"/>
            <w:vAlign w:val="center"/>
          </w:tcPr>
          <w:p w14:paraId="33EEAFC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72" w:type="dxa"/>
            <w:gridSpan w:val="3"/>
            <w:tcBorders>
              <w:top w:val="single" w:sz="4" w:space="0" w:color="auto"/>
              <w:left w:val="single" w:sz="4" w:space="0" w:color="auto"/>
            </w:tcBorders>
            <w:shd w:val="clear" w:color="auto" w:fill="000000" w:themeFill="text1"/>
            <w:vAlign w:val="center"/>
          </w:tcPr>
          <w:p w14:paraId="66D9875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17" w:type="dxa"/>
            <w:tcBorders>
              <w:top w:val="single" w:sz="4" w:space="0" w:color="auto"/>
              <w:left w:val="single" w:sz="4" w:space="0" w:color="auto"/>
            </w:tcBorders>
            <w:shd w:val="clear" w:color="auto" w:fill="000000" w:themeFill="text1"/>
            <w:vAlign w:val="center"/>
          </w:tcPr>
          <w:p w14:paraId="4229AA4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97" w:type="dxa"/>
            <w:gridSpan w:val="2"/>
            <w:tcBorders>
              <w:top w:val="single" w:sz="4" w:space="0" w:color="auto"/>
              <w:left w:val="single" w:sz="4" w:space="0" w:color="auto"/>
            </w:tcBorders>
            <w:shd w:val="clear" w:color="auto" w:fill="000000" w:themeFill="text1"/>
            <w:vAlign w:val="center"/>
          </w:tcPr>
          <w:p w14:paraId="537592C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2" w:type="dxa"/>
            <w:gridSpan w:val="2"/>
            <w:tcBorders>
              <w:top w:val="single" w:sz="4" w:space="0" w:color="auto"/>
              <w:left w:val="single" w:sz="4" w:space="0" w:color="auto"/>
            </w:tcBorders>
            <w:shd w:val="clear" w:color="auto" w:fill="000000" w:themeFill="text1"/>
            <w:vAlign w:val="center"/>
          </w:tcPr>
          <w:p w14:paraId="608C85E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shd w:val="clear" w:color="auto" w:fill="000000" w:themeFill="text1"/>
            <w:vAlign w:val="center"/>
          </w:tcPr>
          <w:p w14:paraId="09F8DB5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48" w:type="dxa"/>
            <w:tcBorders>
              <w:top w:val="single" w:sz="4" w:space="0" w:color="auto"/>
              <w:left w:val="single" w:sz="4" w:space="0" w:color="auto"/>
            </w:tcBorders>
            <w:shd w:val="clear" w:color="auto" w:fill="000000" w:themeFill="text1"/>
            <w:vAlign w:val="center"/>
          </w:tcPr>
          <w:p w14:paraId="2B0245F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shd w:val="clear" w:color="auto" w:fill="000000" w:themeFill="text1"/>
            <w:vAlign w:val="center"/>
          </w:tcPr>
          <w:p w14:paraId="114397B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shd w:val="clear" w:color="auto" w:fill="000000" w:themeFill="text1"/>
            <w:vAlign w:val="center"/>
          </w:tcPr>
          <w:p w14:paraId="691EE4D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shd w:val="clear" w:color="auto" w:fill="000000" w:themeFill="text1"/>
            <w:vAlign w:val="center"/>
          </w:tcPr>
          <w:p w14:paraId="613D3AB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75" w:type="dxa"/>
            <w:gridSpan w:val="2"/>
            <w:tcBorders>
              <w:top w:val="single" w:sz="4" w:space="0" w:color="auto"/>
              <w:left w:val="single" w:sz="4" w:space="0" w:color="auto"/>
            </w:tcBorders>
            <w:shd w:val="clear" w:color="auto" w:fill="000000" w:themeFill="text1"/>
            <w:vAlign w:val="center"/>
          </w:tcPr>
          <w:p w14:paraId="05030E1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8" w:type="dxa"/>
            <w:gridSpan w:val="2"/>
            <w:tcBorders>
              <w:top w:val="single" w:sz="4" w:space="0" w:color="auto"/>
              <w:left w:val="single" w:sz="4" w:space="0" w:color="auto"/>
            </w:tcBorders>
            <w:shd w:val="clear" w:color="auto" w:fill="000000" w:themeFill="text1"/>
            <w:vAlign w:val="center"/>
          </w:tcPr>
          <w:p w14:paraId="614099B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shd w:val="clear" w:color="auto" w:fill="000000" w:themeFill="text1"/>
            <w:vAlign w:val="center"/>
          </w:tcPr>
          <w:p w14:paraId="0655EA0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5" w:type="dxa"/>
            <w:gridSpan w:val="2"/>
            <w:tcBorders>
              <w:top w:val="single" w:sz="4" w:space="0" w:color="auto"/>
              <w:left w:val="single" w:sz="4" w:space="0" w:color="auto"/>
            </w:tcBorders>
            <w:shd w:val="clear" w:color="auto" w:fill="000000" w:themeFill="text1"/>
            <w:vAlign w:val="center"/>
          </w:tcPr>
          <w:p w14:paraId="28FF111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7" w:type="dxa"/>
            <w:tcBorders>
              <w:top w:val="single" w:sz="4" w:space="0" w:color="auto"/>
              <w:left w:val="single" w:sz="4" w:space="0" w:color="auto"/>
            </w:tcBorders>
            <w:shd w:val="clear" w:color="auto" w:fill="000000" w:themeFill="text1"/>
            <w:vAlign w:val="center"/>
          </w:tcPr>
          <w:p w14:paraId="5C405CD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shd w:val="clear" w:color="auto" w:fill="000000" w:themeFill="text1"/>
            <w:vAlign w:val="center"/>
          </w:tcPr>
          <w:p w14:paraId="2C35FBF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0" w:type="dxa"/>
            <w:gridSpan w:val="2"/>
            <w:tcBorders>
              <w:top w:val="single" w:sz="4" w:space="0" w:color="auto"/>
              <w:left w:val="single" w:sz="4" w:space="0" w:color="auto"/>
            </w:tcBorders>
            <w:shd w:val="clear" w:color="auto" w:fill="000000" w:themeFill="text1"/>
            <w:vAlign w:val="center"/>
          </w:tcPr>
          <w:p w14:paraId="2E0F3EF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shd w:val="clear" w:color="auto" w:fill="000000" w:themeFill="text1"/>
            <w:vAlign w:val="center"/>
          </w:tcPr>
          <w:p w14:paraId="19EF719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50" w:type="dxa"/>
            <w:gridSpan w:val="2"/>
            <w:tcBorders>
              <w:top w:val="single" w:sz="4" w:space="0" w:color="auto"/>
              <w:left w:val="single" w:sz="4" w:space="0" w:color="auto"/>
            </w:tcBorders>
            <w:shd w:val="clear" w:color="auto" w:fill="000000" w:themeFill="text1"/>
            <w:vAlign w:val="center"/>
          </w:tcPr>
          <w:p w14:paraId="11E5318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7" w:type="dxa"/>
            <w:gridSpan w:val="2"/>
            <w:tcBorders>
              <w:top w:val="single" w:sz="4" w:space="0" w:color="auto"/>
              <w:left w:val="single" w:sz="4" w:space="0" w:color="auto"/>
            </w:tcBorders>
            <w:shd w:val="clear" w:color="auto" w:fill="000000" w:themeFill="text1"/>
            <w:vAlign w:val="center"/>
          </w:tcPr>
          <w:p w14:paraId="20A9DE1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shd w:val="clear" w:color="auto" w:fill="000000" w:themeFill="text1"/>
            <w:vAlign w:val="center"/>
          </w:tcPr>
          <w:p w14:paraId="2FB8D35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3"/>
            <w:tcBorders>
              <w:top w:val="single" w:sz="4" w:space="0" w:color="auto"/>
              <w:left w:val="single" w:sz="4" w:space="0" w:color="auto"/>
            </w:tcBorders>
            <w:shd w:val="clear" w:color="auto" w:fill="000000" w:themeFill="text1"/>
            <w:vAlign w:val="center"/>
          </w:tcPr>
          <w:p w14:paraId="6091A8E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6" w:type="dxa"/>
            <w:tcBorders>
              <w:top w:val="single" w:sz="4" w:space="0" w:color="auto"/>
              <w:left w:val="single" w:sz="4" w:space="0" w:color="auto"/>
            </w:tcBorders>
            <w:shd w:val="clear" w:color="auto" w:fill="000000" w:themeFill="text1"/>
            <w:vAlign w:val="center"/>
          </w:tcPr>
          <w:p w14:paraId="4F093AA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1" w:type="dxa"/>
            <w:tcBorders>
              <w:top w:val="single" w:sz="4" w:space="0" w:color="auto"/>
              <w:left w:val="single" w:sz="4" w:space="0" w:color="auto"/>
            </w:tcBorders>
            <w:shd w:val="clear" w:color="auto" w:fill="000000" w:themeFill="text1"/>
            <w:vAlign w:val="center"/>
          </w:tcPr>
          <w:p w14:paraId="301CBE6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shd w:val="clear" w:color="auto" w:fill="000000" w:themeFill="text1"/>
            <w:vAlign w:val="center"/>
          </w:tcPr>
          <w:p w14:paraId="59C0B70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2" w:type="dxa"/>
            <w:gridSpan w:val="3"/>
            <w:tcBorders>
              <w:top w:val="single" w:sz="4" w:space="0" w:color="auto"/>
              <w:left w:val="single" w:sz="4" w:space="0" w:color="auto"/>
            </w:tcBorders>
            <w:shd w:val="clear" w:color="auto" w:fill="000000" w:themeFill="text1"/>
            <w:vAlign w:val="center"/>
          </w:tcPr>
          <w:p w14:paraId="51396F7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78" w:type="dxa"/>
            <w:tcBorders>
              <w:top w:val="single" w:sz="4" w:space="0" w:color="auto"/>
              <w:left w:val="single" w:sz="4" w:space="0" w:color="auto"/>
              <w:right w:val="single" w:sz="4" w:space="0" w:color="auto"/>
            </w:tcBorders>
            <w:shd w:val="clear" w:color="auto" w:fill="000000" w:themeFill="text1"/>
            <w:vAlign w:val="center"/>
          </w:tcPr>
          <w:p w14:paraId="2374FFD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1EA5B549" w14:textId="77777777">
        <w:trPr>
          <w:trHeight w:val="173"/>
        </w:trPr>
        <w:tc>
          <w:tcPr>
            <w:tcW w:w="943" w:type="dxa"/>
            <w:tcBorders>
              <w:top w:val="single" w:sz="4" w:space="0" w:color="auto"/>
              <w:left w:val="single" w:sz="4" w:space="0" w:color="auto"/>
            </w:tcBorders>
            <w:tcMar>
              <w:left w:w="0" w:type="dxa"/>
            </w:tcMar>
            <w:vAlign w:val="center"/>
          </w:tcPr>
          <w:p w14:paraId="4A9C13C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1</w:t>
            </w:r>
          </w:p>
        </w:tc>
        <w:tc>
          <w:tcPr>
            <w:tcW w:w="1799" w:type="dxa"/>
            <w:tcBorders>
              <w:top w:val="single" w:sz="4" w:space="0" w:color="auto"/>
              <w:left w:val="single" w:sz="4" w:space="0" w:color="auto"/>
            </w:tcBorders>
            <w:vAlign w:val="center"/>
          </w:tcPr>
          <w:p w14:paraId="50AE2BD5" w14:textId="192855C5" w:rsidR="006561BA" w:rsidRDefault="005B4ED6" w:rsidP="00A5119A">
            <w:pPr>
              <w:widowControl w:val="0"/>
              <w:shd w:val="clear" w:color="auto" w:fill="auto"/>
              <w:spacing w:after="0" w:line="240" w:lineRule="auto"/>
              <w:ind w:left="42"/>
              <w:jc w:val="left"/>
              <w:rPr>
                <w:rFonts w:ascii="Helvetica" w:eastAsia="Arial Unicode MS" w:hAnsi="Helvetica" w:cs="Helvetica"/>
                <w:color w:val="000000"/>
                <w:sz w:val="6"/>
                <w:szCs w:val="6"/>
              </w:rPr>
            </w:pPr>
            <w:r>
              <w:rPr>
                <w:rFonts w:ascii="Helvetica" w:hAnsi="Helvetica"/>
                <w:color w:val="383838"/>
                <w:sz w:val="6"/>
              </w:rPr>
              <w:t>Lån og forskudd, gjeldsinstrumenter og egenkapitalinstrumenter som ikke innehas for handelsformål, og som inngår i beregningen av GAR</w:t>
            </w:r>
          </w:p>
        </w:tc>
        <w:tc>
          <w:tcPr>
            <w:tcW w:w="395" w:type="dxa"/>
            <w:tcBorders>
              <w:top w:val="single" w:sz="4" w:space="0" w:color="auto"/>
              <w:left w:val="single" w:sz="4" w:space="0" w:color="auto"/>
            </w:tcBorders>
            <w:vAlign w:val="center"/>
          </w:tcPr>
          <w:p w14:paraId="44D4781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56" w:type="dxa"/>
            <w:tcBorders>
              <w:top w:val="single" w:sz="4" w:space="0" w:color="auto"/>
              <w:left w:val="single" w:sz="4" w:space="0" w:color="auto"/>
            </w:tcBorders>
            <w:vAlign w:val="center"/>
          </w:tcPr>
          <w:p w14:paraId="260F47B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2"/>
            <w:tcBorders>
              <w:top w:val="single" w:sz="4" w:space="0" w:color="auto"/>
              <w:left w:val="single" w:sz="4" w:space="0" w:color="auto"/>
            </w:tcBorders>
            <w:vAlign w:val="center"/>
          </w:tcPr>
          <w:p w14:paraId="334031D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39" w:type="dxa"/>
            <w:gridSpan w:val="2"/>
            <w:tcBorders>
              <w:top w:val="single" w:sz="4" w:space="0" w:color="auto"/>
              <w:left w:val="single" w:sz="4" w:space="0" w:color="auto"/>
            </w:tcBorders>
            <w:vAlign w:val="center"/>
          </w:tcPr>
          <w:p w14:paraId="40C5F66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9" w:type="dxa"/>
            <w:gridSpan w:val="2"/>
            <w:tcBorders>
              <w:top w:val="single" w:sz="4" w:space="0" w:color="auto"/>
              <w:left w:val="single" w:sz="4" w:space="0" w:color="auto"/>
            </w:tcBorders>
            <w:vAlign w:val="center"/>
          </w:tcPr>
          <w:p w14:paraId="058B993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72" w:type="dxa"/>
            <w:gridSpan w:val="3"/>
            <w:tcBorders>
              <w:top w:val="single" w:sz="4" w:space="0" w:color="auto"/>
              <w:left w:val="single" w:sz="4" w:space="0" w:color="auto"/>
            </w:tcBorders>
            <w:vAlign w:val="center"/>
          </w:tcPr>
          <w:p w14:paraId="57811F0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17" w:type="dxa"/>
            <w:tcBorders>
              <w:top w:val="single" w:sz="4" w:space="0" w:color="auto"/>
              <w:left w:val="single" w:sz="4" w:space="0" w:color="auto"/>
            </w:tcBorders>
            <w:vAlign w:val="center"/>
          </w:tcPr>
          <w:p w14:paraId="0F913AA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97" w:type="dxa"/>
            <w:gridSpan w:val="2"/>
            <w:tcBorders>
              <w:top w:val="single" w:sz="4" w:space="0" w:color="auto"/>
              <w:left w:val="single" w:sz="4" w:space="0" w:color="auto"/>
            </w:tcBorders>
            <w:vAlign w:val="center"/>
          </w:tcPr>
          <w:p w14:paraId="5183AE9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2" w:type="dxa"/>
            <w:gridSpan w:val="2"/>
            <w:tcBorders>
              <w:top w:val="single" w:sz="4" w:space="0" w:color="auto"/>
              <w:left w:val="single" w:sz="4" w:space="0" w:color="auto"/>
            </w:tcBorders>
            <w:vAlign w:val="center"/>
          </w:tcPr>
          <w:p w14:paraId="43CEEC1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74432E0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48" w:type="dxa"/>
            <w:tcBorders>
              <w:top w:val="single" w:sz="4" w:space="0" w:color="auto"/>
              <w:left w:val="single" w:sz="4" w:space="0" w:color="auto"/>
            </w:tcBorders>
            <w:vAlign w:val="center"/>
          </w:tcPr>
          <w:p w14:paraId="5048B06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0FA564A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5713E5D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31661EC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75" w:type="dxa"/>
            <w:gridSpan w:val="2"/>
            <w:tcBorders>
              <w:top w:val="single" w:sz="4" w:space="0" w:color="auto"/>
              <w:left w:val="single" w:sz="4" w:space="0" w:color="auto"/>
            </w:tcBorders>
            <w:vAlign w:val="center"/>
          </w:tcPr>
          <w:p w14:paraId="35B7D42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8" w:type="dxa"/>
            <w:gridSpan w:val="2"/>
            <w:tcBorders>
              <w:top w:val="single" w:sz="4" w:space="0" w:color="auto"/>
              <w:left w:val="single" w:sz="4" w:space="0" w:color="auto"/>
            </w:tcBorders>
            <w:vAlign w:val="center"/>
          </w:tcPr>
          <w:p w14:paraId="6852621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3B89CD3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5" w:type="dxa"/>
            <w:gridSpan w:val="2"/>
            <w:tcBorders>
              <w:top w:val="single" w:sz="4" w:space="0" w:color="auto"/>
              <w:left w:val="single" w:sz="4" w:space="0" w:color="auto"/>
            </w:tcBorders>
            <w:vAlign w:val="center"/>
          </w:tcPr>
          <w:p w14:paraId="3093A8E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7" w:type="dxa"/>
            <w:tcBorders>
              <w:top w:val="single" w:sz="4" w:space="0" w:color="auto"/>
              <w:left w:val="single" w:sz="4" w:space="0" w:color="auto"/>
            </w:tcBorders>
            <w:vAlign w:val="center"/>
          </w:tcPr>
          <w:p w14:paraId="2BC3768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04A7770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0" w:type="dxa"/>
            <w:gridSpan w:val="2"/>
            <w:tcBorders>
              <w:top w:val="single" w:sz="4" w:space="0" w:color="auto"/>
              <w:left w:val="single" w:sz="4" w:space="0" w:color="auto"/>
            </w:tcBorders>
            <w:vAlign w:val="center"/>
          </w:tcPr>
          <w:p w14:paraId="278F35A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3C09C17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50" w:type="dxa"/>
            <w:gridSpan w:val="2"/>
            <w:tcBorders>
              <w:top w:val="single" w:sz="4" w:space="0" w:color="auto"/>
              <w:left w:val="single" w:sz="4" w:space="0" w:color="auto"/>
            </w:tcBorders>
            <w:vAlign w:val="center"/>
          </w:tcPr>
          <w:p w14:paraId="5D4F2FB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7" w:type="dxa"/>
            <w:gridSpan w:val="2"/>
            <w:tcBorders>
              <w:top w:val="single" w:sz="4" w:space="0" w:color="auto"/>
              <w:left w:val="single" w:sz="4" w:space="0" w:color="auto"/>
            </w:tcBorders>
            <w:vAlign w:val="center"/>
          </w:tcPr>
          <w:p w14:paraId="41E58E1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1E89CF3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3"/>
            <w:tcBorders>
              <w:top w:val="single" w:sz="4" w:space="0" w:color="auto"/>
              <w:left w:val="single" w:sz="4" w:space="0" w:color="auto"/>
            </w:tcBorders>
            <w:vAlign w:val="center"/>
          </w:tcPr>
          <w:p w14:paraId="27DE70C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6" w:type="dxa"/>
            <w:tcBorders>
              <w:top w:val="single" w:sz="4" w:space="0" w:color="auto"/>
              <w:left w:val="single" w:sz="4" w:space="0" w:color="auto"/>
            </w:tcBorders>
            <w:vAlign w:val="center"/>
          </w:tcPr>
          <w:p w14:paraId="1B99644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1" w:type="dxa"/>
            <w:tcBorders>
              <w:top w:val="single" w:sz="4" w:space="0" w:color="auto"/>
              <w:left w:val="single" w:sz="4" w:space="0" w:color="auto"/>
            </w:tcBorders>
            <w:vAlign w:val="center"/>
          </w:tcPr>
          <w:p w14:paraId="66A9A7E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159C13A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2" w:type="dxa"/>
            <w:gridSpan w:val="3"/>
            <w:tcBorders>
              <w:top w:val="single" w:sz="4" w:space="0" w:color="auto"/>
              <w:left w:val="single" w:sz="4" w:space="0" w:color="auto"/>
            </w:tcBorders>
            <w:vAlign w:val="center"/>
          </w:tcPr>
          <w:p w14:paraId="1FAABE5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78" w:type="dxa"/>
            <w:tcBorders>
              <w:top w:val="single" w:sz="4" w:space="0" w:color="auto"/>
              <w:left w:val="single" w:sz="4" w:space="0" w:color="auto"/>
              <w:right w:val="single" w:sz="4" w:space="0" w:color="auto"/>
            </w:tcBorders>
            <w:vAlign w:val="center"/>
          </w:tcPr>
          <w:p w14:paraId="7455E7A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7311C181" w14:textId="77777777">
        <w:trPr>
          <w:trHeight w:val="86"/>
        </w:trPr>
        <w:tc>
          <w:tcPr>
            <w:tcW w:w="943" w:type="dxa"/>
            <w:tcBorders>
              <w:top w:val="single" w:sz="4" w:space="0" w:color="auto"/>
              <w:left w:val="single" w:sz="4" w:space="0" w:color="auto"/>
            </w:tcBorders>
            <w:tcMar>
              <w:left w:w="0" w:type="dxa"/>
            </w:tcMar>
            <w:vAlign w:val="center"/>
          </w:tcPr>
          <w:p w14:paraId="5628787A"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w:t>
            </w:r>
          </w:p>
        </w:tc>
        <w:tc>
          <w:tcPr>
            <w:tcW w:w="1799" w:type="dxa"/>
            <w:tcBorders>
              <w:top w:val="single" w:sz="4" w:space="0" w:color="auto"/>
              <w:left w:val="single" w:sz="4" w:space="0" w:color="auto"/>
            </w:tcBorders>
            <w:vAlign w:val="center"/>
          </w:tcPr>
          <w:p w14:paraId="69A2BAAE" w14:textId="77777777" w:rsidR="006561BA" w:rsidRDefault="005B4ED6">
            <w:pPr>
              <w:widowControl w:val="0"/>
              <w:shd w:val="clear" w:color="auto" w:fill="auto"/>
              <w:spacing w:after="0" w:line="240" w:lineRule="auto"/>
              <w:ind w:left="102"/>
              <w:jc w:val="left"/>
              <w:rPr>
                <w:rFonts w:ascii="Helvetica" w:eastAsia="Arial Unicode MS" w:hAnsi="Helvetica" w:cs="Helvetica"/>
                <w:b/>
                <w:color w:val="000000"/>
                <w:sz w:val="6"/>
                <w:szCs w:val="6"/>
              </w:rPr>
            </w:pPr>
            <w:r>
              <w:rPr>
                <w:rFonts w:ascii="Helvetica" w:hAnsi="Helvetica"/>
                <w:b/>
                <w:color w:val="000000"/>
                <w:sz w:val="6"/>
              </w:rPr>
              <w:t>Finansforetak</w:t>
            </w:r>
          </w:p>
        </w:tc>
        <w:tc>
          <w:tcPr>
            <w:tcW w:w="395" w:type="dxa"/>
            <w:tcBorders>
              <w:top w:val="single" w:sz="4" w:space="0" w:color="auto"/>
              <w:left w:val="single" w:sz="4" w:space="0" w:color="auto"/>
            </w:tcBorders>
            <w:vAlign w:val="center"/>
          </w:tcPr>
          <w:p w14:paraId="22E0A7A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1F8CE14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7AAC17D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vAlign w:val="center"/>
          </w:tcPr>
          <w:p w14:paraId="371AACC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15623D7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74DC871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4B36A80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0AD8594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vAlign w:val="center"/>
          </w:tcPr>
          <w:p w14:paraId="28E5B8A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0FE8EF6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7635000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6A4E326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54F085F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2A511C5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04B82E5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28D75E9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695447D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615477B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0081904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0589DE9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vAlign w:val="center"/>
          </w:tcPr>
          <w:p w14:paraId="152D5A6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07F1864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57B8309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502D70C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7A4D20E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3"/>
            <w:tcBorders>
              <w:top w:val="single" w:sz="4" w:space="0" w:color="auto"/>
              <w:left w:val="single" w:sz="4" w:space="0" w:color="auto"/>
            </w:tcBorders>
            <w:vAlign w:val="center"/>
          </w:tcPr>
          <w:p w14:paraId="7BF3C26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tcBorders>
              <w:top w:val="single" w:sz="4" w:space="0" w:color="auto"/>
              <w:left w:val="single" w:sz="4" w:space="0" w:color="auto"/>
            </w:tcBorders>
            <w:vAlign w:val="center"/>
          </w:tcPr>
          <w:p w14:paraId="5176327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3E7A4CC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74E14B4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3"/>
            <w:tcBorders>
              <w:top w:val="single" w:sz="4" w:space="0" w:color="auto"/>
              <w:left w:val="single" w:sz="4" w:space="0" w:color="auto"/>
            </w:tcBorders>
            <w:vAlign w:val="center"/>
          </w:tcPr>
          <w:p w14:paraId="0212F2B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2BF50D7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5CC421F5" w14:textId="77777777">
        <w:trPr>
          <w:trHeight w:val="86"/>
        </w:trPr>
        <w:tc>
          <w:tcPr>
            <w:tcW w:w="943" w:type="dxa"/>
            <w:tcBorders>
              <w:top w:val="single" w:sz="4" w:space="0" w:color="auto"/>
              <w:left w:val="single" w:sz="4" w:space="0" w:color="auto"/>
            </w:tcBorders>
            <w:tcMar>
              <w:left w:w="0" w:type="dxa"/>
            </w:tcMar>
            <w:vAlign w:val="center"/>
          </w:tcPr>
          <w:p w14:paraId="0B3962B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3</w:t>
            </w:r>
          </w:p>
        </w:tc>
        <w:tc>
          <w:tcPr>
            <w:tcW w:w="1799" w:type="dxa"/>
            <w:tcBorders>
              <w:top w:val="single" w:sz="4" w:space="0" w:color="auto"/>
              <w:left w:val="single" w:sz="4" w:space="0" w:color="auto"/>
            </w:tcBorders>
            <w:vAlign w:val="center"/>
          </w:tcPr>
          <w:p w14:paraId="338C8283" w14:textId="77777777" w:rsidR="006561BA" w:rsidRDefault="005B4ED6">
            <w:pPr>
              <w:widowControl w:val="0"/>
              <w:shd w:val="clear" w:color="auto" w:fill="auto"/>
              <w:spacing w:after="0" w:line="240" w:lineRule="auto"/>
              <w:ind w:left="138"/>
              <w:jc w:val="left"/>
              <w:rPr>
                <w:rFonts w:ascii="Helvetica" w:eastAsia="Arial Unicode MS" w:hAnsi="Helvetica" w:cs="Helvetica"/>
                <w:color w:val="000000"/>
                <w:sz w:val="6"/>
                <w:szCs w:val="6"/>
              </w:rPr>
            </w:pPr>
            <w:r>
              <w:rPr>
                <w:rFonts w:ascii="Helvetica" w:hAnsi="Helvetica"/>
                <w:color w:val="383838"/>
                <w:sz w:val="6"/>
              </w:rPr>
              <w:t>Kredittinstitusjoner</w:t>
            </w:r>
          </w:p>
        </w:tc>
        <w:tc>
          <w:tcPr>
            <w:tcW w:w="395" w:type="dxa"/>
            <w:tcBorders>
              <w:top w:val="single" w:sz="4" w:space="0" w:color="auto"/>
              <w:left w:val="single" w:sz="4" w:space="0" w:color="auto"/>
            </w:tcBorders>
            <w:vAlign w:val="center"/>
          </w:tcPr>
          <w:p w14:paraId="30779D6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77DD582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018B6F5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vAlign w:val="center"/>
          </w:tcPr>
          <w:p w14:paraId="5D3B25A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4120A20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1BF5DA5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41C5FA9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632C766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vAlign w:val="center"/>
          </w:tcPr>
          <w:p w14:paraId="3BC6788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480A8E3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57FF80A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7FF7F70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66CD091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62E24B5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1E71F55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14DEF50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486B249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5167E29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196D837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195A462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vAlign w:val="center"/>
          </w:tcPr>
          <w:p w14:paraId="3742F82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1F37A94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35667F0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3823449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3C0C59E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3"/>
            <w:tcBorders>
              <w:top w:val="single" w:sz="4" w:space="0" w:color="auto"/>
              <w:left w:val="single" w:sz="4" w:space="0" w:color="auto"/>
            </w:tcBorders>
            <w:vAlign w:val="center"/>
          </w:tcPr>
          <w:p w14:paraId="40E10FF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tcBorders>
              <w:top w:val="single" w:sz="4" w:space="0" w:color="auto"/>
              <w:left w:val="single" w:sz="4" w:space="0" w:color="auto"/>
            </w:tcBorders>
            <w:vAlign w:val="center"/>
          </w:tcPr>
          <w:p w14:paraId="152D460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04E52EB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673E4C6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3"/>
            <w:tcBorders>
              <w:top w:val="single" w:sz="4" w:space="0" w:color="auto"/>
              <w:left w:val="single" w:sz="4" w:space="0" w:color="auto"/>
            </w:tcBorders>
            <w:vAlign w:val="center"/>
          </w:tcPr>
          <w:p w14:paraId="5C067D3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7FFE605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33F5EBD9" w14:textId="77777777">
        <w:trPr>
          <w:trHeight w:val="83"/>
        </w:trPr>
        <w:tc>
          <w:tcPr>
            <w:tcW w:w="943" w:type="dxa"/>
            <w:tcBorders>
              <w:top w:val="single" w:sz="4" w:space="0" w:color="auto"/>
              <w:left w:val="single" w:sz="4" w:space="0" w:color="auto"/>
            </w:tcBorders>
            <w:tcMar>
              <w:left w:w="0" w:type="dxa"/>
            </w:tcMar>
            <w:vAlign w:val="center"/>
          </w:tcPr>
          <w:p w14:paraId="6B57A12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4</w:t>
            </w:r>
          </w:p>
        </w:tc>
        <w:tc>
          <w:tcPr>
            <w:tcW w:w="1799" w:type="dxa"/>
            <w:tcBorders>
              <w:top w:val="single" w:sz="4" w:space="0" w:color="auto"/>
              <w:left w:val="single" w:sz="4" w:space="0" w:color="auto"/>
            </w:tcBorders>
            <w:vAlign w:val="center"/>
          </w:tcPr>
          <w:p w14:paraId="1BCF07C7"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Lån og forskudd</w:t>
            </w:r>
          </w:p>
        </w:tc>
        <w:tc>
          <w:tcPr>
            <w:tcW w:w="395" w:type="dxa"/>
            <w:tcBorders>
              <w:top w:val="single" w:sz="4" w:space="0" w:color="auto"/>
              <w:left w:val="single" w:sz="4" w:space="0" w:color="auto"/>
            </w:tcBorders>
            <w:vAlign w:val="center"/>
          </w:tcPr>
          <w:p w14:paraId="706A1B4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31A4952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11FA116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vAlign w:val="center"/>
          </w:tcPr>
          <w:p w14:paraId="417A139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034DDDF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5D495EB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62C27FD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5AAF869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vAlign w:val="center"/>
          </w:tcPr>
          <w:p w14:paraId="1ACC2CA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25D8A5B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0359D15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27C0E67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2E56911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4A07FC3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2F64797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3C93B04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08DD7D0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3412B0C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4C150C2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5E7FF4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vAlign w:val="center"/>
          </w:tcPr>
          <w:p w14:paraId="6DDAA01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773D376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02832D2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7D69118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42D3583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3"/>
            <w:tcBorders>
              <w:top w:val="single" w:sz="4" w:space="0" w:color="auto"/>
              <w:left w:val="single" w:sz="4" w:space="0" w:color="auto"/>
            </w:tcBorders>
            <w:vAlign w:val="center"/>
          </w:tcPr>
          <w:p w14:paraId="40ED236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tcBorders>
              <w:top w:val="single" w:sz="4" w:space="0" w:color="auto"/>
              <w:left w:val="single" w:sz="4" w:space="0" w:color="auto"/>
            </w:tcBorders>
            <w:vAlign w:val="center"/>
          </w:tcPr>
          <w:p w14:paraId="6474214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562E5C9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4BA3E47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3"/>
            <w:tcBorders>
              <w:top w:val="single" w:sz="4" w:space="0" w:color="auto"/>
              <w:left w:val="single" w:sz="4" w:space="0" w:color="auto"/>
            </w:tcBorders>
            <w:vAlign w:val="center"/>
          </w:tcPr>
          <w:p w14:paraId="6980F64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1376145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029AC8F7" w14:textId="77777777">
        <w:trPr>
          <w:trHeight w:val="83"/>
        </w:trPr>
        <w:tc>
          <w:tcPr>
            <w:tcW w:w="943" w:type="dxa"/>
            <w:tcBorders>
              <w:top w:val="single" w:sz="4" w:space="0" w:color="auto"/>
              <w:left w:val="single" w:sz="4" w:space="0" w:color="auto"/>
            </w:tcBorders>
            <w:tcMar>
              <w:left w:w="0" w:type="dxa"/>
            </w:tcMar>
            <w:vAlign w:val="center"/>
          </w:tcPr>
          <w:p w14:paraId="7C65B2C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5</w:t>
            </w:r>
          </w:p>
        </w:tc>
        <w:tc>
          <w:tcPr>
            <w:tcW w:w="1799" w:type="dxa"/>
            <w:tcBorders>
              <w:top w:val="single" w:sz="4" w:space="0" w:color="auto"/>
              <w:left w:val="single" w:sz="4" w:space="0" w:color="auto"/>
            </w:tcBorders>
            <w:vAlign w:val="center"/>
          </w:tcPr>
          <w:p w14:paraId="648973E8"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Gjeldsinstrumenter, herunder bruk av proveny</w:t>
            </w:r>
          </w:p>
        </w:tc>
        <w:tc>
          <w:tcPr>
            <w:tcW w:w="395" w:type="dxa"/>
            <w:tcBorders>
              <w:top w:val="single" w:sz="4" w:space="0" w:color="auto"/>
              <w:left w:val="single" w:sz="4" w:space="0" w:color="auto"/>
            </w:tcBorders>
            <w:vAlign w:val="center"/>
          </w:tcPr>
          <w:p w14:paraId="08307AD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56" w:type="dxa"/>
            <w:tcBorders>
              <w:top w:val="single" w:sz="4" w:space="0" w:color="auto"/>
              <w:left w:val="single" w:sz="4" w:space="0" w:color="auto"/>
            </w:tcBorders>
            <w:vAlign w:val="center"/>
          </w:tcPr>
          <w:p w14:paraId="46E5C26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2"/>
            <w:tcBorders>
              <w:top w:val="single" w:sz="4" w:space="0" w:color="auto"/>
              <w:left w:val="single" w:sz="4" w:space="0" w:color="auto"/>
            </w:tcBorders>
            <w:vAlign w:val="center"/>
          </w:tcPr>
          <w:p w14:paraId="7760C98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39" w:type="dxa"/>
            <w:gridSpan w:val="2"/>
            <w:tcBorders>
              <w:top w:val="single" w:sz="4" w:space="0" w:color="auto"/>
              <w:left w:val="single" w:sz="4" w:space="0" w:color="auto"/>
            </w:tcBorders>
            <w:vAlign w:val="center"/>
          </w:tcPr>
          <w:p w14:paraId="571F480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9" w:type="dxa"/>
            <w:gridSpan w:val="2"/>
            <w:tcBorders>
              <w:top w:val="single" w:sz="4" w:space="0" w:color="auto"/>
              <w:left w:val="single" w:sz="4" w:space="0" w:color="auto"/>
            </w:tcBorders>
            <w:vAlign w:val="center"/>
          </w:tcPr>
          <w:p w14:paraId="661A4F2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72" w:type="dxa"/>
            <w:gridSpan w:val="3"/>
            <w:tcBorders>
              <w:top w:val="single" w:sz="4" w:space="0" w:color="auto"/>
              <w:left w:val="single" w:sz="4" w:space="0" w:color="auto"/>
            </w:tcBorders>
            <w:vAlign w:val="center"/>
          </w:tcPr>
          <w:p w14:paraId="1A5BE15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17" w:type="dxa"/>
            <w:tcBorders>
              <w:top w:val="single" w:sz="4" w:space="0" w:color="auto"/>
              <w:left w:val="single" w:sz="4" w:space="0" w:color="auto"/>
            </w:tcBorders>
            <w:vAlign w:val="center"/>
          </w:tcPr>
          <w:p w14:paraId="51DF98D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97" w:type="dxa"/>
            <w:gridSpan w:val="2"/>
            <w:tcBorders>
              <w:top w:val="single" w:sz="4" w:space="0" w:color="auto"/>
              <w:left w:val="single" w:sz="4" w:space="0" w:color="auto"/>
            </w:tcBorders>
            <w:vAlign w:val="center"/>
          </w:tcPr>
          <w:p w14:paraId="09F78E0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2" w:type="dxa"/>
            <w:gridSpan w:val="2"/>
            <w:tcBorders>
              <w:top w:val="single" w:sz="4" w:space="0" w:color="auto"/>
              <w:left w:val="single" w:sz="4" w:space="0" w:color="auto"/>
            </w:tcBorders>
            <w:vAlign w:val="center"/>
          </w:tcPr>
          <w:p w14:paraId="7911850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3029447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48" w:type="dxa"/>
            <w:tcBorders>
              <w:top w:val="single" w:sz="4" w:space="0" w:color="auto"/>
              <w:left w:val="single" w:sz="4" w:space="0" w:color="auto"/>
            </w:tcBorders>
            <w:vAlign w:val="center"/>
          </w:tcPr>
          <w:p w14:paraId="3A3585C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325A856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55BD87C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630ECDA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75" w:type="dxa"/>
            <w:gridSpan w:val="2"/>
            <w:tcBorders>
              <w:top w:val="single" w:sz="4" w:space="0" w:color="auto"/>
              <w:left w:val="single" w:sz="4" w:space="0" w:color="auto"/>
            </w:tcBorders>
            <w:vAlign w:val="center"/>
          </w:tcPr>
          <w:p w14:paraId="49F59E1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8" w:type="dxa"/>
            <w:gridSpan w:val="2"/>
            <w:tcBorders>
              <w:top w:val="single" w:sz="4" w:space="0" w:color="auto"/>
              <w:left w:val="single" w:sz="4" w:space="0" w:color="auto"/>
            </w:tcBorders>
            <w:vAlign w:val="center"/>
          </w:tcPr>
          <w:p w14:paraId="6EBEF1A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2E49AC4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5" w:type="dxa"/>
            <w:gridSpan w:val="2"/>
            <w:tcBorders>
              <w:top w:val="single" w:sz="4" w:space="0" w:color="auto"/>
              <w:left w:val="single" w:sz="4" w:space="0" w:color="auto"/>
            </w:tcBorders>
            <w:vAlign w:val="center"/>
          </w:tcPr>
          <w:p w14:paraId="5B63B99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7" w:type="dxa"/>
            <w:tcBorders>
              <w:top w:val="single" w:sz="4" w:space="0" w:color="auto"/>
              <w:left w:val="single" w:sz="4" w:space="0" w:color="auto"/>
            </w:tcBorders>
            <w:vAlign w:val="center"/>
          </w:tcPr>
          <w:p w14:paraId="1BD4023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2F64E2F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0" w:type="dxa"/>
            <w:gridSpan w:val="2"/>
            <w:tcBorders>
              <w:top w:val="single" w:sz="4" w:space="0" w:color="auto"/>
              <w:left w:val="single" w:sz="4" w:space="0" w:color="auto"/>
            </w:tcBorders>
            <w:vAlign w:val="center"/>
          </w:tcPr>
          <w:p w14:paraId="4C63534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197DA95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50" w:type="dxa"/>
            <w:gridSpan w:val="2"/>
            <w:tcBorders>
              <w:top w:val="single" w:sz="4" w:space="0" w:color="auto"/>
              <w:left w:val="single" w:sz="4" w:space="0" w:color="auto"/>
            </w:tcBorders>
            <w:vAlign w:val="center"/>
          </w:tcPr>
          <w:p w14:paraId="04D59E4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7" w:type="dxa"/>
            <w:gridSpan w:val="2"/>
            <w:tcBorders>
              <w:top w:val="single" w:sz="4" w:space="0" w:color="auto"/>
              <w:left w:val="single" w:sz="4" w:space="0" w:color="auto"/>
            </w:tcBorders>
            <w:vAlign w:val="center"/>
          </w:tcPr>
          <w:p w14:paraId="122614C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59F83AA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3"/>
            <w:tcBorders>
              <w:top w:val="single" w:sz="4" w:space="0" w:color="auto"/>
              <w:left w:val="single" w:sz="4" w:space="0" w:color="auto"/>
            </w:tcBorders>
            <w:vAlign w:val="center"/>
          </w:tcPr>
          <w:p w14:paraId="22F0395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6" w:type="dxa"/>
            <w:tcBorders>
              <w:top w:val="single" w:sz="4" w:space="0" w:color="auto"/>
              <w:left w:val="single" w:sz="4" w:space="0" w:color="auto"/>
            </w:tcBorders>
            <w:vAlign w:val="center"/>
          </w:tcPr>
          <w:p w14:paraId="74D4C2C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1" w:type="dxa"/>
            <w:tcBorders>
              <w:top w:val="single" w:sz="4" w:space="0" w:color="auto"/>
              <w:left w:val="single" w:sz="4" w:space="0" w:color="auto"/>
            </w:tcBorders>
            <w:vAlign w:val="center"/>
          </w:tcPr>
          <w:p w14:paraId="2141360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5DC21CA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2" w:type="dxa"/>
            <w:gridSpan w:val="3"/>
            <w:tcBorders>
              <w:top w:val="single" w:sz="4" w:space="0" w:color="auto"/>
              <w:left w:val="single" w:sz="4" w:space="0" w:color="auto"/>
            </w:tcBorders>
            <w:vAlign w:val="center"/>
          </w:tcPr>
          <w:p w14:paraId="7AD3284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78" w:type="dxa"/>
            <w:tcBorders>
              <w:top w:val="single" w:sz="4" w:space="0" w:color="auto"/>
              <w:left w:val="single" w:sz="4" w:space="0" w:color="auto"/>
              <w:right w:val="single" w:sz="4" w:space="0" w:color="auto"/>
            </w:tcBorders>
            <w:vAlign w:val="center"/>
          </w:tcPr>
          <w:p w14:paraId="11BC5F2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722C806F" w14:textId="77777777">
        <w:trPr>
          <w:trHeight w:val="86"/>
        </w:trPr>
        <w:tc>
          <w:tcPr>
            <w:tcW w:w="943" w:type="dxa"/>
            <w:tcBorders>
              <w:top w:val="single" w:sz="4" w:space="0" w:color="auto"/>
              <w:left w:val="single" w:sz="4" w:space="0" w:color="auto"/>
            </w:tcBorders>
            <w:tcMar>
              <w:left w:w="0" w:type="dxa"/>
            </w:tcMar>
            <w:vAlign w:val="center"/>
          </w:tcPr>
          <w:p w14:paraId="071C59E4"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6</w:t>
            </w:r>
          </w:p>
        </w:tc>
        <w:tc>
          <w:tcPr>
            <w:tcW w:w="1799" w:type="dxa"/>
            <w:tcBorders>
              <w:top w:val="single" w:sz="4" w:space="0" w:color="auto"/>
              <w:left w:val="single" w:sz="4" w:space="0" w:color="auto"/>
            </w:tcBorders>
            <w:vAlign w:val="center"/>
          </w:tcPr>
          <w:p w14:paraId="65B12F1C"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Egenkapitalinstrumenter</w:t>
            </w:r>
          </w:p>
        </w:tc>
        <w:tc>
          <w:tcPr>
            <w:tcW w:w="395" w:type="dxa"/>
            <w:tcBorders>
              <w:top w:val="single" w:sz="4" w:space="0" w:color="auto"/>
              <w:left w:val="single" w:sz="4" w:space="0" w:color="auto"/>
            </w:tcBorders>
            <w:vAlign w:val="center"/>
          </w:tcPr>
          <w:p w14:paraId="5969273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32135D8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2BF7BC0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shd w:val="clear" w:color="auto" w:fill="000000"/>
            <w:vAlign w:val="center"/>
          </w:tcPr>
          <w:p w14:paraId="59F4B33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1B8CA6B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7DE5855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693A1F6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75D4359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shd w:val="clear" w:color="auto" w:fill="000000"/>
            <w:vAlign w:val="center"/>
          </w:tcPr>
          <w:p w14:paraId="6918ED5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7C5737B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390252E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2932807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000000"/>
            <w:vAlign w:val="center"/>
          </w:tcPr>
          <w:p w14:paraId="11764ED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02BA3A4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3D5AC94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5EE7881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000000"/>
            <w:vAlign w:val="center"/>
          </w:tcPr>
          <w:p w14:paraId="735C19F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2F5DFDF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43E5AF2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5D7D0F4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shd w:val="clear" w:color="auto" w:fill="000000"/>
            <w:vAlign w:val="center"/>
          </w:tcPr>
          <w:p w14:paraId="21C02C2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6469A1D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4372834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1B223FC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000000"/>
            <w:vAlign w:val="center"/>
          </w:tcPr>
          <w:p w14:paraId="0BF4EBF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3"/>
            <w:tcBorders>
              <w:top w:val="single" w:sz="4" w:space="0" w:color="auto"/>
              <w:left w:val="single" w:sz="4" w:space="0" w:color="auto"/>
            </w:tcBorders>
            <w:vAlign w:val="center"/>
          </w:tcPr>
          <w:p w14:paraId="4E0C36B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tcBorders>
              <w:top w:val="single" w:sz="4" w:space="0" w:color="auto"/>
              <w:left w:val="single" w:sz="4" w:space="0" w:color="auto"/>
            </w:tcBorders>
            <w:vAlign w:val="center"/>
          </w:tcPr>
          <w:p w14:paraId="459B22B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6B8F3DA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000000"/>
            <w:vAlign w:val="center"/>
          </w:tcPr>
          <w:p w14:paraId="713C85C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3"/>
            <w:tcBorders>
              <w:top w:val="single" w:sz="4" w:space="0" w:color="auto"/>
              <w:left w:val="single" w:sz="4" w:space="0" w:color="auto"/>
            </w:tcBorders>
            <w:vAlign w:val="center"/>
          </w:tcPr>
          <w:p w14:paraId="39E5355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293BB21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29A25D32" w14:textId="77777777">
        <w:trPr>
          <w:trHeight w:val="90"/>
        </w:trPr>
        <w:tc>
          <w:tcPr>
            <w:tcW w:w="943" w:type="dxa"/>
            <w:tcBorders>
              <w:top w:val="single" w:sz="4" w:space="0" w:color="auto"/>
              <w:left w:val="single" w:sz="4" w:space="0" w:color="auto"/>
            </w:tcBorders>
            <w:tcMar>
              <w:left w:w="0" w:type="dxa"/>
            </w:tcMar>
            <w:vAlign w:val="center"/>
          </w:tcPr>
          <w:p w14:paraId="30481F3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7</w:t>
            </w:r>
          </w:p>
        </w:tc>
        <w:tc>
          <w:tcPr>
            <w:tcW w:w="1799" w:type="dxa"/>
            <w:tcBorders>
              <w:top w:val="single" w:sz="4" w:space="0" w:color="auto"/>
              <w:left w:val="single" w:sz="4" w:space="0" w:color="auto"/>
            </w:tcBorders>
            <w:vAlign w:val="center"/>
          </w:tcPr>
          <w:p w14:paraId="59E2EC7B" w14:textId="77777777" w:rsidR="006561BA" w:rsidRPr="0082249B" w:rsidRDefault="005B4ED6">
            <w:pPr>
              <w:widowControl w:val="0"/>
              <w:shd w:val="clear" w:color="auto" w:fill="auto"/>
              <w:spacing w:after="0" w:line="240" w:lineRule="auto"/>
              <w:ind w:left="138"/>
              <w:jc w:val="left"/>
              <w:rPr>
                <w:rFonts w:ascii="Helvetica" w:eastAsia="Arial Unicode MS" w:hAnsi="Helvetica" w:cs="Helvetica"/>
                <w:color w:val="auto"/>
                <w:sz w:val="6"/>
                <w:szCs w:val="6"/>
              </w:rPr>
            </w:pPr>
            <w:r w:rsidRPr="0082249B">
              <w:rPr>
                <w:rFonts w:ascii="Helvetica" w:hAnsi="Helvetica"/>
                <w:color w:val="auto"/>
                <w:sz w:val="6"/>
              </w:rPr>
              <w:t>Andre finansforetak</w:t>
            </w:r>
          </w:p>
        </w:tc>
        <w:tc>
          <w:tcPr>
            <w:tcW w:w="395" w:type="dxa"/>
            <w:tcBorders>
              <w:top w:val="single" w:sz="4" w:space="0" w:color="auto"/>
              <w:left w:val="single" w:sz="4" w:space="0" w:color="auto"/>
            </w:tcBorders>
            <w:vAlign w:val="center"/>
          </w:tcPr>
          <w:p w14:paraId="7197008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48FD013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2D241BF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left w:val="single" w:sz="4" w:space="0" w:color="auto"/>
            </w:tcBorders>
            <w:vAlign w:val="center"/>
          </w:tcPr>
          <w:p w14:paraId="5D51475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122ABD6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0CB2033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2432688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3CE05C6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left w:val="single" w:sz="4" w:space="0" w:color="auto"/>
            </w:tcBorders>
            <w:vAlign w:val="center"/>
          </w:tcPr>
          <w:p w14:paraId="0644D99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1A5B71D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412AD04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2284C36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vAlign w:val="center"/>
          </w:tcPr>
          <w:p w14:paraId="5A4831A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1EA6F16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058896D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640EE74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vAlign w:val="center"/>
          </w:tcPr>
          <w:p w14:paraId="2ACB8BB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5DBB23F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6F60E2E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72ED75A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left w:val="single" w:sz="4" w:space="0" w:color="auto"/>
            </w:tcBorders>
            <w:vAlign w:val="center"/>
          </w:tcPr>
          <w:p w14:paraId="1AC7A1A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77911B4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14D0083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0BD84AC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vAlign w:val="center"/>
          </w:tcPr>
          <w:p w14:paraId="03B86BA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3"/>
            <w:tcBorders>
              <w:top w:val="single" w:sz="4" w:space="0" w:color="auto"/>
              <w:left w:val="single" w:sz="4" w:space="0" w:color="auto"/>
            </w:tcBorders>
            <w:vAlign w:val="center"/>
          </w:tcPr>
          <w:p w14:paraId="5506156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tcBorders>
              <w:top w:val="single" w:sz="4" w:space="0" w:color="auto"/>
              <w:left w:val="single" w:sz="4" w:space="0" w:color="auto"/>
            </w:tcBorders>
            <w:vAlign w:val="center"/>
          </w:tcPr>
          <w:p w14:paraId="6570957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2B22F02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vAlign w:val="center"/>
          </w:tcPr>
          <w:p w14:paraId="76635CD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3"/>
            <w:tcBorders>
              <w:top w:val="single" w:sz="4" w:space="0" w:color="auto"/>
              <w:left w:val="single" w:sz="4" w:space="0" w:color="auto"/>
            </w:tcBorders>
            <w:vAlign w:val="center"/>
          </w:tcPr>
          <w:p w14:paraId="5CEE3E3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3AD572D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175554B6" w14:textId="77777777">
        <w:trPr>
          <w:trHeight w:val="83"/>
        </w:trPr>
        <w:tc>
          <w:tcPr>
            <w:tcW w:w="943" w:type="dxa"/>
            <w:tcBorders>
              <w:top w:val="single" w:sz="4" w:space="0" w:color="auto"/>
              <w:left w:val="single" w:sz="4" w:space="0" w:color="auto"/>
            </w:tcBorders>
            <w:tcMar>
              <w:left w:w="0" w:type="dxa"/>
            </w:tcMar>
            <w:vAlign w:val="center"/>
          </w:tcPr>
          <w:p w14:paraId="54DE1384"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8</w:t>
            </w:r>
          </w:p>
        </w:tc>
        <w:tc>
          <w:tcPr>
            <w:tcW w:w="1799" w:type="dxa"/>
            <w:tcBorders>
              <w:top w:val="single" w:sz="4" w:space="0" w:color="auto"/>
              <w:left w:val="single" w:sz="4" w:space="0" w:color="auto"/>
            </w:tcBorders>
            <w:vAlign w:val="center"/>
          </w:tcPr>
          <w:p w14:paraId="669F8C50"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hvorav verdipapirforetak</w:t>
            </w:r>
          </w:p>
        </w:tc>
        <w:tc>
          <w:tcPr>
            <w:tcW w:w="395" w:type="dxa"/>
            <w:tcBorders>
              <w:top w:val="single" w:sz="4" w:space="0" w:color="auto"/>
              <w:left w:val="single" w:sz="4" w:space="0" w:color="auto"/>
            </w:tcBorders>
            <w:vAlign w:val="center"/>
          </w:tcPr>
          <w:p w14:paraId="11D6BF5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7677441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587D391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vAlign w:val="center"/>
          </w:tcPr>
          <w:p w14:paraId="570433D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5745D56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2D19053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33EA1AA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370D1BF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vAlign w:val="center"/>
          </w:tcPr>
          <w:p w14:paraId="0CF6750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65F52E8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0A07548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5642843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50D68B7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51B1467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18EA500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700DDB5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5EA5540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07966BD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30B3C6E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7BE2AE2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vAlign w:val="center"/>
          </w:tcPr>
          <w:p w14:paraId="423F583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13283E9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09F56C4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27471E8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6E6B193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3"/>
            <w:tcBorders>
              <w:top w:val="single" w:sz="4" w:space="0" w:color="auto"/>
              <w:left w:val="single" w:sz="4" w:space="0" w:color="auto"/>
            </w:tcBorders>
            <w:vAlign w:val="center"/>
          </w:tcPr>
          <w:p w14:paraId="1DB3AD6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tcBorders>
              <w:top w:val="single" w:sz="4" w:space="0" w:color="auto"/>
              <w:left w:val="single" w:sz="4" w:space="0" w:color="auto"/>
            </w:tcBorders>
            <w:vAlign w:val="center"/>
          </w:tcPr>
          <w:p w14:paraId="110FE81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2A48740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3897318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3"/>
            <w:tcBorders>
              <w:top w:val="single" w:sz="4" w:space="0" w:color="auto"/>
              <w:left w:val="single" w:sz="4" w:space="0" w:color="auto"/>
            </w:tcBorders>
            <w:vAlign w:val="center"/>
          </w:tcPr>
          <w:p w14:paraId="1B54598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0DFBFE3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794A1E2A" w14:textId="77777777">
        <w:trPr>
          <w:trHeight w:val="86"/>
        </w:trPr>
        <w:tc>
          <w:tcPr>
            <w:tcW w:w="943" w:type="dxa"/>
            <w:tcBorders>
              <w:top w:val="single" w:sz="4" w:space="0" w:color="auto"/>
              <w:left w:val="single" w:sz="4" w:space="0" w:color="auto"/>
            </w:tcBorders>
            <w:tcMar>
              <w:left w:w="0" w:type="dxa"/>
            </w:tcMar>
            <w:vAlign w:val="center"/>
          </w:tcPr>
          <w:p w14:paraId="3F9F88D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9</w:t>
            </w:r>
          </w:p>
        </w:tc>
        <w:tc>
          <w:tcPr>
            <w:tcW w:w="1799" w:type="dxa"/>
            <w:tcBorders>
              <w:top w:val="single" w:sz="4" w:space="0" w:color="auto"/>
              <w:left w:val="single" w:sz="4" w:space="0" w:color="auto"/>
            </w:tcBorders>
            <w:vAlign w:val="center"/>
          </w:tcPr>
          <w:p w14:paraId="66512E7D" w14:textId="77777777" w:rsidR="006561BA" w:rsidRPr="0082249B" w:rsidRDefault="005B4ED6">
            <w:pPr>
              <w:widowControl w:val="0"/>
              <w:shd w:val="clear" w:color="auto" w:fill="auto"/>
              <w:spacing w:after="0" w:line="240" w:lineRule="auto"/>
              <w:ind w:left="211"/>
              <w:jc w:val="left"/>
              <w:rPr>
                <w:rFonts w:ascii="Helvetica" w:eastAsia="Arial Unicode MS" w:hAnsi="Helvetica" w:cs="Helvetica"/>
                <w:color w:val="auto"/>
                <w:sz w:val="6"/>
                <w:szCs w:val="6"/>
              </w:rPr>
            </w:pPr>
            <w:r w:rsidRPr="0082249B">
              <w:rPr>
                <w:rFonts w:ascii="Helvetica" w:hAnsi="Helvetica"/>
                <w:color w:val="auto"/>
                <w:sz w:val="6"/>
              </w:rPr>
              <w:t>Lån og forskudd</w:t>
            </w:r>
          </w:p>
        </w:tc>
        <w:tc>
          <w:tcPr>
            <w:tcW w:w="395" w:type="dxa"/>
            <w:tcBorders>
              <w:top w:val="single" w:sz="4" w:space="0" w:color="auto"/>
              <w:left w:val="single" w:sz="4" w:space="0" w:color="auto"/>
            </w:tcBorders>
            <w:vAlign w:val="center"/>
          </w:tcPr>
          <w:p w14:paraId="53716CD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41686DF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5E50312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vAlign w:val="center"/>
          </w:tcPr>
          <w:p w14:paraId="457A0EB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7692634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68F6B55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5B97A6D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63E876F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vAlign w:val="center"/>
          </w:tcPr>
          <w:p w14:paraId="682810E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641C885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35A6599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49C7478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7D10BC5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0615764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006819A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34ACDF8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670913C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6249265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2B51B2E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7848F7B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vAlign w:val="center"/>
          </w:tcPr>
          <w:p w14:paraId="225449B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169C3B9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02A7928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71AC5FF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7CEA5F4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3"/>
            <w:tcBorders>
              <w:top w:val="single" w:sz="4" w:space="0" w:color="auto"/>
              <w:left w:val="single" w:sz="4" w:space="0" w:color="auto"/>
            </w:tcBorders>
            <w:vAlign w:val="center"/>
          </w:tcPr>
          <w:p w14:paraId="4656CBF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tcBorders>
              <w:top w:val="single" w:sz="4" w:space="0" w:color="auto"/>
              <w:left w:val="single" w:sz="4" w:space="0" w:color="auto"/>
            </w:tcBorders>
            <w:vAlign w:val="center"/>
          </w:tcPr>
          <w:p w14:paraId="0ADC799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4732213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69307EF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3"/>
            <w:tcBorders>
              <w:top w:val="single" w:sz="4" w:space="0" w:color="auto"/>
              <w:left w:val="single" w:sz="4" w:space="0" w:color="auto"/>
            </w:tcBorders>
            <w:vAlign w:val="center"/>
          </w:tcPr>
          <w:p w14:paraId="0483909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464FAA6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59BE2AB9" w14:textId="77777777">
        <w:trPr>
          <w:trHeight w:val="83"/>
        </w:trPr>
        <w:tc>
          <w:tcPr>
            <w:tcW w:w="943" w:type="dxa"/>
            <w:tcBorders>
              <w:top w:val="single" w:sz="4" w:space="0" w:color="auto"/>
              <w:left w:val="single" w:sz="4" w:space="0" w:color="auto"/>
            </w:tcBorders>
            <w:tcMar>
              <w:left w:w="0" w:type="dxa"/>
            </w:tcMar>
            <w:vAlign w:val="center"/>
          </w:tcPr>
          <w:p w14:paraId="2B743A2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10</w:t>
            </w:r>
          </w:p>
        </w:tc>
        <w:tc>
          <w:tcPr>
            <w:tcW w:w="1799" w:type="dxa"/>
            <w:tcBorders>
              <w:top w:val="single" w:sz="4" w:space="0" w:color="auto"/>
              <w:left w:val="single" w:sz="4" w:space="0" w:color="auto"/>
            </w:tcBorders>
            <w:vAlign w:val="center"/>
          </w:tcPr>
          <w:p w14:paraId="24E7BE9D" w14:textId="77777777" w:rsidR="006561BA" w:rsidRPr="0082249B" w:rsidRDefault="005B4ED6">
            <w:pPr>
              <w:widowControl w:val="0"/>
              <w:shd w:val="clear" w:color="auto" w:fill="auto"/>
              <w:spacing w:after="0" w:line="240" w:lineRule="auto"/>
              <w:ind w:left="211"/>
              <w:jc w:val="left"/>
              <w:rPr>
                <w:rFonts w:ascii="Helvetica" w:eastAsia="Arial Unicode MS" w:hAnsi="Helvetica" w:cs="Helvetica"/>
                <w:color w:val="auto"/>
                <w:sz w:val="6"/>
                <w:szCs w:val="6"/>
              </w:rPr>
            </w:pPr>
            <w:r w:rsidRPr="0082249B">
              <w:rPr>
                <w:rFonts w:ascii="Helvetica" w:hAnsi="Helvetica"/>
                <w:color w:val="auto"/>
                <w:sz w:val="6"/>
              </w:rPr>
              <w:t>Gjeldsinstrumenter, herunder bruk av proveny</w:t>
            </w:r>
          </w:p>
        </w:tc>
        <w:tc>
          <w:tcPr>
            <w:tcW w:w="395" w:type="dxa"/>
            <w:tcBorders>
              <w:top w:val="single" w:sz="4" w:space="0" w:color="auto"/>
              <w:left w:val="single" w:sz="4" w:space="0" w:color="auto"/>
            </w:tcBorders>
            <w:vAlign w:val="center"/>
          </w:tcPr>
          <w:p w14:paraId="69885BB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56" w:type="dxa"/>
            <w:tcBorders>
              <w:top w:val="single" w:sz="4" w:space="0" w:color="auto"/>
              <w:left w:val="single" w:sz="4" w:space="0" w:color="auto"/>
            </w:tcBorders>
            <w:vAlign w:val="center"/>
          </w:tcPr>
          <w:p w14:paraId="2F33245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2"/>
            <w:tcBorders>
              <w:top w:val="single" w:sz="4" w:space="0" w:color="auto"/>
              <w:left w:val="single" w:sz="4" w:space="0" w:color="auto"/>
            </w:tcBorders>
            <w:vAlign w:val="center"/>
          </w:tcPr>
          <w:p w14:paraId="5805110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39" w:type="dxa"/>
            <w:gridSpan w:val="2"/>
            <w:tcBorders>
              <w:top w:val="single" w:sz="4" w:space="0" w:color="auto"/>
              <w:left w:val="single" w:sz="4" w:space="0" w:color="auto"/>
            </w:tcBorders>
            <w:vAlign w:val="center"/>
          </w:tcPr>
          <w:p w14:paraId="556B8FC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9" w:type="dxa"/>
            <w:gridSpan w:val="2"/>
            <w:tcBorders>
              <w:top w:val="single" w:sz="4" w:space="0" w:color="auto"/>
              <w:left w:val="single" w:sz="4" w:space="0" w:color="auto"/>
            </w:tcBorders>
            <w:vAlign w:val="center"/>
          </w:tcPr>
          <w:p w14:paraId="1A77119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72" w:type="dxa"/>
            <w:gridSpan w:val="3"/>
            <w:tcBorders>
              <w:top w:val="single" w:sz="4" w:space="0" w:color="auto"/>
              <w:left w:val="single" w:sz="4" w:space="0" w:color="auto"/>
            </w:tcBorders>
            <w:vAlign w:val="center"/>
          </w:tcPr>
          <w:p w14:paraId="64EAC15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17" w:type="dxa"/>
            <w:tcBorders>
              <w:top w:val="single" w:sz="4" w:space="0" w:color="auto"/>
              <w:left w:val="single" w:sz="4" w:space="0" w:color="auto"/>
            </w:tcBorders>
            <w:vAlign w:val="center"/>
          </w:tcPr>
          <w:p w14:paraId="1D073D1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97" w:type="dxa"/>
            <w:gridSpan w:val="2"/>
            <w:tcBorders>
              <w:top w:val="single" w:sz="4" w:space="0" w:color="auto"/>
              <w:left w:val="single" w:sz="4" w:space="0" w:color="auto"/>
            </w:tcBorders>
            <w:vAlign w:val="center"/>
          </w:tcPr>
          <w:p w14:paraId="39C0183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2" w:type="dxa"/>
            <w:gridSpan w:val="2"/>
            <w:tcBorders>
              <w:top w:val="single" w:sz="4" w:space="0" w:color="auto"/>
              <w:left w:val="single" w:sz="4" w:space="0" w:color="auto"/>
            </w:tcBorders>
            <w:vAlign w:val="center"/>
          </w:tcPr>
          <w:p w14:paraId="196EB76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477F8D3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48" w:type="dxa"/>
            <w:tcBorders>
              <w:top w:val="single" w:sz="4" w:space="0" w:color="auto"/>
              <w:left w:val="single" w:sz="4" w:space="0" w:color="auto"/>
            </w:tcBorders>
            <w:vAlign w:val="center"/>
          </w:tcPr>
          <w:p w14:paraId="03594EC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1430BD7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2CE0E0B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4A196A3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75" w:type="dxa"/>
            <w:gridSpan w:val="2"/>
            <w:tcBorders>
              <w:top w:val="single" w:sz="4" w:space="0" w:color="auto"/>
              <w:left w:val="single" w:sz="4" w:space="0" w:color="auto"/>
            </w:tcBorders>
            <w:vAlign w:val="center"/>
          </w:tcPr>
          <w:p w14:paraId="4C0D112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8" w:type="dxa"/>
            <w:gridSpan w:val="2"/>
            <w:tcBorders>
              <w:top w:val="single" w:sz="4" w:space="0" w:color="auto"/>
              <w:left w:val="single" w:sz="4" w:space="0" w:color="auto"/>
            </w:tcBorders>
            <w:vAlign w:val="center"/>
          </w:tcPr>
          <w:p w14:paraId="2C58F0F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6B20489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5" w:type="dxa"/>
            <w:gridSpan w:val="2"/>
            <w:tcBorders>
              <w:top w:val="single" w:sz="4" w:space="0" w:color="auto"/>
              <w:left w:val="single" w:sz="4" w:space="0" w:color="auto"/>
            </w:tcBorders>
            <w:vAlign w:val="center"/>
          </w:tcPr>
          <w:p w14:paraId="508D5FB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7" w:type="dxa"/>
            <w:tcBorders>
              <w:top w:val="single" w:sz="4" w:space="0" w:color="auto"/>
              <w:left w:val="single" w:sz="4" w:space="0" w:color="auto"/>
            </w:tcBorders>
            <w:vAlign w:val="center"/>
          </w:tcPr>
          <w:p w14:paraId="5A9D8C0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6911CA3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0" w:type="dxa"/>
            <w:gridSpan w:val="2"/>
            <w:tcBorders>
              <w:top w:val="single" w:sz="4" w:space="0" w:color="auto"/>
              <w:left w:val="single" w:sz="4" w:space="0" w:color="auto"/>
            </w:tcBorders>
            <w:vAlign w:val="center"/>
          </w:tcPr>
          <w:p w14:paraId="6A88CDB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1D47F45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50" w:type="dxa"/>
            <w:gridSpan w:val="2"/>
            <w:tcBorders>
              <w:top w:val="single" w:sz="4" w:space="0" w:color="auto"/>
              <w:left w:val="single" w:sz="4" w:space="0" w:color="auto"/>
            </w:tcBorders>
            <w:vAlign w:val="center"/>
          </w:tcPr>
          <w:p w14:paraId="6C757CC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7" w:type="dxa"/>
            <w:gridSpan w:val="2"/>
            <w:tcBorders>
              <w:top w:val="single" w:sz="4" w:space="0" w:color="auto"/>
              <w:left w:val="single" w:sz="4" w:space="0" w:color="auto"/>
            </w:tcBorders>
            <w:vAlign w:val="center"/>
          </w:tcPr>
          <w:p w14:paraId="7241C47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601A52E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3"/>
            <w:tcBorders>
              <w:top w:val="single" w:sz="4" w:space="0" w:color="auto"/>
              <w:left w:val="single" w:sz="4" w:space="0" w:color="auto"/>
            </w:tcBorders>
            <w:vAlign w:val="center"/>
          </w:tcPr>
          <w:p w14:paraId="6CEB741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6" w:type="dxa"/>
            <w:tcBorders>
              <w:top w:val="single" w:sz="4" w:space="0" w:color="auto"/>
              <w:left w:val="single" w:sz="4" w:space="0" w:color="auto"/>
            </w:tcBorders>
            <w:vAlign w:val="center"/>
          </w:tcPr>
          <w:p w14:paraId="1FD22A3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1" w:type="dxa"/>
            <w:tcBorders>
              <w:top w:val="single" w:sz="4" w:space="0" w:color="auto"/>
              <w:left w:val="single" w:sz="4" w:space="0" w:color="auto"/>
            </w:tcBorders>
            <w:vAlign w:val="center"/>
          </w:tcPr>
          <w:p w14:paraId="5CAB5ED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35635C6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2" w:type="dxa"/>
            <w:gridSpan w:val="3"/>
            <w:tcBorders>
              <w:top w:val="single" w:sz="4" w:space="0" w:color="auto"/>
              <w:left w:val="single" w:sz="4" w:space="0" w:color="auto"/>
            </w:tcBorders>
            <w:vAlign w:val="center"/>
          </w:tcPr>
          <w:p w14:paraId="3FDC37D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78" w:type="dxa"/>
            <w:tcBorders>
              <w:top w:val="single" w:sz="4" w:space="0" w:color="auto"/>
              <w:left w:val="single" w:sz="4" w:space="0" w:color="auto"/>
              <w:right w:val="single" w:sz="4" w:space="0" w:color="auto"/>
            </w:tcBorders>
            <w:vAlign w:val="center"/>
          </w:tcPr>
          <w:p w14:paraId="7E568F2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1784B9E8" w14:textId="77777777">
        <w:trPr>
          <w:trHeight w:val="83"/>
        </w:trPr>
        <w:tc>
          <w:tcPr>
            <w:tcW w:w="943" w:type="dxa"/>
            <w:tcBorders>
              <w:top w:val="single" w:sz="4" w:space="0" w:color="auto"/>
              <w:left w:val="single" w:sz="4" w:space="0" w:color="auto"/>
            </w:tcBorders>
            <w:tcMar>
              <w:left w:w="0" w:type="dxa"/>
            </w:tcMar>
            <w:vAlign w:val="center"/>
          </w:tcPr>
          <w:p w14:paraId="6F79E28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11</w:t>
            </w:r>
          </w:p>
        </w:tc>
        <w:tc>
          <w:tcPr>
            <w:tcW w:w="1799" w:type="dxa"/>
            <w:tcBorders>
              <w:top w:val="single" w:sz="4" w:space="0" w:color="auto"/>
              <w:left w:val="single" w:sz="4" w:space="0" w:color="auto"/>
            </w:tcBorders>
            <w:vAlign w:val="center"/>
          </w:tcPr>
          <w:p w14:paraId="31F467C1" w14:textId="77777777" w:rsidR="006561BA" w:rsidRPr="0082249B" w:rsidRDefault="005B4ED6">
            <w:pPr>
              <w:widowControl w:val="0"/>
              <w:shd w:val="clear" w:color="auto" w:fill="auto"/>
              <w:spacing w:after="0" w:line="240" w:lineRule="auto"/>
              <w:ind w:left="211"/>
              <w:jc w:val="left"/>
              <w:rPr>
                <w:rFonts w:ascii="Helvetica" w:eastAsia="Arial Unicode MS" w:hAnsi="Helvetica" w:cs="Helvetica"/>
                <w:color w:val="auto"/>
                <w:sz w:val="6"/>
                <w:szCs w:val="6"/>
              </w:rPr>
            </w:pPr>
            <w:r w:rsidRPr="0082249B">
              <w:rPr>
                <w:rFonts w:ascii="Helvetica" w:hAnsi="Helvetica"/>
                <w:color w:val="auto"/>
                <w:sz w:val="6"/>
              </w:rPr>
              <w:t>Egenkapitalinstrumenter</w:t>
            </w:r>
          </w:p>
        </w:tc>
        <w:tc>
          <w:tcPr>
            <w:tcW w:w="395" w:type="dxa"/>
            <w:tcBorders>
              <w:top w:val="single" w:sz="4" w:space="0" w:color="auto"/>
              <w:left w:val="single" w:sz="4" w:space="0" w:color="auto"/>
            </w:tcBorders>
            <w:vAlign w:val="center"/>
          </w:tcPr>
          <w:p w14:paraId="083D23C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2C91E91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74A753B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left w:val="single" w:sz="4" w:space="0" w:color="auto"/>
            </w:tcBorders>
            <w:shd w:val="clear" w:color="auto" w:fill="000000"/>
            <w:vAlign w:val="center"/>
          </w:tcPr>
          <w:p w14:paraId="5242AC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62E760F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617F775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7212F4E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5C499AF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left w:val="single" w:sz="4" w:space="0" w:color="auto"/>
            </w:tcBorders>
            <w:shd w:val="clear" w:color="auto" w:fill="000000"/>
            <w:vAlign w:val="center"/>
          </w:tcPr>
          <w:p w14:paraId="0ECA717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076F882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5CC6C9D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5139DAC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shd w:val="clear" w:color="auto" w:fill="000000"/>
            <w:vAlign w:val="center"/>
          </w:tcPr>
          <w:p w14:paraId="338ADB7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711114A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37532B8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0CB8DB0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shd w:val="clear" w:color="auto" w:fill="000000"/>
            <w:vAlign w:val="center"/>
          </w:tcPr>
          <w:p w14:paraId="2AB7ED0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6D0D93B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3CE9A43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6A4D6A7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left w:val="single" w:sz="4" w:space="0" w:color="auto"/>
            </w:tcBorders>
            <w:shd w:val="clear" w:color="auto" w:fill="000000"/>
            <w:vAlign w:val="center"/>
          </w:tcPr>
          <w:p w14:paraId="36FAD9B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507FCE1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521275E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2941796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shd w:val="clear" w:color="auto" w:fill="000000"/>
            <w:vAlign w:val="center"/>
          </w:tcPr>
          <w:p w14:paraId="4FDA580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3"/>
            <w:tcBorders>
              <w:top w:val="single" w:sz="4" w:space="0" w:color="auto"/>
              <w:left w:val="single" w:sz="4" w:space="0" w:color="auto"/>
            </w:tcBorders>
            <w:vAlign w:val="center"/>
          </w:tcPr>
          <w:p w14:paraId="066EE91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tcBorders>
              <w:top w:val="single" w:sz="4" w:space="0" w:color="auto"/>
              <w:left w:val="single" w:sz="4" w:space="0" w:color="auto"/>
            </w:tcBorders>
            <w:vAlign w:val="center"/>
          </w:tcPr>
          <w:p w14:paraId="67F00EA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7F7043C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shd w:val="clear" w:color="auto" w:fill="000000"/>
            <w:vAlign w:val="center"/>
          </w:tcPr>
          <w:p w14:paraId="10E56BA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3"/>
            <w:tcBorders>
              <w:top w:val="single" w:sz="4" w:space="0" w:color="auto"/>
              <w:left w:val="single" w:sz="4" w:space="0" w:color="auto"/>
            </w:tcBorders>
            <w:vAlign w:val="center"/>
          </w:tcPr>
          <w:p w14:paraId="4C5FECC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170AE1C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79918D3F" w14:textId="77777777">
        <w:trPr>
          <w:trHeight w:val="94"/>
        </w:trPr>
        <w:tc>
          <w:tcPr>
            <w:tcW w:w="943" w:type="dxa"/>
            <w:tcBorders>
              <w:top w:val="single" w:sz="4" w:space="0" w:color="auto"/>
              <w:left w:val="single" w:sz="4" w:space="0" w:color="auto"/>
            </w:tcBorders>
            <w:tcMar>
              <w:left w:w="0" w:type="dxa"/>
            </w:tcMar>
            <w:vAlign w:val="center"/>
          </w:tcPr>
          <w:p w14:paraId="59DCC39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12</w:t>
            </w:r>
          </w:p>
        </w:tc>
        <w:tc>
          <w:tcPr>
            <w:tcW w:w="1799" w:type="dxa"/>
            <w:tcBorders>
              <w:top w:val="single" w:sz="4" w:space="0" w:color="auto"/>
              <w:left w:val="single" w:sz="4" w:space="0" w:color="auto"/>
            </w:tcBorders>
            <w:vAlign w:val="center"/>
          </w:tcPr>
          <w:p w14:paraId="054918B5"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hvorav forvaltningsselskaper</w:t>
            </w:r>
          </w:p>
        </w:tc>
        <w:tc>
          <w:tcPr>
            <w:tcW w:w="395" w:type="dxa"/>
            <w:tcBorders>
              <w:top w:val="single" w:sz="4" w:space="0" w:color="auto"/>
              <w:left w:val="single" w:sz="4" w:space="0" w:color="auto"/>
            </w:tcBorders>
            <w:vAlign w:val="center"/>
          </w:tcPr>
          <w:p w14:paraId="604593D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6845B93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55DFFEA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left w:val="single" w:sz="4" w:space="0" w:color="auto"/>
            </w:tcBorders>
            <w:vAlign w:val="center"/>
          </w:tcPr>
          <w:p w14:paraId="0D38131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3B40764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33073CD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37B6E2C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7E267C6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left w:val="single" w:sz="4" w:space="0" w:color="auto"/>
            </w:tcBorders>
            <w:vAlign w:val="center"/>
          </w:tcPr>
          <w:p w14:paraId="257F574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2144334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5071227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1F44BF2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vAlign w:val="center"/>
          </w:tcPr>
          <w:p w14:paraId="2B65CEF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7BC1185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39CEC5A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4C82473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vAlign w:val="center"/>
          </w:tcPr>
          <w:p w14:paraId="3CF2691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3AB5561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59B5856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23CCA03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left w:val="single" w:sz="4" w:space="0" w:color="auto"/>
            </w:tcBorders>
            <w:vAlign w:val="center"/>
          </w:tcPr>
          <w:p w14:paraId="7C2AE38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1467767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603813D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625DCE7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vAlign w:val="center"/>
          </w:tcPr>
          <w:p w14:paraId="43C656E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3"/>
            <w:tcBorders>
              <w:top w:val="single" w:sz="4" w:space="0" w:color="auto"/>
              <w:left w:val="single" w:sz="4" w:space="0" w:color="auto"/>
            </w:tcBorders>
            <w:vAlign w:val="center"/>
          </w:tcPr>
          <w:p w14:paraId="2B0124E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tcBorders>
              <w:top w:val="single" w:sz="4" w:space="0" w:color="auto"/>
              <w:left w:val="single" w:sz="4" w:space="0" w:color="auto"/>
            </w:tcBorders>
            <w:vAlign w:val="center"/>
          </w:tcPr>
          <w:p w14:paraId="65F0855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5738E80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vAlign w:val="center"/>
          </w:tcPr>
          <w:p w14:paraId="3D2AF51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3"/>
            <w:tcBorders>
              <w:top w:val="single" w:sz="4" w:space="0" w:color="auto"/>
              <w:left w:val="single" w:sz="4" w:space="0" w:color="auto"/>
            </w:tcBorders>
            <w:vAlign w:val="center"/>
          </w:tcPr>
          <w:p w14:paraId="3409604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66C047D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1EB85057" w14:textId="77777777">
        <w:trPr>
          <w:trHeight w:val="83"/>
        </w:trPr>
        <w:tc>
          <w:tcPr>
            <w:tcW w:w="943" w:type="dxa"/>
            <w:tcBorders>
              <w:top w:val="single" w:sz="4" w:space="0" w:color="auto"/>
              <w:left w:val="single" w:sz="4" w:space="0" w:color="auto"/>
            </w:tcBorders>
            <w:tcMar>
              <w:left w:w="0" w:type="dxa"/>
            </w:tcMar>
            <w:vAlign w:val="center"/>
          </w:tcPr>
          <w:p w14:paraId="5FE4B14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13</w:t>
            </w:r>
          </w:p>
        </w:tc>
        <w:tc>
          <w:tcPr>
            <w:tcW w:w="1799" w:type="dxa"/>
            <w:tcBorders>
              <w:top w:val="single" w:sz="4" w:space="0" w:color="auto"/>
              <w:left w:val="single" w:sz="4" w:space="0" w:color="auto"/>
            </w:tcBorders>
            <w:vAlign w:val="center"/>
          </w:tcPr>
          <w:p w14:paraId="6371F9AF" w14:textId="77777777" w:rsidR="006561BA" w:rsidRDefault="005B4ED6">
            <w:pPr>
              <w:widowControl w:val="0"/>
              <w:shd w:val="clear" w:color="auto" w:fill="auto"/>
              <w:spacing w:after="0" w:line="240" w:lineRule="auto"/>
              <w:ind w:left="211"/>
              <w:jc w:val="left"/>
              <w:rPr>
                <w:rFonts w:ascii="Helvetica" w:eastAsia="Arial Unicode MS" w:hAnsi="Helvetica" w:cs="Helvetica"/>
                <w:color w:val="000000"/>
                <w:sz w:val="6"/>
                <w:szCs w:val="6"/>
              </w:rPr>
            </w:pPr>
            <w:r>
              <w:rPr>
                <w:rFonts w:ascii="Helvetica" w:hAnsi="Helvetica"/>
                <w:color w:val="383838"/>
                <w:sz w:val="6"/>
              </w:rPr>
              <w:t>Lån og forskudd</w:t>
            </w:r>
          </w:p>
        </w:tc>
        <w:tc>
          <w:tcPr>
            <w:tcW w:w="395" w:type="dxa"/>
            <w:tcBorders>
              <w:top w:val="single" w:sz="4" w:space="0" w:color="auto"/>
              <w:left w:val="single" w:sz="4" w:space="0" w:color="auto"/>
            </w:tcBorders>
            <w:vAlign w:val="center"/>
          </w:tcPr>
          <w:p w14:paraId="2684A94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4A60036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606F801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vAlign w:val="center"/>
          </w:tcPr>
          <w:p w14:paraId="30923EB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757BA63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23A4D31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0541FE7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4FCC7D3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vAlign w:val="center"/>
          </w:tcPr>
          <w:p w14:paraId="72EC7A3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7519D55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7B1A558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3C4FFDA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63C3A36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636059D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026297F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1B6DC8C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5DBC94D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26A8154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19458F6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1C9B1BE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vAlign w:val="center"/>
          </w:tcPr>
          <w:p w14:paraId="0589B98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0F9EE5E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5DE7A14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1A239F2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639E4E8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3"/>
            <w:tcBorders>
              <w:top w:val="single" w:sz="4" w:space="0" w:color="auto"/>
              <w:left w:val="single" w:sz="4" w:space="0" w:color="auto"/>
            </w:tcBorders>
            <w:vAlign w:val="center"/>
          </w:tcPr>
          <w:p w14:paraId="4B3747F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tcBorders>
              <w:top w:val="single" w:sz="4" w:space="0" w:color="auto"/>
              <w:left w:val="single" w:sz="4" w:space="0" w:color="auto"/>
            </w:tcBorders>
            <w:vAlign w:val="center"/>
          </w:tcPr>
          <w:p w14:paraId="22D0AE0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3AB1914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491EE38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3"/>
            <w:tcBorders>
              <w:top w:val="single" w:sz="4" w:space="0" w:color="auto"/>
              <w:left w:val="single" w:sz="4" w:space="0" w:color="auto"/>
            </w:tcBorders>
            <w:vAlign w:val="center"/>
          </w:tcPr>
          <w:p w14:paraId="410B754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6F9E15D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0A625F3C" w14:textId="77777777">
        <w:trPr>
          <w:trHeight w:val="83"/>
        </w:trPr>
        <w:tc>
          <w:tcPr>
            <w:tcW w:w="943" w:type="dxa"/>
            <w:tcBorders>
              <w:top w:val="single" w:sz="4" w:space="0" w:color="auto"/>
              <w:left w:val="single" w:sz="4" w:space="0" w:color="auto"/>
            </w:tcBorders>
            <w:tcMar>
              <w:left w:w="0" w:type="dxa"/>
            </w:tcMar>
            <w:vAlign w:val="center"/>
          </w:tcPr>
          <w:p w14:paraId="1FEEE9D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14</w:t>
            </w:r>
          </w:p>
        </w:tc>
        <w:tc>
          <w:tcPr>
            <w:tcW w:w="1799" w:type="dxa"/>
            <w:tcBorders>
              <w:top w:val="single" w:sz="4" w:space="0" w:color="auto"/>
              <w:left w:val="single" w:sz="4" w:space="0" w:color="auto"/>
            </w:tcBorders>
            <w:vAlign w:val="center"/>
          </w:tcPr>
          <w:p w14:paraId="2B8E3EA4" w14:textId="77777777" w:rsidR="006561BA" w:rsidRDefault="005B4ED6">
            <w:pPr>
              <w:widowControl w:val="0"/>
              <w:shd w:val="clear" w:color="auto" w:fill="auto"/>
              <w:spacing w:after="0" w:line="240" w:lineRule="auto"/>
              <w:ind w:left="211"/>
              <w:jc w:val="left"/>
              <w:rPr>
                <w:rFonts w:ascii="Helvetica" w:eastAsia="Arial Unicode MS" w:hAnsi="Helvetica" w:cs="Helvetica"/>
                <w:color w:val="000000"/>
                <w:sz w:val="6"/>
                <w:szCs w:val="6"/>
              </w:rPr>
            </w:pPr>
            <w:r>
              <w:rPr>
                <w:rFonts w:ascii="Helvetica" w:hAnsi="Helvetica"/>
                <w:color w:val="383838"/>
                <w:sz w:val="6"/>
              </w:rPr>
              <w:t>Gjeldsinstrumenter, herunder bruk av proveny</w:t>
            </w:r>
          </w:p>
        </w:tc>
        <w:tc>
          <w:tcPr>
            <w:tcW w:w="395" w:type="dxa"/>
            <w:tcBorders>
              <w:top w:val="single" w:sz="4" w:space="0" w:color="auto"/>
              <w:left w:val="single" w:sz="4" w:space="0" w:color="auto"/>
            </w:tcBorders>
            <w:vAlign w:val="center"/>
          </w:tcPr>
          <w:p w14:paraId="0B05E96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56" w:type="dxa"/>
            <w:tcBorders>
              <w:top w:val="single" w:sz="4" w:space="0" w:color="auto"/>
              <w:left w:val="single" w:sz="4" w:space="0" w:color="auto"/>
            </w:tcBorders>
            <w:vAlign w:val="center"/>
          </w:tcPr>
          <w:p w14:paraId="7CD6F2D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2"/>
            <w:tcBorders>
              <w:top w:val="single" w:sz="4" w:space="0" w:color="auto"/>
              <w:left w:val="single" w:sz="4" w:space="0" w:color="auto"/>
            </w:tcBorders>
            <w:vAlign w:val="center"/>
          </w:tcPr>
          <w:p w14:paraId="5D303D8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39" w:type="dxa"/>
            <w:gridSpan w:val="2"/>
            <w:tcBorders>
              <w:top w:val="single" w:sz="4" w:space="0" w:color="auto"/>
              <w:left w:val="single" w:sz="4" w:space="0" w:color="auto"/>
            </w:tcBorders>
            <w:vAlign w:val="center"/>
          </w:tcPr>
          <w:p w14:paraId="1EB5999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9" w:type="dxa"/>
            <w:gridSpan w:val="2"/>
            <w:tcBorders>
              <w:top w:val="single" w:sz="4" w:space="0" w:color="auto"/>
              <w:left w:val="single" w:sz="4" w:space="0" w:color="auto"/>
            </w:tcBorders>
            <w:vAlign w:val="center"/>
          </w:tcPr>
          <w:p w14:paraId="37D23A7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72" w:type="dxa"/>
            <w:gridSpan w:val="3"/>
            <w:tcBorders>
              <w:top w:val="single" w:sz="4" w:space="0" w:color="auto"/>
              <w:left w:val="single" w:sz="4" w:space="0" w:color="auto"/>
            </w:tcBorders>
            <w:vAlign w:val="center"/>
          </w:tcPr>
          <w:p w14:paraId="171A477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17" w:type="dxa"/>
            <w:tcBorders>
              <w:top w:val="single" w:sz="4" w:space="0" w:color="auto"/>
              <w:left w:val="single" w:sz="4" w:space="0" w:color="auto"/>
            </w:tcBorders>
            <w:vAlign w:val="center"/>
          </w:tcPr>
          <w:p w14:paraId="6635793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97" w:type="dxa"/>
            <w:gridSpan w:val="2"/>
            <w:tcBorders>
              <w:top w:val="single" w:sz="4" w:space="0" w:color="auto"/>
              <w:left w:val="single" w:sz="4" w:space="0" w:color="auto"/>
            </w:tcBorders>
            <w:vAlign w:val="center"/>
          </w:tcPr>
          <w:p w14:paraId="2C777DD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2" w:type="dxa"/>
            <w:gridSpan w:val="2"/>
            <w:tcBorders>
              <w:top w:val="single" w:sz="4" w:space="0" w:color="auto"/>
              <w:left w:val="single" w:sz="4" w:space="0" w:color="auto"/>
            </w:tcBorders>
            <w:vAlign w:val="center"/>
          </w:tcPr>
          <w:p w14:paraId="7F241CB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276E706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48" w:type="dxa"/>
            <w:tcBorders>
              <w:top w:val="single" w:sz="4" w:space="0" w:color="auto"/>
              <w:left w:val="single" w:sz="4" w:space="0" w:color="auto"/>
            </w:tcBorders>
            <w:vAlign w:val="center"/>
          </w:tcPr>
          <w:p w14:paraId="52D9C8E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07FCF7F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0EC1CBD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3BB5124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75" w:type="dxa"/>
            <w:gridSpan w:val="2"/>
            <w:tcBorders>
              <w:top w:val="single" w:sz="4" w:space="0" w:color="auto"/>
              <w:left w:val="single" w:sz="4" w:space="0" w:color="auto"/>
            </w:tcBorders>
            <w:vAlign w:val="center"/>
          </w:tcPr>
          <w:p w14:paraId="2C8A0EB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8" w:type="dxa"/>
            <w:gridSpan w:val="2"/>
            <w:tcBorders>
              <w:top w:val="single" w:sz="4" w:space="0" w:color="auto"/>
              <w:left w:val="single" w:sz="4" w:space="0" w:color="auto"/>
            </w:tcBorders>
            <w:vAlign w:val="center"/>
          </w:tcPr>
          <w:p w14:paraId="4763912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51C40C4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5" w:type="dxa"/>
            <w:gridSpan w:val="2"/>
            <w:tcBorders>
              <w:top w:val="single" w:sz="4" w:space="0" w:color="auto"/>
              <w:left w:val="single" w:sz="4" w:space="0" w:color="auto"/>
            </w:tcBorders>
            <w:vAlign w:val="center"/>
          </w:tcPr>
          <w:p w14:paraId="6918302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7" w:type="dxa"/>
            <w:tcBorders>
              <w:top w:val="single" w:sz="4" w:space="0" w:color="auto"/>
              <w:left w:val="single" w:sz="4" w:space="0" w:color="auto"/>
            </w:tcBorders>
            <w:vAlign w:val="center"/>
          </w:tcPr>
          <w:p w14:paraId="5FFCF82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06C8C6C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0" w:type="dxa"/>
            <w:gridSpan w:val="2"/>
            <w:tcBorders>
              <w:top w:val="single" w:sz="4" w:space="0" w:color="auto"/>
              <w:left w:val="single" w:sz="4" w:space="0" w:color="auto"/>
            </w:tcBorders>
            <w:vAlign w:val="center"/>
          </w:tcPr>
          <w:p w14:paraId="5F7EE5F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2248D92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50" w:type="dxa"/>
            <w:gridSpan w:val="2"/>
            <w:tcBorders>
              <w:top w:val="single" w:sz="4" w:space="0" w:color="auto"/>
              <w:left w:val="single" w:sz="4" w:space="0" w:color="auto"/>
            </w:tcBorders>
            <w:vAlign w:val="center"/>
          </w:tcPr>
          <w:p w14:paraId="5FBF44E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7" w:type="dxa"/>
            <w:gridSpan w:val="2"/>
            <w:tcBorders>
              <w:top w:val="single" w:sz="4" w:space="0" w:color="auto"/>
              <w:left w:val="single" w:sz="4" w:space="0" w:color="auto"/>
            </w:tcBorders>
            <w:vAlign w:val="center"/>
          </w:tcPr>
          <w:p w14:paraId="47C3DB7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3FC733E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3"/>
            <w:tcBorders>
              <w:top w:val="single" w:sz="4" w:space="0" w:color="auto"/>
              <w:left w:val="single" w:sz="4" w:space="0" w:color="auto"/>
            </w:tcBorders>
            <w:vAlign w:val="center"/>
          </w:tcPr>
          <w:p w14:paraId="581E1BC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6" w:type="dxa"/>
            <w:tcBorders>
              <w:top w:val="single" w:sz="4" w:space="0" w:color="auto"/>
              <w:left w:val="single" w:sz="4" w:space="0" w:color="auto"/>
            </w:tcBorders>
            <w:vAlign w:val="center"/>
          </w:tcPr>
          <w:p w14:paraId="161D51E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1" w:type="dxa"/>
            <w:tcBorders>
              <w:top w:val="single" w:sz="4" w:space="0" w:color="auto"/>
              <w:left w:val="single" w:sz="4" w:space="0" w:color="auto"/>
            </w:tcBorders>
            <w:vAlign w:val="center"/>
          </w:tcPr>
          <w:p w14:paraId="7DDAE65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51C4CF3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2" w:type="dxa"/>
            <w:gridSpan w:val="3"/>
            <w:tcBorders>
              <w:top w:val="single" w:sz="4" w:space="0" w:color="auto"/>
              <w:left w:val="single" w:sz="4" w:space="0" w:color="auto"/>
            </w:tcBorders>
            <w:vAlign w:val="center"/>
          </w:tcPr>
          <w:p w14:paraId="064E187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78" w:type="dxa"/>
            <w:tcBorders>
              <w:top w:val="single" w:sz="4" w:space="0" w:color="auto"/>
              <w:left w:val="single" w:sz="4" w:space="0" w:color="auto"/>
              <w:right w:val="single" w:sz="4" w:space="0" w:color="auto"/>
            </w:tcBorders>
            <w:vAlign w:val="center"/>
          </w:tcPr>
          <w:p w14:paraId="7D0D82D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6500424A" w14:textId="77777777">
        <w:trPr>
          <w:trHeight w:val="86"/>
        </w:trPr>
        <w:tc>
          <w:tcPr>
            <w:tcW w:w="943" w:type="dxa"/>
            <w:tcBorders>
              <w:top w:val="single" w:sz="4" w:space="0" w:color="auto"/>
              <w:left w:val="single" w:sz="4" w:space="0" w:color="auto"/>
            </w:tcBorders>
            <w:tcMar>
              <w:left w:w="0" w:type="dxa"/>
            </w:tcMar>
            <w:vAlign w:val="center"/>
          </w:tcPr>
          <w:p w14:paraId="7AEC3984" w14:textId="77777777" w:rsidR="006561BA" w:rsidRPr="0082249B" w:rsidRDefault="005B4ED6">
            <w:pPr>
              <w:widowControl w:val="0"/>
              <w:shd w:val="clear" w:color="auto" w:fill="auto"/>
              <w:spacing w:after="0" w:line="240" w:lineRule="auto"/>
              <w:jc w:val="center"/>
              <w:rPr>
                <w:rFonts w:ascii="Helvetica" w:eastAsia="Arial Unicode MS" w:hAnsi="Helvetica" w:cs="Helvetica"/>
                <w:color w:val="auto"/>
                <w:sz w:val="6"/>
                <w:szCs w:val="6"/>
              </w:rPr>
            </w:pPr>
            <w:r w:rsidRPr="0082249B">
              <w:rPr>
                <w:rFonts w:ascii="Helvetica" w:hAnsi="Helvetica"/>
                <w:color w:val="auto"/>
                <w:sz w:val="6"/>
              </w:rPr>
              <w:t>15</w:t>
            </w:r>
          </w:p>
        </w:tc>
        <w:tc>
          <w:tcPr>
            <w:tcW w:w="1799" w:type="dxa"/>
            <w:tcBorders>
              <w:top w:val="single" w:sz="4" w:space="0" w:color="auto"/>
              <w:left w:val="single" w:sz="4" w:space="0" w:color="auto"/>
            </w:tcBorders>
            <w:vAlign w:val="center"/>
          </w:tcPr>
          <w:p w14:paraId="53676A0C" w14:textId="77777777" w:rsidR="006561BA" w:rsidRPr="0082249B" w:rsidRDefault="005B4ED6">
            <w:pPr>
              <w:widowControl w:val="0"/>
              <w:shd w:val="clear" w:color="auto" w:fill="auto"/>
              <w:spacing w:after="0" w:line="240" w:lineRule="auto"/>
              <w:ind w:left="211"/>
              <w:jc w:val="left"/>
              <w:rPr>
                <w:rFonts w:ascii="Helvetica" w:eastAsia="Arial Unicode MS" w:hAnsi="Helvetica" w:cs="Helvetica"/>
                <w:color w:val="auto"/>
                <w:sz w:val="6"/>
                <w:szCs w:val="6"/>
              </w:rPr>
            </w:pPr>
            <w:r w:rsidRPr="0082249B">
              <w:rPr>
                <w:rFonts w:ascii="Helvetica" w:hAnsi="Helvetica"/>
                <w:color w:val="auto"/>
                <w:sz w:val="6"/>
              </w:rPr>
              <w:t>Egenkapitalinstrumenter</w:t>
            </w:r>
          </w:p>
        </w:tc>
        <w:tc>
          <w:tcPr>
            <w:tcW w:w="395" w:type="dxa"/>
            <w:tcBorders>
              <w:top w:val="single" w:sz="4" w:space="0" w:color="auto"/>
              <w:left w:val="single" w:sz="4" w:space="0" w:color="auto"/>
            </w:tcBorders>
            <w:vAlign w:val="center"/>
          </w:tcPr>
          <w:p w14:paraId="415C3A2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0A30DF2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0FEE09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left w:val="single" w:sz="4" w:space="0" w:color="auto"/>
            </w:tcBorders>
            <w:shd w:val="clear" w:color="auto" w:fill="000000"/>
            <w:vAlign w:val="center"/>
          </w:tcPr>
          <w:p w14:paraId="39F60D4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2F678DE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32BB59C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586F8A4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4A19542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left w:val="single" w:sz="4" w:space="0" w:color="auto"/>
            </w:tcBorders>
            <w:shd w:val="clear" w:color="auto" w:fill="000000"/>
            <w:vAlign w:val="center"/>
          </w:tcPr>
          <w:p w14:paraId="48BD83F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297CEF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3903A23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5B7377D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shd w:val="clear" w:color="auto" w:fill="000000"/>
            <w:vAlign w:val="center"/>
          </w:tcPr>
          <w:p w14:paraId="77CA4F9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275C732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20BA7F9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2DBE080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shd w:val="clear" w:color="auto" w:fill="000000"/>
            <w:vAlign w:val="center"/>
          </w:tcPr>
          <w:p w14:paraId="6E466FD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1F3CBA7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77CAEFC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3F5E73A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left w:val="single" w:sz="4" w:space="0" w:color="auto"/>
            </w:tcBorders>
            <w:shd w:val="clear" w:color="auto" w:fill="000000"/>
            <w:vAlign w:val="center"/>
          </w:tcPr>
          <w:p w14:paraId="2586872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34FCE98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659860A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21C184E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shd w:val="clear" w:color="auto" w:fill="000000"/>
            <w:vAlign w:val="center"/>
          </w:tcPr>
          <w:p w14:paraId="181419F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3"/>
            <w:tcBorders>
              <w:top w:val="single" w:sz="4" w:space="0" w:color="auto"/>
              <w:left w:val="single" w:sz="4" w:space="0" w:color="auto"/>
            </w:tcBorders>
            <w:vAlign w:val="center"/>
          </w:tcPr>
          <w:p w14:paraId="5633D05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tcBorders>
              <w:top w:val="single" w:sz="4" w:space="0" w:color="auto"/>
              <w:left w:val="single" w:sz="4" w:space="0" w:color="auto"/>
            </w:tcBorders>
            <w:vAlign w:val="center"/>
          </w:tcPr>
          <w:p w14:paraId="1CCDB19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1A22C8F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shd w:val="clear" w:color="auto" w:fill="000000"/>
            <w:vAlign w:val="center"/>
          </w:tcPr>
          <w:p w14:paraId="4384A72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3"/>
            <w:tcBorders>
              <w:top w:val="single" w:sz="4" w:space="0" w:color="auto"/>
              <w:left w:val="single" w:sz="4" w:space="0" w:color="auto"/>
            </w:tcBorders>
            <w:vAlign w:val="center"/>
          </w:tcPr>
          <w:p w14:paraId="530CC9C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2CA5858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7163D3C8" w14:textId="77777777">
        <w:trPr>
          <w:trHeight w:val="90"/>
        </w:trPr>
        <w:tc>
          <w:tcPr>
            <w:tcW w:w="943" w:type="dxa"/>
            <w:tcBorders>
              <w:top w:val="single" w:sz="4" w:space="0" w:color="auto"/>
              <w:left w:val="single" w:sz="4" w:space="0" w:color="auto"/>
            </w:tcBorders>
            <w:tcMar>
              <w:left w:w="0" w:type="dxa"/>
            </w:tcMar>
            <w:vAlign w:val="center"/>
          </w:tcPr>
          <w:p w14:paraId="55FBFE34"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16</w:t>
            </w:r>
          </w:p>
        </w:tc>
        <w:tc>
          <w:tcPr>
            <w:tcW w:w="1799" w:type="dxa"/>
            <w:tcBorders>
              <w:top w:val="single" w:sz="4" w:space="0" w:color="auto"/>
              <w:left w:val="single" w:sz="4" w:space="0" w:color="auto"/>
            </w:tcBorders>
            <w:vAlign w:val="center"/>
          </w:tcPr>
          <w:p w14:paraId="3F53EB41"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hvorav forsikringsforetak</w:t>
            </w:r>
          </w:p>
        </w:tc>
        <w:tc>
          <w:tcPr>
            <w:tcW w:w="395" w:type="dxa"/>
            <w:tcBorders>
              <w:top w:val="single" w:sz="4" w:space="0" w:color="auto"/>
              <w:left w:val="single" w:sz="4" w:space="0" w:color="auto"/>
            </w:tcBorders>
            <w:vAlign w:val="center"/>
          </w:tcPr>
          <w:p w14:paraId="1174F8B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4F75CDE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756A1AA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left w:val="single" w:sz="4" w:space="0" w:color="auto"/>
            </w:tcBorders>
            <w:vAlign w:val="center"/>
          </w:tcPr>
          <w:p w14:paraId="028E11F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1F536C9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5E7AE55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2BBCC8F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04778D5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left w:val="single" w:sz="4" w:space="0" w:color="auto"/>
            </w:tcBorders>
            <w:vAlign w:val="center"/>
          </w:tcPr>
          <w:p w14:paraId="79753C7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219E35A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4D7CB14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43A94BA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vAlign w:val="center"/>
          </w:tcPr>
          <w:p w14:paraId="50C735B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0565236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140BB91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20C7F08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vAlign w:val="center"/>
          </w:tcPr>
          <w:p w14:paraId="3162869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2BD12C4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129BDA0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000860F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left w:val="single" w:sz="4" w:space="0" w:color="auto"/>
            </w:tcBorders>
            <w:vAlign w:val="center"/>
          </w:tcPr>
          <w:p w14:paraId="5C7D9BF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59D4DBD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5603E7A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6EDA01B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vAlign w:val="center"/>
          </w:tcPr>
          <w:p w14:paraId="3C81082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3"/>
            <w:tcBorders>
              <w:top w:val="single" w:sz="4" w:space="0" w:color="auto"/>
              <w:left w:val="single" w:sz="4" w:space="0" w:color="auto"/>
            </w:tcBorders>
            <w:vAlign w:val="center"/>
          </w:tcPr>
          <w:p w14:paraId="3D23647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tcBorders>
              <w:top w:val="single" w:sz="4" w:space="0" w:color="auto"/>
              <w:left w:val="single" w:sz="4" w:space="0" w:color="auto"/>
            </w:tcBorders>
            <w:vAlign w:val="center"/>
          </w:tcPr>
          <w:p w14:paraId="11D1F2F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3E62970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vAlign w:val="center"/>
          </w:tcPr>
          <w:p w14:paraId="6748518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3"/>
            <w:tcBorders>
              <w:top w:val="single" w:sz="4" w:space="0" w:color="auto"/>
              <w:left w:val="single" w:sz="4" w:space="0" w:color="auto"/>
            </w:tcBorders>
            <w:vAlign w:val="center"/>
          </w:tcPr>
          <w:p w14:paraId="5C6BFF5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36302E0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0AB35DAA" w14:textId="77777777">
        <w:trPr>
          <w:trHeight w:val="83"/>
        </w:trPr>
        <w:tc>
          <w:tcPr>
            <w:tcW w:w="943" w:type="dxa"/>
            <w:tcBorders>
              <w:top w:val="single" w:sz="4" w:space="0" w:color="auto"/>
              <w:left w:val="single" w:sz="4" w:space="0" w:color="auto"/>
            </w:tcBorders>
            <w:tcMar>
              <w:left w:w="0" w:type="dxa"/>
            </w:tcMar>
            <w:vAlign w:val="center"/>
          </w:tcPr>
          <w:p w14:paraId="1DC093C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17</w:t>
            </w:r>
          </w:p>
        </w:tc>
        <w:tc>
          <w:tcPr>
            <w:tcW w:w="1799" w:type="dxa"/>
            <w:tcBorders>
              <w:top w:val="single" w:sz="4" w:space="0" w:color="auto"/>
              <w:left w:val="single" w:sz="4" w:space="0" w:color="auto"/>
            </w:tcBorders>
            <w:vAlign w:val="center"/>
          </w:tcPr>
          <w:p w14:paraId="7FF2C190" w14:textId="77777777" w:rsidR="006561BA" w:rsidRDefault="005B4ED6">
            <w:pPr>
              <w:widowControl w:val="0"/>
              <w:shd w:val="clear" w:color="auto" w:fill="auto"/>
              <w:spacing w:after="0" w:line="240" w:lineRule="auto"/>
              <w:ind w:left="211"/>
              <w:jc w:val="left"/>
              <w:rPr>
                <w:rFonts w:ascii="Helvetica" w:eastAsia="Arial Unicode MS" w:hAnsi="Helvetica" w:cs="Helvetica"/>
                <w:color w:val="000000"/>
                <w:sz w:val="6"/>
                <w:szCs w:val="6"/>
              </w:rPr>
            </w:pPr>
            <w:r>
              <w:rPr>
                <w:rFonts w:ascii="Helvetica" w:hAnsi="Helvetica"/>
                <w:color w:val="383838"/>
                <w:sz w:val="6"/>
              </w:rPr>
              <w:t>Lån og forskudd</w:t>
            </w:r>
          </w:p>
        </w:tc>
        <w:tc>
          <w:tcPr>
            <w:tcW w:w="395" w:type="dxa"/>
            <w:tcBorders>
              <w:top w:val="single" w:sz="4" w:space="0" w:color="auto"/>
              <w:left w:val="single" w:sz="4" w:space="0" w:color="auto"/>
            </w:tcBorders>
            <w:vAlign w:val="center"/>
          </w:tcPr>
          <w:p w14:paraId="1EF8A3F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43B69E2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4FDF430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vAlign w:val="center"/>
          </w:tcPr>
          <w:p w14:paraId="431BF24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2229B21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34A19CE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370C47F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6D32B67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vAlign w:val="center"/>
          </w:tcPr>
          <w:p w14:paraId="4D8EA8E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74F19BA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73EE10D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0F07FB2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403B60F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41047E8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64762EB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24EA4AF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4B4AB99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0CBE200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74E0A94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69C9F93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vAlign w:val="center"/>
          </w:tcPr>
          <w:p w14:paraId="046B256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1D859EA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2A24512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4E49E88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046A9F6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3"/>
            <w:tcBorders>
              <w:top w:val="single" w:sz="4" w:space="0" w:color="auto"/>
              <w:left w:val="single" w:sz="4" w:space="0" w:color="auto"/>
            </w:tcBorders>
            <w:vAlign w:val="center"/>
          </w:tcPr>
          <w:p w14:paraId="0972A8F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tcBorders>
              <w:top w:val="single" w:sz="4" w:space="0" w:color="auto"/>
              <w:left w:val="single" w:sz="4" w:space="0" w:color="auto"/>
            </w:tcBorders>
            <w:vAlign w:val="center"/>
          </w:tcPr>
          <w:p w14:paraId="0EC7A33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1BCDD01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41B420E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3"/>
            <w:tcBorders>
              <w:top w:val="single" w:sz="4" w:space="0" w:color="auto"/>
              <w:left w:val="single" w:sz="4" w:space="0" w:color="auto"/>
            </w:tcBorders>
            <w:vAlign w:val="center"/>
          </w:tcPr>
          <w:p w14:paraId="365DFF2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4F12437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126C63F9" w14:textId="77777777">
        <w:trPr>
          <w:trHeight w:val="83"/>
        </w:trPr>
        <w:tc>
          <w:tcPr>
            <w:tcW w:w="943" w:type="dxa"/>
            <w:tcBorders>
              <w:top w:val="single" w:sz="4" w:space="0" w:color="auto"/>
              <w:left w:val="single" w:sz="4" w:space="0" w:color="auto"/>
            </w:tcBorders>
            <w:tcMar>
              <w:left w:w="0" w:type="dxa"/>
            </w:tcMar>
            <w:vAlign w:val="center"/>
          </w:tcPr>
          <w:p w14:paraId="1E1CFB0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18</w:t>
            </w:r>
          </w:p>
        </w:tc>
        <w:tc>
          <w:tcPr>
            <w:tcW w:w="1799" w:type="dxa"/>
            <w:tcBorders>
              <w:top w:val="single" w:sz="4" w:space="0" w:color="auto"/>
              <w:left w:val="single" w:sz="4" w:space="0" w:color="auto"/>
            </w:tcBorders>
            <w:vAlign w:val="center"/>
          </w:tcPr>
          <w:p w14:paraId="58D72531" w14:textId="77777777" w:rsidR="006561BA" w:rsidRDefault="005B4ED6">
            <w:pPr>
              <w:widowControl w:val="0"/>
              <w:shd w:val="clear" w:color="auto" w:fill="auto"/>
              <w:spacing w:after="0" w:line="240" w:lineRule="auto"/>
              <w:ind w:left="211"/>
              <w:jc w:val="left"/>
              <w:rPr>
                <w:rFonts w:ascii="Helvetica" w:eastAsia="Arial Unicode MS" w:hAnsi="Helvetica" w:cs="Helvetica"/>
                <w:color w:val="000000"/>
                <w:sz w:val="6"/>
                <w:szCs w:val="6"/>
              </w:rPr>
            </w:pPr>
            <w:r>
              <w:rPr>
                <w:rFonts w:ascii="Helvetica" w:hAnsi="Helvetica"/>
                <w:color w:val="383838"/>
                <w:sz w:val="6"/>
              </w:rPr>
              <w:t>Gjeldsinstrumenter, herunder bruk av proveny</w:t>
            </w:r>
          </w:p>
        </w:tc>
        <w:tc>
          <w:tcPr>
            <w:tcW w:w="395" w:type="dxa"/>
            <w:tcBorders>
              <w:top w:val="single" w:sz="4" w:space="0" w:color="auto"/>
              <w:left w:val="single" w:sz="4" w:space="0" w:color="auto"/>
            </w:tcBorders>
            <w:vAlign w:val="center"/>
          </w:tcPr>
          <w:p w14:paraId="50BAA6F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56" w:type="dxa"/>
            <w:tcBorders>
              <w:top w:val="single" w:sz="4" w:space="0" w:color="auto"/>
              <w:left w:val="single" w:sz="4" w:space="0" w:color="auto"/>
            </w:tcBorders>
            <w:vAlign w:val="center"/>
          </w:tcPr>
          <w:p w14:paraId="23A4F7C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2"/>
            <w:tcBorders>
              <w:top w:val="single" w:sz="4" w:space="0" w:color="auto"/>
              <w:left w:val="single" w:sz="4" w:space="0" w:color="auto"/>
            </w:tcBorders>
            <w:vAlign w:val="center"/>
          </w:tcPr>
          <w:p w14:paraId="0AC1514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39" w:type="dxa"/>
            <w:gridSpan w:val="2"/>
            <w:tcBorders>
              <w:top w:val="single" w:sz="4" w:space="0" w:color="auto"/>
              <w:left w:val="single" w:sz="4" w:space="0" w:color="auto"/>
            </w:tcBorders>
            <w:vAlign w:val="center"/>
          </w:tcPr>
          <w:p w14:paraId="3558B49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9" w:type="dxa"/>
            <w:gridSpan w:val="2"/>
            <w:tcBorders>
              <w:top w:val="single" w:sz="4" w:space="0" w:color="auto"/>
              <w:left w:val="single" w:sz="4" w:space="0" w:color="auto"/>
            </w:tcBorders>
            <w:vAlign w:val="center"/>
          </w:tcPr>
          <w:p w14:paraId="2713DDF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72" w:type="dxa"/>
            <w:gridSpan w:val="3"/>
            <w:tcBorders>
              <w:top w:val="single" w:sz="4" w:space="0" w:color="auto"/>
              <w:left w:val="single" w:sz="4" w:space="0" w:color="auto"/>
            </w:tcBorders>
            <w:vAlign w:val="center"/>
          </w:tcPr>
          <w:p w14:paraId="40381F6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17" w:type="dxa"/>
            <w:tcBorders>
              <w:top w:val="single" w:sz="4" w:space="0" w:color="auto"/>
              <w:left w:val="single" w:sz="4" w:space="0" w:color="auto"/>
            </w:tcBorders>
            <w:vAlign w:val="center"/>
          </w:tcPr>
          <w:p w14:paraId="4419B33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97" w:type="dxa"/>
            <w:gridSpan w:val="2"/>
            <w:tcBorders>
              <w:top w:val="single" w:sz="4" w:space="0" w:color="auto"/>
              <w:left w:val="single" w:sz="4" w:space="0" w:color="auto"/>
            </w:tcBorders>
            <w:vAlign w:val="center"/>
          </w:tcPr>
          <w:p w14:paraId="28FD4E6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2" w:type="dxa"/>
            <w:gridSpan w:val="2"/>
            <w:tcBorders>
              <w:top w:val="single" w:sz="4" w:space="0" w:color="auto"/>
              <w:left w:val="single" w:sz="4" w:space="0" w:color="auto"/>
            </w:tcBorders>
            <w:vAlign w:val="center"/>
          </w:tcPr>
          <w:p w14:paraId="18B57DD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05A9725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48" w:type="dxa"/>
            <w:tcBorders>
              <w:top w:val="single" w:sz="4" w:space="0" w:color="auto"/>
              <w:left w:val="single" w:sz="4" w:space="0" w:color="auto"/>
            </w:tcBorders>
            <w:vAlign w:val="center"/>
          </w:tcPr>
          <w:p w14:paraId="5093D67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52972D7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0CB7AB0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7D284CD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75" w:type="dxa"/>
            <w:gridSpan w:val="2"/>
            <w:tcBorders>
              <w:top w:val="single" w:sz="4" w:space="0" w:color="auto"/>
              <w:left w:val="single" w:sz="4" w:space="0" w:color="auto"/>
            </w:tcBorders>
            <w:vAlign w:val="center"/>
          </w:tcPr>
          <w:p w14:paraId="0E1870C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8" w:type="dxa"/>
            <w:gridSpan w:val="2"/>
            <w:tcBorders>
              <w:top w:val="single" w:sz="4" w:space="0" w:color="auto"/>
              <w:left w:val="single" w:sz="4" w:space="0" w:color="auto"/>
            </w:tcBorders>
            <w:vAlign w:val="center"/>
          </w:tcPr>
          <w:p w14:paraId="5AAC583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20C022F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5" w:type="dxa"/>
            <w:gridSpan w:val="2"/>
            <w:tcBorders>
              <w:top w:val="single" w:sz="4" w:space="0" w:color="auto"/>
              <w:left w:val="single" w:sz="4" w:space="0" w:color="auto"/>
            </w:tcBorders>
            <w:vAlign w:val="center"/>
          </w:tcPr>
          <w:p w14:paraId="060A75C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7" w:type="dxa"/>
            <w:tcBorders>
              <w:top w:val="single" w:sz="4" w:space="0" w:color="auto"/>
              <w:left w:val="single" w:sz="4" w:space="0" w:color="auto"/>
            </w:tcBorders>
            <w:vAlign w:val="center"/>
          </w:tcPr>
          <w:p w14:paraId="5A54825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771A49C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0" w:type="dxa"/>
            <w:gridSpan w:val="2"/>
            <w:tcBorders>
              <w:top w:val="single" w:sz="4" w:space="0" w:color="auto"/>
              <w:left w:val="single" w:sz="4" w:space="0" w:color="auto"/>
            </w:tcBorders>
            <w:vAlign w:val="center"/>
          </w:tcPr>
          <w:p w14:paraId="468C69B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13C1AF5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50" w:type="dxa"/>
            <w:gridSpan w:val="2"/>
            <w:tcBorders>
              <w:top w:val="single" w:sz="4" w:space="0" w:color="auto"/>
              <w:left w:val="single" w:sz="4" w:space="0" w:color="auto"/>
            </w:tcBorders>
            <w:vAlign w:val="center"/>
          </w:tcPr>
          <w:p w14:paraId="086F4B4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7" w:type="dxa"/>
            <w:gridSpan w:val="2"/>
            <w:tcBorders>
              <w:top w:val="single" w:sz="4" w:space="0" w:color="auto"/>
              <w:left w:val="single" w:sz="4" w:space="0" w:color="auto"/>
            </w:tcBorders>
            <w:vAlign w:val="center"/>
          </w:tcPr>
          <w:p w14:paraId="30A6E97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0E5810F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3"/>
            <w:tcBorders>
              <w:top w:val="single" w:sz="4" w:space="0" w:color="auto"/>
              <w:left w:val="single" w:sz="4" w:space="0" w:color="auto"/>
            </w:tcBorders>
            <w:vAlign w:val="center"/>
          </w:tcPr>
          <w:p w14:paraId="638FA22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6" w:type="dxa"/>
            <w:tcBorders>
              <w:top w:val="single" w:sz="4" w:space="0" w:color="auto"/>
              <w:left w:val="single" w:sz="4" w:space="0" w:color="auto"/>
            </w:tcBorders>
            <w:vAlign w:val="center"/>
          </w:tcPr>
          <w:p w14:paraId="184D9F5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1" w:type="dxa"/>
            <w:tcBorders>
              <w:top w:val="single" w:sz="4" w:space="0" w:color="auto"/>
              <w:left w:val="single" w:sz="4" w:space="0" w:color="auto"/>
            </w:tcBorders>
            <w:vAlign w:val="center"/>
          </w:tcPr>
          <w:p w14:paraId="74E7BF1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799C10A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2" w:type="dxa"/>
            <w:gridSpan w:val="3"/>
            <w:tcBorders>
              <w:top w:val="single" w:sz="4" w:space="0" w:color="auto"/>
              <w:left w:val="single" w:sz="4" w:space="0" w:color="auto"/>
            </w:tcBorders>
            <w:vAlign w:val="center"/>
          </w:tcPr>
          <w:p w14:paraId="7336E0C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78" w:type="dxa"/>
            <w:tcBorders>
              <w:top w:val="single" w:sz="4" w:space="0" w:color="auto"/>
              <w:left w:val="single" w:sz="4" w:space="0" w:color="auto"/>
              <w:right w:val="single" w:sz="4" w:space="0" w:color="auto"/>
            </w:tcBorders>
            <w:vAlign w:val="center"/>
          </w:tcPr>
          <w:p w14:paraId="1B5B237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5C846310" w14:textId="77777777">
        <w:trPr>
          <w:trHeight w:val="86"/>
        </w:trPr>
        <w:tc>
          <w:tcPr>
            <w:tcW w:w="943" w:type="dxa"/>
            <w:tcBorders>
              <w:top w:val="single" w:sz="4" w:space="0" w:color="auto"/>
              <w:left w:val="single" w:sz="4" w:space="0" w:color="auto"/>
            </w:tcBorders>
            <w:tcMar>
              <w:left w:w="0" w:type="dxa"/>
            </w:tcMar>
            <w:vAlign w:val="center"/>
          </w:tcPr>
          <w:p w14:paraId="634415D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19</w:t>
            </w:r>
          </w:p>
        </w:tc>
        <w:tc>
          <w:tcPr>
            <w:tcW w:w="1799" w:type="dxa"/>
            <w:tcBorders>
              <w:top w:val="single" w:sz="4" w:space="0" w:color="auto"/>
              <w:left w:val="single" w:sz="4" w:space="0" w:color="auto"/>
            </w:tcBorders>
            <w:vAlign w:val="center"/>
          </w:tcPr>
          <w:p w14:paraId="46066611" w14:textId="77777777" w:rsidR="006561BA" w:rsidRDefault="005B4ED6">
            <w:pPr>
              <w:widowControl w:val="0"/>
              <w:shd w:val="clear" w:color="auto" w:fill="auto"/>
              <w:spacing w:after="0" w:line="240" w:lineRule="auto"/>
              <w:ind w:left="211"/>
              <w:jc w:val="left"/>
              <w:rPr>
                <w:rFonts w:ascii="Helvetica" w:eastAsia="Arial Unicode MS" w:hAnsi="Helvetica" w:cs="Helvetica"/>
                <w:color w:val="000000"/>
                <w:sz w:val="6"/>
                <w:szCs w:val="6"/>
              </w:rPr>
            </w:pPr>
            <w:r>
              <w:rPr>
                <w:rFonts w:ascii="Helvetica" w:hAnsi="Helvetica"/>
                <w:color w:val="383838"/>
                <w:sz w:val="6"/>
              </w:rPr>
              <w:t>Egenkapitalinstrumenter</w:t>
            </w:r>
          </w:p>
        </w:tc>
        <w:tc>
          <w:tcPr>
            <w:tcW w:w="395" w:type="dxa"/>
            <w:tcBorders>
              <w:top w:val="single" w:sz="4" w:space="0" w:color="auto"/>
              <w:left w:val="single" w:sz="4" w:space="0" w:color="auto"/>
            </w:tcBorders>
            <w:vAlign w:val="center"/>
          </w:tcPr>
          <w:p w14:paraId="7E86844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098D531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0DB85A5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shd w:val="clear" w:color="auto" w:fill="000000"/>
            <w:vAlign w:val="center"/>
          </w:tcPr>
          <w:p w14:paraId="746F7B8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73E39AE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7DBB53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1686357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35BE0EC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shd w:val="clear" w:color="auto" w:fill="000000"/>
            <w:vAlign w:val="center"/>
          </w:tcPr>
          <w:p w14:paraId="574A3F3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5666EC2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457F6F1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44D578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000000"/>
            <w:vAlign w:val="center"/>
          </w:tcPr>
          <w:p w14:paraId="4C83954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6F03D95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01B55F5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2617F90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000000"/>
            <w:vAlign w:val="center"/>
          </w:tcPr>
          <w:p w14:paraId="00B8782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3FE54F8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5B2890B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3E45656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shd w:val="clear" w:color="auto" w:fill="000000"/>
            <w:vAlign w:val="center"/>
          </w:tcPr>
          <w:p w14:paraId="0750B40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3E16670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7C7C2BA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42A3558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000000"/>
            <w:vAlign w:val="center"/>
          </w:tcPr>
          <w:p w14:paraId="0F15B86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3"/>
            <w:tcBorders>
              <w:top w:val="single" w:sz="4" w:space="0" w:color="auto"/>
              <w:left w:val="single" w:sz="4" w:space="0" w:color="auto"/>
            </w:tcBorders>
            <w:vAlign w:val="center"/>
          </w:tcPr>
          <w:p w14:paraId="4F4FE10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tcBorders>
              <w:top w:val="single" w:sz="4" w:space="0" w:color="auto"/>
              <w:left w:val="single" w:sz="4" w:space="0" w:color="auto"/>
            </w:tcBorders>
            <w:vAlign w:val="center"/>
          </w:tcPr>
          <w:p w14:paraId="4679417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34D1E76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000000"/>
            <w:vAlign w:val="center"/>
          </w:tcPr>
          <w:p w14:paraId="73A6F41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3"/>
            <w:tcBorders>
              <w:top w:val="single" w:sz="4" w:space="0" w:color="auto"/>
              <w:left w:val="single" w:sz="4" w:space="0" w:color="auto"/>
            </w:tcBorders>
            <w:vAlign w:val="center"/>
          </w:tcPr>
          <w:p w14:paraId="66F0085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217D3C7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5BB63F18" w14:textId="77777777">
        <w:trPr>
          <w:trHeight w:val="90"/>
        </w:trPr>
        <w:tc>
          <w:tcPr>
            <w:tcW w:w="943" w:type="dxa"/>
            <w:tcBorders>
              <w:top w:val="single" w:sz="4" w:space="0" w:color="auto"/>
              <w:left w:val="single" w:sz="4" w:space="0" w:color="auto"/>
            </w:tcBorders>
            <w:tcMar>
              <w:left w:w="0" w:type="dxa"/>
            </w:tcMar>
            <w:vAlign w:val="center"/>
          </w:tcPr>
          <w:p w14:paraId="5DD93680"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20</w:t>
            </w:r>
          </w:p>
        </w:tc>
        <w:tc>
          <w:tcPr>
            <w:tcW w:w="1799" w:type="dxa"/>
            <w:tcBorders>
              <w:top w:val="single" w:sz="4" w:space="0" w:color="auto"/>
              <w:left w:val="single" w:sz="4" w:space="0" w:color="auto"/>
            </w:tcBorders>
            <w:vAlign w:val="center"/>
          </w:tcPr>
          <w:p w14:paraId="710CB699" w14:textId="77777777" w:rsidR="006561BA" w:rsidRDefault="005B4ED6">
            <w:pPr>
              <w:widowControl w:val="0"/>
              <w:shd w:val="clear" w:color="auto" w:fill="auto"/>
              <w:spacing w:after="0" w:line="240" w:lineRule="auto"/>
              <w:ind w:left="102"/>
              <w:jc w:val="left"/>
              <w:rPr>
                <w:rFonts w:ascii="Helvetica" w:eastAsia="Arial Unicode MS" w:hAnsi="Helvetica" w:cs="Helvetica"/>
                <w:b/>
                <w:color w:val="000000"/>
                <w:sz w:val="6"/>
                <w:szCs w:val="6"/>
              </w:rPr>
            </w:pPr>
            <w:r>
              <w:rPr>
                <w:rFonts w:ascii="Helvetica" w:hAnsi="Helvetica"/>
                <w:b/>
                <w:color w:val="000000"/>
                <w:sz w:val="6"/>
              </w:rPr>
              <w:t>Ikke-finansielle foretak</w:t>
            </w:r>
          </w:p>
        </w:tc>
        <w:tc>
          <w:tcPr>
            <w:tcW w:w="395" w:type="dxa"/>
            <w:tcBorders>
              <w:top w:val="single" w:sz="4" w:space="0" w:color="auto"/>
              <w:left w:val="single" w:sz="4" w:space="0" w:color="auto"/>
            </w:tcBorders>
            <w:vAlign w:val="center"/>
          </w:tcPr>
          <w:p w14:paraId="0FC5ED3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372A248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66C84F2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left w:val="single" w:sz="4" w:space="0" w:color="auto"/>
            </w:tcBorders>
            <w:vAlign w:val="center"/>
          </w:tcPr>
          <w:p w14:paraId="2D9215B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5856DE7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17A0AFA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0A7E82C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326B536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left w:val="single" w:sz="4" w:space="0" w:color="auto"/>
            </w:tcBorders>
            <w:vAlign w:val="center"/>
          </w:tcPr>
          <w:p w14:paraId="5A6C353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044371A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2A6BDD4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0713A1F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vAlign w:val="center"/>
          </w:tcPr>
          <w:p w14:paraId="17393FA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0A4C732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31E9F4C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775F97A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vAlign w:val="center"/>
          </w:tcPr>
          <w:p w14:paraId="2949F86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15CC32C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55C4090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5C9C29F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left w:val="single" w:sz="4" w:space="0" w:color="auto"/>
            </w:tcBorders>
            <w:vAlign w:val="center"/>
          </w:tcPr>
          <w:p w14:paraId="6E03A8D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1D707F4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7FD0359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71A4B76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vAlign w:val="center"/>
          </w:tcPr>
          <w:p w14:paraId="571D94D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3"/>
            <w:tcBorders>
              <w:top w:val="single" w:sz="4" w:space="0" w:color="auto"/>
              <w:left w:val="single" w:sz="4" w:space="0" w:color="auto"/>
            </w:tcBorders>
            <w:vAlign w:val="center"/>
          </w:tcPr>
          <w:p w14:paraId="24E481A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tcBorders>
              <w:top w:val="single" w:sz="4" w:space="0" w:color="auto"/>
              <w:left w:val="single" w:sz="4" w:space="0" w:color="auto"/>
            </w:tcBorders>
            <w:vAlign w:val="center"/>
          </w:tcPr>
          <w:p w14:paraId="6D4FCE2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29A53F4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vAlign w:val="center"/>
          </w:tcPr>
          <w:p w14:paraId="43798A2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3"/>
            <w:tcBorders>
              <w:top w:val="single" w:sz="4" w:space="0" w:color="auto"/>
              <w:left w:val="single" w:sz="4" w:space="0" w:color="auto"/>
            </w:tcBorders>
            <w:vAlign w:val="center"/>
          </w:tcPr>
          <w:p w14:paraId="28B570E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53B82D7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0994130D" w14:textId="77777777">
        <w:trPr>
          <w:trHeight w:val="83"/>
        </w:trPr>
        <w:tc>
          <w:tcPr>
            <w:tcW w:w="943" w:type="dxa"/>
            <w:tcBorders>
              <w:top w:val="single" w:sz="4" w:space="0" w:color="auto"/>
              <w:left w:val="single" w:sz="4" w:space="0" w:color="auto"/>
            </w:tcBorders>
            <w:tcMar>
              <w:left w:w="0" w:type="dxa"/>
            </w:tcMar>
            <w:vAlign w:val="center"/>
          </w:tcPr>
          <w:p w14:paraId="799F7360"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21</w:t>
            </w:r>
          </w:p>
        </w:tc>
        <w:tc>
          <w:tcPr>
            <w:tcW w:w="1799" w:type="dxa"/>
            <w:tcBorders>
              <w:top w:val="single" w:sz="4" w:space="0" w:color="auto"/>
              <w:left w:val="single" w:sz="4" w:space="0" w:color="auto"/>
            </w:tcBorders>
            <w:vAlign w:val="center"/>
          </w:tcPr>
          <w:p w14:paraId="751A2D25"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Lån og forskudd</w:t>
            </w:r>
          </w:p>
        </w:tc>
        <w:tc>
          <w:tcPr>
            <w:tcW w:w="395" w:type="dxa"/>
            <w:tcBorders>
              <w:top w:val="single" w:sz="4" w:space="0" w:color="auto"/>
              <w:left w:val="single" w:sz="4" w:space="0" w:color="auto"/>
            </w:tcBorders>
            <w:vAlign w:val="center"/>
          </w:tcPr>
          <w:p w14:paraId="0842EDA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0AA3502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3647662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vAlign w:val="center"/>
          </w:tcPr>
          <w:p w14:paraId="6C279D0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46C0A0E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66E901E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13FAC1C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15E9A8D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vAlign w:val="center"/>
          </w:tcPr>
          <w:p w14:paraId="40002CD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61C5B01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780136B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619D454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6977883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29B079A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7237917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58D4A35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708A955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0F913EC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5221DCB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781D277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vAlign w:val="center"/>
          </w:tcPr>
          <w:p w14:paraId="117F783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62339F2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716EB9A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3FD5CF0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08742DC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3"/>
            <w:tcBorders>
              <w:top w:val="single" w:sz="4" w:space="0" w:color="auto"/>
              <w:left w:val="single" w:sz="4" w:space="0" w:color="auto"/>
            </w:tcBorders>
            <w:vAlign w:val="center"/>
          </w:tcPr>
          <w:p w14:paraId="6C0C731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tcBorders>
              <w:top w:val="single" w:sz="4" w:space="0" w:color="auto"/>
              <w:left w:val="single" w:sz="4" w:space="0" w:color="auto"/>
            </w:tcBorders>
            <w:vAlign w:val="center"/>
          </w:tcPr>
          <w:p w14:paraId="34A8571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392181B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557B29F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3"/>
            <w:tcBorders>
              <w:top w:val="single" w:sz="4" w:space="0" w:color="auto"/>
              <w:left w:val="single" w:sz="4" w:space="0" w:color="auto"/>
            </w:tcBorders>
            <w:vAlign w:val="center"/>
          </w:tcPr>
          <w:p w14:paraId="7104ED2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650B9D0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2FAA8113" w14:textId="77777777">
        <w:trPr>
          <w:trHeight w:val="83"/>
        </w:trPr>
        <w:tc>
          <w:tcPr>
            <w:tcW w:w="943" w:type="dxa"/>
            <w:tcBorders>
              <w:top w:val="single" w:sz="4" w:space="0" w:color="auto"/>
              <w:left w:val="single" w:sz="4" w:space="0" w:color="auto"/>
            </w:tcBorders>
            <w:tcMar>
              <w:left w:w="0" w:type="dxa"/>
            </w:tcMar>
            <w:vAlign w:val="center"/>
          </w:tcPr>
          <w:p w14:paraId="10AB96B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22</w:t>
            </w:r>
          </w:p>
        </w:tc>
        <w:tc>
          <w:tcPr>
            <w:tcW w:w="1799" w:type="dxa"/>
            <w:tcBorders>
              <w:top w:val="single" w:sz="4" w:space="0" w:color="auto"/>
              <w:left w:val="single" w:sz="4" w:space="0" w:color="auto"/>
            </w:tcBorders>
            <w:vAlign w:val="center"/>
          </w:tcPr>
          <w:p w14:paraId="21C1BEC7"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Gjeldsinstrumenter, herunder bruk av proveny</w:t>
            </w:r>
          </w:p>
        </w:tc>
        <w:tc>
          <w:tcPr>
            <w:tcW w:w="395" w:type="dxa"/>
            <w:tcBorders>
              <w:top w:val="single" w:sz="4" w:space="0" w:color="auto"/>
              <w:left w:val="single" w:sz="4" w:space="0" w:color="auto"/>
            </w:tcBorders>
            <w:vAlign w:val="center"/>
          </w:tcPr>
          <w:p w14:paraId="20C0990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56" w:type="dxa"/>
            <w:tcBorders>
              <w:top w:val="single" w:sz="4" w:space="0" w:color="auto"/>
              <w:left w:val="single" w:sz="4" w:space="0" w:color="auto"/>
            </w:tcBorders>
            <w:vAlign w:val="center"/>
          </w:tcPr>
          <w:p w14:paraId="17BB9F5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2"/>
            <w:tcBorders>
              <w:top w:val="single" w:sz="4" w:space="0" w:color="auto"/>
              <w:left w:val="single" w:sz="4" w:space="0" w:color="auto"/>
            </w:tcBorders>
            <w:vAlign w:val="center"/>
          </w:tcPr>
          <w:p w14:paraId="13DCF23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39" w:type="dxa"/>
            <w:gridSpan w:val="2"/>
            <w:tcBorders>
              <w:top w:val="single" w:sz="4" w:space="0" w:color="auto"/>
              <w:left w:val="single" w:sz="4" w:space="0" w:color="auto"/>
            </w:tcBorders>
            <w:vAlign w:val="center"/>
          </w:tcPr>
          <w:p w14:paraId="1E44525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9" w:type="dxa"/>
            <w:gridSpan w:val="2"/>
            <w:tcBorders>
              <w:top w:val="single" w:sz="4" w:space="0" w:color="auto"/>
              <w:left w:val="single" w:sz="4" w:space="0" w:color="auto"/>
            </w:tcBorders>
            <w:vAlign w:val="center"/>
          </w:tcPr>
          <w:p w14:paraId="3E1795D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72" w:type="dxa"/>
            <w:gridSpan w:val="3"/>
            <w:tcBorders>
              <w:top w:val="single" w:sz="4" w:space="0" w:color="auto"/>
              <w:left w:val="single" w:sz="4" w:space="0" w:color="auto"/>
            </w:tcBorders>
            <w:vAlign w:val="center"/>
          </w:tcPr>
          <w:p w14:paraId="29DC48D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17" w:type="dxa"/>
            <w:tcBorders>
              <w:top w:val="single" w:sz="4" w:space="0" w:color="auto"/>
              <w:left w:val="single" w:sz="4" w:space="0" w:color="auto"/>
            </w:tcBorders>
            <w:vAlign w:val="center"/>
          </w:tcPr>
          <w:p w14:paraId="02E299D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97" w:type="dxa"/>
            <w:gridSpan w:val="2"/>
            <w:tcBorders>
              <w:top w:val="single" w:sz="4" w:space="0" w:color="auto"/>
              <w:left w:val="single" w:sz="4" w:space="0" w:color="auto"/>
            </w:tcBorders>
            <w:vAlign w:val="center"/>
          </w:tcPr>
          <w:p w14:paraId="4A33FEF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2" w:type="dxa"/>
            <w:gridSpan w:val="2"/>
            <w:tcBorders>
              <w:top w:val="single" w:sz="4" w:space="0" w:color="auto"/>
              <w:left w:val="single" w:sz="4" w:space="0" w:color="auto"/>
            </w:tcBorders>
            <w:vAlign w:val="center"/>
          </w:tcPr>
          <w:p w14:paraId="47C8C58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7C4F030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48" w:type="dxa"/>
            <w:tcBorders>
              <w:top w:val="single" w:sz="4" w:space="0" w:color="auto"/>
              <w:left w:val="single" w:sz="4" w:space="0" w:color="auto"/>
            </w:tcBorders>
            <w:vAlign w:val="center"/>
          </w:tcPr>
          <w:p w14:paraId="7E33A00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1D8ECB7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0A21550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3BC6ABA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75" w:type="dxa"/>
            <w:gridSpan w:val="2"/>
            <w:tcBorders>
              <w:top w:val="single" w:sz="4" w:space="0" w:color="auto"/>
              <w:left w:val="single" w:sz="4" w:space="0" w:color="auto"/>
            </w:tcBorders>
            <w:vAlign w:val="center"/>
          </w:tcPr>
          <w:p w14:paraId="4FB3160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8" w:type="dxa"/>
            <w:gridSpan w:val="2"/>
            <w:tcBorders>
              <w:top w:val="single" w:sz="4" w:space="0" w:color="auto"/>
              <w:left w:val="single" w:sz="4" w:space="0" w:color="auto"/>
            </w:tcBorders>
            <w:vAlign w:val="center"/>
          </w:tcPr>
          <w:p w14:paraId="246102E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38B840A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5" w:type="dxa"/>
            <w:gridSpan w:val="2"/>
            <w:tcBorders>
              <w:top w:val="single" w:sz="4" w:space="0" w:color="auto"/>
              <w:left w:val="single" w:sz="4" w:space="0" w:color="auto"/>
            </w:tcBorders>
            <w:vAlign w:val="center"/>
          </w:tcPr>
          <w:p w14:paraId="0F94915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7" w:type="dxa"/>
            <w:tcBorders>
              <w:top w:val="single" w:sz="4" w:space="0" w:color="auto"/>
              <w:left w:val="single" w:sz="4" w:space="0" w:color="auto"/>
            </w:tcBorders>
            <w:vAlign w:val="center"/>
          </w:tcPr>
          <w:p w14:paraId="5197C40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464897E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0" w:type="dxa"/>
            <w:gridSpan w:val="2"/>
            <w:tcBorders>
              <w:top w:val="single" w:sz="4" w:space="0" w:color="auto"/>
              <w:left w:val="single" w:sz="4" w:space="0" w:color="auto"/>
            </w:tcBorders>
            <w:vAlign w:val="center"/>
          </w:tcPr>
          <w:p w14:paraId="69F7BAA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5FC074A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50" w:type="dxa"/>
            <w:gridSpan w:val="2"/>
            <w:tcBorders>
              <w:top w:val="single" w:sz="4" w:space="0" w:color="auto"/>
              <w:left w:val="single" w:sz="4" w:space="0" w:color="auto"/>
            </w:tcBorders>
            <w:vAlign w:val="center"/>
          </w:tcPr>
          <w:p w14:paraId="7549132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7" w:type="dxa"/>
            <w:gridSpan w:val="2"/>
            <w:tcBorders>
              <w:top w:val="single" w:sz="4" w:space="0" w:color="auto"/>
              <w:left w:val="single" w:sz="4" w:space="0" w:color="auto"/>
            </w:tcBorders>
            <w:vAlign w:val="center"/>
          </w:tcPr>
          <w:p w14:paraId="0F706DC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67301E2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3"/>
            <w:tcBorders>
              <w:top w:val="single" w:sz="4" w:space="0" w:color="auto"/>
              <w:left w:val="single" w:sz="4" w:space="0" w:color="auto"/>
            </w:tcBorders>
            <w:vAlign w:val="center"/>
          </w:tcPr>
          <w:p w14:paraId="3C023E4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6" w:type="dxa"/>
            <w:tcBorders>
              <w:top w:val="single" w:sz="4" w:space="0" w:color="auto"/>
              <w:left w:val="single" w:sz="4" w:space="0" w:color="auto"/>
            </w:tcBorders>
            <w:vAlign w:val="center"/>
          </w:tcPr>
          <w:p w14:paraId="3D1BD76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1" w:type="dxa"/>
            <w:tcBorders>
              <w:top w:val="single" w:sz="4" w:space="0" w:color="auto"/>
              <w:left w:val="single" w:sz="4" w:space="0" w:color="auto"/>
            </w:tcBorders>
            <w:vAlign w:val="center"/>
          </w:tcPr>
          <w:p w14:paraId="70243BD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3917F59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2" w:type="dxa"/>
            <w:gridSpan w:val="3"/>
            <w:tcBorders>
              <w:top w:val="single" w:sz="4" w:space="0" w:color="auto"/>
              <w:left w:val="single" w:sz="4" w:space="0" w:color="auto"/>
            </w:tcBorders>
            <w:vAlign w:val="center"/>
          </w:tcPr>
          <w:p w14:paraId="6735063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78" w:type="dxa"/>
            <w:tcBorders>
              <w:top w:val="single" w:sz="4" w:space="0" w:color="auto"/>
              <w:left w:val="single" w:sz="4" w:space="0" w:color="auto"/>
              <w:right w:val="single" w:sz="4" w:space="0" w:color="auto"/>
            </w:tcBorders>
            <w:vAlign w:val="center"/>
          </w:tcPr>
          <w:p w14:paraId="783BF81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67B6EC20" w14:textId="77777777">
        <w:trPr>
          <w:trHeight w:val="86"/>
        </w:trPr>
        <w:tc>
          <w:tcPr>
            <w:tcW w:w="943" w:type="dxa"/>
            <w:tcBorders>
              <w:top w:val="single" w:sz="4" w:space="0" w:color="auto"/>
              <w:left w:val="single" w:sz="4" w:space="0" w:color="auto"/>
            </w:tcBorders>
            <w:tcMar>
              <w:left w:w="0" w:type="dxa"/>
            </w:tcMar>
            <w:vAlign w:val="center"/>
          </w:tcPr>
          <w:p w14:paraId="3B26783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23</w:t>
            </w:r>
          </w:p>
        </w:tc>
        <w:tc>
          <w:tcPr>
            <w:tcW w:w="1799" w:type="dxa"/>
            <w:tcBorders>
              <w:top w:val="single" w:sz="4" w:space="0" w:color="auto"/>
              <w:left w:val="single" w:sz="4" w:space="0" w:color="auto"/>
            </w:tcBorders>
            <w:vAlign w:val="center"/>
          </w:tcPr>
          <w:p w14:paraId="4DDEA64E"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Egenkapitalinstrumenter</w:t>
            </w:r>
          </w:p>
        </w:tc>
        <w:tc>
          <w:tcPr>
            <w:tcW w:w="395" w:type="dxa"/>
            <w:tcBorders>
              <w:top w:val="single" w:sz="4" w:space="0" w:color="auto"/>
              <w:left w:val="single" w:sz="4" w:space="0" w:color="auto"/>
            </w:tcBorders>
            <w:vAlign w:val="center"/>
          </w:tcPr>
          <w:p w14:paraId="719ECD6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743A1AA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741CF11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shd w:val="clear" w:color="auto" w:fill="000000"/>
            <w:vAlign w:val="center"/>
          </w:tcPr>
          <w:p w14:paraId="155A3F1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4233750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4B1D6A4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4284073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5E16348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shd w:val="clear" w:color="auto" w:fill="000000"/>
            <w:vAlign w:val="center"/>
          </w:tcPr>
          <w:p w14:paraId="14EB086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17AEF31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2DB0D41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73C506D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vMerge w:val="restart"/>
            <w:tcBorders>
              <w:top w:val="single" w:sz="4" w:space="0" w:color="auto"/>
            </w:tcBorders>
            <w:shd w:val="clear" w:color="auto" w:fill="000000"/>
            <w:vAlign w:val="center"/>
          </w:tcPr>
          <w:p w14:paraId="68A43E7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tcBorders>
            <w:vAlign w:val="center"/>
          </w:tcPr>
          <w:p w14:paraId="7FFC7B3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141105F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6C1DB14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000000"/>
            <w:vAlign w:val="center"/>
          </w:tcPr>
          <w:p w14:paraId="4A281DD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000D513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19F186D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61CEDA7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tcBorders>
            <w:shd w:val="clear" w:color="auto" w:fill="000000"/>
            <w:vAlign w:val="center"/>
          </w:tcPr>
          <w:p w14:paraId="57A0187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tcBorders>
            <w:vAlign w:val="center"/>
          </w:tcPr>
          <w:p w14:paraId="33D7399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62C91DB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5885B05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tcBorders>
            <w:shd w:val="clear" w:color="auto" w:fill="000000"/>
            <w:vAlign w:val="center"/>
          </w:tcPr>
          <w:p w14:paraId="1BCC23E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3"/>
            <w:tcBorders>
              <w:top w:val="single" w:sz="4" w:space="0" w:color="auto"/>
            </w:tcBorders>
            <w:vAlign w:val="center"/>
          </w:tcPr>
          <w:p w14:paraId="0189096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tcBorders>
              <w:top w:val="single" w:sz="4" w:space="0" w:color="auto"/>
              <w:left w:val="single" w:sz="4" w:space="0" w:color="auto"/>
            </w:tcBorders>
            <w:vAlign w:val="center"/>
          </w:tcPr>
          <w:p w14:paraId="013AF47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4DC11B4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000000"/>
            <w:vAlign w:val="center"/>
          </w:tcPr>
          <w:p w14:paraId="043F371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3"/>
            <w:tcBorders>
              <w:top w:val="single" w:sz="4" w:space="0" w:color="auto"/>
              <w:left w:val="single" w:sz="4" w:space="0" w:color="auto"/>
            </w:tcBorders>
            <w:vAlign w:val="center"/>
          </w:tcPr>
          <w:p w14:paraId="08300CA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3661F9B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3A32A27C" w14:textId="77777777">
        <w:trPr>
          <w:trHeight w:val="90"/>
        </w:trPr>
        <w:tc>
          <w:tcPr>
            <w:tcW w:w="943" w:type="dxa"/>
            <w:tcBorders>
              <w:top w:val="single" w:sz="4" w:space="0" w:color="auto"/>
              <w:left w:val="single" w:sz="4" w:space="0" w:color="auto"/>
            </w:tcBorders>
            <w:tcMar>
              <w:left w:w="0" w:type="dxa"/>
            </w:tcMar>
            <w:vAlign w:val="center"/>
          </w:tcPr>
          <w:p w14:paraId="6F8D7C5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24</w:t>
            </w:r>
          </w:p>
        </w:tc>
        <w:tc>
          <w:tcPr>
            <w:tcW w:w="1799" w:type="dxa"/>
            <w:tcBorders>
              <w:top w:val="single" w:sz="4" w:space="0" w:color="auto"/>
              <w:left w:val="single" w:sz="4" w:space="0" w:color="auto"/>
            </w:tcBorders>
            <w:vAlign w:val="center"/>
          </w:tcPr>
          <w:p w14:paraId="21E8D57A" w14:textId="77777777" w:rsidR="006561BA" w:rsidRDefault="005B4ED6">
            <w:pPr>
              <w:widowControl w:val="0"/>
              <w:shd w:val="clear" w:color="auto" w:fill="auto"/>
              <w:spacing w:after="0" w:line="240" w:lineRule="auto"/>
              <w:ind w:left="102"/>
              <w:jc w:val="left"/>
              <w:rPr>
                <w:rFonts w:ascii="Helvetica" w:eastAsia="Arial Unicode MS" w:hAnsi="Helvetica" w:cs="Helvetica"/>
                <w:color w:val="000000"/>
                <w:sz w:val="6"/>
                <w:szCs w:val="6"/>
              </w:rPr>
            </w:pPr>
            <w:r>
              <w:rPr>
                <w:rFonts w:ascii="Helvetica" w:hAnsi="Helvetica"/>
                <w:b/>
                <w:color w:val="000000"/>
                <w:sz w:val="6"/>
              </w:rPr>
              <w:t>Husholdninger</w:t>
            </w:r>
          </w:p>
        </w:tc>
        <w:tc>
          <w:tcPr>
            <w:tcW w:w="395" w:type="dxa"/>
            <w:tcBorders>
              <w:top w:val="single" w:sz="4" w:space="0" w:color="auto"/>
              <w:left w:val="single" w:sz="4" w:space="0" w:color="auto"/>
            </w:tcBorders>
            <w:vAlign w:val="center"/>
          </w:tcPr>
          <w:p w14:paraId="7C526D2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0131739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612C313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left w:val="single" w:sz="4" w:space="0" w:color="auto"/>
            </w:tcBorders>
            <w:vAlign w:val="center"/>
          </w:tcPr>
          <w:p w14:paraId="7768B7C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075F972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793673D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390682D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49D6C25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left w:val="single" w:sz="4" w:space="0" w:color="auto"/>
            </w:tcBorders>
            <w:vAlign w:val="center"/>
          </w:tcPr>
          <w:p w14:paraId="4EEA084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034B632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781" w:type="dxa"/>
            <w:gridSpan w:val="3"/>
            <w:shd w:val="clear" w:color="auto" w:fill="000000"/>
            <w:vAlign w:val="center"/>
          </w:tcPr>
          <w:p w14:paraId="7E26C7B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vMerge/>
            <w:shd w:val="clear" w:color="auto" w:fill="000000"/>
            <w:vAlign w:val="center"/>
          </w:tcPr>
          <w:p w14:paraId="30C7E84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shd w:val="clear" w:color="auto" w:fill="000000"/>
            <w:vAlign w:val="center"/>
          </w:tcPr>
          <w:p w14:paraId="0027033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tcBorders>
            <w:vAlign w:val="center"/>
          </w:tcPr>
          <w:p w14:paraId="73B37F3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4824553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vAlign w:val="center"/>
          </w:tcPr>
          <w:p w14:paraId="34E53CE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595E264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680" w:type="dxa"/>
            <w:gridSpan w:val="3"/>
            <w:shd w:val="clear" w:color="auto" w:fill="000000"/>
            <w:vAlign w:val="center"/>
          </w:tcPr>
          <w:p w14:paraId="0BF08DF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shd w:val="clear" w:color="auto" w:fill="000000"/>
            <w:vAlign w:val="center"/>
          </w:tcPr>
          <w:p w14:paraId="26836B2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025" w:type="dxa"/>
            <w:gridSpan w:val="6"/>
            <w:shd w:val="clear" w:color="auto" w:fill="000000"/>
            <w:vAlign w:val="center"/>
          </w:tcPr>
          <w:p w14:paraId="1AB2FEB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shd w:val="clear" w:color="auto" w:fill="000000"/>
            <w:vAlign w:val="center"/>
          </w:tcPr>
          <w:p w14:paraId="5FE20E1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3"/>
            <w:shd w:val="clear" w:color="auto" w:fill="000000"/>
            <w:vAlign w:val="center"/>
          </w:tcPr>
          <w:p w14:paraId="7E42715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tcBorders>
              <w:top w:val="single" w:sz="4" w:space="0" w:color="auto"/>
            </w:tcBorders>
            <w:vAlign w:val="center"/>
          </w:tcPr>
          <w:p w14:paraId="5604497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7D84238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vAlign w:val="center"/>
          </w:tcPr>
          <w:p w14:paraId="51544AE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3"/>
            <w:tcBorders>
              <w:top w:val="single" w:sz="4" w:space="0" w:color="auto"/>
              <w:left w:val="single" w:sz="4" w:space="0" w:color="auto"/>
            </w:tcBorders>
            <w:vAlign w:val="center"/>
          </w:tcPr>
          <w:p w14:paraId="29C9B3B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3A0057B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42E17468" w14:textId="77777777">
        <w:trPr>
          <w:trHeight w:val="84"/>
        </w:trPr>
        <w:tc>
          <w:tcPr>
            <w:tcW w:w="943" w:type="dxa"/>
            <w:tcBorders>
              <w:top w:val="single" w:sz="4" w:space="0" w:color="auto"/>
              <w:left w:val="single" w:sz="4" w:space="0" w:color="auto"/>
            </w:tcBorders>
            <w:tcMar>
              <w:left w:w="0" w:type="dxa"/>
            </w:tcMar>
            <w:vAlign w:val="center"/>
          </w:tcPr>
          <w:p w14:paraId="43904B0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25</w:t>
            </w:r>
          </w:p>
        </w:tc>
        <w:tc>
          <w:tcPr>
            <w:tcW w:w="1799" w:type="dxa"/>
            <w:tcBorders>
              <w:top w:val="single" w:sz="4" w:space="0" w:color="auto"/>
              <w:left w:val="single" w:sz="4" w:space="0" w:color="auto"/>
            </w:tcBorders>
            <w:vAlign w:val="center"/>
          </w:tcPr>
          <w:p w14:paraId="119C5A64"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hvorav lån med sikkerhet i boligeiendommer</w:t>
            </w:r>
          </w:p>
        </w:tc>
        <w:tc>
          <w:tcPr>
            <w:tcW w:w="395" w:type="dxa"/>
            <w:tcBorders>
              <w:top w:val="single" w:sz="4" w:space="0" w:color="auto"/>
              <w:left w:val="single" w:sz="4" w:space="0" w:color="auto"/>
            </w:tcBorders>
            <w:vAlign w:val="center"/>
          </w:tcPr>
          <w:p w14:paraId="36445CE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56" w:type="dxa"/>
            <w:tcBorders>
              <w:top w:val="single" w:sz="4" w:space="0" w:color="auto"/>
              <w:left w:val="single" w:sz="4" w:space="0" w:color="auto"/>
            </w:tcBorders>
            <w:vAlign w:val="center"/>
          </w:tcPr>
          <w:p w14:paraId="77AE15E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2"/>
            <w:tcBorders>
              <w:top w:val="single" w:sz="4" w:space="0" w:color="auto"/>
              <w:left w:val="single" w:sz="4" w:space="0" w:color="auto"/>
            </w:tcBorders>
            <w:vAlign w:val="center"/>
          </w:tcPr>
          <w:p w14:paraId="6C8B8AB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39" w:type="dxa"/>
            <w:gridSpan w:val="2"/>
            <w:tcBorders>
              <w:top w:val="single" w:sz="4" w:space="0" w:color="auto"/>
              <w:left w:val="single" w:sz="4" w:space="0" w:color="auto"/>
            </w:tcBorders>
            <w:vAlign w:val="center"/>
          </w:tcPr>
          <w:p w14:paraId="4055B77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9" w:type="dxa"/>
            <w:gridSpan w:val="2"/>
            <w:tcBorders>
              <w:top w:val="single" w:sz="4" w:space="0" w:color="auto"/>
              <w:left w:val="single" w:sz="4" w:space="0" w:color="auto"/>
            </w:tcBorders>
            <w:vAlign w:val="center"/>
          </w:tcPr>
          <w:p w14:paraId="336B5AF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72" w:type="dxa"/>
            <w:gridSpan w:val="3"/>
            <w:tcBorders>
              <w:top w:val="single" w:sz="4" w:space="0" w:color="auto"/>
              <w:left w:val="single" w:sz="4" w:space="0" w:color="auto"/>
            </w:tcBorders>
            <w:vAlign w:val="center"/>
          </w:tcPr>
          <w:p w14:paraId="388DABA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17" w:type="dxa"/>
            <w:tcBorders>
              <w:top w:val="single" w:sz="4" w:space="0" w:color="auto"/>
              <w:left w:val="single" w:sz="4" w:space="0" w:color="auto"/>
            </w:tcBorders>
            <w:vAlign w:val="center"/>
          </w:tcPr>
          <w:p w14:paraId="2DFF953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97" w:type="dxa"/>
            <w:gridSpan w:val="2"/>
            <w:tcBorders>
              <w:top w:val="single" w:sz="4" w:space="0" w:color="auto"/>
              <w:left w:val="single" w:sz="4" w:space="0" w:color="auto"/>
            </w:tcBorders>
            <w:vAlign w:val="center"/>
          </w:tcPr>
          <w:p w14:paraId="410C2D8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2" w:type="dxa"/>
            <w:gridSpan w:val="2"/>
            <w:tcBorders>
              <w:top w:val="single" w:sz="4" w:space="0" w:color="auto"/>
              <w:left w:val="single" w:sz="4" w:space="0" w:color="auto"/>
            </w:tcBorders>
            <w:vAlign w:val="center"/>
          </w:tcPr>
          <w:p w14:paraId="0B3A957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6185BE4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1515" w:type="dxa"/>
            <w:gridSpan w:val="7"/>
            <w:vMerge w:val="restart"/>
            <w:shd w:val="clear" w:color="auto" w:fill="000000"/>
            <w:vAlign w:val="center"/>
          </w:tcPr>
          <w:p w14:paraId="62E1191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75" w:type="dxa"/>
            <w:gridSpan w:val="2"/>
            <w:tcBorders>
              <w:top w:val="single" w:sz="4" w:space="0" w:color="auto"/>
            </w:tcBorders>
            <w:vAlign w:val="center"/>
          </w:tcPr>
          <w:p w14:paraId="708C276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8" w:type="dxa"/>
            <w:gridSpan w:val="2"/>
            <w:tcBorders>
              <w:top w:val="single" w:sz="4" w:space="0" w:color="auto"/>
              <w:left w:val="single" w:sz="4" w:space="0" w:color="auto"/>
            </w:tcBorders>
            <w:vAlign w:val="center"/>
          </w:tcPr>
          <w:p w14:paraId="4BD1508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380BDD8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5" w:type="dxa"/>
            <w:gridSpan w:val="2"/>
            <w:tcBorders>
              <w:top w:val="single" w:sz="4" w:space="0" w:color="auto"/>
              <w:left w:val="single" w:sz="4" w:space="0" w:color="auto"/>
            </w:tcBorders>
            <w:vAlign w:val="center"/>
          </w:tcPr>
          <w:p w14:paraId="3A3D851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1" w:type="dxa"/>
            <w:gridSpan w:val="16"/>
            <w:vMerge w:val="restart"/>
            <w:shd w:val="clear" w:color="auto" w:fill="000000"/>
            <w:vAlign w:val="center"/>
          </w:tcPr>
          <w:p w14:paraId="65288EE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6" w:type="dxa"/>
            <w:tcBorders>
              <w:top w:val="single" w:sz="4" w:space="0" w:color="auto"/>
            </w:tcBorders>
            <w:vAlign w:val="center"/>
          </w:tcPr>
          <w:p w14:paraId="5FFF77A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1" w:type="dxa"/>
            <w:tcBorders>
              <w:top w:val="single" w:sz="4" w:space="0" w:color="auto"/>
              <w:left w:val="single" w:sz="4" w:space="0" w:color="auto"/>
            </w:tcBorders>
            <w:vAlign w:val="center"/>
          </w:tcPr>
          <w:p w14:paraId="669D466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3AA30BB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2" w:type="dxa"/>
            <w:gridSpan w:val="3"/>
            <w:tcBorders>
              <w:top w:val="single" w:sz="4" w:space="0" w:color="auto"/>
              <w:left w:val="single" w:sz="4" w:space="0" w:color="auto"/>
            </w:tcBorders>
            <w:vAlign w:val="center"/>
          </w:tcPr>
          <w:p w14:paraId="1C04BEE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78" w:type="dxa"/>
            <w:tcBorders>
              <w:top w:val="single" w:sz="4" w:space="0" w:color="auto"/>
              <w:left w:val="single" w:sz="4" w:space="0" w:color="auto"/>
              <w:right w:val="single" w:sz="4" w:space="0" w:color="auto"/>
            </w:tcBorders>
            <w:vAlign w:val="center"/>
          </w:tcPr>
          <w:p w14:paraId="7D1C547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4CA1F2D3" w14:textId="77777777">
        <w:trPr>
          <w:trHeight w:val="83"/>
        </w:trPr>
        <w:tc>
          <w:tcPr>
            <w:tcW w:w="943" w:type="dxa"/>
            <w:tcBorders>
              <w:top w:val="single" w:sz="4" w:space="0" w:color="auto"/>
              <w:left w:val="single" w:sz="4" w:space="0" w:color="auto"/>
            </w:tcBorders>
            <w:tcMar>
              <w:left w:w="0" w:type="dxa"/>
            </w:tcMar>
            <w:vAlign w:val="center"/>
          </w:tcPr>
          <w:p w14:paraId="5E3B9A8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26</w:t>
            </w:r>
          </w:p>
        </w:tc>
        <w:tc>
          <w:tcPr>
            <w:tcW w:w="1799" w:type="dxa"/>
            <w:tcBorders>
              <w:top w:val="single" w:sz="4" w:space="0" w:color="auto"/>
              <w:left w:val="single" w:sz="4" w:space="0" w:color="auto"/>
            </w:tcBorders>
            <w:vAlign w:val="center"/>
          </w:tcPr>
          <w:p w14:paraId="2FA38089"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 xml:space="preserve">hvorav lån til </w:t>
            </w:r>
            <w:proofErr w:type="spellStart"/>
            <w:r>
              <w:rPr>
                <w:rFonts w:ascii="Helvetica" w:hAnsi="Helvetica"/>
                <w:color w:val="383838"/>
                <w:sz w:val="6"/>
              </w:rPr>
              <w:t>byggrenovering</w:t>
            </w:r>
            <w:proofErr w:type="spellEnd"/>
          </w:p>
        </w:tc>
        <w:tc>
          <w:tcPr>
            <w:tcW w:w="395" w:type="dxa"/>
            <w:tcBorders>
              <w:top w:val="single" w:sz="4" w:space="0" w:color="auto"/>
              <w:left w:val="single" w:sz="4" w:space="0" w:color="auto"/>
            </w:tcBorders>
            <w:vAlign w:val="center"/>
          </w:tcPr>
          <w:p w14:paraId="2E86E5A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0825285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148A327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vAlign w:val="center"/>
          </w:tcPr>
          <w:p w14:paraId="14BE6E9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68A5B0F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37837F6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4ABA58D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69EE4D0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vAlign w:val="center"/>
          </w:tcPr>
          <w:p w14:paraId="760EC09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2F003F8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515" w:type="dxa"/>
            <w:gridSpan w:val="7"/>
            <w:vMerge/>
            <w:shd w:val="clear" w:color="auto" w:fill="000000"/>
            <w:vAlign w:val="center"/>
          </w:tcPr>
          <w:p w14:paraId="3791AE2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tcBorders>
            <w:vAlign w:val="center"/>
          </w:tcPr>
          <w:p w14:paraId="6AD2EA0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386902E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2FA15B9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5C42A8F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1" w:type="dxa"/>
            <w:gridSpan w:val="16"/>
            <w:vMerge/>
            <w:shd w:val="clear" w:color="auto" w:fill="000000"/>
            <w:vAlign w:val="center"/>
          </w:tcPr>
          <w:p w14:paraId="0459A73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tcBorders>
              <w:top w:val="single" w:sz="4" w:space="0" w:color="auto"/>
            </w:tcBorders>
            <w:vAlign w:val="center"/>
          </w:tcPr>
          <w:p w14:paraId="7E6F958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19C86BF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38E3537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3"/>
            <w:tcBorders>
              <w:top w:val="single" w:sz="4" w:space="0" w:color="auto"/>
              <w:left w:val="single" w:sz="4" w:space="0" w:color="auto"/>
            </w:tcBorders>
            <w:vAlign w:val="center"/>
          </w:tcPr>
          <w:p w14:paraId="04063A4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7DF5754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5047DE01" w14:textId="77777777">
        <w:trPr>
          <w:trHeight w:val="86"/>
        </w:trPr>
        <w:tc>
          <w:tcPr>
            <w:tcW w:w="943" w:type="dxa"/>
            <w:tcBorders>
              <w:top w:val="single" w:sz="4" w:space="0" w:color="auto"/>
              <w:left w:val="single" w:sz="4" w:space="0" w:color="auto"/>
            </w:tcBorders>
            <w:tcMar>
              <w:left w:w="0" w:type="dxa"/>
            </w:tcMar>
            <w:vAlign w:val="center"/>
          </w:tcPr>
          <w:p w14:paraId="7BED5932"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27</w:t>
            </w:r>
          </w:p>
        </w:tc>
        <w:tc>
          <w:tcPr>
            <w:tcW w:w="1799" w:type="dxa"/>
            <w:tcBorders>
              <w:top w:val="single" w:sz="4" w:space="0" w:color="auto"/>
              <w:left w:val="single" w:sz="4" w:space="0" w:color="auto"/>
            </w:tcBorders>
            <w:vAlign w:val="center"/>
          </w:tcPr>
          <w:p w14:paraId="5B83DD7B"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000000"/>
                <w:sz w:val="6"/>
              </w:rPr>
              <w:t>hvorav billån</w:t>
            </w:r>
          </w:p>
        </w:tc>
        <w:tc>
          <w:tcPr>
            <w:tcW w:w="395" w:type="dxa"/>
            <w:tcBorders>
              <w:top w:val="single" w:sz="4" w:space="0" w:color="auto"/>
              <w:left w:val="single" w:sz="4" w:space="0" w:color="auto"/>
            </w:tcBorders>
            <w:vAlign w:val="center"/>
          </w:tcPr>
          <w:p w14:paraId="6CD49D8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33AB7EA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5526EBB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vAlign w:val="center"/>
          </w:tcPr>
          <w:p w14:paraId="512EA36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053F75E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6E9B877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shd w:val="clear" w:color="auto" w:fill="000000" w:themeFill="text1"/>
            <w:vAlign w:val="center"/>
          </w:tcPr>
          <w:p w14:paraId="5FA9E5C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shd w:val="clear" w:color="auto" w:fill="000000" w:themeFill="text1"/>
            <w:vAlign w:val="center"/>
          </w:tcPr>
          <w:p w14:paraId="13E110F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shd w:val="clear" w:color="auto" w:fill="000000" w:themeFill="text1"/>
            <w:vAlign w:val="center"/>
          </w:tcPr>
          <w:p w14:paraId="3C55598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shd w:val="clear" w:color="auto" w:fill="000000" w:themeFill="text1"/>
            <w:vAlign w:val="center"/>
          </w:tcPr>
          <w:p w14:paraId="315882E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515" w:type="dxa"/>
            <w:gridSpan w:val="7"/>
            <w:vMerge/>
            <w:shd w:val="clear" w:color="auto" w:fill="000000"/>
            <w:vAlign w:val="center"/>
          </w:tcPr>
          <w:p w14:paraId="2BA2E99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tcBorders>
            <w:shd w:val="clear" w:color="auto" w:fill="000000" w:themeFill="text1"/>
            <w:vAlign w:val="center"/>
          </w:tcPr>
          <w:p w14:paraId="23E7B0C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shd w:val="clear" w:color="auto" w:fill="000000" w:themeFill="text1"/>
            <w:vAlign w:val="center"/>
          </w:tcPr>
          <w:p w14:paraId="0A7680B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000000" w:themeFill="text1"/>
            <w:vAlign w:val="center"/>
          </w:tcPr>
          <w:p w14:paraId="7F35AB7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shd w:val="clear" w:color="auto" w:fill="000000" w:themeFill="text1"/>
            <w:vAlign w:val="center"/>
          </w:tcPr>
          <w:p w14:paraId="48FF3DF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1" w:type="dxa"/>
            <w:gridSpan w:val="16"/>
            <w:vMerge/>
            <w:shd w:val="clear" w:color="auto" w:fill="000000"/>
            <w:vAlign w:val="center"/>
          </w:tcPr>
          <w:p w14:paraId="02F9B2E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tcBorders>
              <w:top w:val="single" w:sz="4" w:space="0" w:color="auto"/>
            </w:tcBorders>
            <w:vAlign w:val="center"/>
          </w:tcPr>
          <w:p w14:paraId="4051374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06C1DC0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562315D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3"/>
            <w:tcBorders>
              <w:top w:val="single" w:sz="4" w:space="0" w:color="auto"/>
              <w:left w:val="single" w:sz="4" w:space="0" w:color="auto"/>
            </w:tcBorders>
            <w:vAlign w:val="center"/>
          </w:tcPr>
          <w:p w14:paraId="1B08D6E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3D285B6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2A7FC4F4" w14:textId="77777777">
        <w:trPr>
          <w:trHeight w:val="90"/>
        </w:trPr>
        <w:tc>
          <w:tcPr>
            <w:tcW w:w="943" w:type="dxa"/>
            <w:tcBorders>
              <w:top w:val="single" w:sz="4" w:space="0" w:color="auto"/>
              <w:left w:val="single" w:sz="4" w:space="0" w:color="auto"/>
            </w:tcBorders>
            <w:tcMar>
              <w:left w:w="0" w:type="dxa"/>
            </w:tcMar>
            <w:vAlign w:val="center"/>
          </w:tcPr>
          <w:p w14:paraId="701CA6C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28</w:t>
            </w:r>
          </w:p>
        </w:tc>
        <w:tc>
          <w:tcPr>
            <w:tcW w:w="1799" w:type="dxa"/>
            <w:tcBorders>
              <w:top w:val="single" w:sz="4" w:space="0" w:color="auto"/>
              <w:left w:val="single" w:sz="4" w:space="0" w:color="auto"/>
            </w:tcBorders>
            <w:vAlign w:val="center"/>
          </w:tcPr>
          <w:p w14:paraId="1637E988" w14:textId="77777777" w:rsidR="006561BA" w:rsidRDefault="005B4ED6">
            <w:pPr>
              <w:widowControl w:val="0"/>
              <w:shd w:val="clear" w:color="auto" w:fill="auto"/>
              <w:spacing w:after="0" w:line="240" w:lineRule="auto"/>
              <w:ind w:left="102"/>
              <w:jc w:val="left"/>
              <w:rPr>
                <w:rFonts w:ascii="Helvetica" w:eastAsia="Arial Unicode MS" w:hAnsi="Helvetica" w:cs="Helvetica"/>
                <w:b/>
                <w:color w:val="000000"/>
                <w:sz w:val="6"/>
                <w:szCs w:val="6"/>
              </w:rPr>
            </w:pPr>
            <w:r>
              <w:rPr>
                <w:rFonts w:ascii="Helvetica" w:hAnsi="Helvetica"/>
                <w:b/>
                <w:color w:val="000000"/>
                <w:sz w:val="6"/>
              </w:rPr>
              <w:t>Finansiering til lokale myndigheter</w:t>
            </w:r>
          </w:p>
        </w:tc>
        <w:tc>
          <w:tcPr>
            <w:tcW w:w="395" w:type="dxa"/>
            <w:tcBorders>
              <w:top w:val="single" w:sz="4" w:space="0" w:color="auto"/>
              <w:left w:val="single" w:sz="4" w:space="0" w:color="auto"/>
            </w:tcBorders>
            <w:vAlign w:val="center"/>
          </w:tcPr>
          <w:p w14:paraId="7A06BEF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6FD95BF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00AA7A0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vAlign w:val="center"/>
          </w:tcPr>
          <w:p w14:paraId="27187A9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7124E6F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2FBCDEA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7BB7150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39AE44E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vAlign w:val="center"/>
          </w:tcPr>
          <w:p w14:paraId="6D96DEF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4FF54DC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left w:val="single" w:sz="4" w:space="0" w:color="auto"/>
            </w:tcBorders>
            <w:vAlign w:val="center"/>
          </w:tcPr>
          <w:p w14:paraId="10B68CD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left w:val="single" w:sz="4" w:space="0" w:color="auto"/>
            </w:tcBorders>
            <w:vAlign w:val="center"/>
          </w:tcPr>
          <w:p w14:paraId="4644CB2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vAlign w:val="center"/>
          </w:tcPr>
          <w:p w14:paraId="5832448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left w:val="single" w:sz="4" w:space="0" w:color="auto"/>
            </w:tcBorders>
            <w:vAlign w:val="center"/>
          </w:tcPr>
          <w:p w14:paraId="1B7AB83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4DFA0E6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0D06E83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5D06A62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6320CD6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left w:val="single" w:sz="4" w:space="0" w:color="auto"/>
            </w:tcBorders>
            <w:vAlign w:val="center"/>
          </w:tcPr>
          <w:p w14:paraId="7C75D5B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left w:val="single" w:sz="4" w:space="0" w:color="auto"/>
            </w:tcBorders>
            <w:vAlign w:val="center"/>
          </w:tcPr>
          <w:p w14:paraId="4F93D43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left w:val="single" w:sz="4" w:space="0" w:color="auto"/>
            </w:tcBorders>
            <w:vAlign w:val="center"/>
          </w:tcPr>
          <w:p w14:paraId="754252E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left w:val="single" w:sz="4" w:space="0" w:color="auto"/>
            </w:tcBorders>
            <w:vAlign w:val="center"/>
          </w:tcPr>
          <w:p w14:paraId="0C74000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left w:val="single" w:sz="4" w:space="0" w:color="auto"/>
            </w:tcBorders>
            <w:vAlign w:val="center"/>
          </w:tcPr>
          <w:p w14:paraId="5930D8F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left w:val="single" w:sz="4" w:space="0" w:color="auto"/>
            </w:tcBorders>
            <w:vAlign w:val="center"/>
          </w:tcPr>
          <w:p w14:paraId="41FF605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vAlign w:val="center"/>
          </w:tcPr>
          <w:p w14:paraId="7D1F5AF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3"/>
            <w:tcBorders>
              <w:left w:val="single" w:sz="4" w:space="0" w:color="auto"/>
            </w:tcBorders>
            <w:vAlign w:val="center"/>
          </w:tcPr>
          <w:p w14:paraId="36F2B25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tcBorders>
              <w:top w:val="single" w:sz="4" w:space="0" w:color="auto"/>
              <w:left w:val="single" w:sz="4" w:space="0" w:color="auto"/>
            </w:tcBorders>
            <w:vAlign w:val="center"/>
          </w:tcPr>
          <w:p w14:paraId="17B18FC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11E6622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4E50FC6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3"/>
            <w:tcBorders>
              <w:top w:val="single" w:sz="4" w:space="0" w:color="auto"/>
              <w:left w:val="single" w:sz="4" w:space="0" w:color="auto"/>
            </w:tcBorders>
            <w:vAlign w:val="center"/>
          </w:tcPr>
          <w:p w14:paraId="13EF49F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5DF5671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482F17A3" w14:textId="77777777">
        <w:trPr>
          <w:trHeight w:val="83"/>
        </w:trPr>
        <w:tc>
          <w:tcPr>
            <w:tcW w:w="943" w:type="dxa"/>
            <w:tcBorders>
              <w:top w:val="single" w:sz="4" w:space="0" w:color="auto"/>
              <w:left w:val="single" w:sz="4" w:space="0" w:color="auto"/>
            </w:tcBorders>
            <w:tcMar>
              <w:left w:w="0" w:type="dxa"/>
            </w:tcMar>
            <w:vAlign w:val="center"/>
          </w:tcPr>
          <w:p w14:paraId="02B38CF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29</w:t>
            </w:r>
          </w:p>
        </w:tc>
        <w:tc>
          <w:tcPr>
            <w:tcW w:w="1799" w:type="dxa"/>
            <w:tcBorders>
              <w:top w:val="single" w:sz="4" w:space="0" w:color="auto"/>
              <w:left w:val="single" w:sz="4" w:space="0" w:color="auto"/>
            </w:tcBorders>
            <w:vAlign w:val="center"/>
          </w:tcPr>
          <w:p w14:paraId="3D33049E"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Boligfinansiering</w:t>
            </w:r>
          </w:p>
        </w:tc>
        <w:tc>
          <w:tcPr>
            <w:tcW w:w="395" w:type="dxa"/>
            <w:tcBorders>
              <w:top w:val="single" w:sz="4" w:space="0" w:color="auto"/>
              <w:left w:val="single" w:sz="4" w:space="0" w:color="auto"/>
            </w:tcBorders>
            <w:vAlign w:val="center"/>
          </w:tcPr>
          <w:p w14:paraId="6945000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171F339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2309CA1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vAlign w:val="center"/>
          </w:tcPr>
          <w:p w14:paraId="4999D53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2D94FC5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47A258C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3A34675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076E46E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vAlign w:val="center"/>
          </w:tcPr>
          <w:p w14:paraId="2CA3103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06B2EBD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190DB43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3DC6EB5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133FF24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173F519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7328AFC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7AEBE3B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468BEAE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00BE75E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25BE19A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08EAE36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vAlign w:val="center"/>
          </w:tcPr>
          <w:p w14:paraId="3621B8B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46B76C8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05CC445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0865FB9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4B71CF1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3"/>
            <w:tcBorders>
              <w:top w:val="single" w:sz="4" w:space="0" w:color="auto"/>
              <w:left w:val="single" w:sz="4" w:space="0" w:color="auto"/>
            </w:tcBorders>
            <w:vAlign w:val="center"/>
          </w:tcPr>
          <w:p w14:paraId="682242C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tcBorders>
              <w:top w:val="single" w:sz="4" w:space="0" w:color="auto"/>
              <w:left w:val="single" w:sz="4" w:space="0" w:color="auto"/>
            </w:tcBorders>
            <w:vAlign w:val="center"/>
          </w:tcPr>
          <w:p w14:paraId="05699B1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3F6EF14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1E2A442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3"/>
            <w:tcBorders>
              <w:top w:val="single" w:sz="4" w:space="0" w:color="auto"/>
              <w:left w:val="single" w:sz="4" w:space="0" w:color="auto"/>
            </w:tcBorders>
            <w:vAlign w:val="center"/>
          </w:tcPr>
          <w:p w14:paraId="5685311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4EB9C7B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52A3AE3C" w14:textId="77777777">
        <w:trPr>
          <w:trHeight w:val="86"/>
        </w:trPr>
        <w:tc>
          <w:tcPr>
            <w:tcW w:w="943" w:type="dxa"/>
            <w:tcBorders>
              <w:top w:val="single" w:sz="4" w:space="0" w:color="auto"/>
              <w:left w:val="single" w:sz="4" w:space="0" w:color="auto"/>
            </w:tcBorders>
            <w:tcMar>
              <w:left w:w="0" w:type="dxa"/>
            </w:tcMar>
            <w:vAlign w:val="center"/>
          </w:tcPr>
          <w:p w14:paraId="51AA9A7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30</w:t>
            </w:r>
          </w:p>
        </w:tc>
        <w:tc>
          <w:tcPr>
            <w:tcW w:w="1799" w:type="dxa"/>
            <w:tcBorders>
              <w:top w:val="single" w:sz="4" w:space="0" w:color="auto"/>
              <w:left w:val="single" w:sz="4" w:space="0" w:color="auto"/>
            </w:tcBorders>
            <w:vAlign w:val="center"/>
          </w:tcPr>
          <w:p w14:paraId="18F571D3"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Annen finansiering av lokale myndigheter</w:t>
            </w:r>
          </w:p>
        </w:tc>
        <w:tc>
          <w:tcPr>
            <w:tcW w:w="395" w:type="dxa"/>
            <w:tcBorders>
              <w:top w:val="single" w:sz="4" w:space="0" w:color="auto"/>
              <w:left w:val="single" w:sz="4" w:space="0" w:color="auto"/>
            </w:tcBorders>
            <w:vAlign w:val="center"/>
          </w:tcPr>
          <w:p w14:paraId="1B1C58E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56" w:type="dxa"/>
            <w:tcBorders>
              <w:top w:val="single" w:sz="4" w:space="0" w:color="auto"/>
              <w:left w:val="single" w:sz="4" w:space="0" w:color="auto"/>
            </w:tcBorders>
            <w:vAlign w:val="center"/>
          </w:tcPr>
          <w:p w14:paraId="298BB16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2"/>
            <w:tcBorders>
              <w:top w:val="single" w:sz="4" w:space="0" w:color="auto"/>
              <w:left w:val="single" w:sz="4" w:space="0" w:color="auto"/>
            </w:tcBorders>
            <w:vAlign w:val="center"/>
          </w:tcPr>
          <w:p w14:paraId="6F2145D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39" w:type="dxa"/>
            <w:gridSpan w:val="2"/>
            <w:tcBorders>
              <w:top w:val="single" w:sz="4" w:space="0" w:color="auto"/>
              <w:left w:val="single" w:sz="4" w:space="0" w:color="auto"/>
            </w:tcBorders>
            <w:vAlign w:val="center"/>
          </w:tcPr>
          <w:p w14:paraId="6A81DE6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9" w:type="dxa"/>
            <w:gridSpan w:val="2"/>
            <w:tcBorders>
              <w:top w:val="single" w:sz="4" w:space="0" w:color="auto"/>
              <w:left w:val="single" w:sz="4" w:space="0" w:color="auto"/>
            </w:tcBorders>
            <w:vAlign w:val="center"/>
          </w:tcPr>
          <w:p w14:paraId="133E6C1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72" w:type="dxa"/>
            <w:gridSpan w:val="3"/>
            <w:tcBorders>
              <w:top w:val="single" w:sz="4" w:space="0" w:color="auto"/>
              <w:left w:val="single" w:sz="4" w:space="0" w:color="auto"/>
            </w:tcBorders>
            <w:vAlign w:val="center"/>
          </w:tcPr>
          <w:p w14:paraId="5CC5713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17" w:type="dxa"/>
            <w:tcBorders>
              <w:top w:val="single" w:sz="4" w:space="0" w:color="auto"/>
              <w:left w:val="single" w:sz="4" w:space="0" w:color="auto"/>
            </w:tcBorders>
            <w:vAlign w:val="center"/>
          </w:tcPr>
          <w:p w14:paraId="1D943F8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97" w:type="dxa"/>
            <w:gridSpan w:val="2"/>
            <w:tcBorders>
              <w:top w:val="single" w:sz="4" w:space="0" w:color="auto"/>
              <w:left w:val="single" w:sz="4" w:space="0" w:color="auto"/>
            </w:tcBorders>
            <w:vAlign w:val="center"/>
          </w:tcPr>
          <w:p w14:paraId="5B5669B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2" w:type="dxa"/>
            <w:gridSpan w:val="2"/>
            <w:tcBorders>
              <w:top w:val="single" w:sz="4" w:space="0" w:color="auto"/>
              <w:left w:val="single" w:sz="4" w:space="0" w:color="auto"/>
            </w:tcBorders>
            <w:vAlign w:val="center"/>
          </w:tcPr>
          <w:p w14:paraId="1D21C65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33C2573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48" w:type="dxa"/>
            <w:tcBorders>
              <w:top w:val="single" w:sz="4" w:space="0" w:color="auto"/>
              <w:left w:val="single" w:sz="4" w:space="0" w:color="auto"/>
            </w:tcBorders>
            <w:vAlign w:val="center"/>
          </w:tcPr>
          <w:p w14:paraId="4199870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39DD85B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025F681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212A07F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75" w:type="dxa"/>
            <w:gridSpan w:val="2"/>
            <w:tcBorders>
              <w:top w:val="single" w:sz="4" w:space="0" w:color="auto"/>
              <w:left w:val="single" w:sz="4" w:space="0" w:color="auto"/>
            </w:tcBorders>
            <w:vAlign w:val="center"/>
          </w:tcPr>
          <w:p w14:paraId="647F4F2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8" w:type="dxa"/>
            <w:gridSpan w:val="2"/>
            <w:tcBorders>
              <w:top w:val="single" w:sz="4" w:space="0" w:color="auto"/>
              <w:left w:val="single" w:sz="4" w:space="0" w:color="auto"/>
            </w:tcBorders>
            <w:vAlign w:val="center"/>
          </w:tcPr>
          <w:p w14:paraId="030BF77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7D214C7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5" w:type="dxa"/>
            <w:gridSpan w:val="2"/>
            <w:tcBorders>
              <w:top w:val="single" w:sz="4" w:space="0" w:color="auto"/>
              <w:left w:val="single" w:sz="4" w:space="0" w:color="auto"/>
            </w:tcBorders>
            <w:vAlign w:val="center"/>
          </w:tcPr>
          <w:p w14:paraId="017F994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7" w:type="dxa"/>
            <w:tcBorders>
              <w:top w:val="single" w:sz="4" w:space="0" w:color="auto"/>
              <w:left w:val="single" w:sz="4" w:space="0" w:color="auto"/>
            </w:tcBorders>
            <w:vAlign w:val="center"/>
          </w:tcPr>
          <w:p w14:paraId="1728D33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143B162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0" w:type="dxa"/>
            <w:gridSpan w:val="2"/>
            <w:tcBorders>
              <w:top w:val="single" w:sz="4" w:space="0" w:color="auto"/>
              <w:left w:val="single" w:sz="4" w:space="0" w:color="auto"/>
            </w:tcBorders>
            <w:vAlign w:val="center"/>
          </w:tcPr>
          <w:p w14:paraId="39CDDE9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29E08E0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50" w:type="dxa"/>
            <w:gridSpan w:val="2"/>
            <w:tcBorders>
              <w:top w:val="single" w:sz="4" w:space="0" w:color="auto"/>
              <w:left w:val="single" w:sz="4" w:space="0" w:color="auto"/>
            </w:tcBorders>
            <w:vAlign w:val="center"/>
          </w:tcPr>
          <w:p w14:paraId="26B54B7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7" w:type="dxa"/>
            <w:gridSpan w:val="2"/>
            <w:tcBorders>
              <w:top w:val="single" w:sz="4" w:space="0" w:color="auto"/>
              <w:left w:val="single" w:sz="4" w:space="0" w:color="auto"/>
            </w:tcBorders>
            <w:vAlign w:val="center"/>
          </w:tcPr>
          <w:p w14:paraId="141C81B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24A9753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3"/>
            <w:tcBorders>
              <w:top w:val="single" w:sz="4" w:space="0" w:color="auto"/>
              <w:left w:val="single" w:sz="4" w:space="0" w:color="auto"/>
            </w:tcBorders>
            <w:vAlign w:val="center"/>
          </w:tcPr>
          <w:p w14:paraId="1402A51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6" w:type="dxa"/>
            <w:tcBorders>
              <w:top w:val="single" w:sz="4" w:space="0" w:color="auto"/>
              <w:left w:val="single" w:sz="4" w:space="0" w:color="auto"/>
            </w:tcBorders>
            <w:vAlign w:val="center"/>
          </w:tcPr>
          <w:p w14:paraId="4484ECC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1" w:type="dxa"/>
            <w:tcBorders>
              <w:top w:val="single" w:sz="4" w:space="0" w:color="auto"/>
              <w:left w:val="single" w:sz="4" w:space="0" w:color="auto"/>
            </w:tcBorders>
            <w:vAlign w:val="center"/>
          </w:tcPr>
          <w:p w14:paraId="3A7B69D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2B97A8F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2" w:type="dxa"/>
            <w:gridSpan w:val="3"/>
            <w:tcBorders>
              <w:top w:val="single" w:sz="4" w:space="0" w:color="auto"/>
              <w:left w:val="single" w:sz="4" w:space="0" w:color="auto"/>
            </w:tcBorders>
            <w:vAlign w:val="center"/>
          </w:tcPr>
          <w:p w14:paraId="743988A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78" w:type="dxa"/>
            <w:tcBorders>
              <w:top w:val="single" w:sz="4" w:space="0" w:color="auto"/>
              <w:left w:val="single" w:sz="4" w:space="0" w:color="auto"/>
              <w:right w:val="single" w:sz="4" w:space="0" w:color="auto"/>
            </w:tcBorders>
            <w:vAlign w:val="center"/>
          </w:tcPr>
          <w:p w14:paraId="5E3C841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3B7BA6D5" w14:textId="77777777">
        <w:trPr>
          <w:trHeight w:val="173"/>
        </w:trPr>
        <w:tc>
          <w:tcPr>
            <w:tcW w:w="943" w:type="dxa"/>
            <w:tcBorders>
              <w:top w:val="single" w:sz="4" w:space="0" w:color="auto"/>
              <w:left w:val="single" w:sz="4" w:space="0" w:color="auto"/>
            </w:tcBorders>
            <w:tcMar>
              <w:left w:w="0" w:type="dxa"/>
            </w:tcMar>
            <w:vAlign w:val="center"/>
          </w:tcPr>
          <w:p w14:paraId="6C600BC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31</w:t>
            </w:r>
          </w:p>
        </w:tc>
        <w:tc>
          <w:tcPr>
            <w:tcW w:w="1799" w:type="dxa"/>
            <w:tcBorders>
              <w:top w:val="single" w:sz="4" w:space="0" w:color="auto"/>
              <w:left w:val="single" w:sz="4" w:space="0" w:color="auto"/>
            </w:tcBorders>
            <w:vAlign w:val="center"/>
          </w:tcPr>
          <w:p w14:paraId="3BB01B1F" w14:textId="77777777" w:rsidR="006561BA" w:rsidRDefault="005B4ED6">
            <w:pPr>
              <w:widowControl w:val="0"/>
              <w:shd w:val="clear" w:color="auto" w:fill="auto"/>
              <w:spacing w:after="0" w:line="240" w:lineRule="auto"/>
              <w:ind w:left="102"/>
              <w:jc w:val="left"/>
              <w:rPr>
                <w:rFonts w:ascii="Helvetica" w:eastAsia="Arial Unicode MS" w:hAnsi="Helvetica" w:cs="Helvetica"/>
                <w:color w:val="000000"/>
                <w:sz w:val="6"/>
                <w:szCs w:val="6"/>
              </w:rPr>
            </w:pPr>
            <w:r>
              <w:rPr>
                <w:rFonts w:ascii="Helvetica" w:hAnsi="Helvetica"/>
                <w:b/>
                <w:color w:val="000000"/>
                <w:sz w:val="6"/>
              </w:rPr>
              <w:t>Overtatte sikkerheter: bolig- og næringseiendommer</w:t>
            </w:r>
          </w:p>
        </w:tc>
        <w:tc>
          <w:tcPr>
            <w:tcW w:w="395" w:type="dxa"/>
            <w:tcBorders>
              <w:top w:val="single" w:sz="4" w:space="0" w:color="auto"/>
              <w:left w:val="single" w:sz="4" w:space="0" w:color="auto"/>
            </w:tcBorders>
            <w:vAlign w:val="center"/>
          </w:tcPr>
          <w:p w14:paraId="6E0D41A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56" w:type="dxa"/>
            <w:tcBorders>
              <w:top w:val="single" w:sz="4" w:space="0" w:color="auto"/>
              <w:left w:val="single" w:sz="4" w:space="0" w:color="auto"/>
            </w:tcBorders>
            <w:vAlign w:val="center"/>
          </w:tcPr>
          <w:p w14:paraId="0D9CE29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2"/>
            <w:tcBorders>
              <w:top w:val="single" w:sz="4" w:space="0" w:color="auto"/>
              <w:left w:val="single" w:sz="4" w:space="0" w:color="auto"/>
            </w:tcBorders>
            <w:vAlign w:val="center"/>
          </w:tcPr>
          <w:p w14:paraId="56AD677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39" w:type="dxa"/>
            <w:gridSpan w:val="2"/>
            <w:tcBorders>
              <w:top w:val="single" w:sz="4" w:space="0" w:color="auto"/>
              <w:left w:val="single" w:sz="4" w:space="0" w:color="auto"/>
            </w:tcBorders>
            <w:vAlign w:val="center"/>
          </w:tcPr>
          <w:p w14:paraId="5566107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9" w:type="dxa"/>
            <w:gridSpan w:val="2"/>
            <w:tcBorders>
              <w:top w:val="single" w:sz="4" w:space="0" w:color="auto"/>
              <w:left w:val="single" w:sz="4" w:space="0" w:color="auto"/>
            </w:tcBorders>
            <w:vAlign w:val="center"/>
          </w:tcPr>
          <w:p w14:paraId="4791E0A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72" w:type="dxa"/>
            <w:gridSpan w:val="3"/>
            <w:tcBorders>
              <w:top w:val="single" w:sz="4" w:space="0" w:color="auto"/>
              <w:left w:val="single" w:sz="4" w:space="0" w:color="auto"/>
            </w:tcBorders>
            <w:vAlign w:val="center"/>
          </w:tcPr>
          <w:p w14:paraId="4264F89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17" w:type="dxa"/>
            <w:tcBorders>
              <w:top w:val="single" w:sz="4" w:space="0" w:color="auto"/>
              <w:left w:val="single" w:sz="4" w:space="0" w:color="auto"/>
            </w:tcBorders>
            <w:vAlign w:val="center"/>
          </w:tcPr>
          <w:p w14:paraId="36A22F2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97" w:type="dxa"/>
            <w:gridSpan w:val="2"/>
            <w:tcBorders>
              <w:top w:val="single" w:sz="4" w:space="0" w:color="auto"/>
              <w:left w:val="single" w:sz="4" w:space="0" w:color="auto"/>
            </w:tcBorders>
            <w:vAlign w:val="center"/>
          </w:tcPr>
          <w:p w14:paraId="06F77A4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2" w:type="dxa"/>
            <w:gridSpan w:val="2"/>
            <w:tcBorders>
              <w:top w:val="single" w:sz="4" w:space="0" w:color="auto"/>
              <w:left w:val="single" w:sz="4" w:space="0" w:color="auto"/>
            </w:tcBorders>
            <w:vAlign w:val="center"/>
          </w:tcPr>
          <w:p w14:paraId="5F1BD05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4914507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48" w:type="dxa"/>
            <w:tcBorders>
              <w:top w:val="single" w:sz="4" w:space="0" w:color="auto"/>
              <w:left w:val="single" w:sz="4" w:space="0" w:color="auto"/>
            </w:tcBorders>
            <w:vAlign w:val="center"/>
          </w:tcPr>
          <w:p w14:paraId="2B5F4A7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01B9307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38843E2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44508B7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75" w:type="dxa"/>
            <w:gridSpan w:val="2"/>
            <w:tcBorders>
              <w:top w:val="single" w:sz="4" w:space="0" w:color="auto"/>
              <w:left w:val="single" w:sz="4" w:space="0" w:color="auto"/>
            </w:tcBorders>
            <w:vAlign w:val="center"/>
          </w:tcPr>
          <w:p w14:paraId="6102973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8" w:type="dxa"/>
            <w:gridSpan w:val="2"/>
            <w:tcBorders>
              <w:top w:val="single" w:sz="4" w:space="0" w:color="auto"/>
              <w:left w:val="single" w:sz="4" w:space="0" w:color="auto"/>
            </w:tcBorders>
            <w:vAlign w:val="center"/>
          </w:tcPr>
          <w:p w14:paraId="3B70DE8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74165D1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5" w:type="dxa"/>
            <w:gridSpan w:val="2"/>
            <w:tcBorders>
              <w:top w:val="single" w:sz="4" w:space="0" w:color="auto"/>
              <w:left w:val="single" w:sz="4" w:space="0" w:color="auto"/>
            </w:tcBorders>
            <w:vAlign w:val="center"/>
          </w:tcPr>
          <w:p w14:paraId="18FE89C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7" w:type="dxa"/>
            <w:tcBorders>
              <w:top w:val="single" w:sz="4" w:space="0" w:color="auto"/>
              <w:left w:val="single" w:sz="4" w:space="0" w:color="auto"/>
            </w:tcBorders>
            <w:vAlign w:val="center"/>
          </w:tcPr>
          <w:p w14:paraId="77F8A7A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194598E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0" w:type="dxa"/>
            <w:gridSpan w:val="2"/>
            <w:tcBorders>
              <w:top w:val="single" w:sz="4" w:space="0" w:color="auto"/>
              <w:left w:val="single" w:sz="4" w:space="0" w:color="auto"/>
            </w:tcBorders>
            <w:vAlign w:val="center"/>
          </w:tcPr>
          <w:p w14:paraId="1E069B2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7E79D49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50" w:type="dxa"/>
            <w:gridSpan w:val="2"/>
            <w:tcBorders>
              <w:top w:val="single" w:sz="4" w:space="0" w:color="auto"/>
              <w:left w:val="single" w:sz="4" w:space="0" w:color="auto"/>
            </w:tcBorders>
            <w:vAlign w:val="center"/>
          </w:tcPr>
          <w:p w14:paraId="22DEA1D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7" w:type="dxa"/>
            <w:gridSpan w:val="2"/>
            <w:tcBorders>
              <w:top w:val="single" w:sz="4" w:space="0" w:color="auto"/>
              <w:left w:val="single" w:sz="4" w:space="0" w:color="auto"/>
            </w:tcBorders>
            <w:vAlign w:val="center"/>
          </w:tcPr>
          <w:p w14:paraId="51F48DD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2DF2B39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3"/>
            <w:tcBorders>
              <w:top w:val="single" w:sz="4" w:space="0" w:color="auto"/>
              <w:left w:val="single" w:sz="4" w:space="0" w:color="auto"/>
            </w:tcBorders>
            <w:vAlign w:val="center"/>
          </w:tcPr>
          <w:p w14:paraId="52E1A2E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6" w:type="dxa"/>
            <w:tcBorders>
              <w:top w:val="single" w:sz="4" w:space="0" w:color="auto"/>
              <w:left w:val="single" w:sz="4" w:space="0" w:color="auto"/>
            </w:tcBorders>
            <w:vAlign w:val="center"/>
          </w:tcPr>
          <w:p w14:paraId="3533E82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1" w:type="dxa"/>
            <w:tcBorders>
              <w:top w:val="single" w:sz="4" w:space="0" w:color="auto"/>
              <w:left w:val="single" w:sz="4" w:space="0" w:color="auto"/>
            </w:tcBorders>
            <w:vAlign w:val="center"/>
          </w:tcPr>
          <w:p w14:paraId="235D6D9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524222C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2" w:type="dxa"/>
            <w:gridSpan w:val="3"/>
            <w:tcBorders>
              <w:top w:val="single" w:sz="4" w:space="0" w:color="auto"/>
              <w:left w:val="single" w:sz="4" w:space="0" w:color="auto"/>
            </w:tcBorders>
            <w:vAlign w:val="center"/>
          </w:tcPr>
          <w:p w14:paraId="4E3C2B5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78" w:type="dxa"/>
            <w:tcBorders>
              <w:top w:val="single" w:sz="4" w:space="0" w:color="auto"/>
              <w:left w:val="single" w:sz="4" w:space="0" w:color="auto"/>
              <w:right w:val="single" w:sz="4" w:space="0" w:color="auto"/>
            </w:tcBorders>
            <w:vAlign w:val="center"/>
          </w:tcPr>
          <w:p w14:paraId="755791A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2BCDC742" w14:textId="77777777">
        <w:trPr>
          <w:trHeight w:val="172"/>
        </w:trPr>
        <w:tc>
          <w:tcPr>
            <w:tcW w:w="943" w:type="dxa"/>
            <w:tcBorders>
              <w:top w:val="single" w:sz="4" w:space="0" w:color="auto"/>
              <w:left w:val="single" w:sz="4" w:space="0" w:color="auto"/>
            </w:tcBorders>
            <w:tcMar>
              <w:left w:w="0" w:type="dxa"/>
            </w:tcMar>
            <w:vAlign w:val="center"/>
          </w:tcPr>
          <w:p w14:paraId="11BC1A44"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32</w:t>
            </w:r>
          </w:p>
        </w:tc>
        <w:tc>
          <w:tcPr>
            <w:tcW w:w="1799" w:type="dxa"/>
            <w:tcBorders>
              <w:top w:val="single" w:sz="4" w:space="0" w:color="auto"/>
              <w:left w:val="single" w:sz="4" w:space="0" w:color="auto"/>
            </w:tcBorders>
            <w:vAlign w:val="center"/>
          </w:tcPr>
          <w:p w14:paraId="784850DB" w14:textId="77777777" w:rsidR="006561BA" w:rsidRDefault="005B4ED6">
            <w:pPr>
              <w:widowControl w:val="0"/>
              <w:shd w:val="clear" w:color="auto" w:fill="auto"/>
              <w:spacing w:after="0" w:line="240" w:lineRule="auto"/>
              <w:jc w:val="left"/>
              <w:rPr>
                <w:rFonts w:ascii="Helvetica" w:eastAsia="Arial Unicode MS" w:hAnsi="Helvetica" w:cs="Helvetica"/>
                <w:b/>
                <w:color w:val="000000"/>
                <w:sz w:val="6"/>
                <w:szCs w:val="6"/>
                <w:u w:val="single"/>
              </w:rPr>
            </w:pPr>
            <w:r>
              <w:rPr>
                <w:rFonts w:ascii="Helvetica" w:hAnsi="Helvetica"/>
                <w:b/>
                <w:color w:val="000000"/>
                <w:sz w:val="6"/>
                <w:u w:val="single"/>
              </w:rPr>
              <w:t>Eiendeler som ikke skal tas med i telleren ved beregning av GAR (inngår i nevneren)</w:t>
            </w:r>
          </w:p>
        </w:tc>
        <w:tc>
          <w:tcPr>
            <w:tcW w:w="395" w:type="dxa"/>
            <w:tcBorders>
              <w:top w:val="single" w:sz="4" w:space="0" w:color="auto"/>
              <w:left w:val="single" w:sz="4" w:space="0" w:color="auto"/>
            </w:tcBorders>
            <w:vAlign w:val="center"/>
          </w:tcPr>
          <w:p w14:paraId="0952DD9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56" w:type="dxa"/>
            <w:tcBorders>
              <w:top w:val="single" w:sz="4" w:space="0" w:color="auto"/>
              <w:left w:val="single" w:sz="4" w:space="0" w:color="auto"/>
              <w:bottom w:val="single" w:sz="4" w:space="0" w:color="auto"/>
            </w:tcBorders>
            <w:vAlign w:val="center"/>
          </w:tcPr>
          <w:p w14:paraId="4B0ACED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2"/>
            <w:tcBorders>
              <w:top w:val="single" w:sz="4" w:space="0" w:color="auto"/>
              <w:left w:val="single" w:sz="4" w:space="0" w:color="auto"/>
              <w:bottom w:val="single" w:sz="4" w:space="0" w:color="auto"/>
            </w:tcBorders>
            <w:vAlign w:val="center"/>
          </w:tcPr>
          <w:p w14:paraId="78AD7BF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39" w:type="dxa"/>
            <w:gridSpan w:val="2"/>
            <w:tcBorders>
              <w:top w:val="single" w:sz="4" w:space="0" w:color="auto"/>
              <w:left w:val="single" w:sz="4" w:space="0" w:color="auto"/>
              <w:bottom w:val="single" w:sz="4" w:space="0" w:color="auto"/>
            </w:tcBorders>
            <w:vAlign w:val="center"/>
          </w:tcPr>
          <w:p w14:paraId="3279DAF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9" w:type="dxa"/>
            <w:gridSpan w:val="2"/>
            <w:tcBorders>
              <w:top w:val="single" w:sz="4" w:space="0" w:color="auto"/>
              <w:left w:val="single" w:sz="4" w:space="0" w:color="auto"/>
              <w:bottom w:val="single" w:sz="4" w:space="0" w:color="auto"/>
            </w:tcBorders>
            <w:vAlign w:val="center"/>
          </w:tcPr>
          <w:p w14:paraId="07D1478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72" w:type="dxa"/>
            <w:gridSpan w:val="3"/>
            <w:tcBorders>
              <w:top w:val="single" w:sz="4" w:space="0" w:color="auto"/>
              <w:left w:val="single" w:sz="4" w:space="0" w:color="auto"/>
              <w:bottom w:val="single" w:sz="4" w:space="0" w:color="auto"/>
            </w:tcBorders>
            <w:vAlign w:val="center"/>
          </w:tcPr>
          <w:p w14:paraId="02B13F0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17" w:type="dxa"/>
            <w:tcBorders>
              <w:top w:val="single" w:sz="4" w:space="0" w:color="auto"/>
              <w:left w:val="single" w:sz="4" w:space="0" w:color="auto"/>
              <w:bottom w:val="single" w:sz="4" w:space="0" w:color="auto"/>
            </w:tcBorders>
            <w:vAlign w:val="center"/>
          </w:tcPr>
          <w:p w14:paraId="64CB286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97" w:type="dxa"/>
            <w:gridSpan w:val="2"/>
            <w:tcBorders>
              <w:top w:val="single" w:sz="4" w:space="0" w:color="auto"/>
              <w:left w:val="single" w:sz="4" w:space="0" w:color="auto"/>
              <w:bottom w:val="single" w:sz="4" w:space="0" w:color="auto"/>
            </w:tcBorders>
            <w:vAlign w:val="center"/>
          </w:tcPr>
          <w:p w14:paraId="60DB1C1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2" w:type="dxa"/>
            <w:gridSpan w:val="2"/>
            <w:tcBorders>
              <w:top w:val="single" w:sz="4" w:space="0" w:color="auto"/>
              <w:left w:val="single" w:sz="4" w:space="0" w:color="auto"/>
              <w:bottom w:val="single" w:sz="4" w:space="0" w:color="auto"/>
            </w:tcBorders>
            <w:vAlign w:val="center"/>
          </w:tcPr>
          <w:p w14:paraId="50D09EA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bottom w:val="single" w:sz="4" w:space="0" w:color="auto"/>
            </w:tcBorders>
            <w:vAlign w:val="center"/>
          </w:tcPr>
          <w:p w14:paraId="6E643F4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48" w:type="dxa"/>
            <w:tcBorders>
              <w:top w:val="single" w:sz="4" w:space="0" w:color="auto"/>
              <w:left w:val="single" w:sz="4" w:space="0" w:color="auto"/>
              <w:bottom w:val="single" w:sz="4" w:space="0" w:color="auto"/>
            </w:tcBorders>
            <w:vAlign w:val="center"/>
          </w:tcPr>
          <w:p w14:paraId="16DC0D8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bottom w:val="single" w:sz="4" w:space="0" w:color="auto"/>
            </w:tcBorders>
            <w:vAlign w:val="center"/>
          </w:tcPr>
          <w:p w14:paraId="1300281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bottom w:val="single" w:sz="4" w:space="0" w:color="auto"/>
            </w:tcBorders>
            <w:vAlign w:val="center"/>
          </w:tcPr>
          <w:p w14:paraId="080F0D1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bottom w:val="single" w:sz="4" w:space="0" w:color="auto"/>
            </w:tcBorders>
            <w:vAlign w:val="center"/>
          </w:tcPr>
          <w:p w14:paraId="447511A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75" w:type="dxa"/>
            <w:gridSpan w:val="2"/>
            <w:tcBorders>
              <w:top w:val="single" w:sz="4" w:space="0" w:color="auto"/>
              <w:left w:val="single" w:sz="4" w:space="0" w:color="auto"/>
              <w:bottom w:val="single" w:sz="4" w:space="0" w:color="auto"/>
            </w:tcBorders>
            <w:vAlign w:val="center"/>
          </w:tcPr>
          <w:p w14:paraId="5A34052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8" w:type="dxa"/>
            <w:gridSpan w:val="2"/>
            <w:tcBorders>
              <w:top w:val="single" w:sz="4" w:space="0" w:color="auto"/>
              <w:left w:val="single" w:sz="4" w:space="0" w:color="auto"/>
              <w:bottom w:val="single" w:sz="4" w:space="0" w:color="auto"/>
            </w:tcBorders>
            <w:vAlign w:val="center"/>
          </w:tcPr>
          <w:p w14:paraId="18B63A7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bottom w:val="single" w:sz="4" w:space="0" w:color="auto"/>
            </w:tcBorders>
            <w:vAlign w:val="center"/>
          </w:tcPr>
          <w:p w14:paraId="21EE329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5" w:type="dxa"/>
            <w:gridSpan w:val="2"/>
            <w:tcBorders>
              <w:top w:val="single" w:sz="4" w:space="0" w:color="auto"/>
              <w:left w:val="single" w:sz="4" w:space="0" w:color="auto"/>
              <w:bottom w:val="single" w:sz="4" w:space="0" w:color="auto"/>
            </w:tcBorders>
            <w:vAlign w:val="center"/>
          </w:tcPr>
          <w:p w14:paraId="4A177D4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7" w:type="dxa"/>
            <w:tcBorders>
              <w:top w:val="single" w:sz="4" w:space="0" w:color="auto"/>
              <w:left w:val="single" w:sz="4" w:space="0" w:color="auto"/>
              <w:bottom w:val="single" w:sz="4" w:space="0" w:color="auto"/>
            </w:tcBorders>
            <w:vAlign w:val="center"/>
          </w:tcPr>
          <w:p w14:paraId="022E165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bottom w:val="single" w:sz="4" w:space="0" w:color="auto"/>
            </w:tcBorders>
            <w:vAlign w:val="center"/>
          </w:tcPr>
          <w:p w14:paraId="3D1CB42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0" w:type="dxa"/>
            <w:gridSpan w:val="2"/>
            <w:tcBorders>
              <w:top w:val="single" w:sz="4" w:space="0" w:color="auto"/>
              <w:left w:val="single" w:sz="4" w:space="0" w:color="auto"/>
              <w:bottom w:val="single" w:sz="4" w:space="0" w:color="auto"/>
            </w:tcBorders>
            <w:vAlign w:val="center"/>
          </w:tcPr>
          <w:p w14:paraId="1137B86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bottom w:val="single" w:sz="4" w:space="0" w:color="auto"/>
            </w:tcBorders>
            <w:vAlign w:val="center"/>
          </w:tcPr>
          <w:p w14:paraId="21AAF4E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50" w:type="dxa"/>
            <w:gridSpan w:val="2"/>
            <w:tcBorders>
              <w:top w:val="single" w:sz="4" w:space="0" w:color="auto"/>
              <w:left w:val="single" w:sz="4" w:space="0" w:color="auto"/>
              <w:bottom w:val="single" w:sz="4" w:space="0" w:color="auto"/>
            </w:tcBorders>
            <w:vAlign w:val="center"/>
          </w:tcPr>
          <w:p w14:paraId="3683254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7" w:type="dxa"/>
            <w:gridSpan w:val="2"/>
            <w:tcBorders>
              <w:top w:val="single" w:sz="4" w:space="0" w:color="auto"/>
              <w:left w:val="single" w:sz="4" w:space="0" w:color="auto"/>
              <w:bottom w:val="single" w:sz="4" w:space="0" w:color="auto"/>
            </w:tcBorders>
            <w:vAlign w:val="center"/>
          </w:tcPr>
          <w:p w14:paraId="603AE8D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bottom w:val="single" w:sz="4" w:space="0" w:color="auto"/>
            </w:tcBorders>
            <w:vAlign w:val="center"/>
          </w:tcPr>
          <w:p w14:paraId="4F027EB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3"/>
            <w:tcBorders>
              <w:top w:val="single" w:sz="4" w:space="0" w:color="auto"/>
              <w:left w:val="single" w:sz="4" w:space="0" w:color="auto"/>
              <w:bottom w:val="single" w:sz="4" w:space="0" w:color="auto"/>
            </w:tcBorders>
            <w:vAlign w:val="center"/>
          </w:tcPr>
          <w:p w14:paraId="2DC3A4F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6" w:type="dxa"/>
            <w:tcBorders>
              <w:top w:val="single" w:sz="4" w:space="0" w:color="auto"/>
              <w:left w:val="single" w:sz="4" w:space="0" w:color="auto"/>
              <w:bottom w:val="single" w:sz="4" w:space="0" w:color="auto"/>
            </w:tcBorders>
            <w:vAlign w:val="center"/>
          </w:tcPr>
          <w:p w14:paraId="459D89C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1" w:type="dxa"/>
            <w:tcBorders>
              <w:top w:val="single" w:sz="4" w:space="0" w:color="auto"/>
              <w:left w:val="single" w:sz="4" w:space="0" w:color="auto"/>
              <w:bottom w:val="single" w:sz="4" w:space="0" w:color="auto"/>
            </w:tcBorders>
            <w:vAlign w:val="center"/>
          </w:tcPr>
          <w:p w14:paraId="47BC5C0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bottom w:val="single" w:sz="4" w:space="0" w:color="auto"/>
            </w:tcBorders>
            <w:vAlign w:val="center"/>
          </w:tcPr>
          <w:p w14:paraId="2023819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2" w:type="dxa"/>
            <w:gridSpan w:val="3"/>
            <w:tcBorders>
              <w:top w:val="single" w:sz="4" w:space="0" w:color="auto"/>
              <w:left w:val="single" w:sz="4" w:space="0" w:color="auto"/>
              <w:bottom w:val="single" w:sz="4" w:space="0" w:color="auto"/>
            </w:tcBorders>
            <w:vAlign w:val="center"/>
          </w:tcPr>
          <w:p w14:paraId="0D2F39C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78" w:type="dxa"/>
            <w:tcBorders>
              <w:top w:val="single" w:sz="4" w:space="0" w:color="auto"/>
              <w:left w:val="single" w:sz="4" w:space="0" w:color="auto"/>
              <w:bottom w:val="single" w:sz="4" w:space="0" w:color="auto"/>
              <w:right w:val="single" w:sz="4" w:space="0" w:color="auto"/>
            </w:tcBorders>
            <w:vAlign w:val="center"/>
          </w:tcPr>
          <w:p w14:paraId="67C92CE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5A3AE949" w14:textId="77777777">
        <w:trPr>
          <w:trHeight w:val="94"/>
        </w:trPr>
        <w:tc>
          <w:tcPr>
            <w:tcW w:w="943" w:type="dxa"/>
            <w:tcBorders>
              <w:top w:val="single" w:sz="4" w:space="0" w:color="auto"/>
              <w:left w:val="single" w:sz="4" w:space="0" w:color="auto"/>
            </w:tcBorders>
            <w:tcMar>
              <w:left w:w="0" w:type="dxa"/>
            </w:tcMar>
            <w:vAlign w:val="center"/>
          </w:tcPr>
          <w:p w14:paraId="1062012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33</w:t>
            </w:r>
          </w:p>
        </w:tc>
        <w:tc>
          <w:tcPr>
            <w:tcW w:w="1799" w:type="dxa"/>
            <w:tcBorders>
              <w:top w:val="single" w:sz="4" w:space="0" w:color="auto"/>
              <w:left w:val="single" w:sz="4" w:space="0" w:color="auto"/>
            </w:tcBorders>
            <w:vAlign w:val="center"/>
          </w:tcPr>
          <w:p w14:paraId="1AD3D8CB" w14:textId="77777777" w:rsidR="006561BA" w:rsidRDefault="005B4ED6">
            <w:pPr>
              <w:widowControl w:val="0"/>
              <w:shd w:val="clear" w:color="auto" w:fill="auto"/>
              <w:spacing w:after="0" w:line="240" w:lineRule="auto"/>
              <w:ind w:left="102"/>
              <w:jc w:val="left"/>
              <w:rPr>
                <w:rFonts w:ascii="Helvetica" w:eastAsia="Arial Unicode MS" w:hAnsi="Helvetica" w:cs="Helvetica"/>
                <w:b/>
                <w:color w:val="000000"/>
                <w:sz w:val="6"/>
                <w:szCs w:val="6"/>
              </w:rPr>
            </w:pPr>
            <w:r>
              <w:rPr>
                <w:rFonts w:ascii="Helvetica" w:hAnsi="Helvetica"/>
                <w:b/>
                <w:color w:val="000000"/>
                <w:sz w:val="6"/>
              </w:rPr>
              <w:t>Finansforetak og ikke-finansielle foretak</w:t>
            </w:r>
          </w:p>
        </w:tc>
        <w:tc>
          <w:tcPr>
            <w:tcW w:w="395" w:type="dxa"/>
            <w:tcBorders>
              <w:top w:val="single" w:sz="4" w:space="0" w:color="auto"/>
              <w:left w:val="single" w:sz="4" w:space="0" w:color="auto"/>
              <w:right w:val="single" w:sz="4" w:space="0" w:color="auto"/>
            </w:tcBorders>
            <w:vAlign w:val="center"/>
          </w:tcPr>
          <w:p w14:paraId="4C30952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596" w:type="dxa"/>
            <w:gridSpan w:val="3"/>
            <w:vMerge w:val="restart"/>
            <w:tcBorders>
              <w:top w:val="single" w:sz="4" w:space="0" w:color="auto"/>
              <w:left w:val="single" w:sz="4" w:space="0" w:color="auto"/>
              <w:bottom w:val="single" w:sz="4" w:space="0" w:color="auto"/>
              <w:right w:val="single" w:sz="4" w:space="0" w:color="auto"/>
            </w:tcBorders>
            <w:shd w:val="clear" w:color="auto" w:fill="000000"/>
            <w:vAlign w:val="center"/>
          </w:tcPr>
          <w:p w14:paraId="7ED5BAF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1300" w:type="dxa"/>
            <w:gridSpan w:val="7"/>
            <w:vMerge w:val="restart"/>
            <w:tcBorders>
              <w:top w:val="single" w:sz="4" w:space="0" w:color="auto"/>
              <w:left w:val="single" w:sz="4" w:space="0" w:color="auto"/>
              <w:bottom w:val="single" w:sz="4" w:space="0" w:color="auto"/>
              <w:right w:val="single" w:sz="4" w:space="0" w:color="auto"/>
            </w:tcBorders>
            <w:shd w:val="clear" w:color="auto" w:fill="000000"/>
            <w:vAlign w:val="center"/>
          </w:tcPr>
          <w:p w14:paraId="6873C8B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714" w:type="dxa"/>
            <w:gridSpan w:val="3"/>
            <w:vMerge w:val="restart"/>
            <w:tcBorders>
              <w:top w:val="single" w:sz="4" w:space="0" w:color="auto"/>
              <w:left w:val="single" w:sz="4" w:space="0" w:color="auto"/>
              <w:bottom w:val="single" w:sz="4" w:space="0" w:color="auto"/>
              <w:right w:val="single" w:sz="4" w:space="0" w:color="auto"/>
            </w:tcBorders>
            <w:shd w:val="clear" w:color="auto" w:fill="000000"/>
            <w:vAlign w:val="center"/>
          </w:tcPr>
          <w:p w14:paraId="3CE6F21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8283" w:type="dxa"/>
            <w:gridSpan w:val="43"/>
            <w:vMerge w:val="restart"/>
            <w:tcBorders>
              <w:top w:val="single" w:sz="4" w:space="0" w:color="auto"/>
              <w:left w:val="single" w:sz="4" w:space="0" w:color="auto"/>
              <w:bottom w:val="single" w:sz="4" w:space="0" w:color="auto"/>
              <w:right w:val="single" w:sz="4" w:space="0" w:color="auto"/>
            </w:tcBorders>
            <w:shd w:val="clear" w:color="auto" w:fill="000000"/>
            <w:vAlign w:val="center"/>
          </w:tcPr>
          <w:p w14:paraId="02E304C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5102A59F" w14:textId="77777777">
        <w:trPr>
          <w:trHeight w:val="173"/>
        </w:trPr>
        <w:tc>
          <w:tcPr>
            <w:tcW w:w="943" w:type="dxa"/>
            <w:tcBorders>
              <w:top w:val="single" w:sz="4" w:space="0" w:color="auto"/>
              <w:left w:val="single" w:sz="4" w:space="0" w:color="auto"/>
            </w:tcBorders>
            <w:tcMar>
              <w:left w:w="0" w:type="dxa"/>
            </w:tcMar>
            <w:vAlign w:val="center"/>
          </w:tcPr>
          <w:p w14:paraId="211468B2"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34</w:t>
            </w:r>
          </w:p>
        </w:tc>
        <w:tc>
          <w:tcPr>
            <w:tcW w:w="1799" w:type="dxa"/>
            <w:tcBorders>
              <w:top w:val="single" w:sz="4" w:space="0" w:color="auto"/>
              <w:left w:val="single" w:sz="4" w:space="0" w:color="auto"/>
            </w:tcBorders>
            <w:vAlign w:val="center"/>
          </w:tcPr>
          <w:p w14:paraId="2701309C" w14:textId="77777777" w:rsidR="006561BA" w:rsidRDefault="005B4ED6">
            <w:pPr>
              <w:widowControl w:val="0"/>
              <w:shd w:val="clear" w:color="auto" w:fill="auto"/>
              <w:spacing w:after="0" w:line="240" w:lineRule="auto"/>
              <w:ind w:left="141"/>
              <w:jc w:val="left"/>
              <w:rPr>
                <w:rFonts w:ascii="Helvetica" w:eastAsia="Arial Unicode MS" w:hAnsi="Helvetica" w:cs="Helvetica"/>
                <w:color w:val="000000"/>
                <w:sz w:val="6"/>
                <w:szCs w:val="6"/>
              </w:rPr>
            </w:pPr>
            <w:r>
              <w:rPr>
                <w:rFonts w:ascii="Helvetica" w:hAnsi="Helvetica"/>
                <w:color w:val="383838"/>
                <w:sz w:val="6"/>
              </w:rPr>
              <w:t>SMB-er og ikke-finansielle foretak (som ikke er SMB-er) som ikke er omfattet av opplysningsplikten i direktivet om ikke-finansiell rapportering (NFRD)</w:t>
            </w:r>
          </w:p>
        </w:tc>
        <w:tc>
          <w:tcPr>
            <w:tcW w:w="395" w:type="dxa"/>
            <w:tcBorders>
              <w:top w:val="single" w:sz="4" w:space="0" w:color="auto"/>
              <w:left w:val="single" w:sz="4" w:space="0" w:color="auto"/>
              <w:right w:val="single" w:sz="4" w:space="0" w:color="auto"/>
            </w:tcBorders>
            <w:vAlign w:val="center"/>
          </w:tcPr>
          <w:p w14:paraId="73B2902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596" w:type="dxa"/>
            <w:gridSpan w:val="3"/>
            <w:vMerge/>
            <w:tcBorders>
              <w:top w:val="single" w:sz="4" w:space="0" w:color="auto"/>
              <w:left w:val="single" w:sz="4" w:space="0" w:color="auto"/>
              <w:bottom w:val="single" w:sz="4" w:space="0" w:color="auto"/>
              <w:right w:val="single" w:sz="4" w:space="0" w:color="auto"/>
            </w:tcBorders>
            <w:shd w:val="clear" w:color="auto" w:fill="000000"/>
            <w:vAlign w:val="center"/>
          </w:tcPr>
          <w:p w14:paraId="245062C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1300" w:type="dxa"/>
            <w:gridSpan w:val="7"/>
            <w:vMerge/>
            <w:tcBorders>
              <w:top w:val="single" w:sz="4" w:space="0" w:color="auto"/>
              <w:left w:val="single" w:sz="4" w:space="0" w:color="auto"/>
              <w:bottom w:val="single" w:sz="4" w:space="0" w:color="auto"/>
              <w:right w:val="single" w:sz="4" w:space="0" w:color="auto"/>
            </w:tcBorders>
            <w:shd w:val="clear" w:color="auto" w:fill="000000"/>
            <w:vAlign w:val="center"/>
          </w:tcPr>
          <w:p w14:paraId="3AEA8B5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714" w:type="dxa"/>
            <w:gridSpan w:val="3"/>
            <w:vMerge/>
            <w:tcBorders>
              <w:top w:val="single" w:sz="4" w:space="0" w:color="auto"/>
              <w:left w:val="single" w:sz="4" w:space="0" w:color="auto"/>
              <w:bottom w:val="single" w:sz="4" w:space="0" w:color="auto"/>
              <w:right w:val="single" w:sz="4" w:space="0" w:color="auto"/>
            </w:tcBorders>
            <w:shd w:val="clear" w:color="auto" w:fill="000000"/>
            <w:vAlign w:val="center"/>
          </w:tcPr>
          <w:p w14:paraId="52F1608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8283" w:type="dxa"/>
            <w:gridSpan w:val="43"/>
            <w:vMerge/>
            <w:tcBorders>
              <w:top w:val="single" w:sz="4" w:space="0" w:color="auto"/>
              <w:left w:val="single" w:sz="4" w:space="0" w:color="auto"/>
              <w:bottom w:val="single" w:sz="4" w:space="0" w:color="auto"/>
              <w:right w:val="single" w:sz="4" w:space="0" w:color="auto"/>
            </w:tcBorders>
            <w:shd w:val="clear" w:color="auto" w:fill="000000"/>
            <w:vAlign w:val="center"/>
          </w:tcPr>
          <w:p w14:paraId="1110EA8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5252633C" w14:textId="77777777">
        <w:trPr>
          <w:trHeight w:val="83"/>
        </w:trPr>
        <w:tc>
          <w:tcPr>
            <w:tcW w:w="943" w:type="dxa"/>
            <w:tcBorders>
              <w:top w:val="single" w:sz="4" w:space="0" w:color="auto"/>
              <w:left w:val="single" w:sz="4" w:space="0" w:color="auto"/>
            </w:tcBorders>
            <w:tcMar>
              <w:left w:w="0" w:type="dxa"/>
            </w:tcMar>
            <w:vAlign w:val="center"/>
          </w:tcPr>
          <w:p w14:paraId="6D98976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35</w:t>
            </w:r>
          </w:p>
        </w:tc>
        <w:tc>
          <w:tcPr>
            <w:tcW w:w="1799" w:type="dxa"/>
            <w:tcBorders>
              <w:top w:val="single" w:sz="4" w:space="0" w:color="auto"/>
              <w:left w:val="single" w:sz="4" w:space="0" w:color="auto"/>
            </w:tcBorders>
            <w:vAlign w:val="center"/>
          </w:tcPr>
          <w:p w14:paraId="11F55809"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Lån og forskudd</w:t>
            </w:r>
          </w:p>
        </w:tc>
        <w:tc>
          <w:tcPr>
            <w:tcW w:w="395" w:type="dxa"/>
            <w:tcBorders>
              <w:top w:val="single" w:sz="4" w:space="0" w:color="auto"/>
              <w:left w:val="single" w:sz="4" w:space="0" w:color="auto"/>
              <w:right w:val="single" w:sz="4" w:space="0" w:color="auto"/>
            </w:tcBorders>
            <w:vAlign w:val="center"/>
          </w:tcPr>
          <w:p w14:paraId="0C3F107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96" w:type="dxa"/>
            <w:gridSpan w:val="3"/>
            <w:vMerge/>
            <w:tcBorders>
              <w:top w:val="single" w:sz="4" w:space="0" w:color="auto"/>
              <w:left w:val="single" w:sz="4" w:space="0" w:color="auto"/>
              <w:bottom w:val="single" w:sz="4" w:space="0" w:color="auto"/>
              <w:right w:val="single" w:sz="4" w:space="0" w:color="auto"/>
            </w:tcBorders>
            <w:shd w:val="clear" w:color="auto" w:fill="000000"/>
            <w:vAlign w:val="center"/>
          </w:tcPr>
          <w:p w14:paraId="6A6650E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00" w:type="dxa"/>
            <w:gridSpan w:val="7"/>
            <w:vMerge/>
            <w:tcBorders>
              <w:top w:val="single" w:sz="4" w:space="0" w:color="auto"/>
              <w:left w:val="single" w:sz="4" w:space="0" w:color="auto"/>
              <w:bottom w:val="single" w:sz="4" w:space="0" w:color="auto"/>
              <w:right w:val="single" w:sz="4" w:space="0" w:color="auto"/>
            </w:tcBorders>
            <w:shd w:val="clear" w:color="auto" w:fill="000000"/>
            <w:vAlign w:val="center"/>
          </w:tcPr>
          <w:p w14:paraId="7239D0C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714" w:type="dxa"/>
            <w:gridSpan w:val="3"/>
            <w:vMerge/>
            <w:tcBorders>
              <w:top w:val="single" w:sz="4" w:space="0" w:color="auto"/>
              <w:left w:val="single" w:sz="4" w:space="0" w:color="auto"/>
              <w:bottom w:val="single" w:sz="4" w:space="0" w:color="auto"/>
              <w:right w:val="single" w:sz="4" w:space="0" w:color="auto"/>
            </w:tcBorders>
            <w:shd w:val="clear" w:color="auto" w:fill="000000"/>
            <w:vAlign w:val="center"/>
          </w:tcPr>
          <w:p w14:paraId="2F0B6AF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283" w:type="dxa"/>
            <w:gridSpan w:val="43"/>
            <w:vMerge/>
            <w:tcBorders>
              <w:top w:val="single" w:sz="4" w:space="0" w:color="auto"/>
              <w:left w:val="single" w:sz="4" w:space="0" w:color="auto"/>
              <w:bottom w:val="single" w:sz="4" w:space="0" w:color="auto"/>
              <w:right w:val="single" w:sz="4" w:space="0" w:color="auto"/>
            </w:tcBorders>
            <w:shd w:val="clear" w:color="auto" w:fill="000000"/>
            <w:vAlign w:val="center"/>
          </w:tcPr>
          <w:p w14:paraId="6413453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04CD8698" w14:textId="77777777">
        <w:trPr>
          <w:trHeight w:val="84"/>
        </w:trPr>
        <w:tc>
          <w:tcPr>
            <w:tcW w:w="943" w:type="dxa"/>
            <w:tcBorders>
              <w:top w:val="single" w:sz="4" w:space="0" w:color="auto"/>
              <w:left w:val="single" w:sz="4" w:space="0" w:color="auto"/>
            </w:tcBorders>
            <w:tcMar>
              <w:left w:w="0" w:type="dxa"/>
            </w:tcMar>
            <w:vAlign w:val="center"/>
          </w:tcPr>
          <w:p w14:paraId="3DB5C6F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36</w:t>
            </w:r>
          </w:p>
        </w:tc>
        <w:tc>
          <w:tcPr>
            <w:tcW w:w="1799" w:type="dxa"/>
            <w:tcBorders>
              <w:top w:val="single" w:sz="4" w:space="0" w:color="auto"/>
              <w:left w:val="single" w:sz="4" w:space="0" w:color="auto"/>
            </w:tcBorders>
            <w:vAlign w:val="center"/>
          </w:tcPr>
          <w:p w14:paraId="019FE215" w14:textId="77777777" w:rsidR="006561BA" w:rsidRDefault="005B4ED6">
            <w:pPr>
              <w:widowControl w:val="0"/>
              <w:shd w:val="clear" w:color="auto" w:fill="auto"/>
              <w:spacing w:after="0" w:line="240" w:lineRule="auto"/>
              <w:ind w:left="211"/>
              <w:jc w:val="left"/>
              <w:rPr>
                <w:rFonts w:ascii="Helvetica" w:eastAsia="Arial Unicode MS" w:hAnsi="Helvetica" w:cs="Helvetica"/>
                <w:color w:val="000000"/>
                <w:sz w:val="6"/>
                <w:szCs w:val="6"/>
              </w:rPr>
            </w:pPr>
            <w:r>
              <w:rPr>
                <w:rFonts w:ascii="Helvetica" w:hAnsi="Helvetica"/>
                <w:color w:val="383838"/>
                <w:sz w:val="6"/>
              </w:rPr>
              <w:t>hvorav lån med sikkerhet i næringseiendommer</w:t>
            </w:r>
          </w:p>
        </w:tc>
        <w:tc>
          <w:tcPr>
            <w:tcW w:w="395" w:type="dxa"/>
            <w:tcBorders>
              <w:top w:val="single" w:sz="4" w:space="0" w:color="auto"/>
              <w:left w:val="single" w:sz="4" w:space="0" w:color="auto"/>
              <w:right w:val="single" w:sz="4" w:space="0" w:color="auto"/>
            </w:tcBorders>
            <w:vAlign w:val="center"/>
          </w:tcPr>
          <w:p w14:paraId="6DB0F10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596" w:type="dxa"/>
            <w:gridSpan w:val="3"/>
            <w:vMerge/>
            <w:tcBorders>
              <w:top w:val="single" w:sz="4" w:space="0" w:color="auto"/>
              <w:left w:val="single" w:sz="4" w:space="0" w:color="auto"/>
              <w:bottom w:val="single" w:sz="4" w:space="0" w:color="auto"/>
              <w:right w:val="single" w:sz="4" w:space="0" w:color="auto"/>
            </w:tcBorders>
            <w:shd w:val="clear" w:color="auto" w:fill="000000"/>
            <w:vAlign w:val="center"/>
          </w:tcPr>
          <w:p w14:paraId="381AA81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1300" w:type="dxa"/>
            <w:gridSpan w:val="7"/>
            <w:vMerge/>
            <w:tcBorders>
              <w:top w:val="single" w:sz="4" w:space="0" w:color="auto"/>
              <w:left w:val="single" w:sz="4" w:space="0" w:color="auto"/>
              <w:bottom w:val="single" w:sz="4" w:space="0" w:color="auto"/>
              <w:right w:val="single" w:sz="4" w:space="0" w:color="auto"/>
            </w:tcBorders>
            <w:shd w:val="clear" w:color="auto" w:fill="000000"/>
            <w:vAlign w:val="center"/>
          </w:tcPr>
          <w:p w14:paraId="71AFD2A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714" w:type="dxa"/>
            <w:gridSpan w:val="3"/>
            <w:vMerge/>
            <w:tcBorders>
              <w:top w:val="single" w:sz="4" w:space="0" w:color="auto"/>
              <w:left w:val="single" w:sz="4" w:space="0" w:color="auto"/>
              <w:bottom w:val="single" w:sz="4" w:space="0" w:color="auto"/>
              <w:right w:val="single" w:sz="4" w:space="0" w:color="auto"/>
            </w:tcBorders>
            <w:shd w:val="clear" w:color="auto" w:fill="000000"/>
            <w:vAlign w:val="center"/>
          </w:tcPr>
          <w:p w14:paraId="0131F98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8283" w:type="dxa"/>
            <w:gridSpan w:val="43"/>
            <w:vMerge/>
            <w:tcBorders>
              <w:top w:val="single" w:sz="4" w:space="0" w:color="auto"/>
              <w:left w:val="single" w:sz="4" w:space="0" w:color="auto"/>
              <w:bottom w:val="single" w:sz="4" w:space="0" w:color="auto"/>
              <w:right w:val="single" w:sz="4" w:space="0" w:color="auto"/>
            </w:tcBorders>
            <w:shd w:val="clear" w:color="auto" w:fill="000000"/>
            <w:vAlign w:val="center"/>
          </w:tcPr>
          <w:p w14:paraId="753EC9B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36AE633C" w14:textId="77777777">
        <w:trPr>
          <w:trHeight w:val="86"/>
        </w:trPr>
        <w:tc>
          <w:tcPr>
            <w:tcW w:w="943" w:type="dxa"/>
            <w:tcBorders>
              <w:top w:val="single" w:sz="4" w:space="0" w:color="auto"/>
              <w:left w:val="single" w:sz="4" w:space="0" w:color="auto"/>
            </w:tcBorders>
            <w:tcMar>
              <w:left w:w="0" w:type="dxa"/>
            </w:tcMar>
            <w:vAlign w:val="center"/>
          </w:tcPr>
          <w:p w14:paraId="5BB11FB4"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37</w:t>
            </w:r>
          </w:p>
        </w:tc>
        <w:tc>
          <w:tcPr>
            <w:tcW w:w="1799" w:type="dxa"/>
            <w:tcBorders>
              <w:top w:val="single" w:sz="4" w:space="0" w:color="auto"/>
              <w:left w:val="single" w:sz="4" w:space="0" w:color="auto"/>
            </w:tcBorders>
            <w:vAlign w:val="center"/>
          </w:tcPr>
          <w:p w14:paraId="351A15DB" w14:textId="77777777" w:rsidR="006561BA" w:rsidRDefault="005B4ED6">
            <w:pPr>
              <w:widowControl w:val="0"/>
              <w:shd w:val="clear" w:color="auto" w:fill="auto"/>
              <w:spacing w:after="0" w:line="240" w:lineRule="auto"/>
              <w:ind w:left="211"/>
              <w:jc w:val="left"/>
              <w:rPr>
                <w:rFonts w:ascii="Helvetica" w:eastAsia="Arial Unicode MS" w:hAnsi="Helvetica" w:cs="Helvetica"/>
                <w:color w:val="000000"/>
                <w:sz w:val="6"/>
                <w:szCs w:val="6"/>
              </w:rPr>
            </w:pPr>
            <w:r>
              <w:rPr>
                <w:rFonts w:ascii="Helvetica" w:hAnsi="Helvetica"/>
                <w:color w:val="383838"/>
                <w:sz w:val="6"/>
              </w:rPr>
              <w:t xml:space="preserve">hvorav lån til </w:t>
            </w:r>
            <w:proofErr w:type="spellStart"/>
            <w:r>
              <w:rPr>
                <w:rFonts w:ascii="Helvetica" w:hAnsi="Helvetica"/>
                <w:color w:val="383838"/>
                <w:sz w:val="6"/>
              </w:rPr>
              <w:t>byggrenovering</w:t>
            </w:r>
            <w:proofErr w:type="spellEnd"/>
          </w:p>
        </w:tc>
        <w:tc>
          <w:tcPr>
            <w:tcW w:w="395" w:type="dxa"/>
            <w:tcBorders>
              <w:top w:val="single" w:sz="4" w:space="0" w:color="auto"/>
              <w:left w:val="single" w:sz="4" w:space="0" w:color="auto"/>
              <w:right w:val="single" w:sz="4" w:space="0" w:color="auto"/>
            </w:tcBorders>
            <w:vAlign w:val="center"/>
          </w:tcPr>
          <w:p w14:paraId="44C547C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96" w:type="dxa"/>
            <w:gridSpan w:val="3"/>
            <w:vMerge/>
            <w:tcBorders>
              <w:top w:val="single" w:sz="4" w:space="0" w:color="auto"/>
              <w:left w:val="single" w:sz="4" w:space="0" w:color="auto"/>
              <w:bottom w:val="single" w:sz="4" w:space="0" w:color="auto"/>
              <w:right w:val="single" w:sz="4" w:space="0" w:color="auto"/>
            </w:tcBorders>
            <w:shd w:val="clear" w:color="auto" w:fill="000000"/>
            <w:vAlign w:val="center"/>
          </w:tcPr>
          <w:p w14:paraId="5F5E7EB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00" w:type="dxa"/>
            <w:gridSpan w:val="7"/>
            <w:vMerge/>
            <w:tcBorders>
              <w:top w:val="single" w:sz="4" w:space="0" w:color="auto"/>
              <w:left w:val="single" w:sz="4" w:space="0" w:color="auto"/>
              <w:bottom w:val="single" w:sz="4" w:space="0" w:color="auto"/>
              <w:right w:val="single" w:sz="4" w:space="0" w:color="auto"/>
            </w:tcBorders>
            <w:shd w:val="clear" w:color="auto" w:fill="000000"/>
            <w:vAlign w:val="center"/>
          </w:tcPr>
          <w:p w14:paraId="473131B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714" w:type="dxa"/>
            <w:gridSpan w:val="3"/>
            <w:vMerge/>
            <w:tcBorders>
              <w:top w:val="single" w:sz="4" w:space="0" w:color="auto"/>
              <w:left w:val="single" w:sz="4" w:space="0" w:color="auto"/>
              <w:bottom w:val="single" w:sz="4" w:space="0" w:color="auto"/>
              <w:right w:val="single" w:sz="4" w:space="0" w:color="auto"/>
            </w:tcBorders>
            <w:shd w:val="clear" w:color="auto" w:fill="000000"/>
            <w:vAlign w:val="center"/>
          </w:tcPr>
          <w:p w14:paraId="454DFD0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283" w:type="dxa"/>
            <w:gridSpan w:val="43"/>
            <w:vMerge/>
            <w:tcBorders>
              <w:top w:val="single" w:sz="4" w:space="0" w:color="auto"/>
              <w:left w:val="single" w:sz="4" w:space="0" w:color="auto"/>
              <w:bottom w:val="single" w:sz="4" w:space="0" w:color="auto"/>
              <w:right w:val="single" w:sz="4" w:space="0" w:color="auto"/>
            </w:tcBorders>
            <w:shd w:val="clear" w:color="auto" w:fill="000000"/>
            <w:vAlign w:val="center"/>
          </w:tcPr>
          <w:p w14:paraId="5BF08F1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23E077A1" w14:textId="77777777">
        <w:trPr>
          <w:trHeight w:val="83"/>
        </w:trPr>
        <w:tc>
          <w:tcPr>
            <w:tcW w:w="943" w:type="dxa"/>
            <w:tcBorders>
              <w:top w:val="single" w:sz="4" w:space="0" w:color="auto"/>
              <w:left w:val="single" w:sz="4" w:space="0" w:color="auto"/>
            </w:tcBorders>
            <w:tcMar>
              <w:left w:w="0" w:type="dxa"/>
            </w:tcMar>
            <w:vAlign w:val="center"/>
          </w:tcPr>
          <w:p w14:paraId="5B21D4A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38</w:t>
            </w:r>
          </w:p>
        </w:tc>
        <w:tc>
          <w:tcPr>
            <w:tcW w:w="1799" w:type="dxa"/>
            <w:tcBorders>
              <w:top w:val="single" w:sz="4" w:space="0" w:color="auto"/>
              <w:left w:val="single" w:sz="4" w:space="0" w:color="auto"/>
            </w:tcBorders>
            <w:vAlign w:val="center"/>
          </w:tcPr>
          <w:p w14:paraId="3BE70A8B"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Gjeldsinstrumenter</w:t>
            </w:r>
          </w:p>
        </w:tc>
        <w:tc>
          <w:tcPr>
            <w:tcW w:w="395" w:type="dxa"/>
            <w:tcBorders>
              <w:top w:val="single" w:sz="4" w:space="0" w:color="auto"/>
              <w:left w:val="single" w:sz="4" w:space="0" w:color="auto"/>
              <w:right w:val="single" w:sz="4" w:space="0" w:color="auto"/>
            </w:tcBorders>
            <w:vAlign w:val="center"/>
          </w:tcPr>
          <w:p w14:paraId="298C391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96" w:type="dxa"/>
            <w:gridSpan w:val="3"/>
            <w:vMerge/>
            <w:tcBorders>
              <w:top w:val="single" w:sz="4" w:space="0" w:color="auto"/>
              <w:left w:val="single" w:sz="4" w:space="0" w:color="auto"/>
              <w:bottom w:val="single" w:sz="4" w:space="0" w:color="auto"/>
              <w:right w:val="single" w:sz="4" w:space="0" w:color="auto"/>
            </w:tcBorders>
            <w:shd w:val="clear" w:color="auto" w:fill="000000"/>
            <w:vAlign w:val="center"/>
          </w:tcPr>
          <w:p w14:paraId="0377AD0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00" w:type="dxa"/>
            <w:gridSpan w:val="7"/>
            <w:vMerge/>
            <w:tcBorders>
              <w:top w:val="single" w:sz="4" w:space="0" w:color="auto"/>
              <w:left w:val="single" w:sz="4" w:space="0" w:color="auto"/>
              <w:bottom w:val="single" w:sz="4" w:space="0" w:color="auto"/>
              <w:right w:val="single" w:sz="4" w:space="0" w:color="auto"/>
            </w:tcBorders>
            <w:shd w:val="clear" w:color="auto" w:fill="000000"/>
            <w:vAlign w:val="center"/>
          </w:tcPr>
          <w:p w14:paraId="2134E44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714" w:type="dxa"/>
            <w:gridSpan w:val="3"/>
            <w:vMerge/>
            <w:tcBorders>
              <w:top w:val="single" w:sz="4" w:space="0" w:color="auto"/>
              <w:left w:val="single" w:sz="4" w:space="0" w:color="auto"/>
              <w:bottom w:val="single" w:sz="4" w:space="0" w:color="auto"/>
              <w:right w:val="single" w:sz="4" w:space="0" w:color="auto"/>
            </w:tcBorders>
            <w:shd w:val="clear" w:color="auto" w:fill="000000"/>
            <w:vAlign w:val="center"/>
          </w:tcPr>
          <w:p w14:paraId="0526DE6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283" w:type="dxa"/>
            <w:gridSpan w:val="43"/>
            <w:vMerge/>
            <w:tcBorders>
              <w:top w:val="single" w:sz="4" w:space="0" w:color="auto"/>
              <w:left w:val="single" w:sz="4" w:space="0" w:color="auto"/>
              <w:bottom w:val="single" w:sz="4" w:space="0" w:color="auto"/>
              <w:right w:val="single" w:sz="4" w:space="0" w:color="auto"/>
            </w:tcBorders>
            <w:shd w:val="clear" w:color="auto" w:fill="000000"/>
            <w:vAlign w:val="center"/>
          </w:tcPr>
          <w:p w14:paraId="3F2FB28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69B65CA2" w14:textId="77777777">
        <w:trPr>
          <w:trHeight w:val="86"/>
        </w:trPr>
        <w:tc>
          <w:tcPr>
            <w:tcW w:w="943" w:type="dxa"/>
            <w:tcBorders>
              <w:top w:val="single" w:sz="4" w:space="0" w:color="auto"/>
              <w:left w:val="single" w:sz="4" w:space="0" w:color="auto"/>
            </w:tcBorders>
            <w:tcMar>
              <w:left w:w="0" w:type="dxa"/>
            </w:tcMar>
            <w:vAlign w:val="center"/>
          </w:tcPr>
          <w:p w14:paraId="755A10C2"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39</w:t>
            </w:r>
          </w:p>
        </w:tc>
        <w:tc>
          <w:tcPr>
            <w:tcW w:w="1799" w:type="dxa"/>
            <w:tcBorders>
              <w:top w:val="single" w:sz="4" w:space="0" w:color="auto"/>
              <w:left w:val="single" w:sz="4" w:space="0" w:color="auto"/>
            </w:tcBorders>
            <w:vAlign w:val="center"/>
          </w:tcPr>
          <w:p w14:paraId="1B41E84D"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Egenkapitalinstrumenter</w:t>
            </w:r>
          </w:p>
        </w:tc>
        <w:tc>
          <w:tcPr>
            <w:tcW w:w="395" w:type="dxa"/>
            <w:tcBorders>
              <w:top w:val="single" w:sz="4" w:space="0" w:color="auto"/>
              <w:left w:val="single" w:sz="4" w:space="0" w:color="auto"/>
              <w:right w:val="single" w:sz="4" w:space="0" w:color="auto"/>
            </w:tcBorders>
            <w:vAlign w:val="center"/>
          </w:tcPr>
          <w:p w14:paraId="4A79955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96" w:type="dxa"/>
            <w:gridSpan w:val="3"/>
            <w:vMerge/>
            <w:tcBorders>
              <w:top w:val="single" w:sz="4" w:space="0" w:color="auto"/>
              <w:left w:val="single" w:sz="4" w:space="0" w:color="auto"/>
              <w:bottom w:val="single" w:sz="4" w:space="0" w:color="auto"/>
              <w:right w:val="single" w:sz="4" w:space="0" w:color="auto"/>
            </w:tcBorders>
            <w:shd w:val="clear" w:color="auto" w:fill="000000"/>
            <w:vAlign w:val="center"/>
          </w:tcPr>
          <w:p w14:paraId="3562C30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00" w:type="dxa"/>
            <w:gridSpan w:val="7"/>
            <w:vMerge/>
            <w:tcBorders>
              <w:top w:val="single" w:sz="4" w:space="0" w:color="auto"/>
              <w:left w:val="single" w:sz="4" w:space="0" w:color="auto"/>
              <w:bottom w:val="single" w:sz="4" w:space="0" w:color="auto"/>
              <w:right w:val="single" w:sz="4" w:space="0" w:color="auto"/>
            </w:tcBorders>
            <w:shd w:val="clear" w:color="auto" w:fill="000000"/>
            <w:vAlign w:val="center"/>
          </w:tcPr>
          <w:p w14:paraId="28E0EBF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714" w:type="dxa"/>
            <w:gridSpan w:val="3"/>
            <w:vMerge/>
            <w:tcBorders>
              <w:top w:val="single" w:sz="4" w:space="0" w:color="auto"/>
              <w:left w:val="single" w:sz="4" w:space="0" w:color="auto"/>
              <w:bottom w:val="single" w:sz="4" w:space="0" w:color="auto"/>
              <w:right w:val="single" w:sz="4" w:space="0" w:color="auto"/>
            </w:tcBorders>
            <w:shd w:val="clear" w:color="auto" w:fill="000000"/>
            <w:vAlign w:val="center"/>
          </w:tcPr>
          <w:p w14:paraId="57CA19D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283" w:type="dxa"/>
            <w:gridSpan w:val="43"/>
            <w:vMerge/>
            <w:tcBorders>
              <w:top w:val="single" w:sz="4" w:space="0" w:color="auto"/>
              <w:left w:val="single" w:sz="4" w:space="0" w:color="auto"/>
              <w:bottom w:val="single" w:sz="4" w:space="0" w:color="auto"/>
              <w:right w:val="single" w:sz="4" w:space="0" w:color="auto"/>
            </w:tcBorders>
            <w:shd w:val="clear" w:color="auto" w:fill="000000"/>
            <w:vAlign w:val="center"/>
          </w:tcPr>
          <w:p w14:paraId="7F4DE0C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7CC8C5B3" w14:textId="77777777">
        <w:trPr>
          <w:trHeight w:val="173"/>
        </w:trPr>
        <w:tc>
          <w:tcPr>
            <w:tcW w:w="943" w:type="dxa"/>
            <w:tcBorders>
              <w:top w:val="single" w:sz="4" w:space="0" w:color="auto"/>
              <w:left w:val="single" w:sz="4" w:space="0" w:color="auto"/>
            </w:tcBorders>
            <w:tcMar>
              <w:left w:w="0" w:type="dxa"/>
            </w:tcMar>
            <w:vAlign w:val="center"/>
          </w:tcPr>
          <w:p w14:paraId="140CA160"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40</w:t>
            </w:r>
          </w:p>
        </w:tc>
        <w:tc>
          <w:tcPr>
            <w:tcW w:w="1799" w:type="dxa"/>
            <w:tcBorders>
              <w:top w:val="single" w:sz="4" w:space="0" w:color="auto"/>
              <w:left w:val="single" w:sz="4" w:space="0" w:color="auto"/>
            </w:tcBorders>
            <w:vAlign w:val="center"/>
          </w:tcPr>
          <w:p w14:paraId="43979047" w14:textId="77777777" w:rsidR="006561BA" w:rsidRDefault="005B4ED6">
            <w:pPr>
              <w:widowControl w:val="0"/>
              <w:shd w:val="clear" w:color="auto" w:fill="auto"/>
              <w:spacing w:after="0" w:line="240" w:lineRule="auto"/>
              <w:ind w:left="141"/>
              <w:jc w:val="left"/>
              <w:rPr>
                <w:rFonts w:ascii="Helvetica" w:eastAsia="Arial Unicode MS" w:hAnsi="Helvetica" w:cs="Helvetica"/>
                <w:color w:val="000000"/>
                <w:sz w:val="6"/>
                <w:szCs w:val="6"/>
              </w:rPr>
            </w:pPr>
            <w:r>
              <w:rPr>
                <w:rFonts w:ascii="Helvetica" w:hAnsi="Helvetica"/>
                <w:color w:val="383838"/>
                <w:sz w:val="6"/>
              </w:rPr>
              <w:t>Motparter fra land utenfor EU som ikke er omfattet av opplysningsplikten i direktivet om ikke-finansiell rapportering</w:t>
            </w:r>
          </w:p>
        </w:tc>
        <w:tc>
          <w:tcPr>
            <w:tcW w:w="395" w:type="dxa"/>
            <w:tcBorders>
              <w:top w:val="single" w:sz="4" w:space="0" w:color="auto"/>
              <w:left w:val="single" w:sz="4" w:space="0" w:color="auto"/>
              <w:right w:val="single" w:sz="4" w:space="0" w:color="auto"/>
            </w:tcBorders>
            <w:vAlign w:val="center"/>
          </w:tcPr>
          <w:p w14:paraId="2886DAA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596" w:type="dxa"/>
            <w:gridSpan w:val="3"/>
            <w:vMerge/>
            <w:tcBorders>
              <w:top w:val="single" w:sz="4" w:space="0" w:color="auto"/>
              <w:left w:val="single" w:sz="4" w:space="0" w:color="auto"/>
              <w:bottom w:val="single" w:sz="4" w:space="0" w:color="auto"/>
              <w:right w:val="single" w:sz="4" w:space="0" w:color="auto"/>
            </w:tcBorders>
            <w:shd w:val="clear" w:color="auto" w:fill="000000"/>
            <w:vAlign w:val="center"/>
          </w:tcPr>
          <w:p w14:paraId="587FBB0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1300" w:type="dxa"/>
            <w:gridSpan w:val="7"/>
            <w:vMerge/>
            <w:tcBorders>
              <w:top w:val="single" w:sz="4" w:space="0" w:color="auto"/>
              <w:left w:val="single" w:sz="4" w:space="0" w:color="auto"/>
              <w:bottom w:val="single" w:sz="4" w:space="0" w:color="auto"/>
              <w:right w:val="single" w:sz="4" w:space="0" w:color="auto"/>
            </w:tcBorders>
            <w:shd w:val="clear" w:color="auto" w:fill="000000"/>
            <w:vAlign w:val="center"/>
          </w:tcPr>
          <w:p w14:paraId="3736940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714" w:type="dxa"/>
            <w:gridSpan w:val="3"/>
            <w:vMerge/>
            <w:tcBorders>
              <w:top w:val="single" w:sz="4" w:space="0" w:color="auto"/>
              <w:left w:val="single" w:sz="4" w:space="0" w:color="auto"/>
              <w:bottom w:val="single" w:sz="4" w:space="0" w:color="auto"/>
              <w:right w:val="single" w:sz="4" w:space="0" w:color="auto"/>
            </w:tcBorders>
            <w:shd w:val="clear" w:color="auto" w:fill="000000"/>
            <w:vAlign w:val="center"/>
          </w:tcPr>
          <w:p w14:paraId="43DA530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8283" w:type="dxa"/>
            <w:gridSpan w:val="43"/>
            <w:vMerge/>
            <w:tcBorders>
              <w:top w:val="single" w:sz="4" w:space="0" w:color="auto"/>
              <w:left w:val="single" w:sz="4" w:space="0" w:color="auto"/>
              <w:bottom w:val="single" w:sz="4" w:space="0" w:color="auto"/>
              <w:right w:val="single" w:sz="4" w:space="0" w:color="auto"/>
            </w:tcBorders>
            <w:shd w:val="clear" w:color="auto" w:fill="000000"/>
            <w:vAlign w:val="center"/>
          </w:tcPr>
          <w:p w14:paraId="29B0C02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316C73E2" w14:textId="77777777">
        <w:trPr>
          <w:trHeight w:val="83"/>
        </w:trPr>
        <w:tc>
          <w:tcPr>
            <w:tcW w:w="943" w:type="dxa"/>
            <w:tcBorders>
              <w:top w:val="single" w:sz="4" w:space="0" w:color="auto"/>
              <w:left w:val="single" w:sz="4" w:space="0" w:color="auto"/>
            </w:tcBorders>
            <w:tcMar>
              <w:left w:w="0" w:type="dxa"/>
            </w:tcMar>
            <w:vAlign w:val="center"/>
          </w:tcPr>
          <w:p w14:paraId="3D5557F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41</w:t>
            </w:r>
          </w:p>
        </w:tc>
        <w:tc>
          <w:tcPr>
            <w:tcW w:w="1799" w:type="dxa"/>
            <w:tcBorders>
              <w:top w:val="single" w:sz="4" w:space="0" w:color="auto"/>
              <w:left w:val="single" w:sz="4" w:space="0" w:color="auto"/>
            </w:tcBorders>
            <w:vAlign w:val="center"/>
          </w:tcPr>
          <w:p w14:paraId="0E1B9265"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Lån og forskudd</w:t>
            </w:r>
          </w:p>
        </w:tc>
        <w:tc>
          <w:tcPr>
            <w:tcW w:w="395" w:type="dxa"/>
            <w:tcBorders>
              <w:top w:val="single" w:sz="4" w:space="0" w:color="auto"/>
              <w:left w:val="single" w:sz="4" w:space="0" w:color="auto"/>
              <w:right w:val="single" w:sz="4" w:space="0" w:color="auto"/>
            </w:tcBorders>
            <w:vAlign w:val="center"/>
          </w:tcPr>
          <w:p w14:paraId="52CBD80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96" w:type="dxa"/>
            <w:gridSpan w:val="3"/>
            <w:vMerge/>
            <w:tcBorders>
              <w:top w:val="single" w:sz="4" w:space="0" w:color="auto"/>
              <w:left w:val="single" w:sz="4" w:space="0" w:color="auto"/>
              <w:bottom w:val="single" w:sz="4" w:space="0" w:color="auto"/>
              <w:right w:val="single" w:sz="4" w:space="0" w:color="auto"/>
            </w:tcBorders>
            <w:shd w:val="clear" w:color="auto" w:fill="000000"/>
            <w:vAlign w:val="center"/>
          </w:tcPr>
          <w:p w14:paraId="712A516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00" w:type="dxa"/>
            <w:gridSpan w:val="7"/>
            <w:vMerge/>
            <w:tcBorders>
              <w:top w:val="single" w:sz="4" w:space="0" w:color="auto"/>
              <w:left w:val="single" w:sz="4" w:space="0" w:color="auto"/>
              <w:bottom w:val="single" w:sz="4" w:space="0" w:color="auto"/>
              <w:right w:val="single" w:sz="4" w:space="0" w:color="auto"/>
            </w:tcBorders>
            <w:shd w:val="clear" w:color="auto" w:fill="000000"/>
            <w:vAlign w:val="center"/>
          </w:tcPr>
          <w:p w14:paraId="7F81378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714" w:type="dxa"/>
            <w:gridSpan w:val="3"/>
            <w:vMerge/>
            <w:tcBorders>
              <w:top w:val="single" w:sz="4" w:space="0" w:color="auto"/>
              <w:left w:val="single" w:sz="4" w:space="0" w:color="auto"/>
              <w:bottom w:val="single" w:sz="4" w:space="0" w:color="auto"/>
              <w:right w:val="single" w:sz="4" w:space="0" w:color="auto"/>
            </w:tcBorders>
            <w:shd w:val="clear" w:color="auto" w:fill="000000"/>
            <w:vAlign w:val="center"/>
          </w:tcPr>
          <w:p w14:paraId="1B3D0E5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283" w:type="dxa"/>
            <w:gridSpan w:val="43"/>
            <w:vMerge/>
            <w:tcBorders>
              <w:top w:val="single" w:sz="4" w:space="0" w:color="auto"/>
              <w:left w:val="single" w:sz="4" w:space="0" w:color="auto"/>
              <w:bottom w:val="single" w:sz="4" w:space="0" w:color="auto"/>
              <w:right w:val="single" w:sz="4" w:space="0" w:color="auto"/>
            </w:tcBorders>
            <w:shd w:val="clear" w:color="auto" w:fill="000000"/>
            <w:vAlign w:val="center"/>
          </w:tcPr>
          <w:p w14:paraId="105BEBA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34033208" w14:textId="77777777">
        <w:trPr>
          <w:trHeight w:val="86"/>
        </w:trPr>
        <w:tc>
          <w:tcPr>
            <w:tcW w:w="943" w:type="dxa"/>
            <w:tcBorders>
              <w:top w:val="single" w:sz="4" w:space="0" w:color="auto"/>
              <w:left w:val="single" w:sz="4" w:space="0" w:color="auto"/>
            </w:tcBorders>
            <w:tcMar>
              <w:left w:w="0" w:type="dxa"/>
            </w:tcMar>
            <w:vAlign w:val="center"/>
          </w:tcPr>
          <w:p w14:paraId="28A67580"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42</w:t>
            </w:r>
          </w:p>
        </w:tc>
        <w:tc>
          <w:tcPr>
            <w:tcW w:w="1799" w:type="dxa"/>
            <w:tcBorders>
              <w:top w:val="single" w:sz="4" w:space="0" w:color="auto"/>
              <w:left w:val="single" w:sz="4" w:space="0" w:color="auto"/>
            </w:tcBorders>
            <w:vAlign w:val="center"/>
          </w:tcPr>
          <w:p w14:paraId="14F68585"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Gjeldsinstrumenter</w:t>
            </w:r>
          </w:p>
        </w:tc>
        <w:tc>
          <w:tcPr>
            <w:tcW w:w="395" w:type="dxa"/>
            <w:tcBorders>
              <w:top w:val="single" w:sz="4" w:space="0" w:color="auto"/>
              <w:left w:val="single" w:sz="4" w:space="0" w:color="auto"/>
              <w:right w:val="single" w:sz="4" w:space="0" w:color="auto"/>
            </w:tcBorders>
            <w:vAlign w:val="center"/>
          </w:tcPr>
          <w:p w14:paraId="506D06D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96" w:type="dxa"/>
            <w:gridSpan w:val="3"/>
            <w:vMerge/>
            <w:tcBorders>
              <w:top w:val="single" w:sz="4" w:space="0" w:color="auto"/>
              <w:left w:val="single" w:sz="4" w:space="0" w:color="auto"/>
              <w:bottom w:val="single" w:sz="4" w:space="0" w:color="auto"/>
              <w:right w:val="single" w:sz="4" w:space="0" w:color="auto"/>
            </w:tcBorders>
            <w:shd w:val="clear" w:color="auto" w:fill="000000"/>
            <w:vAlign w:val="center"/>
          </w:tcPr>
          <w:p w14:paraId="01AD84C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00" w:type="dxa"/>
            <w:gridSpan w:val="7"/>
            <w:vMerge/>
            <w:tcBorders>
              <w:top w:val="single" w:sz="4" w:space="0" w:color="auto"/>
              <w:left w:val="single" w:sz="4" w:space="0" w:color="auto"/>
              <w:bottom w:val="single" w:sz="4" w:space="0" w:color="auto"/>
              <w:right w:val="single" w:sz="4" w:space="0" w:color="auto"/>
            </w:tcBorders>
            <w:shd w:val="clear" w:color="auto" w:fill="000000"/>
            <w:vAlign w:val="center"/>
          </w:tcPr>
          <w:p w14:paraId="78CAE7F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714" w:type="dxa"/>
            <w:gridSpan w:val="3"/>
            <w:vMerge/>
            <w:tcBorders>
              <w:top w:val="single" w:sz="4" w:space="0" w:color="auto"/>
              <w:left w:val="single" w:sz="4" w:space="0" w:color="auto"/>
              <w:bottom w:val="single" w:sz="4" w:space="0" w:color="auto"/>
              <w:right w:val="single" w:sz="4" w:space="0" w:color="auto"/>
            </w:tcBorders>
            <w:shd w:val="clear" w:color="auto" w:fill="000000"/>
            <w:vAlign w:val="center"/>
          </w:tcPr>
          <w:p w14:paraId="1B3187E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283" w:type="dxa"/>
            <w:gridSpan w:val="43"/>
            <w:vMerge/>
            <w:tcBorders>
              <w:top w:val="single" w:sz="4" w:space="0" w:color="auto"/>
              <w:left w:val="single" w:sz="4" w:space="0" w:color="auto"/>
              <w:bottom w:val="single" w:sz="4" w:space="0" w:color="auto"/>
              <w:right w:val="single" w:sz="4" w:space="0" w:color="auto"/>
            </w:tcBorders>
            <w:shd w:val="clear" w:color="auto" w:fill="000000"/>
            <w:vAlign w:val="center"/>
          </w:tcPr>
          <w:p w14:paraId="5637C16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3BEC9325" w14:textId="77777777">
        <w:trPr>
          <w:trHeight w:val="86"/>
        </w:trPr>
        <w:tc>
          <w:tcPr>
            <w:tcW w:w="943" w:type="dxa"/>
            <w:tcBorders>
              <w:top w:val="single" w:sz="4" w:space="0" w:color="auto"/>
              <w:left w:val="single" w:sz="4" w:space="0" w:color="auto"/>
            </w:tcBorders>
            <w:tcMar>
              <w:left w:w="0" w:type="dxa"/>
            </w:tcMar>
            <w:vAlign w:val="center"/>
          </w:tcPr>
          <w:p w14:paraId="79A33DC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43</w:t>
            </w:r>
          </w:p>
        </w:tc>
        <w:tc>
          <w:tcPr>
            <w:tcW w:w="1799" w:type="dxa"/>
            <w:tcBorders>
              <w:top w:val="single" w:sz="4" w:space="0" w:color="auto"/>
              <w:left w:val="single" w:sz="4" w:space="0" w:color="auto"/>
            </w:tcBorders>
            <w:vAlign w:val="center"/>
          </w:tcPr>
          <w:p w14:paraId="068642E8"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Egenkapitalinstrumenter</w:t>
            </w:r>
          </w:p>
        </w:tc>
        <w:tc>
          <w:tcPr>
            <w:tcW w:w="395" w:type="dxa"/>
            <w:tcBorders>
              <w:top w:val="single" w:sz="4" w:space="0" w:color="auto"/>
              <w:left w:val="single" w:sz="4" w:space="0" w:color="auto"/>
              <w:right w:val="single" w:sz="4" w:space="0" w:color="auto"/>
            </w:tcBorders>
            <w:vAlign w:val="center"/>
          </w:tcPr>
          <w:p w14:paraId="67C16D8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96" w:type="dxa"/>
            <w:gridSpan w:val="3"/>
            <w:vMerge/>
            <w:tcBorders>
              <w:top w:val="single" w:sz="4" w:space="0" w:color="auto"/>
              <w:left w:val="single" w:sz="4" w:space="0" w:color="auto"/>
              <w:bottom w:val="single" w:sz="4" w:space="0" w:color="auto"/>
              <w:right w:val="single" w:sz="4" w:space="0" w:color="auto"/>
            </w:tcBorders>
            <w:shd w:val="clear" w:color="auto" w:fill="000000"/>
            <w:vAlign w:val="center"/>
          </w:tcPr>
          <w:p w14:paraId="0294F86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00" w:type="dxa"/>
            <w:gridSpan w:val="7"/>
            <w:vMerge/>
            <w:tcBorders>
              <w:top w:val="single" w:sz="4" w:space="0" w:color="auto"/>
              <w:left w:val="single" w:sz="4" w:space="0" w:color="auto"/>
              <w:bottom w:val="single" w:sz="4" w:space="0" w:color="auto"/>
              <w:right w:val="single" w:sz="4" w:space="0" w:color="auto"/>
            </w:tcBorders>
            <w:shd w:val="clear" w:color="auto" w:fill="000000"/>
            <w:vAlign w:val="center"/>
          </w:tcPr>
          <w:p w14:paraId="2809EE5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714" w:type="dxa"/>
            <w:gridSpan w:val="3"/>
            <w:vMerge/>
            <w:tcBorders>
              <w:top w:val="single" w:sz="4" w:space="0" w:color="auto"/>
              <w:left w:val="single" w:sz="4" w:space="0" w:color="auto"/>
              <w:bottom w:val="single" w:sz="4" w:space="0" w:color="auto"/>
              <w:right w:val="single" w:sz="4" w:space="0" w:color="auto"/>
            </w:tcBorders>
            <w:shd w:val="clear" w:color="auto" w:fill="000000"/>
            <w:vAlign w:val="center"/>
          </w:tcPr>
          <w:p w14:paraId="2008790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283" w:type="dxa"/>
            <w:gridSpan w:val="43"/>
            <w:vMerge/>
            <w:tcBorders>
              <w:top w:val="single" w:sz="4" w:space="0" w:color="auto"/>
              <w:left w:val="single" w:sz="4" w:space="0" w:color="auto"/>
              <w:bottom w:val="single" w:sz="4" w:space="0" w:color="auto"/>
              <w:right w:val="single" w:sz="4" w:space="0" w:color="auto"/>
            </w:tcBorders>
            <w:shd w:val="clear" w:color="auto" w:fill="000000"/>
            <w:vAlign w:val="center"/>
          </w:tcPr>
          <w:p w14:paraId="0018366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14596210" w14:textId="77777777">
        <w:trPr>
          <w:trHeight w:val="86"/>
        </w:trPr>
        <w:tc>
          <w:tcPr>
            <w:tcW w:w="943" w:type="dxa"/>
            <w:tcBorders>
              <w:top w:val="single" w:sz="4" w:space="0" w:color="auto"/>
              <w:left w:val="single" w:sz="4" w:space="0" w:color="auto"/>
            </w:tcBorders>
            <w:tcMar>
              <w:left w:w="0" w:type="dxa"/>
            </w:tcMar>
            <w:vAlign w:val="center"/>
          </w:tcPr>
          <w:p w14:paraId="7DD5B7F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44</w:t>
            </w:r>
          </w:p>
        </w:tc>
        <w:tc>
          <w:tcPr>
            <w:tcW w:w="1799" w:type="dxa"/>
            <w:tcBorders>
              <w:top w:val="single" w:sz="4" w:space="0" w:color="auto"/>
              <w:left w:val="single" w:sz="4" w:space="0" w:color="auto"/>
            </w:tcBorders>
            <w:vAlign w:val="center"/>
          </w:tcPr>
          <w:p w14:paraId="0AFFC884" w14:textId="77777777" w:rsidR="006561BA" w:rsidRDefault="005B4ED6">
            <w:pPr>
              <w:widowControl w:val="0"/>
              <w:shd w:val="clear" w:color="auto" w:fill="auto"/>
              <w:spacing w:after="0" w:line="240" w:lineRule="auto"/>
              <w:ind w:left="102"/>
              <w:jc w:val="left"/>
              <w:rPr>
                <w:rFonts w:ascii="Helvetica" w:eastAsia="Arial Unicode MS" w:hAnsi="Helvetica" w:cs="Helvetica"/>
                <w:b/>
                <w:color w:val="000000"/>
                <w:sz w:val="6"/>
                <w:szCs w:val="6"/>
              </w:rPr>
            </w:pPr>
            <w:r>
              <w:rPr>
                <w:rFonts w:ascii="Helvetica" w:hAnsi="Helvetica"/>
                <w:b/>
                <w:color w:val="000000"/>
                <w:sz w:val="6"/>
              </w:rPr>
              <w:t>Derivater</w:t>
            </w:r>
          </w:p>
        </w:tc>
        <w:tc>
          <w:tcPr>
            <w:tcW w:w="395" w:type="dxa"/>
            <w:tcBorders>
              <w:top w:val="single" w:sz="4" w:space="0" w:color="auto"/>
              <w:left w:val="single" w:sz="4" w:space="0" w:color="auto"/>
              <w:right w:val="single" w:sz="4" w:space="0" w:color="auto"/>
            </w:tcBorders>
            <w:vAlign w:val="center"/>
          </w:tcPr>
          <w:p w14:paraId="11BC299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96" w:type="dxa"/>
            <w:gridSpan w:val="3"/>
            <w:vMerge/>
            <w:tcBorders>
              <w:top w:val="single" w:sz="4" w:space="0" w:color="auto"/>
              <w:left w:val="single" w:sz="4" w:space="0" w:color="auto"/>
              <w:bottom w:val="single" w:sz="4" w:space="0" w:color="auto"/>
              <w:right w:val="single" w:sz="4" w:space="0" w:color="auto"/>
            </w:tcBorders>
            <w:shd w:val="clear" w:color="auto" w:fill="000000"/>
            <w:vAlign w:val="center"/>
          </w:tcPr>
          <w:p w14:paraId="7A93BA0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00" w:type="dxa"/>
            <w:gridSpan w:val="7"/>
            <w:vMerge/>
            <w:tcBorders>
              <w:top w:val="single" w:sz="4" w:space="0" w:color="auto"/>
              <w:left w:val="single" w:sz="4" w:space="0" w:color="auto"/>
              <w:bottom w:val="single" w:sz="4" w:space="0" w:color="auto"/>
              <w:right w:val="single" w:sz="4" w:space="0" w:color="auto"/>
            </w:tcBorders>
            <w:shd w:val="clear" w:color="auto" w:fill="000000"/>
            <w:vAlign w:val="center"/>
          </w:tcPr>
          <w:p w14:paraId="10547F4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714" w:type="dxa"/>
            <w:gridSpan w:val="3"/>
            <w:vMerge/>
            <w:tcBorders>
              <w:top w:val="single" w:sz="4" w:space="0" w:color="auto"/>
              <w:left w:val="single" w:sz="4" w:space="0" w:color="auto"/>
              <w:bottom w:val="single" w:sz="4" w:space="0" w:color="auto"/>
              <w:right w:val="single" w:sz="4" w:space="0" w:color="auto"/>
            </w:tcBorders>
            <w:shd w:val="clear" w:color="auto" w:fill="000000"/>
            <w:vAlign w:val="center"/>
          </w:tcPr>
          <w:p w14:paraId="14A38D7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283" w:type="dxa"/>
            <w:gridSpan w:val="43"/>
            <w:vMerge/>
            <w:tcBorders>
              <w:top w:val="single" w:sz="4" w:space="0" w:color="auto"/>
              <w:left w:val="single" w:sz="4" w:space="0" w:color="auto"/>
              <w:bottom w:val="single" w:sz="4" w:space="0" w:color="auto"/>
              <w:right w:val="single" w:sz="4" w:space="0" w:color="auto"/>
            </w:tcBorders>
            <w:shd w:val="clear" w:color="auto" w:fill="000000"/>
            <w:vAlign w:val="center"/>
          </w:tcPr>
          <w:p w14:paraId="617659A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2010F1B6" w14:textId="77777777">
        <w:trPr>
          <w:trHeight w:val="86"/>
        </w:trPr>
        <w:tc>
          <w:tcPr>
            <w:tcW w:w="943" w:type="dxa"/>
            <w:tcBorders>
              <w:top w:val="single" w:sz="4" w:space="0" w:color="auto"/>
              <w:left w:val="single" w:sz="4" w:space="0" w:color="auto"/>
            </w:tcBorders>
            <w:tcMar>
              <w:left w:w="0" w:type="dxa"/>
            </w:tcMar>
            <w:vAlign w:val="center"/>
          </w:tcPr>
          <w:p w14:paraId="4413BAD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45</w:t>
            </w:r>
          </w:p>
        </w:tc>
        <w:tc>
          <w:tcPr>
            <w:tcW w:w="1799" w:type="dxa"/>
            <w:tcBorders>
              <w:top w:val="single" w:sz="4" w:space="0" w:color="auto"/>
              <w:left w:val="single" w:sz="4" w:space="0" w:color="auto"/>
            </w:tcBorders>
            <w:vAlign w:val="center"/>
          </w:tcPr>
          <w:p w14:paraId="43F4427E" w14:textId="77777777" w:rsidR="006561BA" w:rsidRDefault="005B4ED6">
            <w:pPr>
              <w:widowControl w:val="0"/>
              <w:shd w:val="clear" w:color="auto" w:fill="auto"/>
              <w:spacing w:after="0" w:line="240" w:lineRule="auto"/>
              <w:ind w:left="102"/>
              <w:jc w:val="left"/>
              <w:rPr>
                <w:rFonts w:ascii="Helvetica" w:eastAsia="Arial Unicode MS" w:hAnsi="Helvetica" w:cs="Helvetica"/>
                <w:b/>
                <w:color w:val="000000"/>
                <w:sz w:val="6"/>
                <w:szCs w:val="6"/>
              </w:rPr>
            </w:pPr>
            <w:r>
              <w:rPr>
                <w:rFonts w:ascii="Helvetica" w:hAnsi="Helvetica"/>
                <w:b/>
                <w:color w:val="000000"/>
                <w:sz w:val="6"/>
              </w:rPr>
              <w:t>Interbanklån på anfordring</w:t>
            </w:r>
          </w:p>
        </w:tc>
        <w:tc>
          <w:tcPr>
            <w:tcW w:w="395" w:type="dxa"/>
            <w:tcBorders>
              <w:top w:val="single" w:sz="4" w:space="0" w:color="auto"/>
              <w:left w:val="single" w:sz="4" w:space="0" w:color="auto"/>
              <w:right w:val="single" w:sz="4" w:space="0" w:color="auto"/>
            </w:tcBorders>
            <w:vAlign w:val="center"/>
          </w:tcPr>
          <w:p w14:paraId="0CA7BAF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96" w:type="dxa"/>
            <w:gridSpan w:val="3"/>
            <w:vMerge/>
            <w:tcBorders>
              <w:top w:val="single" w:sz="4" w:space="0" w:color="auto"/>
              <w:left w:val="single" w:sz="4" w:space="0" w:color="auto"/>
              <w:bottom w:val="single" w:sz="4" w:space="0" w:color="auto"/>
              <w:right w:val="single" w:sz="4" w:space="0" w:color="auto"/>
            </w:tcBorders>
            <w:shd w:val="clear" w:color="auto" w:fill="000000"/>
            <w:vAlign w:val="center"/>
          </w:tcPr>
          <w:p w14:paraId="19BB308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00" w:type="dxa"/>
            <w:gridSpan w:val="7"/>
            <w:vMerge/>
            <w:tcBorders>
              <w:top w:val="single" w:sz="4" w:space="0" w:color="auto"/>
              <w:left w:val="single" w:sz="4" w:space="0" w:color="auto"/>
              <w:bottom w:val="single" w:sz="4" w:space="0" w:color="auto"/>
              <w:right w:val="single" w:sz="4" w:space="0" w:color="auto"/>
            </w:tcBorders>
            <w:shd w:val="clear" w:color="auto" w:fill="000000"/>
            <w:vAlign w:val="center"/>
          </w:tcPr>
          <w:p w14:paraId="3D416C6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714" w:type="dxa"/>
            <w:gridSpan w:val="3"/>
            <w:vMerge/>
            <w:tcBorders>
              <w:top w:val="single" w:sz="4" w:space="0" w:color="auto"/>
              <w:left w:val="single" w:sz="4" w:space="0" w:color="auto"/>
              <w:bottom w:val="single" w:sz="4" w:space="0" w:color="auto"/>
              <w:right w:val="single" w:sz="4" w:space="0" w:color="auto"/>
            </w:tcBorders>
            <w:shd w:val="clear" w:color="auto" w:fill="000000"/>
            <w:vAlign w:val="center"/>
          </w:tcPr>
          <w:p w14:paraId="11E7AE1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283" w:type="dxa"/>
            <w:gridSpan w:val="43"/>
            <w:vMerge/>
            <w:tcBorders>
              <w:top w:val="single" w:sz="4" w:space="0" w:color="auto"/>
              <w:left w:val="single" w:sz="4" w:space="0" w:color="auto"/>
              <w:bottom w:val="single" w:sz="4" w:space="0" w:color="auto"/>
              <w:right w:val="single" w:sz="4" w:space="0" w:color="auto"/>
            </w:tcBorders>
            <w:shd w:val="clear" w:color="auto" w:fill="000000"/>
            <w:vAlign w:val="center"/>
          </w:tcPr>
          <w:p w14:paraId="000D7A1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7161AB60" w14:textId="77777777">
        <w:trPr>
          <w:trHeight w:val="83"/>
        </w:trPr>
        <w:tc>
          <w:tcPr>
            <w:tcW w:w="943" w:type="dxa"/>
            <w:tcBorders>
              <w:top w:val="single" w:sz="4" w:space="0" w:color="auto"/>
              <w:left w:val="single" w:sz="4" w:space="0" w:color="auto"/>
            </w:tcBorders>
            <w:tcMar>
              <w:left w:w="0" w:type="dxa"/>
            </w:tcMar>
            <w:vAlign w:val="center"/>
          </w:tcPr>
          <w:p w14:paraId="45159F8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46</w:t>
            </w:r>
          </w:p>
        </w:tc>
        <w:tc>
          <w:tcPr>
            <w:tcW w:w="1799" w:type="dxa"/>
            <w:tcBorders>
              <w:top w:val="single" w:sz="4" w:space="0" w:color="auto"/>
              <w:left w:val="single" w:sz="4" w:space="0" w:color="auto"/>
            </w:tcBorders>
            <w:vAlign w:val="center"/>
          </w:tcPr>
          <w:p w14:paraId="69968976" w14:textId="77777777" w:rsidR="006561BA" w:rsidRDefault="005B4ED6">
            <w:pPr>
              <w:widowControl w:val="0"/>
              <w:shd w:val="clear" w:color="auto" w:fill="auto"/>
              <w:spacing w:after="0" w:line="240" w:lineRule="auto"/>
              <w:ind w:left="102"/>
              <w:jc w:val="left"/>
              <w:rPr>
                <w:rFonts w:ascii="Helvetica" w:eastAsia="Arial Unicode MS" w:hAnsi="Helvetica" w:cs="Helvetica"/>
                <w:b/>
                <w:color w:val="000000"/>
                <w:sz w:val="6"/>
                <w:szCs w:val="6"/>
              </w:rPr>
            </w:pPr>
            <w:r>
              <w:rPr>
                <w:rFonts w:ascii="Helvetica" w:hAnsi="Helvetica"/>
                <w:b/>
                <w:color w:val="000000"/>
                <w:sz w:val="6"/>
              </w:rPr>
              <w:t>Kontanter og kontantrelaterte eiendeler</w:t>
            </w:r>
          </w:p>
        </w:tc>
        <w:tc>
          <w:tcPr>
            <w:tcW w:w="395" w:type="dxa"/>
            <w:tcBorders>
              <w:top w:val="single" w:sz="4" w:space="0" w:color="auto"/>
              <w:left w:val="single" w:sz="4" w:space="0" w:color="auto"/>
              <w:right w:val="single" w:sz="4" w:space="0" w:color="auto"/>
            </w:tcBorders>
            <w:vAlign w:val="center"/>
          </w:tcPr>
          <w:p w14:paraId="4F24584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96" w:type="dxa"/>
            <w:gridSpan w:val="3"/>
            <w:vMerge/>
            <w:tcBorders>
              <w:top w:val="single" w:sz="4" w:space="0" w:color="auto"/>
              <w:left w:val="single" w:sz="4" w:space="0" w:color="auto"/>
              <w:bottom w:val="single" w:sz="4" w:space="0" w:color="auto"/>
              <w:right w:val="single" w:sz="4" w:space="0" w:color="auto"/>
            </w:tcBorders>
            <w:shd w:val="clear" w:color="auto" w:fill="000000"/>
            <w:vAlign w:val="center"/>
          </w:tcPr>
          <w:p w14:paraId="405B383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00" w:type="dxa"/>
            <w:gridSpan w:val="7"/>
            <w:vMerge/>
            <w:tcBorders>
              <w:top w:val="single" w:sz="4" w:space="0" w:color="auto"/>
              <w:left w:val="single" w:sz="4" w:space="0" w:color="auto"/>
              <w:bottom w:val="single" w:sz="4" w:space="0" w:color="auto"/>
              <w:right w:val="single" w:sz="4" w:space="0" w:color="auto"/>
            </w:tcBorders>
            <w:shd w:val="clear" w:color="auto" w:fill="000000"/>
            <w:vAlign w:val="center"/>
          </w:tcPr>
          <w:p w14:paraId="0687839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714" w:type="dxa"/>
            <w:gridSpan w:val="3"/>
            <w:vMerge/>
            <w:tcBorders>
              <w:top w:val="single" w:sz="4" w:space="0" w:color="auto"/>
              <w:left w:val="single" w:sz="4" w:space="0" w:color="auto"/>
              <w:bottom w:val="single" w:sz="4" w:space="0" w:color="auto"/>
              <w:right w:val="single" w:sz="4" w:space="0" w:color="auto"/>
            </w:tcBorders>
            <w:shd w:val="clear" w:color="auto" w:fill="000000"/>
            <w:vAlign w:val="center"/>
          </w:tcPr>
          <w:p w14:paraId="17CF54B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283" w:type="dxa"/>
            <w:gridSpan w:val="43"/>
            <w:vMerge/>
            <w:tcBorders>
              <w:top w:val="single" w:sz="4" w:space="0" w:color="auto"/>
              <w:left w:val="single" w:sz="4" w:space="0" w:color="auto"/>
              <w:bottom w:val="single" w:sz="4" w:space="0" w:color="auto"/>
              <w:right w:val="single" w:sz="4" w:space="0" w:color="auto"/>
            </w:tcBorders>
            <w:shd w:val="clear" w:color="auto" w:fill="000000"/>
            <w:vAlign w:val="center"/>
          </w:tcPr>
          <w:p w14:paraId="07F2318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27C80989" w14:textId="77777777">
        <w:trPr>
          <w:trHeight w:val="79"/>
        </w:trPr>
        <w:tc>
          <w:tcPr>
            <w:tcW w:w="943" w:type="dxa"/>
            <w:tcBorders>
              <w:top w:val="single" w:sz="4" w:space="0" w:color="auto"/>
              <w:left w:val="single" w:sz="4" w:space="0" w:color="auto"/>
            </w:tcBorders>
            <w:tcMar>
              <w:left w:w="0" w:type="dxa"/>
            </w:tcMar>
            <w:vAlign w:val="center"/>
          </w:tcPr>
          <w:p w14:paraId="4AF884B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47</w:t>
            </w:r>
          </w:p>
        </w:tc>
        <w:tc>
          <w:tcPr>
            <w:tcW w:w="1799" w:type="dxa"/>
            <w:tcBorders>
              <w:top w:val="single" w:sz="4" w:space="0" w:color="auto"/>
              <w:left w:val="single" w:sz="4" w:space="0" w:color="auto"/>
            </w:tcBorders>
            <w:vAlign w:val="center"/>
          </w:tcPr>
          <w:p w14:paraId="3B07A690" w14:textId="77777777" w:rsidR="006561BA" w:rsidRDefault="005B4ED6">
            <w:pPr>
              <w:widowControl w:val="0"/>
              <w:shd w:val="clear" w:color="auto" w:fill="auto"/>
              <w:spacing w:after="0" w:line="240" w:lineRule="auto"/>
              <w:ind w:left="102"/>
              <w:jc w:val="left"/>
              <w:rPr>
                <w:rFonts w:ascii="Helvetica" w:eastAsia="Arial Unicode MS" w:hAnsi="Helvetica" w:cs="Helvetica"/>
                <w:b/>
                <w:color w:val="000000"/>
                <w:sz w:val="6"/>
                <w:szCs w:val="6"/>
              </w:rPr>
            </w:pPr>
            <w:r>
              <w:rPr>
                <w:rFonts w:ascii="Helvetica" w:hAnsi="Helvetica"/>
                <w:b/>
                <w:color w:val="000000"/>
                <w:sz w:val="6"/>
              </w:rPr>
              <w:t>Andre kategorier av eiendeler (for eksempel goodwill, varer osv.)</w:t>
            </w:r>
          </w:p>
        </w:tc>
        <w:tc>
          <w:tcPr>
            <w:tcW w:w="395" w:type="dxa"/>
            <w:tcBorders>
              <w:top w:val="single" w:sz="4" w:space="0" w:color="auto"/>
              <w:left w:val="single" w:sz="4" w:space="0" w:color="auto"/>
              <w:right w:val="single" w:sz="4" w:space="0" w:color="auto"/>
            </w:tcBorders>
            <w:vAlign w:val="center"/>
          </w:tcPr>
          <w:p w14:paraId="2F8DAC7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596" w:type="dxa"/>
            <w:gridSpan w:val="3"/>
            <w:vMerge/>
            <w:tcBorders>
              <w:top w:val="single" w:sz="4" w:space="0" w:color="auto"/>
              <w:left w:val="single" w:sz="4" w:space="0" w:color="auto"/>
              <w:bottom w:val="single" w:sz="4" w:space="0" w:color="auto"/>
              <w:right w:val="single" w:sz="4" w:space="0" w:color="auto"/>
            </w:tcBorders>
            <w:shd w:val="clear" w:color="auto" w:fill="000000"/>
            <w:vAlign w:val="center"/>
          </w:tcPr>
          <w:p w14:paraId="691F30D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1300" w:type="dxa"/>
            <w:gridSpan w:val="7"/>
            <w:vMerge/>
            <w:tcBorders>
              <w:top w:val="single" w:sz="4" w:space="0" w:color="auto"/>
              <w:left w:val="single" w:sz="4" w:space="0" w:color="auto"/>
              <w:bottom w:val="single" w:sz="4" w:space="0" w:color="auto"/>
              <w:right w:val="single" w:sz="4" w:space="0" w:color="auto"/>
            </w:tcBorders>
            <w:shd w:val="clear" w:color="auto" w:fill="000000"/>
            <w:vAlign w:val="center"/>
          </w:tcPr>
          <w:p w14:paraId="6CA29F5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714" w:type="dxa"/>
            <w:gridSpan w:val="3"/>
            <w:vMerge/>
            <w:tcBorders>
              <w:top w:val="single" w:sz="4" w:space="0" w:color="auto"/>
              <w:left w:val="single" w:sz="4" w:space="0" w:color="auto"/>
              <w:bottom w:val="single" w:sz="4" w:space="0" w:color="auto"/>
              <w:right w:val="single" w:sz="4" w:space="0" w:color="auto"/>
            </w:tcBorders>
            <w:shd w:val="clear" w:color="auto" w:fill="000000"/>
            <w:vAlign w:val="center"/>
          </w:tcPr>
          <w:p w14:paraId="35C7E5F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8283" w:type="dxa"/>
            <w:gridSpan w:val="43"/>
            <w:vMerge/>
            <w:tcBorders>
              <w:top w:val="single" w:sz="4" w:space="0" w:color="auto"/>
              <w:left w:val="single" w:sz="4" w:space="0" w:color="auto"/>
              <w:bottom w:val="single" w:sz="4" w:space="0" w:color="auto"/>
              <w:right w:val="single" w:sz="4" w:space="0" w:color="auto"/>
            </w:tcBorders>
            <w:shd w:val="clear" w:color="auto" w:fill="000000"/>
            <w:vAlign w:val="center"/>
          </w:tcPr>
          <w:p w14:paraId="50CEC77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5EEC8A51" w14:textId="77777777">
        <w:trPr>
          <w:trHeight w:val="86"/>
        </w:trPr>
        <w:tc>
          <w:tcPr>
            <w:tcW w:w="943" w:type="dxa"/>
            <w:tcBorders>
              <w:top w:val="single" w:sz="4" w:space="0" w:color="auto"/>
              <w:left w:val="single" w:sz="4" w:space="0" w:color="auto"/>
            </w:tcBorders>
            <w:shd w:val="clear" w:color="auto" w:fill="DBE5F1" w:themeFill="accent1" w:themeFillTint="33"/>
            <w:tcMar>
              <w:left w:w="0" w:type="dxa"/>
            </w:tcMar>
            <w:vAlign w:val="center"/>
          </w:tcPr>
          <w:p w14:paraId="4022A1AA"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48</w:t>
            </w:r>
          </w:p>
        </w:tc>
        <w:tc>
          <w:tcPr>
            <w:tcW w:w="1799" w:type="dxa"/>
            <w:tcBorders>
              <w:top w:val="single" w:sz="4" w:space="0" w:color="auto"/>
              <w:left w:val="single" w:sz="4" w:space="0" w:color="auto"/>
            </w:tcBorders>
            <w:shd w:val="clear" w:color="auto" w:fill="DBE5F1" w:themeFill="accent1" w:themeFillTint="33"/>
            <w:vAlign w:val="center"/>
          </w:tcPr>
          <w:p w14:paraId="0BA0C8E2"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b/>
                <w:color w:val="000000"/>
                <w:sz w:val="6"/>
              </w:rPr>
              <w:t>Samlet GAR for eiendeler</w:t>
            </w:r>
          </w:p>
        </w:tc>
        <w:tc>
          <w:tcPr>
            <w:tcW w:w="395" w:type="dxa"/>
            <w:tcBorders>
              <w:top w:val="single" w:sz="4" w:space="0" w:color="auto"/>
              <w:left w:val="single" w:sz="4" w:space="0" w:color="auto"/>
            </w:tcBorders>
            <w:shd w:val="clear" w:color="auto" w:fill="DBE5F1" w:themeFill="accent1" w:themeFillTint="33"/>
            <w:vAlign w:val="center"/>
          </w:tcPr>
          <w:p w14:paraId="32473C9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shd w:val="clear" w:color="auto" w:fill="DBE5F1" w:themeFill="accent1" w:themeFillTint="33"/>
            <w:vAlign w:val="center"/>
          </w:tcPr>
          <w:p w14:paraId="71EBAF4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shd w:val="clear" w:color="auto" w:fill="DBE5F1" w:themeFill="accent1" w:themeFillTint="33"/>
            <w:vAlign w:val="center"/>
          </w:tcPr>
          <w:p w14:paraId="79AF91B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shd w:val="clear" w:color="auto" w:fill="DBE5F1" w:themeFill="accent1" w:themeFillTint="33"/>
            <w:vAlign w:val="center"/>
          </w:tcPr>
          <w:p w14:paraId="5F7583A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shd w:val="clear" w:color="auto" w:fill="DBE5F1" w:themeFill="accent1" w:themeFillTint="33"/>
            <w:vAlign w:val="center"/>
          </w:tcPr>
          <w:p w14:paraId="3A49633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shd w:val="clear" w:color="auto" w:fill="DBE5F1" w:themeFill="accent1" w:themeFillTint="33"/>
            <w:vAlign w:val="center"/>
          </w:tcPr>
          <w:p w14:paraId="2C70B10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shd w:val="clear" w:color="auto" w:fill="DBE5F1" w:themeFill="accent1" w:themeFillTint="33"/>
            <w:vAlign w:val="center"/>
          </w:tcPr>
          <w:p w14:paraId="7A44A7F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shd w:val="clear" w:color="auto" w:fill="DBE5F1" w:themeFill="accent1" w:themeFillTint="33"/>
            <w:vAlign w:val="center"/>
          </w:tcPr>
          <w:p w14:paraId="36ECBF0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shd w:val="clear" w:color="auto" w:fill="DBE5F1" w:themeFill="accent1" w:themeFillTint="33"/>
            <w:vAlign w:val="center"/>
          </w:tcPr>
          <w:p w14:paraId="3369DCD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shd w:val="clear" w:color="auto" w:fill="DBE5F1" w:themeFill="accent1" w:themeFillTint="33"/>
            <w:vAlign w:val="center"/>
          </w:tcPr>
          <w:p w14:paraId="7F4A07C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shd w:val="clear" w:color="auto" w:fill="DBE5F1" w:themeFill="accent1" w:themeFillTint="33"/>
            <w:vAlign w:val="center"/>
          </w:tcPr>
          <w:p w14:paraId="56188DA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shd w:val="clear" w:color="auto" w:fill="DBE5F1" w:themeFill="accent1" w:themeFillTint="33"/>
            <w:vAlign w:val="center"/>
          </w:tcPr>
          <w:p w14:paraId="06FEC9A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DBE5F1" w:themeFill="accent1" w:themeFillTint="33"/>
            <w:vAlign w:val="center"/>
          </w:tcPr>
          <w:p w14:paraId="778A2BC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shd w:val="clear" w:color="auto" w:fill="DBE5F1" w:themeFill="accent1" w:themeFillTint="33"/>
            <w:vAlign w:val="center"/>
          </w:tcPr>
          <w:p w14:paraId="0ABD9E8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shd w:val="clear" w:color="auto" w:fill="DBE5F1" w:themeFill="accent1" w:themeFillTint="33"/>
            <w:vAlign w:val="center"/>
          </w:tcPr>
          <w:p w14:paraId="2776531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shd w:val="clear" w:color="auto" w:fill="DBE5F1" w:themeFill="accent1" w:themeFillTint="33"/>
            <w:vAlign w:val="center"/>
          </w:tcPr>
          <w:p w14:paraId="015D805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DBE5F1" w:themeFill="accent1" w:themeFillTint="33"/>
            <w:vAlign w:val="center"/>
          </w:tcPr>
          <w:p w14:paraId="7B11D9F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shd w:val="clear" w:color="auto" w:fill="DBE5F1" w:themeFill="accent1" w:themeFillTint="33"/>
            <w:vAlign w:val="center"/>
          </w:tcPr>
          <w:p w14:paraId="76E4517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shd w:val="clear" w:color="auto" w:fill="DBE5F1" w:themeFill="accent1" w:themeFillTint="33"/>
            <w:vAlign w:val="center"/>
          </w:tcPr>
          <w:p w14:paraId="301735F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shd w:val="clear" w:color="auto" w:fill="DBE5F1" w:themeFill="accent1" w:themeFillTint="33"/>
            <w:vAlign w:val="center"/>
          </w:tcPr>
          <w:p w14:paraId="057D89C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shd w:val="clear" w:color="auto" w:fill="DBE5F1" w:themeFill="accent1" w:themeFillTint="33"/>
            <w:vAlign w:val="center"/>
          </w:tcPr>
          <w:p w14:paraId="3C1AD98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shd w:val="clear" w:color="auto" w:fill="DBE5F1" w:themeFill="accent1" w:themeFillTint="33"/>
            <w:vAlign w:val="center"/>
          </w:tcPr>
          <w:p w14:paraId="6D18DCA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shd w:val="clear" w:color="auto" w:fill="DBE5F1" w:themeFill="accent1" w:themeFillTint="33"/>
            <w:vAlign w:val="center"/>
          </w:tcPr>
          <w:p w14:paraId="6DD5B1C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shd w:val="clear" w:color="auto" w:fill="DBE5F1" w:themeFill="accent1" w:themeFillTint="33"/>
            <w:vAlign w:val="center"/>
          </w:tcPr>
          <w:p w14:paraId="3A11373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DBE5F1" w:themeFill="accent1" w:themeFillTint="33"/>
            <w:vAlign w:val="center"/>
          </w:tcPr>
          <w:p w14:paraId="41802DC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3"/>
            <w:tcBorders>
              <w:top w:val="single" w:sz="4" w:space="0" w:color="auto"/>
              <w:left w:val="single" w:sz="4" w:space="0" w:color="auto"/>
            </w:tcBorders>
            <w:shd w:val="clear" w:color="auto" w:fill="DBE5F1" w:themeFill="accent1" w:themeFillTint="33"/>
            <w:vAlign w:val="center"/>
          </w:tcPr>
          <w:p w14:paraId="6D69A56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tcBorders>
              <w:top w:val="single" w:sz="4" w:space="0" w:color="auto"/>
              <w:left w:val="single" w:sz="4" w:space="0" w:color="auto"/>
            </w:tcBorders>
            <w:shd w:val="clear" w:color="auto" w:fill="DBE5F1" w:themeFill="accent1" w:themeFillTint="33"/>
            <w:vAlign w:val="center"/>
          </w:tcPr>
          <w:p w14:paraId="08FB466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shd w:val="clear" w:color="auto" w:fill="DBE5F1" w:themeFill="accent1" w:themeFillTint="33"/>
            <w:vAlign w:val="center"/>
          </w:tcPr>
          <w:p w14:paraId="2AC872C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DBE5F1" w:themeFill="accent1" w:themeFillTint="33"/>
            <w:vAlign w:val="center"/>
          </w:tcPr>
          <w:p w14:paraId="66E7E6D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3"/>
            <w:tcBorders>
              <w:top w:val="single" w:sz="4" w:space="0" w:color="auto"/>
              <w:left w:val="single" w:sz="4" w:space="0" w:color="auto"/>
            </w:tcBorders>
            <w:shd w:val="clear" w:color="auto" w:fill="DBE5F1" w:themeFill="accent1" w:themeFillTint="33"/>
            <w:vAlign w:val="center"/>
          </w:tcPr>
          <w:p w14:paraId="699019A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shd w:val="clear" w:color="auto" w:fill="DBE5F1" w:themeFill="accent1" w:themeFillTint="33"/>
            <w:vAlign w:val="center"/>
          </w:tcPr>
          <w:p w14:paraId="5834068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5F3C3993" w14:textId="77777777">
        <w:trPr>
          <w:trHeight w:val="94"/>
        </w:trPr>
        <w:tc>
          <w:tcPr>
            <w:tcW w:w="943" w:type="dxa"/>
            <w:tcBorders>
              <w:top w:val="single" w:sz="4" w:space="0" w:color="auto"/>
              <w:left w:val="single" w:sz="4" w:space="0" w:color="auto"/>
            </w:tcBorders>
            <w:tcMar>
              <w:left w:w="0" w:type="dxa"/>
            </w:tcMar>
            <w:vAlign w:val="center"/>
          </w:tcPr>
          <w:p w14:paraId="3383349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49</w:t>
            </w:r>
          </w:p>
        </w:tc>
        <w:tc>
          <w:tcPr>
            <w:tcW w:w="1799" w:type="dxa"/>
            <w:tcBorders>
              <w:top w:val="single" w:sz="4" w:space="0" w:color="auto"/>
              <w:left w:val="single" w:sz="4" w:space="0" w:color="auto"/>
            </w:tcBorders>
            <w:vAlign w:val="center"/>
          </w:tcPr>
          <w:p w14:paraId="4B868084" w14:textId="77777777" w:rsidR="006561BA" w:rsidRDefault="005B4ED6">
            <w:pPr>
              <w:widowControl w:val="0"/>
              <w:shd w:val="clear" w:color="auto" w:fill="auto"/>
              <w:spacing w:after="0" w:line="240" w:lineRule="auto"/>
              <w:jc w:val="left"/>
              <w:rPr>
                <w:rFonts w:ascii="Helvetica" w:eastAsia="Arial Unicode MS" w:hAnsi="Helvetica" w:cs="Helvetica"/>
                <w:b/>
                <w:color w:val="000000"/>
                <w:sz w:val="6"/>
                <w:szCs w:val="6"/>
                <w:u w:val="single"/>
              </w:rPr>
            </w:pPr>
            <w:r>
              <w:rPr>
                <w:rFonts w:ascii="Helvetica" w:hAnsi="Helvetica"/>
                <w:b/>
                <w:color w:val="000000"/>
                <w:sz w:val="6"/>
                <w:u w:val="single"/>
              </w:rPr>
              <w:t>Eiendeler som ikke inngår i beregningen av GAR</w:t>
            </w:r>
          </w:p>
        </w:tc>
        <w:tc>
          <w:tcPr>
            <w:tcW w:w="395" w:type="dxa"/>
            <w:tcBorders>
              <w:top w:val="single" w:sz="4" w:space="0" w:color="auto"/>
              <w:left w:val="single" w:sz="4" w:space="0" w:color="auto"/>
            </w:tcBorders>
            <w:vAlign w:val="center"/>
          </w:tcPr>
          <w:p w14:paraId="01FD301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596" w:type="dxa"/>
            <w:gridSpan w:val="3"/>
            <w:vMerge w:val="restart"/>
            <w:tcBorders>
              <w:top w:val="single" w:sz="4" w:space="0" w:color="auto"/>
            </w:tcBorders>
            <w:shd w:val="clear" w:color="auto" w:fill="000000"/>
            <w:vAlign w:val="center"/>
          </w:tcPr>
          <w:p w14:paraId="692B41B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1300" w:type="dxa"/>
            <w:gridSpan w:val="7"/>
            <w:vMerge w:val="restart"/>
            <w:tcBorders>
              <w:top w:val="single" w:sz="4" w:space="0" w:color="auto"/>
            </w:tcBorders>
            <w:shd w:val="clear" w:color="auto" w:fill="000000"/>
            <w:vAlign w:val="center"/>
          </w:tcPr>
          <w:p w14:paraId="3B84F56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714" w:type="dxa"/>
            <w:gridSpan w:val="3"/>
            <w:vMerge w:val="restart"/>
            <w:tcBorders>
              <w:top w:val="single" w:sz="4" w:space="0" w:color="auto"/>
            </w:tcBorders>
            <w:shd w:val="clear" w:color="auto" w:fill="000000"/>
            <w:vAlign w:val="center"/>
          </w:tcPr>
          <w:p w14:paraId="76C66A4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8283" w:type="dxa"/>
            <w:gridSpan w:val="43"/>
            <w:vMerge w:val="restart"/>
            <w:tcBorders>
              <w:top w:val="single" w:sz="4" w:space="0" w:color="auto"/>
            </w:tcBorders>
            <w:shd w:val="clear" w:color="auto" w:fill="000000"/>
            <w:vAlign w:val="center"/>
          </w:tcPr>
          <w:p w14:paraId="34E8BA3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7825C315" w14:textId="77777777">
        <w:trPr>
          <w:trHeight w:val="83"/>
        </w:trPr>
        <w:tc>
          <w:tcPr>
            <w:tcW w:w="943" w:type="dxa"/>
            <w:tcBorders>
              <w:top w:val="single" w:sz="4" w:space="0" w:color="auto"/>
              <w:left w:val="single" w:sz="4" w:space="0" w:color="auto"/>
            </w:tcBorders>
            <w:tcMar>
              <w:left w:w="0" w:type="dxa"/>
            </w:tcMar>
            <w:vAlign w:val="center"/>
          </w:tcPr>
          <w:p w14:paraId="2479B0B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50</w:t>
            </w:r>
          </w:p>
        </w:tc>
        <w:tc>
          <w:tcPr>
            <w:tcW w:w="1799" w:type="dxa"/>
            <w:tcBorders>
              <w:top w:val="single" w:sz="4" w:space="0" w:color="auto"/>
              <w:left w:val="single" w:sz="4" w:space="0" w:color="auto"/>
            </w:tcBorders>
            <w:vAlign w:val="center"/>
          </w:tcPr>
          <w:p w14:paraId="6B7C4C8A" w14:textId="77777777" w:rsidR="006561BA" w:rsidRDefault="005B4ED6">
            <w:pPr>
              <w:widowControl w:val="0"/>
              <w:shd w:val="clear" w:color="auto" w:fill="auto"/>
              <w:spacing w:after="0" w:line="240" w:lineRule="auto"/>
              <w:ind w:left="102"/>
              <w:jc w:val="left"/>
              <w:rPr>
                <w:rFonts w:ascii="Helvetica" w:eastAsia="Arial Unicode MS" w:hAnsi="Helvetica" w:cs="Helvetica"/>
                <w:b/>
                <w:color w:val="000000"/>
                <w:sz w:val="6"/>
                <w:szCs w:val="6"/>
              </w:rPr>
            </w:pPr>
            <w:r>
              <w:rPr>
                <w:rFonts w:ascii="Helvetica" w:hAnsi="Helvetica"/>
                <w:b/>
                <w:color w:val="000000"/>
                <w:sz w:val="6"/>
              </w:rPr>
              <w:t>Sentralmyndigheter og overnasjonale utstedere</w:t>
            </w:r>
          </w:p>
        </w:tc>
        <w:tc>
          <w:tcPr>
            <w:tcW w:w="395" w:type="dxa"/>
            <w:tcBorders>
              <w:top w:val="single" w:sz="4" w:space="0" w:color="auto"/>
              <w:left w:val="single" w:sz="4" w:space="0" w:color="auto"/>
            </w:tcBorders>
            <w:vAlign w:val="center"/>
          </w:tcPr>
          <w:p w14:paraId="1A914CF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96" w:type="dxa"/>
            <w:gridSpan w:val="3"/>
            <w:vMerge/>
            <w:shd w:val="clear" w:color="auto" w:fill="000000"/>
            <w:vAlign w:val="center"/>
          </w:tcPr>
          <w:p w14:paraId="5342328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00" w:type="dxa"/>
            <w:gridSpan w:val="7"/>
            <w:vMerge/>
            <w:shd w:val="clear" w:color="auto" w:fill="000000"/>
            <w:vAlign w:val="center"/>
          </w:tcPr>
          <w:p w14:paraId="2D99A25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714" w:type="dxa"/>
            <w:gridSpan w:val="3"/>
            <w:vMerge/>
            <w:shd w:val="clear" w:color="auto" w:fill="000000"/>
            <w:vAlign w:val="center"/>
          </w:tcPr>
          <w:p w14:paraId="79F4AA2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283" w:type="dxa"/>
            <w:gridSpan w:val="43"/>
            <w:vMerge/>
            <w:shd w:val="clear" w:color="auto" w:fill="000000"/>
            <w:vAlign w:val="center"/>
          </w:tcPr>
          <w:p w14:paraId="3A30AB3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7E323435" w14:textId="77777777">
        <w:trPr>
          <w:trHeight w:val="86"/>
        </w:trPr>
        <w:tc>
          <w:tcPr>
            <w:tcW w:w="943" w:type="dxa"/>
            <w:tcBorders>
              <w:top w:val="single" w:sz="4" w:space="0" w:color="auto"/>
              <w:left w:val="single" w:sz="4" w:space="0" w:color="auto"/>
            </w:tcBorders>
            <w:tcMar>
              <w:left w:w="0" w:type="dxa"/>
            </w:tcMar>
            <w:vAlign w:val="center"/>
          </w:tcPr>
          <w:p w14:paraId="5BB9F5D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51</w:t>
            </w:r>
          </w:p>
        </w:tc>
        <w:tc>
          <w:tcPr>
            <w:tcW w:w="1799" w:type="dxa"/>
            <w:tcBorders>
              <w:top w:val="single" w:sz="4" w:space="0" w:color="auto"/>
              <w:left w:val="single" w:sz="4" w:space="0" w:color="auto"/>
            </w:tcBorders>
            <w:vAlign w:val="center"/>
          </w:tcPr>
          <w:p w14:paraId="0819F53B" w14:textId="77777777" w:rsidR="006561BA" w:rsidRDefault="005B4ED6">
            <w:pPr>
              <w:widowControl w:val="0"/>
              <w:shd w:val="clear" w:color="auto" w:fill="auto"/>
              <w:spacing w:after="0" w:line="240" w:lineRule="auto"/>
              <w:ind w:left="102"/>
              <w:jc w:val="left"/>
              <w:rPr>
                <w:rFonts w:ascii="Helvetica" w:eastAsia="Arial Unicode MS" w:hAnsi="Helvetica" w:cs="Helvetica"/>
                <w:b/>
                <w:color w:val="000000"/>
                <w:sz w:val="6"/>
                <w:szCs w:val="6"/>
              </w:rPr>
            </w:pPr>
            <w:r>
              <w:rPr>
                <w:rFonts w:ascii="Helvetica" w:hAnsi="Helvetica"/>
                <w:b/>
                <w:color w:val="000000"/>
                <w:sz w:val="6"/>
              </w:rPr>
              <w:t>Eksponeringer mot sentralbanker</w:t>
            </w:r>
          </w:p>
        </w:tc>
        <w:tc>
          <w:tcPr>
            <w:tcW w:w="395" w:type="dxa"/>
            <w:tcBorders>
              <w:top w:val="single" w:sz="4" w:space="0" w:color="auto"/>
              <w:left w:val="single" w:sz="4" w:space="0" w:color="auto"/>
            </w:tcBorders>
            <w:vAlign w:val="center"/>
          </w:tcPr>
          <w:p w14:paraId="66E1990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96" w:type="dxa"/>
            <w:gridSpan w:val="3"/>
            <w:vMerge/>
            <w:shd w:val="clear" w:color="auto" w:fill="000000"/>
            <w:vAlign w:val="center"/>
          </w:tcPr>
          <w:p w14:paraId="77B844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00" w:type="dxa"/>
            <w:gridSpan w:val="7"/>
            <w:vMerge/>
            <w:shd w:val="clear" w:color="auto" w:fill="000000"/>
            <w:vAlign w:val="center"/>
          </w:tcPr>
          <w:p w14:paraId="732FCE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714" w:type="dxa"/>
            <w:gridSpan w:val="3"/>
            <w:vMerge/>
            <w:shd w:val="clear" w:color="auto" w:fill="000000"/>
            <w:vAlign w:val="center"/>
          </w:tcPr>
          <w:p w14:paraId="0C18D2A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283" w:type="dxa"/>
            <w:gridSpan w:val="43"/>
            <w:vMerge/>
            <w:shd w:val="clear" w:color="auto" w:fill="000000"/>
            <w:vAlign w:val="center"/>
          </w:tcPr>
          <w:p w14:paraId="2F55809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6A9DD05A" w14:textId="77777777">
        <w:trPr>
          <w:trHeight w:val="86"/>
        </w:trPr>
        <w:tc>
          <w:tcPr>
            <w:tcW w:w="943" w:type="dxa"/>
            <w:tcBorders>
              <w:top w:val="single" w:sz="4" w:space="0" w:color="auto"/>
              <w:left w:val="single" w:sz="4" w:space="0" w:color="auto"/>
            </w:tcBorders>
            <w:tcMar>
              <w:left w:w="0" w:type="dxa"/>
            </w:tcMar>
            <w:vAlign w:val="center"/>
          </w:tcPr>
          <w:p w14:paraId="6709C6E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52</w:t>
            </w:r>
          </w:p>
        </w:tc>
        <w:tc>
          <w:tcPr>
            <w:tcW w:w="1799" w:type="dxa"/>
            <w:tcBorders>
              <w:top w:val="single" w:sz="4" w:space="0" w:color="auto"/>
              <w:left w:val="single" w:sz="4" w:space="0" w:color="auto"/>
            </w:tcBorders>
            <w:vAlign w:val="center"/>
          </w:tcPr>
          <w:p w14:paraId="7D211456" w14:textId="77777777" w:rsidR="006561BA" w:rsidRDefault="005B4ED6">
            <w:pPr>
              <w:widowControl w:val="0"/>
              <w:shd w:val="clear" w:color="auto" w:fill="auto"/>
              <w:spacing w:after="0" w:line="240" w:lineRule="auto"/>
              <w:ind w:left="102"/>
              <w:jc w:val="left"/>
              <w:rPr>
                <w:rFonts w:ascii="Helvetica" w:eastAsia="Arial Unicode MS" w:hAnsi="Helvetica" w:cs="Helvetica"/>
                <w:b/>
                <w:color w:val="000000"/>
                <w:sz w:val="6"/>
                <w:szCs w:val="6"/>
              </w:rPr>
            </w:pPr>
            <w:r>
              <w:rPr>
                <w:rFonts w:ascii="Helvetica" w:hAnsi="Helvetica"/>
                <w:b/>
                <w:color w:val="000000"/>
                <w:sz w:val="6"/>
              </w:rPr>
              <w:t>Handelsporteføljen</w:t>
            </w:r>
          </w:p>
        </w:tc>
        <w:tc>
          <w:tcPr>
            <w:tcW w:w="395" w:type="dxa"/>
            <w:tcBorders>
              <w:top w:val="single" w:sz="4" w:space="0" w:color="auto"/>
              <w:left w:val="single" w:sz="4" w:space="0" w:color="auto"/>
              <w:bottom w:val="single" w:sz="4" w:space="0" w:color="auto"/>
            </w:tcBorders>
            <w:vAlign w:val="center"/>
          </w:tcPr>
          <w:p w14:paraId="791627D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96" w:type="dxa"/>
            <w:gridSpan w:val="3"/>
            <w:vMerge/>
            <w:tcBorders>
              <w:bottom w:val="single" w:sz="4" w:space="0" w:color="auto"/>
            </w:tcBorders>
            <w:shd w:val="clear" w:color="auto" w:fill="000000"/>
            <w:vAlign w:val="center"/>
          </w:tcPr>
          <w:p w14:paraId="6202717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00" w:type="dxa"/>
            <w:gridSpan w:val="7"/>
            <w:vMerge/>
            <w:tcBorders>
              <w:bottom w:val="single" w:sz="4" w:space="0" w:color="auto"/>
            </w:tcBorders>
            <w:shd w:val="clear" w:color="auto" w:fill="000000"/>
            <w:vAlign w:val="center"/>
          </w:tcPr>
          <w:p w14:paraId="12C6C0E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714" w:type="dxa"/>
            <w:gridSpan w:val="3"/>
            <w:vMerge/>
            <w:tcBorders>
              <w:bottom w:val="single" w:sz="4" w:space="0" w:color="auto"/>
            </w:tcBorders>
            <w:shd w:val="clear" w:color="auto" w:fill="000000"/>
            <w:vAlign w:val="center"/>
          </w:tcPr>
          <w:p w14:paraId="6DE381B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283" w:type="dxa"/>
            <w:gridSpan w:val="43"/>
            <w:vMerge/>
            <w:tcBorders>
              <w:bottom w:val="single" w:sz="4" w:space="0" w:color="auto"/>
            </w:tcBorders>
            <w:shd w:val="clear" w:color="auto" w:fill="000000"/>
            <w:vAlign w:val="center"/>
          </w:tcPr>
          <w:p w14:paraId="4BF3FF8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52AFE78E" w14:textId="77777777">
        <w:trPr>
          <w:trHeight w:val="86"/>
        </w:trPr>
        <w:tc>
          <w:tcPr>
            <w:tcW w:w="943" w:type="dxa"/>
            <w:tcBorders>
              <w:top w:val="single" w:sz="4" w:space="0" w:color="auto"/>
              <w:left w:val="single" w:sz="4" w:space="0" w:color="auto"/>
            </w:tcBorders>
            <w:tcMar>
              <w:left w:w="0" w:type="dxa"/>
            </w:tcMar>
            <w:vAlign w:val="center"/>
          </w:tcPr>
          <w:p w14:paraId="434EFA64"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53</w:t>
            </w:r>
          </w:p>
        </w:tc>
        <w:tc>
          <w:tcPr>
            <w:tcW w:w="1799" w:type="dxa"/>
            <w:tcBorders>
              <w:top w:val="single" w:sz="4" w:space="0" w:color="auto"/>
              <w:left w:val="single" w:sz="4" w:space="0" w:color="auto"/>
            </w:tcBorders>
            <w:vAlign w:val="center"/>
          </w:tcPr>
          <w:p w14:paraId="47E8A52B" w14:textId="77777777" w:rsidR="006561BA" w:rsidRDefault="005B4ED6">
            <w:pPr>
              <w:widowControl w:val="0"/>
              <w:shd w:val="clear" w:color="auto" w:fill="auto"/>
              <w:spacing w:after="0" w:line="240" w:lineRule="auto"/>
              <w:jc w:val="left"/>
              <w:rPr>
                <w:rFonts w:ascii="Helvetica" w:eastAsia="Arial Unicode MS" w:hAnsi="Helvetica" w:cs="Helvetica"/>
                <w:b/>
                <w:color w:val="000000"/>
                <w:sz w:val="6"/>
                <w:szCs w:val="6"/>
                <w:u w:val="single"/>
              </w:rPr>
            </w:pPr>
            <w:r>
              <w:rPr>
                <w:rFonts w:ascii="Helvetica" w:hAnsi="Helvetica"/>
                <w:b/>
                <w:color w:val="000000"/>
                <w:sz w:val="6"/>
                <w:u w:val="single"/>
              </w:rPr>
              <w:t>Samlede eiendeler</w:t>
            </w:r>
          </w:p>
        </w:tc>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14:paraId="4315507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bottom w:val="single" w:sz="4" w:space="0" w:color="auto"/>
              <w:right w:val="single" w:sz="4" w:space="0" w:color="auto"/>
            </w:tcBorders>
            <w:shd w:val="clear" w:color="auto" w:fill="auto"/>
            <w:vAlign w:val="center"/>
          </w:tcPr>
          <w:p w14:paraId="23BCCA0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E945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AAD400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337EC48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475E4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283" w:type="dxa"/>
            <w:gridSpan w:val="43"/>
            <w:tcBorders>
              <w:top w:val="single" w:sz="4" w:space="0" w:color="auto"/>
              <w:left w:val="single" w:sz="4" w:space="0" w:color="auto"/>
              <w:bottom w:val="single" w:sz="4" w:space="0" w:color="auto"/>
              <w:right w:val="single" w:sz="4" w:space="0" w:color="auto"/>
            </w:tcBorders>
            <w:shd w:val="clear" w:color="auto" w:fill="auto"/>
            <w:vAlign w:val="center"/>
          </w:tcPr>
          <w:p w14:paraId="49F8390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2CB2621F" w14:textId="77777777">
        <w:trPr>
          <w:trHeight w:val="76"/>
        </w:trPr>
        <w:tc>
          <w:tcPr>
            <w:tcW w:w="3137" w:type="dxa"/>
            <w:gridSpan w:val="3"/>
            <w:tcBorders>
              <w:top w:val="single" w:sz="4" w:space="0" w:color="auto"/>
              <w:left w:val="single" w:sz="4" w:space="0" w:color="auto"/>
            </w:tcBorders>
            <w:shd w:val="clear" w:color="auto" w:fill="B5B5B5"/>
            <w:tcMar>
              <w:left w:w="0" w:type="dxa"/>
            </w:tcMar>
            <w:vAlign w:val="center"/>
          </w:tcPr>
          <w:p w14:paraId="415306A8" w14:textId="77777777" w:rsidR="006561BA" w:rsidRDefault="005B4ED6">
            <w:pPr>
              <w:widowControl w:val="0"/>
              <w:shd w:val="clear" w:color="auto" w:fill="auto"/>
              <w:spacing w:after="0" w:line="240" w:lineRule="auto"/>
              <w:ind w:left="10"/>
              <w:jc w:val="left"/>
              <w:rPr>
                <w:rFonts w:ascii="Helvetica" w:eastAsia="Arial Unicode MS" w:hAnsi="Helvetica" w:cs="Helvetica"/>
                <w:b/>
                <w:color w:val="000000"/>
                <w:sz w:val="6"/>
                <w:szCs w:val="6"/>
              </w:rPr>
            </w:pPr>
            <w:r>
              <w:rPr>
                <w:rFonts w:ascii="Helvetica" w:hAnsi="Helvetica"/>
                <w:b/>
                <w:color w:val="000000"/>
                <w:sz w:val="6"/>
              </w:rPr>
              <w:t xml:space="preserve">Eksponeringer utenfor balansen </w:t>
            </w:r>
            <w:r>
              <w:rPr>
                <w:rFonts w:ascii="Helvetica" w:hAnsi="Helvetica"/>
                <w:b/>
                <w:color w:val="000000"/>
                <w:sz w:val="6"/>
              </w:rPr>
              <w:sym w:font="Symbol" w:char="F02D"/>
            </w:r>
            <w:r>
              <w:rPr>
                <w:rFonts w:ascii="Helvetica" w:hAnsi="Helvetica"/>
                <w:b/>
                <w:color w:val="000000"/>
                <w:sz w:val="6"/>
              </w:rPr>
              <w:t xml:space="preserve"> Foretak som er omfattet av opplysningsplikten i direktivet om ikke-finansiell rapportering</w:t>
            </w:r>
          </w:p>
        </w:tc>
        <w:tc>
          <w:tcPr>
            <w:tcW w:w="596" w:type="dxa"/>
            <w:gridSpan w:val="3"/>
            <w:shd w:val="clear" w:color="auto" w:fill="BFBFBF" w:themeFill="background1" w:themeFillShade="BF"/>
            <w:vAlign w:val="center"/>
          </w:tcPr>
          <w:p w14:paraId="29332D3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1300" w:type="dxa"/>
            <w:gridSpan w:val="7"/>
            <w:tcBorders>
              <w:top w:val="single" w:sz="4" w:space="0" w:color="auto"/>
            </w:tcBorders>
            <w:shd w:val="clear" w:color="auto" w:fill="BFBFBF" w:themeFill="background1" w:themeFillShade="BF"/>
            <w:vAlign w:val="center"/>
          </w:tcPr>
          <w:p w14:paraId="2B5AEDE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714" w:type="dxa"/>
            <w:gridSpan w:val="3"/>
            <w:shd w:val="clear" w:color="auto" w:fill="BFBFBF" w:themeFill="background1" w:themeFillShade="BF"/>
            <w:vAlign w:val="center"/>
          </w:tcPr>
          <w:p w14:paraId="5A64821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8283" w:type="dxa"/>
            <w:gridSpan w:val="43"/>
            <w:tcBorders>
              <w:top w:val="single" w:sz="4" w:space="0" w:color="auto"/>
            </w:tcBorders>
            <w:shd w:val="clear" w:color="auto" w:fill="B5B5B5"/>
            <w:vAlign w:val="center"/>
          </w:tcPr>
          <w:p w14:paraId="5CE0874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56B4BC0D" w14:textId="77777777">
        <w:trPr>
          <w:trHeight w:val="86"/>
        </w:trPr>
        <w:tc>
          <w:tcPr>
            <w:tcW w:w="943" w:type="dxa"/>
            <w:tcBorders>
              <w:top w:val="single" w:sz="4" w:space="0" w:color="auto"/>
              <w:left w:val="single" w:sz="4" w:space="0" w:color="auto"/>
            </w:tcBorders>
            <w:tcMar>
              <w:left w:w="0" w:type="dxa"/>
            </w:tcMar>
            <w:vAlign w:val="center"/>
          </w:tcPr>
          <w:p w14:paraId="526B02F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54</w:t>
            </w:r>
          </w:p>
        </w:tc>
        <w:tc>
          <w:tcPr>
            <w:tcW w:w="1799" w:type="dxa"/>
            <w:tcBorders>
              <w:top w:val="single" w:sz="4" w:space="0" w:color="auto"/>
              <w:left w:val="single" w:sz="4" w:space="0" w:color="auto"/>
            </w:tcBorders>
            <w:vAlign w:val="center"/>
          </w:tcPr>
          <w:p w14:paraId="6E5ED244"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Finansielle garantier</w:t>
            </w:r>
          </w:p>
        </w:tc>
        <w:tc>
          <w:tcPr>
            <w:tcW w:w="395" w:type="dxa"/>
            <w:tcBorders>
              <w:top w:val="single" w:sz="4" w:space="0" w:color="auto"/>
              <w:left w:val="single" w:sz="4" w:space="0" w:color="auto"/>
              <w:bottom w:val="single" w:sz="4" w:space="0" w:color="auto"/>
              <w:right w:val="single" w:sz="4" w:space="0" w:color="auto"/>
            </w:tcBorders>
            <w:vAlign w:val="center"/>
          </w:tcPr>
          <w:p w14:paraId="46B56E8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bottom w:val="single" w:sz="4" w:space="0" w:color="auto"/>
              <w:right w:val="single" w:sz="4" w:space="0" w:color="auto"/>
            </w:tcBorders>
            <w:shd w:val="clear" w:color="auto" w:fill="auto"/>
            <w:vAlign w:val="center"/>
          </w:tcPr>
          <w:p w14:paraId="395E9D7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CAD4C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53047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ECEB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AC8CD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6CA39F1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1C36B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bottom w:val="single" w:sz="4" w:space="0" w:color="auto"/>
            </w:tcBorders>
            <w:shd w:val="clear" w:color="auto" w:fill="auto"/>
            <w:vAlign w:val="center"/>
          </w:tcPr>
          <w:p w14:paraId="416BC4D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shd w:val="clear" w:color="auto" w:fill="auto"/>
            <w:vAlign w:val="center"/>
          </w:tcPr>
          <w:p w14:paraId="5E6BA5C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shd w:val="clear" w:color="auto" w:fill="auto"/>
            <w:vAlign w:val="center"/>
          </w:tcPr>
          <w:p w14:paraId="62C3A12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shd w:val="clear" w:color="auto" w:fill="auto"/>
            <w:vAlign w:val="center"/>
          </w:tcPr>
          <w:p w14:paraId="060B2C0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auto"/>
            <w:vAlign w:val="center"/>
          </w:tcPr>
          <w:p w14:paraId="75A55CA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shd w:val="clear" w:color="auto" w:fill="auto"/>
            <w:vAlign w:val="center"/>
          </w:tcPr>
          <w:p w14:paraId="63E0C83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shd w:val="clear" w:color="auto" w:fill="auto"/>
            <w:vAlign w:val="center"/>
          </w:tcPr>
          <w:p w14:paraId="416DB38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shd w:val="clear" w:color="auto" w:fill="auto"/>
            <w:vAlign w:val="center"/>
          </w:tcPr>
          <w:p w14:paraId="288D422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auto"/>
            <w:vAlign w:val="center"/>
          </w:tcPr>
          <w:p w14:paraId="4E305CB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shd w:val="clear" w:color="auto" w:fill="auto"/>
            <w:vAlign w:val="center"/>
          </w:tcPr>
          <w:p w14:paraId="3060A97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shd w:val="clear" w:color="auto" w:fill="auto"/>
            <w:vAlign w:val="center"/>
          </w:tcPr>
          <w:p w14:paraId="07516EA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shd w:val="clear" w:color="auto" w:fill="auto"/>
            <w:vAlign w:val="center"/>
          </w:tcPr>
          <w:p w14:paraId="5A0DE5C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shd w:val="clear" w:color="auto" w:fill="auto"/>
            <w:vAlign w:val="center"/>
          </w:tcPr>
          <w:p w14:paraId="62344A6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shd w:val="clear" w:color="auto" w:fill="auto"/>
            <w:vAlign w:val="center"/>
          </w:tcPr>
          <w:p w14:paraId="0B17F03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shd w:val="clear" w:color="auto" w:fill="auto"/>
            <w:vAlign w:val="center"/>
          </w:tcPr>
          <w:p w14:paraId="306860A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shd w:val="clear" w:color="auto" w:fill="auto"/>
            <w:vAlign w:val="center"/>
          </w:tcPr>
          <w:p w14:paraId="2F50B04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auto"/>
            <w:vAlign w:val="center"/>
          </w:tcPr>
          <w:p w14:paraId="458648F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3"/>
            <w:tcBorders>
              <w:top w:val="single" w:sz="4" w:space="0" w:color="auto"/>
              <w:left w:val="single" w:sz="4" w:space="0" w:color="auto"/>
            </w:tcBorders>
            <w:shd w:val="clear" w:color="auto" w:fill="auto"/>
            <w:vAlign w:val="center"/>
          </w:tcPr>
          <w:p w14:paraId="4BA9EAA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tcBorders>
              <w:top w:val="single" w:sz="4" w:space="0" w:color="auto"/>
              <w:left w:val="single" w:sz="4" w:space="0" w:color="auto"/>
            </w:tcBorders>
            <w:shd w:val="clear" w:color="auto" w:fill="auto"/>
            <w:vAlign w:val="center"/>
          </w:tcPr>
          <w:p w14:paraId="509C922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shd w:val="clear" w:color="auto" w:fill="auto"/>
            <w:vAlign w:val="center"/>
          </w:tcPr>
          <w:p w14:paraId="219F37C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auto"/>
            <w:vAlign w:val="center"/>
          </w:tcPr>
          <w:p w14:paraId="742AEEA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3"/>
            <w:tcBorders>
              <w:top w:val="single" w:sz="4" w:space="0" w:color="auto"/>
              <w:left w:val="single" w:sz="4" w:space="0" w:color="auto"/>
            </w:tcBorders>
            <w:shd w:val="clear" w:color="auto" w:fill="auto"/>
            <w:vAlign w:val="center"/>
          </w:tcPr>
          <w:p w14:paraId="2E12936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shd w:val="clear" w:color="auto" w:fill="auto"/>
            <w:vAlign w:val="center"/>
          </w:tcPr>
          <w:p w14:paraId="19AE81C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09C0FE10" w14:textId="77777777">
        <w:trPr>
          <w:trHeight w:val="86"/>
        </w:trPr>
        <w:tc>
          <w:tcPr>
            <w:tcW w:w="943" w:type="dxa"/>
            <w:tcBorders>
              <w:top w:val="single" w:sz="4" w:space="0" w:color="auto"/>
              <w:left w:val="single" w:sz="4" w:space="0" w:color="auto"/>
            </w:tcBorders>
            <w:tcMar>
              <w:left w:w="0" w:type="dxa"/>
            </w:tcMar>
            <w:vAlign w:val="center"/>
          </w:tcPr>
          <w:p w14:paraId="6E9F30F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55</w:t>
            </w:r>
          </w:p>
        </w:tc>
        <w:tc>
          <w:tcPr>
            <w:tcW w:w="1799" w:type="dxa"/>
            <w:tcBorders>
              <w:top w:val="single" w:sz="4" w:space="0" w:color="auto"/>
              <w:left w:val="single" w:sz="4" w:space="0" w:color="auto"/>
            </w:tcBorders>
            <w:vAlign w:val="center"/>
          </w:tcPr>
          <w:p w14:paraId="6C2733D2"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Eiendeler under forvaltning</w:t>
            </w:r>
          </w:p>
        </w:tc>
        <w:tc>
          <w:tcPr>
            <w:tcW w:w="395" w:type="dxa"/>
            <w:tcBorders>
              <w:top w:val="single" w:sz="4" w:space="0" w:color="auto"/>
              <w:left w:val="single" w:sz="4" w:space="0" w:color="auto"/>
              <w:bottom w:val="single" w:sz="4" w:space="0" w:color="auto"/>
              <w:right w:val="single" w:sz="4" w:space="0" w:color="auto"/>
            </w:tcBorders>
            <w:vAlign w:val="center"/>
          </w:tcPr>
          <w:p w14:paraId="36FBFE4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bottom w:val="single" w:sz="4" w:space="0" w:color="auto"/>
              <w:right w:val="single" w:sz="4" w:space="0" w:color="auto"/>
            </w:tcBorders>
            <w:shd w:val="clear" w:color="auto" w:fill="auto"/>
            <w:vAlign w:val="center"/>
          </w:tcPr>
          <w:p w14:paraId="7C57589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EE6E6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0F0FD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E0309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B5817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0C33FC3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5F588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bottom w:val="single" w:sz="4" w:space="0" w:color="auto"/>
            </w:tcBorders>
            <w:shd w:val="clear" w:color="auto" w:fill="auto"/>
            <w:vAlign w:val="center"/>
          </w:tcPr>
          <w:p w14:paraId="01D3A2F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shd w:val="clear" w:color="auto" w:fill="auto"/>
            <w:vAlign w:val="center"/>
          </w:tcPr>
          <w:p w14:paraId="2F1E82A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shd w:val="clear" w:color="auto" w:fill="auto"/>
            <w:vAlign w:val="center"/>
          </w:tcPr>
          <w:p w14:paraId="4086A2E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shd w:val="clear" w:color="auto" w:fill="auto"/>
            <w:vAlign w:val="center"/>
          </w:tcPr>
          <w:p w14:paraId="0825244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auto"/>
            <w:vAlign w:val="center"/>
          </w:tcPr>
          <w:p w14:paraId="13EEA5B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shd w:val="clear" w:color="auto" w:fill="auto"/>
            <w:vAlign w:val="center"/>
          </w:tcPr>
          <w:p w14:paraId="455948F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shd w:val="clear" w:color="auto" w:fill="auto"/>
            <w:vAlign w:val="center"/>
          </w:tcPr>
          <w:p w14:paraId="0D50BE2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shd w:val="clear" w:color="auto" w:fill="auto"/>
            <w:vAlign w:val="center"/>
          </w:tcPr>
          <w:p w14:paraId="6D9C1EF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auto"/>
            <w:vAlign w:val="center"/>
          </w:tcPr>
          <w:p w14:paraId="195C84B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shd w:val="clear" w:color="auto" w:fill="auto"/>
            <w:vAlign w:val="center"/>
          </w:tcPr>
          <w:p w14:paraId="0D5BD63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shd w:val="clear" w:color="auto" w:fill="auto"/>
            <w:vAlign w:val="center"/>
          </w:tcPr>
          <w:p w14:paraId="1735DA3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shd w:val="clear" w:color="auto" w:fill="auto"/>
            <w:vAlign w:val="center"/>
          </w:tcPr>
          <w:p w14:paraId="0802435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shd w:val="clear" w:color="auto" w:fill="auto"/>
            <w:vAlign w:val="center"/>
          </w:tcPr>
          <w:p w14:paraId="59DDE04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shd w:val="clear" w:color="auto" w:fill="auto"/>
            <w:vAlign w:val="center"/>
          </w:tcPr>
          <w:p w14:paraId="2FF2F4A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shd w:val="clear" w:color="auto" w:fill="auto"/>
            <w:vAlign w:val="center"/>
          </w:tcPr>
          <w:p w14:paraId="16A0FFE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shd w:val="clear" w:color="auto" w:fill="auto"/>
            <w:vAlign w:val="center"/>
          </w:tcPr>
          <w:p w14:paraId="39868BE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auto"/>
            <w:vAlign w:val="center"/>
          </w:tcPr>
          <w:p w14:paraId="79B1D2D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3"/>
            <w:tcBorders>
              <w:top w:val="single" w:sz="4" w:space="0" w:color="auto"/>
              <w:left w:val="single" w:sz="4" w:space="0" w:color="auto"/>
            </w:tcBorders>
            <w:shd w:val="clear" w:color="auto" w:fill="auto"/>
            <w:vAlign w:val="center"/>
          </w:tcPr>
          <w:p w14:paraId="35F3601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tcBorders>
              <w:top w:val="single" w:sz="4" w:space="0" w:color="auto"/>
              <w:left w:val="single" w:sz="4" w:space="0" w:color="auto"/>
            </w:tcBorders>
            <w:shd w:val="clear" w:color="auto" w:fill="auto"/>
            <w:vAlign w:val="center"/>
          </w:tcPr>
          <w:p w14:paraId="54BA63A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shd w:val="clear" w:color="auto" w:fill="auto"/>
            <w:vAlign w:val="center"/>
          </w:tcPr>
          <w:p w14:paraId="0D8D6C2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auto"/>
            <w:vAlign w:val="center"/>
          </w:tcPr>
          <w:p w14:paraId="057A413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3"/>
            <w:tcBorders>
              <w:top w:val="single" w:sz="4" w:space="0" w:color="auto"/>
              <w:left w:val="single" w:sz="4" w:space="0" w:color="auto"/>
            </w:tcBorders>
            <w:shd w:val="clear" w:color="auto" w:fill="auto"/>
            <w:vAlign w:val="center"/>
          </w:tcPr>
          <w:p w14:paraId="3E24FEA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shd w:val="clear" w:color="auto" w:fill="auto"/>
            <w:vAlign w:val="center"/>
          </w:tcPr>
          <w:p w14:paraId="2C490E9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1EB55AED" w14:textId="77777777">
        <w:trPr>
          <w:trHeight w:val="86"/>
        </w:trPr>
        <w:tc>
          <w:tcPr>
            <w:tcW w:w="943" w:type="dxa"/>
            <w:tcBorders>
              <w:top w:val="single" w:sz="4" w:space="0" w:color="auto"/>
              <w:left w:val="single" w:sz="4" w:space="0" w:color="auto"/>
            </w:tcBorders>
            <w:tcMar>
              <w:left w:w="0" w:type="dxa"/>
            </w:tcMar>
            <w:vAlign w:val="center"/>
          </w:tcPr>
          <w:p w14:paraId="4BDF6B6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56</w:t>
            </w:r>
          </w:p>
        </w:tc>
        <w:tc>
          <w:tcPr>
            <w:tcW w:w="1799" w:type="dxa"/>
            <w:tcBorders>
              <w:top w:val="single" w:sz="4" w:space="0" w:color="auto"/>
              <w:left w:val="single" w:sz="4" w:space="0" w:color="auto"/>
            </w:tcBorders>
            <w:vAlign w:val="center"/>
          </w:tcPr>
          <w:p w14:paraId="5529169A" w14:textId="77777777" w:rsidR="006561BA" w:rsidRDefault="005B4ED6">
            <w:pPr>
              <w:widowControl w:val="0"/>
              <w:shd w:val="clear" w:color="auto" w:fill="auto"/>
              <w:spacing w:after="0" w:line="240" w:lineRule="auto"/>
              <w:jc w:val="right"/>
              <w:rPr>
                <w:rFonts w:ascii="Helvetica" w:eastAsia="Arial Unicode MS" w:hAnsi="Helvetica" w:cs="Helvetica"/>
                <w:color w:val="000000"/>
                <w:sz w:val="6"/>
                <w:szCs w:val="6"/>
              </w:rPr>
            </w:pPr>
            <w:r w:rsidRPr="00D46609">
              <w:rPr>
                <w:rFonts w:ascii="Helvetica" w:hAnsi="Helvetica"/>
                <w:color w:val="auto"/>
                <w:sz w:val="6"/>
              </w:rPr>
              <w:t>hvorav gjeldsinstrumenter</w:t>
            </w:r>
          </w:p>
        </w:tc>
        <w:tc>
          <w:tcPr>
            <w:tcW w:w="395" w:type="dxa"/>
            <w:tcBorders>
              <w:top w:val="single" w:sz="4" w:space="0" w:color="auto"/>
              <w:left w:val="single" w:sz="4" w:space="0" w:color="auto"/>
              <w:bottom w:val="single" w:sz="4" w:space="0" w:color="auto"/>
              <w:right w:val="single" w:sz="4" w:space="0" w:color="auto"/>
            </w:tcBorders>
            <w:vAlign w:val="center"/>
          </w:tcPr>
          <w:p w14:paraId="2455024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bottom w:val="single" w:sz="4" w:space="0" w:color="auto"/>
              <w:right w:val="single" w:sz="4" w:space="0" w:color="auto"/>
            </w:tcBorders>
            <w:shd w:val="clear" w:color="auto" w:fill="auto"/>
            <w:vAlign w:val="center"/>
          </w:tcPr>
          <w:p w14:paraId="6C44A8E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1029E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3DB6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5EF5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DCABE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22BBDD7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2CE82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bottom w:val="single" w:sz="4" w:space="0" w:color="auto"/>
            </w:tcBorders>
            <w:shd w:val="clear" w:color="auto" w:fill="auto"/>
            <w:vAlign w:val="center"/>
          </w:tcPr>
          <w:p w14:paraId="01D27DD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shd w:val="clear" w:color="auto" w:fill="auto"/>
            <w:vAlign w:val="center"/>
          </w:tcPr>
          <w:p w14:paraId="0332E6B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shd w:val="clear" w:color="auto" w:fill="auto"/>
            <w:vAlign w:val="center"/>
          </w:tcPr>
          <w:p w14:paraId="52C8ED9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shd w:val="clear" w:color="auto" w:fill="auto"/>
            <w:vAlign w:val="center"/>
          </w:tcPr>
          <w:p w14:paraId="0150A4A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auto"/>
            <w:vAlign w:val="center"/>
          </w:tcPr>
          <w:p w14:paraId="0DC9803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shd w:val="clear" w:color="auto" w:fill="auto"/>
            <w:vAlign w:val="center"/>
          </w:tcPr>
          <w:p w14:paraId="0647DCB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shd w:val="clear" w:color="auto" w:fill="auto"/>
            <w:vAlign w:val="center"/>
          </w:tcPr>
          <w:p w14:paraId="0DEB936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shd w:val="clear" w:color="auto" w:fill="auto"/>
            <w:vAlign w:val="center"/>
          </w:tcPr>
          <w:p w14:paraId="21822DE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auto"/>
            <w:vAlign w:val="center"/>
          </w:tcPr>
          <w:p w14:paraId="1A28769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shd w:val="clear" w:color="auto" w:fill="auto"/>
            <w:vAlign w:val="center"/>
          </w:tcPr>
          <w:p w14:paraId="1D5B25E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shd w:val="clear" w:color="auto" w:fill="auto"/>
            <w:vAlign w:val="center"/>
          </w:tcPr>
          <w:p w14:paraId="4CC9442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shd w:val="clear" w:color="auto" w:fill="auto"/>
            <w:vAlign w:val="center"/>
          </w:tcPr>
          <w:p w14:paraId="6049583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shd w:val="clear" w:color="auto" w:fill="auto"/>
            <w:vAlign w:val="center"/>
          </w:tcPr>
          <w:p w14:paraId="78C9FA5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shd w:val="clear" w:color="auto" w:fill="auto"/>
            <w:vAlign w:val="center"/>
          </w:tcPr>
          <w:p w14:paraId="7794C21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shd w:val="clear" w:color="auto" w:fill="auto"/>
            <w:vAlign w:val="center"/>
          </w:tcPr>
          <w:p w14:paraId="20E64C3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shd w:val="clear" w:color="auto" w:fill="auto"/>
            <w:vAlign w:val="center"/>
          </w:tcPr>
          <w:p w14:paraId="3E06907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auto"/>
            <w:vAlign w:val="center"/>
          </w:tcPr>
          <w:p w14:paraId="1CE08E0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3"/>
            <w:tcBorders>
              <w:top w:val="single" w:sz="4" w:space="0" w:color="auto"/>
              <w:left w:val="single" w:sz="4" w:space="0" w:color="auto"/>
            </w:tcBorders>
            <w:shd w:val="clear" w:color="auto" w:fill="auto"/>
            <w:vAlign w:val="center"/>
          </w:tcPr>
          <w:p w14:paraId="6DB48A5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tcBorders>
              <w:top w:val="single" w:sz="4" w:space="0" w:color="auto"/>
              <w:left w:val="single" w:sz="4" w:space="0" w:color="auto"/>
            </w:tcBorders>
            <w:shd w:val="clear" w:color="auto" w:fill="auto"/>
            <w:vAlign w:val="center"/>
          </w:tcPr>
          <w:p w14:paraId="422CEEF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shd w:val="clear" w:color="auto" w:fill="auto"/>
            <w:vAlign w:val="center"/>
          </w:tcPr>
          <w:p w14:paraId="50D984F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auto"/>
            <w:vAlign w:val="center"/>
          </w:tcPr>
          <w:p w14:paraId="43CF4A9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3"/>
            <w:tcBorders>
              <w:top w:val="single" w:sz="4" w:space="0" w:color="auto"/>
              <w:left w:val="single" w:sz="4" w:space="0" w:color="auto"/>
            </w:tcBorders>
            <w:shd w:val="clear" w:color="auto" w:fill="auto"/>
            <w:vAlign w:val="center"/>
          </w:tcPr>
          <w:p w14:paraId="026CEED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shd w:val="clear" w:color="auto" w:fill="auto"/>
            <w:vAlign w:val="center"/>
          </w:tcPr>
          <w:p w14:paraId="2813E7E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33E03451" w14:textId="77777777">
        <w:trPr>
          <w:trHeight w:val="104"/>
        </w:trPr>
        <w:tc>
          <w:tcPr>
            <w:tcW w:w="943" w:type="dxa"/>
            <w:tcBorders>
              <w:top w:val="single" w:sz="4" w:space="0" w:color="auto"/>
              <w:left w:val="single" w:sz="4" w:space="0" w:color="auto"/>
              <w:bottom w:val="single" w:sz="4" w:space="0" w:color="auto"/>
            </w:tcBorders>
            <w:tcMar>
              <w:left w:w="0" w:type="dxa"/>
            </w:tcMar>
            <w:vAlign w:val="center"/>
          </w:tcPr>
          <w:p w14:paraId="2E6DE8D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57</w:t>
            </w:r>
          </w:p>
        </w:tc>
        <w:tc>
          <w:tcPr>
            <w:tcW w:w="1799" w:type="dxa"/>
            <w:tcBorders>
              <w:top w:val="single" w:sz="4" w:space="0" w:color="auto"/>
              <w:left w:val="single" w:sz="4" w:space="0" w:color="auto"/>
              <w:bottom w:val="single" w:sz="4" w:space="0" w:color="auto"/>
            </w:tcBorders>
            <w:vAlign w:val="center"/>
          </w:tcPr>
          <w:p w14:paraId="4989BF5E" w14:textId="77777777" w:rsidR="006561BA" w:rsidRDefault="005B4ED6">
            <w:pPr>
              <w:widowControl w:val="0"/>
              <w:shd w:val="clear" w:color="auto" w:fill="auto"/>
              <w:spacing w:after="0" w:line="240" w:lineRule="auto"/>
              <w:jc w:val="right"/>
              <w:rPr>
                <w:rFonts w:ascii="Helvetica" w:eastAsia="Arial Unicode MS" w:hAnsi="Helvetica" w:cs="Helvetica"/>
                <w:color w:val="000000"/>
                <w:sz w:val="6"/>
                <w:szCs w:val="6"/>
              </w:rPr>
            </w:pPr>
            <w:r>
              <w:rPr>
                <w:rFonts w:ascii="Helvetica" w:hAnsi="Helvetica"/>
                <w:color w:val="383838"/>
                <w:sz w:val="6"/>
              </w:rPr>
              <w:t>hvorav egenkapitalinstrumenter</w:t>
            </w:r>
          </w:p>
        </w:tc>
        <w:tc>
          <w:tcPr>
            <w:tcW w:w="395" w:type="dxa"/>
            <w:tcBorders>
              <w:top w:val="single" w:sz="4" w:space="0" w:color="auto"/>
              <w:left w:val="single" w:sz="4" w:space="0" w:color="auto"/>
              <w:bottom w:val="single" w:sz="4" w:space="0" w:color="auto"/>
              <w:right w:val="single" w:sz="4" w:space="0" w:color="auto"/>
            </w:tcBorders>
            <w:vAlign w:val="center"/>
          </w:tcPr>
          <w:p w14:paraId="447F556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bottom w:val="single" w:sz="4" w:space="0" w:color="auto"/>
              <w:right w:val="single" w:sz="4" w:space="0" w:color="auto"/>
            </w:tcBorders>
            <w:shd w:val="clear" w:color="auto" w:fill="auto"/>
            <w:vAlign w:val="center"/>
          </w:tcPr>
          <w:p w14:paraId="63FB817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A1BB0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90890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5C60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EBF23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6BB8B7E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73ACC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bottom w:val="single" w:sz="4" w:space="0" w:color="auto"/>
            </w:tcBorders>
            <w:shd w:val="clear" w:color="auto" w:fill="auto"/>
            <w:vAlign w:val="center"/>
          </w:tcPr>
          <w:p w14:paraId="78B8070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bottom w:val="single" w:sz="4" w:space="0" w:color="auto"/>
            </w:tcBorders>
            <w:shd w:val="clear" w:color="auto" w:fill="auto"/>
            <w:vAlign w:val="center"/>
          </w:tcPr>
          <w:p w14:paraId="46F1EB2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bottom w:val="single" w:sz="4" w:space="0" w:color="auto"/>
            </w:tcBorders>
            <w:shd w:val="clear" w:color="auto" w:fill="auto"/>
            <w:vAlign w:val="center"/>
          </w:tcPr>
          <w:p w14:paraId="49D855E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bottom w:val="single" w:sz="4" w:space="0" w:color="auto"/>
            </w:tcBorders>
            <w:shd w:val="clear" w:color="auto" w:fill="auto"/>
            <w:vAlign w:val="center"/>
          </w:tcPr>
          <w:p w14:paraId="0B641AA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bottom w:val="single" w:sz="4" w:space="0" w:color="auto"/>
            </w:tcBorders>
            <w:shd w:val="clear" w:color="auto" w:fill="auto"/>
            <w:vAlign w:val="center"/>
          </w:tcPr>
          <w:p w14:paraId="1A5EE75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bottom w:val="single" w:sz="4" w:space="0" w:color="auto"/>
            </w:tcBorders>
            <w:shd w:val="clear" w:color="auto" w:fill="auto"/>
            <w:vAlign w:val="center"/>
          </w:tcPr>
          <w:p w14:paraId="45DE8FD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bottom w:val="single" w:sz="4" w:space="0" w:color="auto"/>
            </w:tcBorders>
            <w:shd w:val="clear" w:color="auto" w:fill="auto"/>
            <w:vAlign w:val="center"/>
          </w:tcPr>
          <w:p w14:paraId="0640CF4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bottom w:val="single" w:sz="4" w:space="0" w:color="auto"/>
            </w:tcBorders>
            <w:shd w:val="clear" w:color="auto" w:fill="auto"/>
            <w:vAlign w:val="center"/>
          </w:tcPr>
          <w:p w14:paraId="7F5D662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bottom w:val="single" w:sz="4" w:space="0" w:color="auto"/>
            </w:tcBorders>
            <w:shd w:val="clear" w:color="auto" w:fill="auto"/>
            <w:vAlign w:val="center"/>
          </w:tcPr>
          <w:p w14:paraId="3D25EF2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bottom w:val="single" w:sz="4" w:space="0" w:color="auto"/>
            </w:tcBorders>
            <w:shd w:val="clear" w:color="auto" w:fill="auto"/>
            <w:vAlign w:val="center"/>
          </w:tcPr>
          <w:p w14:paraId="7355133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bottom w:val="single" w:sz="4" w:space="0" w:color="auto"/>
            </w:tcBorders>
            <w:shd w:val="clear" w:color="auto" w:fill="auto"/>
            <w:vAlign w:val="center"/>
          </w:tcPr>
          <w:p w14:paraId="21CF39F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bottom w:val="single" w:sz="4" w:space="0" w:color="auto"/>
            </w:tcBorders>
            <w:shd w:val="clear" w:color="auto" w:fill="auto"/>
            <w:vAlign w:val="center"/>
          </w:tcPr>
          <w:p w14:paraId="25EE89E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bottom w:val="single" w:sz="4" w:space="0" w:color="auto"/>
            </w:tcBorders>
            <w:shd w:val="clear" w:color="auto" w:fill="auto"/>
            <w:vAlign w:val="center"/>
          </w:tcPr>
          <w:p w14:paraId="4B2E057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bottom w:val="single" w:sz="4" w:space="0" w:color="auto"/>
            </w:tcBorders>
            <w:shd w:val="clear" w:color="auto" w:fill="auto"/>
            <w:vAlign w:val="center"/>
          </w:tcPr>
          <w:p w14:paraId="3F9575A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bottom w:val="single" w:sz="4" w:space="0" w:color="auto"/>
            </w:tcBorders>
            <w:shd w:val="clear" w:color="auto" w:fill="auto"/>
            <w:vAlign w:val="center"/>
          </w:tcPr>
          <w:p w14:paraId="63D09C4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bottom w:val="single" w:sz="4" w:space="0" w:color="auto"/>
            </w:tcBorders>
            <w:shd w:val="clear" w:color="auto" w:fill="auto"/>
            <w:vAlign w:val="center"/>
          </w:tcPr>
          <w:p w14:paraId="55084A9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bottom w:val="single" w:sz="4" w:space="0" w:color="auto"/>
            </w:tcBorders>
            <w:shd w:val="clear" w:color="auto" w:fill="auto"/>
            <w:vAlign w:val="center"/>
          </w:tcPr>
          <w:p w14:paraId="3A22C49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3"/>
            <w:tcBorders>
              <w:top w:val="single" w:sz="4" w:space="0" w:color="auto"/>
              <w:left w:val="single" w:sz="4" w:space="0" w:color="auto"/>
              <w:bottom w:val="single" w:sz="4" w:space="0" w:color="auto"/>
            </w:tcBorders>
            <w:shd w:val="clear" w:color="auto" w:fill="auto"/>
            <w:vAlign w:val="center"/>
          </w:tcPr>
          <w:p w14:paraId="62DDD6F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tcBorders>
              <w:top w:val="single" w:sz="4" w:space="0" w:color="auto"/>
              <w:left w:val="single" w:sz="4" w:space="0" w:color="auto"/>
              <w:bottom w:val="single" w:sz="4" w:space="0" w:color="auto"/>
            </w:tcBorders>
            <w:shd w:val="clear" w:color="auto" w:fill="auto"/>
            <w:vAlign w:val="center"/>
          </w:tcPr>
          <w:p w14:paraId="738C74F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bottom w:val="single" w:sz="4" w:space="0" w:color="auto"/>
            </w:tcBorders>
            <w:shd w:val="clear" w:color="auto" w:fill="auto"/>
            <w:vAlign w:val="center"/>
          </w:tcPr>
          <w:p w14:paraId="6E70A45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bottom w:val="single" w:sz="4" w:space="0" w:color="auto"/>
            </w:tcBorders>
            <w:shd w:val="clear" w:color="auto" w:fill="auto"/>
            <w:vAlign w:val="center"/>
          </w:tcPr>
          <w:p w14:paraId="725C76E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3"/>
            <w:tcBorders>
              <w:top w:val="single" w:sz="4" w:space="0" w:color="auto"/>
              <w:left w:val="single" w:sz="4" w:space="0" w:color="auto"/>
              <w:bottom w:val="single" w:sz="4" w:space="0" w:color="auto"/>
            </w:tcBorders>
            <w:shd w:val="clear" w:color="auto" w:fill="auto"/>
            <w:vAlign w:val="center"/>
          </w:tcPr>
          <w:p w14:paraId="6049DCF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bottom w:val="single" w:sz="4" w:space="0" w:color="auto"/>
              <w:right w:val="single" w:sz="4" w:space="0" w:color="auto"/>
            </w:tcBorders>
            <w:shd w:val="clear" w:color="auto" w:fill="auto"/>
            <w:vAlign w:val="center"/>
          </w:tcPr>
          <w:p w14:paraId="0CAF15B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bl>
    <w:p w14:paraId="3B43DB6C" w14:textId="77777777" w:rsidR="006561BA" w:rsidRDefault="005B4ED6">
      <w:pPr>
        <w:pStyle w:val="Para"/>
        <w:spacing w:before="100" w:after="100" w:line="240" w:lineRule="auto"/>
        <w:ind w:left="276" w:right="10574"/>
        <w:rPr>
          <w:rFonts w:ascii="Helvetica" w:hAnsi="Helvetica" w:cs="Helvetica"/>
          <w:sz w:val="6"/>
          <w:szCs w:val="6"/>
        </w:rPr>
      </w:pPr>
      <w:r>
        <w:rPr>
          <w:rFonts w:ascii="Helvetica" w:hAnsi="Helvetica"/>
          <w:sz w:val="6"/>
        </w:rPr>
        <w:t>1. Denne malen skal fylles ut med opplysninger om lån og forskudd, gjeldsinstrumenter og egenkapitalinstrumenter i bankporteføljen, mot finansforetak, ikke-finansielle foretak, herunder SMB-er, husholdninger (bare boliglån, lån til renovering av hus og billån) og lokale myndigheter/kommuner (boligfinansiering).</w:t>
      </w:r>
    </w:p>
    <w:p w14:paraId="35458977" w14:textId="77777777" w:rsidR="006561BA" w:rsidRDefault="005B4ED6">
      <w:pPr>
        <w:pStyle w:val="Para"/>
        <w:spacing w:after="100" w:line="240" w:lineRule="auto"/>
        <w:ind w:left="276" w:right="10574"/>
        <w:rPr>
          <w:rFonts w:ascii="Helvetica" w:hAnsi="Helvetica" w:cs="Helvetica"/>
          <w:sz w:val="6"/>
          <w:szCs w:val="6"/>
        </w:rPr>
      </w:pPr>
      <w:r>
        <w:rPr>
          <w:rFonts w:ascii="Helvetica" w:hAnsi="Helvetica"/>
          <w:sz w:val="6"/>
        </w:rPr>
        <w:t>2. Følgende regnskapskategorier skal tas med når det gjelder finansielle eiendeler: Finansielle eiendeler til amortisert kost, finansielle eiendeler til virkelig verdi gjennom andre inntekter og kostnader, investeringer i datterforetak, felleskontrollerte foretak og tilknyttede foretak, finansielle eiendeler vurdert til virkelig verdi over resultatet samt finansielle eiendeler utenfor handelsporteføljen, obligatorisk vurdert til virkelig verdi over resultatet og sikkerhet i fast eiendom som kredittinstitusjoner har fått gjennom overtakelse av eiendomsretten mot ettergivelse av gjeld.</w:t>
      </w:r>
    </w:p>
    <w:p w14:paraId="47B75BCB" w14:textId="77777777" w:rsidR="006561BA" w:rsidRDefault="005B4ED6">
      <w:pPr>
        <w:pStyle w:val="Para"/>
        <w:spacing w:after="100" w:line="240" w:lineRule="auto"/>
        <w:ind w:left="276" w:right="10574"/>
        <w:rPr>
          <w:rFonts w:ascii="Helvetica" w:hAnsi="Helvetica" w:cs="Helvetica"/>
          <w:sz w:val="6"/>
          <w:szCs w:val="6"/>
        </w:rPr>
      </w:pPr>
      <w:r>
        <w:rPr>
          <w:rFonts w:ascii="Helvetica" w:hAnsi="Helvetica"/>
          <w:sz w:val="6"/>
        </w:rPr>
        <w:t>3. Banker med datterforetak utenfor EU bør legge fram disse opplysningene separat for eksponeringer mot motparter utenfor EU. Fordi EU-taksonomien og direktivet om ikke-finansiell rapportering bare gjelder på unionsplan, skaper mangelen på felles opplysningskrav og metoder flere utfordringer når det gjelder eksponeringer utenfor EU som følge av disse eksponeringenes betydning for kredittinstitusjoner med datterforetak utenfor EU. Disse institusjonene bør legge fram en egen GAR for eksponeringer utenfor EU, etter beste evne, i form av estimater og intervaller der det brukes tilnærmingsverdier, og beskrive forutsetninger, forbehold og begrensninger.</w:t>
      </w:r>
    </w:p>
    <w:p w14:paraId="6049521C" w14:textId="77777777" w:rsidR="006561BA" w:rsidRDefault="005B4ED6">
      <w:pPr>
        <w:pStyle w:val="Para"/>
        <w:spacing w:after="100" w:line="240" w:lineRule="auto"/>
        <w:ind w:left="276" w:right="10574"/>
      </w:pPr>
      <w:r>
        <w:rPr>
          <w:rFonts w:ascii="Helvetica" w:hAnsi="Helvetica"/>
          <w:sz w:val="6"/>
        </w:rPr>
        <w:t>4. For billån skal institusjonene bare ta med eksponeringer som er oppstått etter anvendelsesdatoen for opplysningskravet.</w:t>
      </w:r>
      <w:r>
        <w:br w:type="page"/>
      </w:r>
    </w:p>
    <w:tbl>
      <w:tblPr>
        <w:tblOverlap w:val="never"/>
        <w:tblW w:w="14030" w:type="dxa"/>
        <w:tblInd w:w="283" w:type="dxa"/>
        <w:tblLayout w:type="fixed"/>
        <w:tblCellMar>
          <w:left w:w="10" w:type="dxa"/>
          <w:right w:w="10" w:type="dxa"/>
        </w:tblCellMar>
        <w:tblLook w:val="04A0" w:firstRow="1" w:lastRow="0" w:firstColumn="1" w:lastColumn="0" w:noHBand="0" w:noVBand="1"/>
      </w:tblPr>
      <w:tblGrid>
        <w:gridCol w:w="942"/>
        <w:gridCol w:w="1798"/>
        <w:gridCol w:w="395"/>
        <w:gridCol w:w="256"/>
        <w:gridCol w:w="118"/>
        <w:gridCol w:w="222"/>
        <w:gridCol w:w="156"/>
        <w:gridCol w:w="283"/>
        <w:gridCol w:w="95"/>
        <w:gridCol w:w="294"/>
        <w:gridCol w:w="84"/>
        <w:gridCol w:w="378"/>
        <w:gridCol w:w="10"/>
        <w:gridCol w:w="417"/>
        <w:gridCol w:w="56"/>
        <w:gridCol w:w="241"/>
        <w:gridCol w:w="79"/>
        <w:gridCol w:w="303"/>
        <w:gridCol w:w="17"/>
        <w:gridCol w:w="321"/>
        <w:gridCol w:w="448"/>
        <w:gridCol w:w="76"/>
        <w:gridCol w:w="257"/>
        <w:gridCol w:w="76"/>
        <w:gridCol w:w="320"/>
        <w:gridCol w:w="13"/>
        <w:gridCol w:w="325"/>
        <w:gridCol w:w="8"/>
        <w:gridCol w:w="367"/>
        <w:gridCol w:w="79"/>
        <w:gridCol w:w="249"/>
        <w:gridCol w:w="81"/>
        <w:gridCol w:w="315"/>
        <w:gridCol w:w="15"/>
        <w:gridCol w:w="330"/>
        <w:gridCol w:w="347"/>
        <w:gridCol w:w="75"/>
        <w:gridCol w:w="258"/>
        <w:gridCol w:w="76"/>
        <w:gridCol w:w="324"/>
        <w:gridCol w:w="10"/>
        <w:gridCol w:w="328"/>
        <w:gridCol w:w="6"/>
        <w:gridCol w:w="344"/>
        <w:gridCol w:w="10"/>
        <w:gridCol w:w="327"/>
        <w:gridCol w:w="28"/>
        <w:gridCol w:w="355"/>
        <w:gridCol w:w="13"/>
        <w:gridCol w:w="342"/>
        <w:gridCol w:w="352"/>
        <w:gridCol w:w="14"/>
        <w:gridCol w:w="331"/>
        <w:gridCol w:w="8"/>
        <w:gridCol w:w="352"/>
        <w:gridCol w:w="36"/>
        <w:gridCol w:w="317"/>
        <w:gridCol w:w="75"/>
        <w:gridCol w:w="278"/>
      </w:tblGrid>
      <w:tr w:rsidR="006561BA" w14:paraId="1F8C1094" w14:textId="77777777">
        <w:trPr>
          <w:trHeight w:val="94"/>
        </w:trPr>
        <w:tc>
          <w:tcPr>
            <w:tcW w:w="2740" w:type="dxa"/>
            <w:gridSpan w:val="2"/>
            <w:tcMar>
              <w:left w:w="0" w:type="dxa"/>
            </w:tcMar>
            <w:vAlign w:val="center"/>
          </w:tcPr>
          <w:p w14:paraId="77DFF46E"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395" w:type="dxa"/>
            <w:tcBorders>
              <w:top w:val="single" w:sz="4" w:space="0" w:color="auto"/>
              <w:left w:val="single" w:sz="4" w:space="0" w:color="auto"/>
              <w:bottom w:val="single" w:sz="4" w:space="0" w:color="auto"/>
              <w:right w:val="single" w:sz="4" w:space="0" w:color="auto"/>
            </w:tcBorders>
            <w:vAlign w:val="center"/>
          </w:tcPr>
          <w:p w14:paraId="65B10E4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ag</w:t>
            </w:r>
          </w:p>
        </w:tc>
        <w:tc>
          <w:tcPr>
            <w:tcW w:w="374" w:type="dxa"/>
            <w:gridSpan w:val="2"/>
            <w:tcBorders>
              <w:top w:val="single" w:sz="4" w:space="0" w:color="auto"/>
              <w:left w:val="single" w:sz="4" w:space="0" w:color="auto"/>
              <w:bottom w:val="single" w:sz="4" w:space="0" w:color="auto"/>
              <w:right w:val="single" w:sz="4" w:space="0" w:color="auto"/>
            </w:tcBorders>
            <w:vAlign w:val="center"/>
          </w:tcPr>
          <w:p w14:paraId="547CBBD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ah</w:t>
            </w:r>
          </w:p>
        </w:tc>
        <w:tc>
          <w:tcPr>
            <w:tcW w:w="378" w:type="dxa"/>
            <w:gridSpan w:val="2"/>
            <w:tcBorders>
              <w:top w:val="single" w:sz="4" w:space="0" w:color="auto"/>
              <w:left w:val="single" w:sz="4" w:space="0" w:color="auto"/>
              <w:bottom w:val="single" w:sz="4" w:space="0" w:color="auto"/>
              <w:right w:val="single" w:sz="4" w:space="0" w:color="auto"/>
            </w:tcBorders>
            <w:vAlign w:val="center"/>
          </w:tcPr>
          <w:p w14:paraId="503EF3F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ai</w:t>
            </w:r>
          </w:p>
        </w:tc>
        <w:tc>
          <w:tcPr>
            <w:tcW w:w="378" w:type="dxa"/>
            <w:gridSpan w:val="2"/>
            <w:tcBorders>
              <w:top w:val="single" w:sz="4" w:space="0" w:color="auto"/>
              <w:left w:val="single" w:sz="4" w:space="0" w:color="auto"/>
              <w:bottom w:val="single" w:sz="4" w:space="0" w:color="auto"/>
              <w:right w:val="single" w:sz="4" w:space="0" w:color="auto"/>
            </w:tcBorders>
            <w:vAlign w:val="center"/>
          </w:tcPr>
          <w:p w14:paraId="1A22CBF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aj</w:t>
            </w:r>
            <w:proofErr w:type="spellEnd"/>
          </w:p>
        </w:tc>
        <w:tc>
          <w:tcPr>
            <w:tcW w:w="378" w:type="dxa"/>
            <w:gridSpan w:val="2"/>
            <w:tcBorders>
              <w:top w:val="single" w:sz="4" w:space="0" w:color="auto"/>
              <w:left w:val="single" w:sz="4" w:space="0" w:color="auto"/>
              <w:bottom w:val="single" w:sz="4" w:space="0" w:color="auto"/>
              <w:right w:val="single" w:sz="4" w:space="0" w:color="auto"/>
            </w:tcBorders>
            <w:vAlign w:val="center"/>
          </w:tcPr>
          <w:p w14:paraId="43F765C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ak</w:t>
            </w:r>
          </w:p>
        </w:tc>
        <w:tc>
          <w:tcPr>
            <w:tcW w:w="378" w:type="dxa"/>
            <w:tcBorders>
              <w:top w:val="single" w:sz="4" w:space="0" w:color="auto"/>
              <w:left w:val="single" w:sz="4" w:space="0" w:color="auto"/>
              <w:bottom w:val="single" w:sz="4" w:space="0" w:color="auto"/>
              <w:right w:val="single" w:sz="4" w:space="0" w:color="auto"/>
            </w:tcBorders>
            <w:vAlign w:val="center"/>
          </w:tcPr>
          <w:p w14:paraId="05091D4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al</w:t>
            </w:r>
          </w:p>
        </w:tc>
        <w:tc>
          <w:tcPr>
            <w:tcW w:w="483" w:type="dxa"/>
            <w:gridSpan w:val="3"/>
            <w:tcBorders>
              <w:top w:val="single" w:sz="4" w:space="0" w:color="auto"/>
              <w:left w:val="single" w:sz="4" w:space="0" w:color="auto"/>
              <w:bottom w:val="single" w:sz="4" w:space="0" w:color="auto"/>
              <w:right w:val="single" w:sz="4" w:space="0" w:color="auto"/>
            </w:tcBorders>
            <w:vAlign w:val="center"/>
          </w:tcPr>
          <w:p w14:paraId="49B3E76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am</w:t>
            </w:r>
          </w:p>
        </w:tc>
        <w:tc>
          <w:tcPr>
            <w:tcW w:w="320" w:type="dxa"/>
            <w:gridSpan w:val="2"/>
            <w:tcBorders>
              <w:top w:val="single" w:sz="4" w:space="0" w:color="auto"/>
              <w:left w:val="single" w:sz="4" w:space="0" w:color="auto"/>
              <w:bottom w:val="single" w:sz="4" w:space="0" w:color="auto"/>
              <w:right w:val="single" w:sz="4" w:space="0" w:color="auto"/>
            </w:tcBorders>
            <w:vAlign w:val="center"/>
          </w:tcPr>
          <w:p w14:paraId="15C2563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an</w:t>
            </w:r>
          </w:p>
        </w:tc>
        <w:tc>
          <w:tcPr>
            <w:tcW w:w="320" w:type="dxa"/>
            <w:gridSpan w:val="2"/>
            <w:tcBorders>
              <w:top w:val="single" w:sz="4" w:space="0" w:color="auto"/>
              <w:left w:val="single" w:sz="4" w:space="0" w:color="auto"/>
              <w:bottom w:val="single" w:sz="4" w:space="0" w:color="auto"/>
              <w:right w:val="single" w:sz="4" w:space="0" w:color="auto"/>
            </w:tcBorders>
            <w:vAlign w:val="center"/>
          </w:tcPr>
          <w:p w14:paraId="5B72E52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ao</w:t>
            </w:r>
            <w:proofErr w:type="spellEnd"/>
          </w:p>
        </w:tc>
        <w:tc>
          <w:tcPr>
            <w:tcW w:w="321" w:type="dxa"/>
            <w:tcBorders>
              <w:top w:val="single" w:sz="4" w:space="0" w:color="auto"/>
              <w:left w:val="single" w:sz="4" w:space="0" w:color="auto"/>
              <w:bottom w:val="single" w:sz="4" w:space="0" w:color="auto"/>
              <w:right w:val="single" w:sz="4" w:space="0" w:color="auto"/>
            </w:tcBorders>
            <w:vAlign w:val="center"/>
          </w:tcPr>
          <w:p w14:paraId="61CE138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ap</w:t>
            </w:r>
          </w:p>
        </w:tc>
        <w:tc>
          <w:tcPr>
            <w:tcW w:w="524" w:type="dxa"/>
            <w:gridSpan w:val="2"/>
            <w:tcBorders>
              <w:top w:val="single" w:sz="4" w:space="0" w:color="auto"/>
              <w:left w:val="single" w:sz="4" w:space="0" w:color="auto"/>
              <w:bottom w:val="single" w:sz="4" w:space="0" w:color="auto"/>
              <w:right w:val="single" w:sz="4" w:space="0" w:color="auto"/>
            </w:tcBorders>
            <w:vAlign w:val="center"/>
          </w:tcPr>
          <w:p w14:paraId="39D1419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aq</w:t>
            </w:r>
            <w:proofErr w:type="spellEnd"/>
          </w:p>
        </w:tc>
        <w:tc>
          <w:tcPr>
            <w:tcW w:w="333" w:type="dxa"/>
            <w:gridSpan w:val="2"/>
            <w:tcBorders>
              <w:top w:val="single" w:sz="4" w:space="0" w:color="auto"/>
              <w:left w:val="single" w:sz="4" w:space="0" w:color="auto"/>
              <w:bottom w:val="single" w:sz="4" w:space="0" w:color="auto"/>
              <w:right w:val="single" w:sz="4" w:space="0" w:color="auto"/>
            </w:tcBorders>
            <w:vAlign w:val="center"/>
          </w:tcPr>
          <w:p w14:paraId="2BCE4C9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ar</w:t>
            </w:r>
          </w:p>
        </w:tc>
        <w:tc>
          <w:tcPr>
            <w:tcW w:w="333" w:type="dxa"/>
            <w:gridSpan w:val="2"/>
            <w:tcBorders>
              <w:top w:val="single" w:sz="4" w:space="0" w:color="auto"/>
              <w:left w:val="single" w:sz="4" w:space="0" w:color="auto"/>
              <w:bottom w:val="single" w:sz="4" w:space="0" w:color="auto"/>
              <w:right w:val="single" w:sz="4" w:space="0" w:color="auto"/>
            </w:tcBorders>
            <w:vAlign w:val="center"/>
          </w:tcPr>
          <w:p w14:paraId="245D3E0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as</w:t>
            </w:r>
          </w:p>
        </w:tc>
        <w:tc>
          <w:tcPr>
            <w:tcW w:w="333" w:type="dxa"/>
            <w:gridSpan w:val="2"/>
            <w:tcBorders>
              <w:top w:val="single" w:sz="4" w:space="0" w:color="auto"/>
              <w:left w:val="single" w:sz="4" w:space="0" w:color="auto"/>
              <w:bottom w:val="single" w:sz="4" w:space="0" w:color="auto"/>
              <w:right w:val="single" w:sz="4" w:space="0" w:color="auto"/>
            </w:tcBorders>
            <w:vAlign w:val="center"/>
          </w:tcPr>
          <w:p w14:paraId="2821987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at</w:t>
            </w:r>
          </w:p>
        </w:tc>
        <w:tc>
          <w:tcPr>
            <w:tcW w:w="446" w:type="dxa"/>
            <w:gridSpan w:val="2"/>
            <w:tcBorders>
              <w:top w:val="single" w:sz="4" w:space="0" w:color="auto"/>
              <w:left w:val="single" w:sz="4" w:space="0" w:color="auto"/>
              <w:bottom w:val="single" w:sz="4" w:space="0" w:color="auto"/>
              <w:right w:val="single" w:sz="4" w:space="0" w:color="auto"/>
            </w:tcBorders>
            <w:vAlign w:val="center"/>
          </w:tcPr>
          <w:p w14:paraId="2BE1F13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au</w:t>
            </w:r>
          </w:p>
        </w:tc>
        <w:tc>
          <w:tcPr>
            <w:tcW w:w="330" w:type="dxa"/>
            <w:gridSpan w:val="2"/>
            <w:tcBorders>
              <w:top w:val="single" w:sz="4" w:space="0" w:color="auto"/>
              <w:left w:val="single" w:sz="4" w:space="0" w:color="auto"/>
              <w:bottom w:val="single" w:sz="4" w:space="0" w:color="auto"/>
              <w:right w:val="single" w:sz="4" w:space="0" w:color="auto"/>
            </w:tcBorders>
            <w:vAlign w:val="center"/>
          </w:tcPr>
          <w:p w14:paraId="15F0378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av</w:t>
            </w:r>
          </w:p>
        </w:tc>
        <w:tc>
          <w:tcPr>
            <w:tcW w:w="330" w:type="dxa"/>
            <w:gridSpan w:val="2"/>
            <w:tcBorders>
              <w:top w:val="single" w:sz="4" w:space="0" w:color="auto"/>
              <w:left w:val="single" w:sz="4" w:space="0" w:color="auto"/>
              <w:bottom w:val="single" w:sz="4" w:space="0" w:color="auto"/>
              <w:right w:val="single" w:sz="4" w:space="0" w:color="auto"/>
            </w:tcBorders>
            <w:vAlign w:val="center"/>
          </w:tcPr>
          <w:p w14:paraId="3B8F20B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aw</w:t>
            </w:r>
            <w:proofErr w:type="spellEnd"/>
          </w:p>
        </w:tc>
        <w:tc>
          <w:tcPr>
            <w:tcW w:w="330" w:type="dxa"/>
            <w:tcBorders>
              <w:top w:val="single" w:sz="4" w:space="0" w:color="auto"/>
              <w:left w:val="single" w:sz="4" w:space="0" w:color="auto"/>
              <w:bottom w:val="single" w:sz="4" w:space="0" w:color="auto"/>
              <w:right w:val="single" w:sz="4" w:space="0" w:color="auto"/>
            </w:tcBorders>
            <w:vAlign w:val="center"/>
          </w:tcPr>
          <w:p w14:paraId="7CE7E5A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ax</w:t>
            </w:r>
            <w:proofErr w:type="spellEnd"/>
          </w:p>
        </w:tc>
        <w:tc>
          <w:tcPr>
            <w:tcW w:w="422" w:type="dxa"/>
            <w:gridSpan w:val="2"/>
            <w:tcBorders>
              <w:top w:val="single" w:sz="4" w:space="0" w:color="auto"/>
              <w:left w:val="single" w:sz="4" w:space="0" w:color="auto"/>
              <w:bottom w:val="single" w:sz="4" w:space="0" w:color="auto"/>
              <w:right w:val="single" w:sz="4" w:space="0" w:color="auto"/>
            </w:tcBorders>
            <w:vAlign w:val="center"/>
          </w:tcPr>
          <w:p w14:paraId="6762F0B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ay</w:t>
            </w:r>
            <w:proofErr w:type="spellEnd"/>
          </w:p>
        </w:tc>
        <w:tc>
          <w:tcPr>
            <w:tcW w:w="334" w:type="dxa"/>
            <w:gridSpan w:val="2"/>
            <w:tcBorders>
              <w:top w:val="single" w:sz="4" w:space="0" w:color="auto"/>
              <w:left w:val="single" w:sz="4" w:space="0" w:color="auto"/>
              <w:bottom w:val="single" w:sz="4" w:space="0" w:color="auto"/>
              <w:right w:val="single" w:sz="4" w:space="0" w:color="auto"/>
            </w:tcBorders>
            <w:vAlign w:val="center"/>
          </w:tcPr>
          <w:p w14:paraId="59B998C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az</w:t>
            </w:r>
            <w:proofErr w:type="spellEnd"/>
          </w:p>
        </w:tc>
        <w:tc>
          <w:tcPr>
            <w:tcW w:w="334" w:type="dxa"/>
            <w:gridSpan w:val="2"/>
            <w:tcBorders>
              <w:top w:val="single" w:sz="4" w:space="0" w:color="auto"/>
              <w:left w:val="single" w:sz="4" w:space="0" w:color="auto"/>
              <w:bottom w:val="single" w:sz="4" w:space="0" w:color="auto"/>
              <w:right w:val="single" w:sz="4" w:space="0" w:color="auto"/>
            </w:tcBorders>
            <w:vAlign w:val="center"/>
          </w:tcPr>
          <w:p w14:paraId="40273DF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ba</w:t>
            </w:r>
          </w:p>
        </w:tc>
        <w:tc>
          <w:tcPr>
            <w:tcW w:w="334" w:type="dxa"/>
            <w:gridSpan w:val="2"/>
            <w:tcBorders>
              <w:top w:val="single" w:sz="4" w:space="0" w:color="auto"/>
              <w:left w:val="single" w:sz="4" w:space="0" w:color="auto"/>
              <w:bottom w:val="single" w:sz="4" w:space="0" w:color="auto"/>
              <w:right w:val="single" w:sz="4" w:space="0" w:color="auto"/>
            </w:tcBorders>
            <w:vAlign w:val="center"/>
          </w:tcPr>
          <w:p w14:paraId="3C8142F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bb</w:t>
            </w:r>
            <w:proofErr w:type="spellEnd"/>
          </w:p>
        </w:tc>
        <w:tc>
          <w:tcPr>
            <w:tcW w:w="354" w:type="dxa"/>
            <w:gridSpan w:val="2"/>
            <w:tcBorders>
              <w:top w:val="single" w:sz="4" w:space="0" w:color="auto"/>
              <w:left w:val="single" w:sz="4" w:space="0" w:color="auto"/>
              <w:bottom w:val="single" w:sz="4" w:space="0" w:color="auto"/>
              <w:right w:val="single" w:sz="4" w:space="0" w:color="auto"/>
            </w:tcBorders>
            <w:vAlign w:val="center"/>
          </w:tcPr>
          <w:p w14:paraId="45F2B87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bc</w:t>
            </w:r>
            <w:proofErr w:type="spellEnd"/>
          </w:p>
        </w:tc>
        <w:tc>
          <w:tcPr>
            <w:tcW w:w="355" w:type="dxa"/>
            <w:gridSpan w:val="2"/>
            <w:tcBorders>
              <w:top w:val="single" w:sz="4" w:space="0" w:color="auto"/>
              <w:left w:val="single" w:sz="4" w:space="0" w:color="auto"/>
              <w:bottom w:val="single" w:sz="4" w:space="0" w:color="auto"/>
              <w:right w:val="single" w:sz="4" w:space="0" w:color="auto"/>
            </w:tcBorders>
            <w:vAlign w:val="center"/>
          </w:tcPr>
          <w:p w14:paraId="0B9BE362"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bd</w:t>
            </w:r>
            <w:proofErr w:type="spellEnd"/>
          </w:p>
        </w:tc>
        <w:tc>
          <w:tcPr>
            <w:tcW w:w="355" w:type="dxa"/>
            <w:tcBorders>
              <w:top w:val="single" w:sz="4" w:space="0" w:color="auto"/>
              <w:left w:val="single" w:sz="4" w:space="0" w:color="auto"/>
              <w:bottom w:val="single" w:sz="4" w:space="0" w:color="auto"/>
              <w:right w:val="single" w:sz="4" w:space="0" w:color="auto"/>
            </w:tcBorders>
            <w:vAlign w:val="center"/>
          </w:tcPr>
          <w:p w14:paraId="766EEFE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be</w:t>
            </w: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18F57D4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bf</w:t>
            </w:r>
          </w:p>
        </w:tc>
        <w:tc>
          <w:tcPr>
            <w:tcW w:w="352" w:type="dxa"/>
            <w:tcBorders>
              <w:top w:val="single" w:sz="4" w:space="0" w:color="auto"/>
              <w:left w:val="single" w:sz="4" w:space="0" w:color="auto"/>
              <w:bottom w:val="single" w:sz="4" w:space="0" w:color="auto"/>
              <w:right w:val="single" w:sz="4" w:space="0" w:color="auto"/>
            </w:tcBorders>
            <w:vAlign w:val="center"/>
          </w:tcPr>
          <w:p w14:paraId="1CD4E8D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bg</w:t>
            </w:r>
            <w:proofErr w:type="spellEnd"/>
          </w:p>
        </w:tc>
        <w:tc>
          <w:tcPr>
            <w:tcW w:w="353" w:type="dxa"/>
            <w:gridSpan w:val="3"/>
            <w:tcBorders>
              <w:top w:val="single" w:sz="4" w:space="0" w:color="auto"/>
              <w:left w:val="single" w:sz="4" w:space="0" w:color="auto"/>
              <w:bottom w:val="single" w:sz="4" w:space="0" w:color="auto"/>
              <w:right w:val="single" w:sz="4" w:space="0" w:color="auto"/>
            </w:tcBorders>
            <w:vAlign w:val="center"/>
          </w:tcPr>
          <w:p w14:paraId="2EF528D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bh</w:t>
            </w:r>
          </w:p>
        </w:tc>
        <w:tc>
          <w:tcPr>
            <w:tcW w:w="352" w:type="dxa"/>
            <w:tcBorders>
              <w:top w:val="single" w:sz="4" w:space="0" w:color="auto"/>
              <w:left w:val="single" w:sz="4" w:space="0" w:color="auto"/>
              <w:bottom w:val="single" w:sz="4" w:space="0" w:color="auto"/>
              <w:right w:val="single" w:sz="4" w:space="0" w:color="auto"/>
            </w:tcBorders>
            <w:vAlign w:val="center"/>
          </w:tcPr>
          <w:p w14:paraId="0E2D9F4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bi</w:t>
            </w:r>
          </w:p>
        </w:tc>
        <w:tc>
          <w:tcPr>
            <w:tcW w:w="353" w:type="dxa"/>
            <w:gridSpan w:val="2"/>
            <w:tcBorders>
              <w:top w:val="single" w:sz="4" w:space="0" w:color="auto"/>
              <w:left w:val="single" w:sz="4" w:space="0" w:color="auto"/>
              <w:bottom w:val="single" w:sz="4" w:space="0" w:color="auto"/>
              <w:right w:val="single" w:sz="4" w:space="0" w:color="auto"/>
            </w:tcBorders>
            <w:vAlign w:val="center"/>
          </w:tcPr>
          <w:p w14:paraId="0744E780"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bj</w:t>
            </w:r>
            <w:proofErr w:type="spellEnd"/>
          </w:p>
        </w:tc>
        <w:tc>
          <w:tcPr>
            <w:tcW w:w="353" w:type="dxa"/>
            <w:gridSpan w:val="2"/>
            <w:tcBorders>
              <w:top w:val="single" w:sz="4" w:space="0" w:color="auto"/>
              <w:left w:val="single" w:sz="4" w:space="0" w:color="auto"/>
              <w:bottom w:val="single" w:sz="4" w:space="0" w:color="auto"/>
              <w:right w:val="single" w:sz="4" w:space="0" w:color="auto"/>
            </w:tcBorders>
            <w:vAlign w:val="center"/>
          </w:tcPr>
          <w:p w14:paraId="7971D88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bk</w:t>
            </w:r>
            <w:proofErr w:type="spellEnd"/>
          </w:p>
        </w:tc>
      </w:tr>
      <w:tr w:rsidR="006561BA" w14:paraId="18B6CBA1" w14:textId="77777777">
        <w:trPr>
          <w:trHeight w:val="162"/>
        </w:trPr>
        <w:tc>
          <w:tcPr>
            <w:tcW w:w="2740" w:type="dxa"/>
            <w:gridSpan w:val="2"/>
            <w:vMerge w:val="restart"/>
            <w:tcBorders>
              <w:top w:val="single" w:sz="4" w:space="0" w:color="auto"/>
              <w:left w:val="single" w:sz="4" w:space="0" w:color="auto"/>
            </w:tcBorders>
            <w:tcMar>
              <w:left w:w="0" w:type="dxa"/>
            </w:tcMar>
            <w:vAlign w:val="center"/>
          </w:tcPr>
          <w:p w14:paraId="5B64C25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Millioner euro</w:t>
            </w:r>
          </w:p>
        </w:tc>
        <w:tc>
          <w:tcPr>
            <w:tcW w:w="11290" w:type="dxa"/>
            <w:gridSpan w:val="57"/>
            <w:tcBorders>
              <w:top w:val="single" w:sz="4" w:space="0" w:color="auto"/>
              <w:left w:val="single" w:sz="4" w:space="0" w:color="auto"/>
              <w:right w:val="single" w:sz="4" w:space="0" w:color="auto"/>
            </w:tcBorders>
            <w:vAlign w:val="center"/>
          </w:tcPr>
          <w:p w14:paraId="437FCBB6" w14:textId="77777777" w:rsidR="006561BA" w:rsidRDefault="005B4ED6">
            <w:pPr>
              <w:pageBreakBefore/>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Referansedato for opplysningene T</w:t>
            </w:r>
          </w:p>
        </w:tc>
      </w:tr>
      <w:tr w:rsidR="006561BA" w:rsidRPr="00980A19" w14:paraId="17FF98BE" w14:textId="77777777">
        <w:trPr>
          <w:trHeight w:val="83"/>
        </w:trPr>
        <w:tc>
          <w:tcPr>
            <w:tcW w:w="2740" w:type="dxa"/>
            <w:gridSpan w:val="2"/>
            <w:vMerge/>
            <w:tcBorders>
              <w:left w:val="single" w:sz="4" w:space="0" w:color="auto"/>
            </w:tcBorders>
            <w:tcMar>
              <w:left w:w="0" w:type="dxa"/>
            </w:tcMar>
            <w:vAlign w:val="center"/>
          </w:tcPr>
          <w:p w14:paraId="37AE900B" w14:textId="77777777" w:rsidR="006561BA" w:rsidRDefault="006561BA">
            <w:pPr>
              <w:widowControl w:val="0"/>
              <w:shd w:val="clear" w:color="auto" w:fill="auto"/>
              <w:spacing w:after="0" w:line="240" w:lineRule="auto"/>
              <w:jc w:val="center"/>
              <w:rPr>
                <w:rFonts w:ascii="Helvetica" w:eastAsia="Arial Unicode MS" w:hAnsi="Helvetica" w:cs="Helvetica"/>
                <w:color w:val="000000"/>
                <w:sz w:val="6"/>
                <w:szCs w:val="6"/>
                <w:lang w:val="en-US"/>
              </w:rPr>
            </w:pPr>
          </w:p>
        </w:tc>
        <w:tc>
          <w:tcPr>
            <w:tcW w:w="395" w:type="dxa"/>
            <w:vMerge w:val="restart"/>
            <w:tcBorders>
              <w:left w:val="single" w:sz="4" w:space="0" w:color="auto"/>
            </w:tcBorders>
            <w:vAlign w:val="center"/>
          </w:tcPr>
          <w:p w14:paraId="3ED8C472"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Samlet [brutto] balanseført verdi</w:t>
            </w:r>
          </w:p>
        </w:tc>
        <w:tc>
          <w:tcPr>
            <w:tcW w:w="1896" w:type="dxa"/>
            <w:gridSpan w:val="10"/>
            <w:tcBorders>
              <w:top w:val="single" w:sz="4" w:space="0" w:color="auto"/>
              <w:left w:val="single" w:sz="4" w:space="0" w:color="auto"/>
            </w:tcBorders>
            <w:shd w:val="clear" w:color="auto" w:fill="B5B5B5"/>
            <w:vAlign w:val="center"/>
          </w:tcPr>
          <w:p w14:paraId="1CF52A13"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Begrensning av klimaendringer (CCM)</w:t>
            </w:r>
          </w:p>
        </w:tc>
        <w:tc>
          <w:tcPr>
            <w:tcW w:w="1434" w:type="dxa"/>
            <w:gridSpan w:val="7"/>
            <w:tcBorders>
              <w:top w:val="single" w:sz="4" w:space="0" w:color="auto"/>
              <w:left w:val="single" w:sz="4" w:space="0" w:color="auto"/>
            </w:tcBorders>
            <w:shd w:val="clear" w:color="auto" w:fill="B5B5B5"/>
            <w:vAlign w:val="center"/>
          </w:tcPr>
          <w:p w14:paraId="045BDA85"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Tilpasning til klimaendringer (CCA)</w:t>
            </w:r>
          </w:p>
        </w:tc>
        <w:tc>
          <w:tcPr>
            <w:tcW w:w="1515" w:type="dxa"/>
            <w:gridSpan w:val="7"/>
            <w:tcBorders>
              <w:top w:val="single" w:sz="4" w:space="0" w:color="auto"/>
              <w:left w:val="single" w:sz="4" w:space="0" w:color="auto"/>
            </w:tcBorders>
            <w:shd w:val="clear" w:color="auto" w:fill="B5B5B5"/>
            <w:vAlign w:val="center"/>
          </w:tcPr>
          <w:p w14:paraId="52DADBF5"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Vann- og havressurser (WTR)</w:t>
            </w:r>
          </w:p>
        </w:tc>
        <w:tc>
          <w:tcPr>
            <w:tcW w:w="1444" w:type="dxa"/>
            <w:gridSpan w:val="8"/>
            <w:tcBorders>
              <w:top w:val="single" w:sz="4" w:space="0" w:color="auto"/>
              <w:left w:val="single" w:sz="4" w:space="0" w:color="auto"/>
            </w:tcBorders>
            <w:shd w:val="clear" w:color="auto" w:fill="B5B5B5"/>
            <w:vAlign w:val="center"/>
          </w:tcPr>
          <w:p w14:paraId="31353653"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Sirkulær økonomi (CE)</w:t>
            </w:r>
          </w:p>
        </w:tc>
        <w:tc>
          <w:tcPr>
            <w:tcW w:w="1418" w:type="dxa"/>
            <w:gridSpan w:val="7"/>
            <w:tcBorders>
              <w:top w:val="single" w:sz="4" w:space="0" w:color="auto"/>
              <w:left w:val="single" w:sz="4" w:space="0" w:color="auto"/>
            </w:tcBorders>
            <w:shd w:val="clear" w:color="auto" w:fill="B5B5B5"/>
            <w:vAlign w:val="center"/>
          </w:tcPr>
          <w:p w14:paraId="6171CC57"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Forurensning (PPC)</w:t>
            </w:r>
          </w:p>
        </w:tc>
        <w:tc>
          <w:tcPr>
            <w:tcW w:w="1425" w:type="dxa"/>
            <w:gridSpan w:val="8"/>
            <w:tcBorders>
              <w:top w:val="single" w:sz="4" w:space="0" w:color="auto"/>
              <w:left w:val="single" w:sz="4" w:space="0" w:color="auto"/>
            </w:tcBorders>
            <w:shd w:val="clear" w:color="auto" w:fill="B5B5B5"/>
            <w:vAlign w:val="center"/>
          </w:tcPr>
          <w:p w14:paraId="65B91CAA"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Biologisk mangfold og økosystemer (BIO)</w:t>
            </w:r>
          </w:p>
        </w:tc>
        <w:tc>
          <w:tcPr>
            <w:tcW w:w="1763" w:type="dxa"/>
            <w:gridSpan w:val="9"/>
            <w:tcBorders>
              <w:top w:val="single" w:sz="4" w:space="0" w:color="auto"/>
              <w:left w:val="single" w:sz="4" w:space="0" w:color="auto"/>
              <w:right w:val="single" w:sz="4" w:space="0" w:color="auto"/>
            </w:tcBorders>
            <w:shd w:val="clear" w:color="auto" w:fill="B5B5B5"/>
            <w:vAlign w:val="center"/>
          </w:tcPr>
          <w:p w14:paraId="098D97A7" w14:textId="77777777" w:rsidR="006561BA" w:rsidRPr="00770AA2" w:rsidRDefault="005B4ED6">
            <w:pPr>
              <w:widowControl w:val="0"/>
              <w:shd w:val="clear" w:color="auto" w:fill="auto"/>
              <w:spacing w:after="0" w:line="240" w:lineRule="auto"/>
              <w:ind w:firstLine="360"/>
              <w:jc w:val="center"/>
              <w:rPr>
                <w:rFonts w:ascii="Helvetica" w:eastAsia="Arial Unicode MS" w:hAnsi="Helvetica" w:cs="Helvetica"/>
                <w:b/>
                <w:color w:val="000000"/>
                <w:sz w:val="6"/>
                <w:szCs w:val="6"/>
                <w:lang w:val="en-US"/>
              </w:rPr>
            </w:pPr>
            <w:r w:rsidRPr="00770AA2">
              <w:rPr>
                <w:rFonts w:ascii="Helvetica" w:hAnsi="Helvetica"/>
                <w:b/>
                <w:color w:val="000000"/>
                <w:sz w:val="6"/>
                <w:lang w:val="en-US"/>
              </w:rPr>
              <w:t>SUM (CCM + CCA + WTR + CE + PPC + BIO)</w:t>
            </w:r>
          </w:p>
        </w:tc>
      </w:tr>
      <w:tr w:rsidR="006561BA" w14:paraId="623C95BD" w14:textId="77777777">
        <w:trPr>
          <w:trHeight w:val="187"/>
        </w:trPr>
        <w:tc>
          <w:tcPr>
            <w:tcW w:w="2740" w:type="dxa"/>
            <w:gridSpan w:val="2"/>
            <w:vMerge/>
            <w:tcBorders>
              <w:left w:val="single" w:sz="4" w:space="0" w:color="auto"/>
            </w:tcBorders>
            <w:tcMar>
              <w:left w:w="0" w:type="dxa"/>
            </w:tcMar>
            <w:vAlign w:val="center"/>
          </w:tcPr>
          <w:p w14:paraId="439377E8" w14:textId="77777777" w:rsidR="006561BA" w:rsidRDefault="006561BA">
            <w:pPr>
              <w:widowControl w:val="0"/>
              <w:shd w:val="clear" w:color="auto" w:fill="auto"/>
              <w:spacing w:after="0" w:line="240" w:lineRule="auto"/>
              <w:jc w:val="center"/>
              <w:rPr>
                <w:rFonts w:ascii="Helvetica" w:eastAsia="Arial Unicode MS" w:hAnsi="Helvetica" w:cs="Helvetica"/>
                <w:color w:val="000000"/>
                <w:sz w:val="6"/>
                <w:szCs w:val="6"/>
                <w:lang w:val="en-US"/>
              </w:rPr>
            </w:pPr>
          </w:p>
        </w:tc>
        <w:tc>
          <w:tcPr>
            <w:tcW w:w="395" w:type="dxa"/>
            <w:vMerge/>
            <w:tcBorders>
              <w:left w:val="single" w:sz="4" w:space="0" w:color="auto"/>
            </w:tcBorders>
            <w:vAlign w:val="center"/>
          </w:tcPr>
          <w:p w14:paraId="0B6BD2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896" w:type="dxa"/>
            <w:gridSpan w:val="10"/>
            <w:tcBorders>
              <w:top w:val="single" w:sz="4" w:space="0" w:color="auto"/>
              <w:left w:val="single" w:sz="4" w:space="0" w:color="auto"/>
            </w:tcBorders>
            <w:vAlign w:val="center"/>
          </w:tcPr>
          <w:p w14:paraId="427E170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Hvorav mot taksonomirelevante sektorer (omfattet av taksonomien)</w:t>
            </w:r>
          </w:p>
        </w:tc>
        <w:tc>
          <w:tcPr>
            <w:tcW w:w="1434" w:type="dxa"/>
            <w:gridSpan w:val="7"/>
            <w:tcBorders>
              <w:top w:val="single" w:sz="4" w:space="0" w:color="auto"/>
              <w:left w:val="single" w:sz="4" w:space="0" w:color="auto"/>
            </w:tcBorders>
            <w:vAlign w:val="center"/>
          </w:tcPr>
          <w:p w14:paraId="7A47569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Hvorav mot taksonomirelevante sektorer (omfattet av taksonomien)</w:t>
            </w:r>
          </w:p>
        </w:tc>
        <w:tc>
          <w:tcPr>
            <w:tcW w:w="1515" w:type="dxa"/>
            <w:gridSpan w:val="7"/>
            <w:tcBorders>
              <w:top w:val="single" w:sz="4" w:space="0" w:color="auto"/>
              <w:left w:val="single" w:sz="4" w:space="0" w:color="auto"/>
            </w:tcBorders>
            <w:vAlign w:val="center"/>
          </w:tcPr>
          <w:p w14:paraId="1DD2BFC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Hvorav mot taksonomirelevante sektorer (omfattet av taksonomien)</w:t>
            </w:r>
          </w:p>
        </w:tc>
        <w:tc>
          <w:tcPr>
            <w:tcW w:w="1444" w:type="dxa"/>
            <w:gridSpan w:val="8"/>
            <w:tcBorders>
              <w:top w:val="single" w:sz="4" w:space="0" w:color="auto"/>
              <w:left w:val="single" w:sz="4" w:space="0" w:color="auto"/>
            </w:tcBorders>
            <w:vAlign w:val="center"/>
          </w:tcPr>
          <w:p w14:paraId="3913B06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Hvorav mot taksonomirelevante sektorer (omfattet av taksonomien)</w:t>
            </w:r>
          </w:p>
        </w:tc>
        <w:tc>
          <w:tcPr>
            <w:tcW w:w="1418" w:type="dxa"/>
            <w:gridSpan w:val="7"/>
            <w:tcBorders>
              <w:top w:val="single" w:sz="4" w:space="0" w:color="auto"/>
              <w:left w:val="single" w:sz="4" w:space="0" w:color="auto"/>
            </w:tcBorders>
            <w:vAlign w:val="center"/>
          </w:tcPr>
          <w:p w14:paraId="4364007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Hvorav mot taksonomirelevante sektorer (omfattet av taksonomien)</w:t>
            </w:r>
          </w:p>
        </w:tc>
        <w:tc>
          <w:tcPr>
            <w:tcW w:w="1425" w:type="dxa"/>
            <w:gridSpan w:val="8"/>
            <w:tcBorders>
              <w:top w:val="single" w:sz="4" w:space="0" w:color="auto"/>
              <w:left w:val="single" w:sz="4" w:space="0" w:color="auto"/>
            </w:tcBorders>
            <w:vAlign w:val="center"/>
          </w:tcPr>
          <w:p w14:paraId="6E73B2C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Hvorav mot taksonomirelevante sektorer (omfattet av taksonomien)</w:t>
            </w:r>
          </w:p>
        </w:tc>
        <w:tc>
          <w:tcPr>
            <w:tcW w:w="366" w:type="dxa"/>
            <w:gridSpan w:val="2"/>
            <w:tcBorders>
              <w:top w:val="single" w:sz="4" w:space="0" w:color="auto"/>
              <w:left w:val="single" w:sz="4" w:space="0" w:color="auto"/>
            </w:tcBorders>
            <w:vAlign w:val="center"/>
          </w:tcPr>
          <w:p w14:paraId="679E16F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1397" w:type="dxa"/>
            <w:gridSpan w:val="7"/>
            <w:tcBorders>
              <w:top w:val="single" w:sz="4" w:space="0" w:color="auto"/>
              <w:right w:val="single" w:sz="4" w:space="0" w:color="auto"/>
            </w:tcBorders>
            <w:vAlign w:val="center"/>
          </w:tcPr>
          <w:p w14:paraId="36E3F50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4022E7B1" w14:textId="77777777">
        <w:trPr>
          <w:trHeight w:val="187"/>
        </w:trPr>
        <w:tc>
          <w:tcPr>
            <w:tcW w:w="2740" w:type="dxa"/>
            <w:gridSpan w:val="2"/>
            <w:vMerge/>
            <w:tcBorders>
              <w:left w:val="single" w:sz="4" w:space="0" w:color="auto"/>
            </w:tcBorders>
            <w:tcMar>
              <w:left w:w="0" w:type="dxa"/>
            </w:tcMar>
            <w:vAlign w:val="center"/>
          </w:tcPr>
          <w:p w14:paraId="49495F55"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395" w:type="dxa"/>
            <w:vMerge/>
            <w:tcBorders>
              <w:left w:val="single" w:sz="4" w:space="0" w:color="auto"/>
            </w:tcBorders>
            <w:vAlign w:val="center"/>
          </w:tcPr>
          <w:p w14:paraId="1EDB1A6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56" w:type="dxa"/>
            <w:vMerge w:val="restart"/>
            <w:tcBorders>
              <w:left w:val="single" w:sz="4" w:space="0" w:color="auto"/>
            </w:tcBorders>
            <w:vAlign w:val="center"/>
          </w:tcPr>
          <w:p w14:paraId="5690585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1640" w:type="dxa"/>
            <w:gridSpan w:val="9"/>
            <w:tcBorders>
              <w:top w:val="single" w:sz="4" w:space="0" w:color="auto"/>
              <w:left w:val="single" w:sz="4" w:space="0" w:color="auto"/>
            </w:tcBorders>
            <w:vAlign w:val="center"/>
          </w:tcPr>
          <w:p w14:paraId="7A9A4F5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Hvorav miljømessig bærekraftige (taksonomiforenlige)</w:t>
            </w:r>
          </w:p>
        </w:tc>
        <w:tc>
          <w:tcPr>
            <w:tcW w:w="417" w:type="dxa"/>
            <w:vMerge w:val="restart"/>
            <w:tcBorders>
              <w:left w:val="single" w:sz="4" w:space="0" w:color="auto"/>
            </w:tcBorders>
            <w:vAlign w:val="center"/>
          </w:tcPr>
          <w:p w14:paraId="0CE34E0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017" w:type="dxa"/>
            <w:gridSpan w:val="6"/>
            <w:tcBorders>
              <w:top w:val="single" w:sz="4" w:space="0" w:color="auto"/>
              <w:left w:val="single" w:sz="4" w:space="0" w:color="auto"/>
            </w:tcBorders>
            <w:vAlign w:val="center"/>
          </w:tcPr>
          <w:p w14:paraId="0734E85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Hvorav miljømessig bærekraftige (taksonomiforenlige)</w:t>
            </w:r>
          </w:p>
        </w:tc>
        <w:tc>
          <w:tcPr>
            <w:tcW w:w="448" w:type="dxa"/>
            <w:vMerge w:val="restart"/>
            <w:tcBorders>
              <w:left w:val="single" w:sz="4" w:space="0" w:color="auto"/>
            </w:tcBorders>
            <w:vAlign w:val="center"/>
          </w:tcPr>
          <w:p w14:paraId="13C11E6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067" w:type="dxa"/>
            <w:gridSpan w:val="6"/>
            <w:tcBorders>
              <w:top w:val="single" w:sz="4" w:space="0" w:color="auto"/>
              <w:left w:val="single" w:sz="4" w:space="0" w:color="auto"/>
            </w:tcBorders>
            <w:vAlign w:val="center"/>
          </w:tcPr>
          <w:p w14:paraId="72B7367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Hvorav miljømessig bærekraftige (taksonomiforenlige)</w:t>
            </w:r>
          </w:p>
        </w:tc>
        <w:tc>
          <w:tcPr>
            <w:tcW w:w="375" w:type="dxa"/>
            <w:gridSpan w:val="2"/>
            <w:vMerge w:val="restart"/>
            <w:tcBorders>
              <w:left w:val="single" w:sz="4" w:space="0" w:color="auto"/>
            </w:tcBorders>
            <w:vAlign w:val="center"/>
          </w:tcPr>
          <w:p w14:paraId="79B2760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IN"/>
              </w:rPr>
            </w:pPr>
          </w:p>
        </w:tc>
        <w:tc>
          <w:tcPr>
            <w:tcW w:w="1069" w:type="dxa"/>
            <w:gridSpan w:val="6"/>
            <w:tcBorders>
              <w:top w:val="single" w:sz="4" w:space="0" w:color="auto"/>
              <w:left w:val="single" w:sz="4" w:space="0" w:color="auto"/>
            </w:tcBorders>
            <w:vAlign w:val="center"/>
          </w:tcPr>
          <w:p w14:paraId="4E661CD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Hvorav miljømessig bærekraftige (taksonomiforenlige)</w:t>
            </w:r>
          </w:p>
        </w:tc>
        <w:tc>
          <w:tcPr>
            <w:tcW w:w="347" w:type="dxa"/>
            <w:vMerge w:val="restart"/>
            <w:tcBorders>
              <w:left w:val="single" w:sz="4" w:space="0" w:color="auto"/>
            </w:tcBorders>
            <w:vAlign w:val="center"/>
          </w:tcPr>
          <w:p w14:paraId="3E6D568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071" w:type="dxa"/>
            <w:gridSpan w:val="6"/>
            <w:tcBorders>
              <w:top w:val="single" w:sz="4" w:space="0" w:color="auto"/>
              <w:left w:val="single" w:sz="4" w:space="0" w:color="auto"/>
            </w:tcBorders>
            <w:vAlign w:val="center"/>
          </w:tcPr>
          <w:p w14:paraId="039D142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Hvorav miljømessig bærekraftige (taksonomiforenlige)</w:t>
            </w:r>
          </w:p>
        </w:tc>
        <w:tc>
          <w:tcPr>
            <w:tcW w:w="350" w:type="dxa"/>
            <w:gridSpan w:val="2"/>
            <w:vMerge w:val="restart"/>
            <w:tcBorders>
              <w:left w:val="single" w:sz="4" w:space="0" w:color="auto"/>
            </w:tcBorders>
            <w:vAlign w:val="center"/>
          </w:tcPr>
          <w:p w14:paraId="3C1B860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075" w:type="dxa"/>
            <w:gridSpan w:val="6"/>
            <w:tcBorders>
              <w:top w:val="single" w:sz="4" w:space="0" w:color="auto"/>
              <w:left w:val="single" w:sz="4" w:space="0" w:color="auto"/>
            </w:tcBorders>
            <w:vAlign w:val="center"/>
          </w:tcPr>
          <w:p w14:paraId="06F143D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Hvorav miljømessig bærekraftige (taksonomiforenlige)</w:t>
            </w:r>
          </w:p>
        </w:tc>
        <w:tc>
          <w:tcPr>
            <w:tcW w:w="366" w:type="dxa"/>
            <w:gridSpan w:val="2"/>
            <w:vMerge w:val="restart"/>
            <w:tcBorders>
              <w:left w:val="single" w:sz="4" w:space="0" w:color="auto"/>
            </w:tcBorders>
            <w:vAlign w:val="center"/>
          </w:tcPr>
          <w:p w14:paraId="70C4304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97" w:type="dxa"/>
            <w:gridSpan w:val="7"/>
            <w:tcBorders>
              <w:top w:val="single" w:sz="4" w:space="0" w:color="auto"/>
              <w:left w:val="single" w:sz="4" w:space="0" w:color="auto"/>
              <w:right w:val="single" w:sz="4" w:space="0" w:color="auto"/>
            </w:tcBorders>
            <w:vAlign w:val="center"/>
          </w:tcPr>
          <w:p w14:paraId="317DBF5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Hvorav miljømessig bærekraftige (taksonomiforenlige)</w:t>
            </w:r>
          </w:p>
        </w:tc>
      </w:tr>
      <w:tr w:rsidR="006561BA" w14:paraId="647EE22B" w14:textId="77777777">
        <w:trPr>
          <w:trHeight w:val="166"/>
        </w:trPr>
        <w:tc>
          <w:tcPr>
            <w:tcW w:w="2740" w:type="dxa"/>
            <w:gridSpan w:val="2"/>
            <w:vMerge/>
            <w:tcBorders>
              <w:left w:val="single" w:sz="4" w:space="0" w:color="auto"/>
            </w:tcBorders>
            <w:tcMar>
              <w:left w:w="0" w:type="dxa"/>
            </w:tcMar>
            <w:vAlign w:val="center"/>
          </w:tcPr>
          <w:p w14:paraId="161F3EC8" w14:textId="77777777" w:rsidR="006561BA" w:rsidRDefault="006561BA">
            <w:pPr>
              <w:widowControl w:val="0"/>
              <w:shd w:val="clear" w:color="auto" w:fill="auto"/>
              <w:spacing w:after="0" w:line="240" w:lineRule="auto"/>
              <w:jc w:val="center"/>
              <w:rPr>
                <w:rFonts w:ascii="Helvetica" w:eastAsia="Arial Unicode MS" w:hAnsi="Helvetica" w:cs="Helvetica"/>
                <w:color w:val="000000"/>
                <w:sz w:val="6"/>
                <w:szCs w:val="6"/>
                <w:lang w:val="en-US"/>
              </w:rPr>
            </w:pPr>
          </w:p>
        </w:tc>
        <w:tc>
          <w:tcPr>
            <w:tcW w:w="395" w:type="dxa"/>
            <w:vMerge/>
            <w:tcBorders>
              <w:left w:val="single" w:sz="4" w:space="0" w:color="auto"/>
            </w:tcBorders>
            <w:vAlign w:val="center"/>
          </w:tcPr>
          <w:p w14:paraId="47B82B1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vMerge/>
            <w:tcBorders>
              <w:left w:val="single" w:sz="4" w:space="0" w:color="auto"/>
            </w:tcBorders>
            <w:vAlign w:val="center"/>
          </w:tcPr>
          <w:p w14:paraId="7F59E02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left w:val="single" w:sz="4" w:space="0" w:color="auto"/>
            </w:tcBorders>
            <w:vAlign w:val="center"/>
          </w:tcPr>
          <w:p w14:paraId="35FA21D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vAlign w:val="center"/>
          </w:tcPr>
          <w:p w14:paraId="57F15347"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bruk av proveny</w:t>
            </w:r>
          </w:p>
        </w:tc>
        <w:tc>
          <w:tcPr>
            <w:tcW w:w="389" w:type="dxa"/>
            <w:gridSpan w:val="2"/>
            <w:tcBorders>
              <w:top w:val="single" w:sz="4" w:space="0" w:color="auto"/>
              <w:left w:val="single" w:sz="4" w:space="0" w:color="auto"/>
            </w:tcBorders>
            <w:vAlign w:val="center"/>
          </w:tcPr>
          <w:p w14:paraId="6014B5A4"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omstilling</w:t>
            </w:r>
          </w:p>
        </w:tc>
        <w:tc>
          <w:tcPr>
            <w:tcW w:w="472" w:type="dxa"/>
            <w:gridSpan w:val="3"/>
            <w:tcBorders>
              <w:top w:val="single" w:sz="4" w:space="0" w:color="auto"/>
              <w:left w:val="single" w:sz="4" w:space="0" w:color="auto"/>
            </w:tcBorders>
            <w:vAlign w:val="center"/>
          </w:tcPr>
          <w:p w14:paraId="15892F2B"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muliggjørende</w:t>
            </w:r>
          </w:p>
        </w:tc>
        <w:tc>
          <w:tcPr>
            <w:tcW w:w="417" w:type="dxa"/>
            <w:vMerge/>
            <w:tcBorders>
              <w:left w:val="single" w:sz="4" w:space="0" w:color="auto"/>
            </w:tcBorders>
            <w:vAlign w:val="center"/>
          </w:tcPr>
          <w:p w14:paraId="4AE34F4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left w:val="single" w:sz="4" w:space="0" w:color="auto"/>
            </w:tcBorders>
            <w:vAlign w:val="center"/>
          </w:tcPr>
          <w:p w14:paraId="0D6420C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vAlign w:val="center"/>
          </w:tcPr>
          <w:p w14:paraId="554ADDB7"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bruk av proveny</w:t>
            </w:r>
          </w:p>
        </w:tc>
        <w:tc>
          <w:tcPr>
            <w:tcW w:w="338" w:type="dxa"/>
            <w:gridSpan w:val="2"/>
            <w:tcBorders>
              <w:top w:val="single" w:sz="4" w:space="0" w:color="auto"/>
              <w:left w:val="single" w:sz="4" w:space="0" w:color="auto"/>
            </w:tcBorders>
            <w:vAlign w:val="center"/>
          </w:tcPr>
          <w:p w14:paraId="3428AABF"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muliggjørende</w:t>
            </w:r>
          </w:p>
        </w:tc>
        <w:tc>
          <w:tcPr>
            <w:tcW w:w="448" w:type="dxa"/>
            <w:vMerge/>
            <w:tcBorders>
              <w:left w:val="single" w:sz="4" w:space="0" w:color="auto"/>
            </w:tcBorders>
            <w:vAlign w:val="center"/>
          </w:tcPr>
          <w:p w14:paraId="172B1F2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left w:val="single" w:sz="4" w:space="0" w:color="auto"/>
            </w:tcBorders>
            <w:vAlign w:val="center"/>
          </w:tcPr>
          <w:p w14:paraId="6C56023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3AA0C26A"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bruk av proveny</w:t>
            </w:r>
          </w:p>
        </w:tc>
        <w:tc>
          <w:tcPr>
            <w:tcW w:w="338" w:type="dxa"/>
            <w:gridSpan w:val="2"/>
            <w:tcBorders>
              <w:top w:val="single" w:sz="4" w:space="0" w:color="auto"/>
              <w:left w:val="single" w:sz="4" w:space="0" w:color="auto"/>
            </w:tcBorders>
            <w:vAlign w:val="center"/>
          </w:tcPr>
          <w:p w14:paraId="444F37D8"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muliggjørende</w:t>
            </w:r>
          </w:p>
        </w:tc>
        <w:tc>
          <w:tcPr>
            <w:tcW w:w="375" w:type="dxa"/>
            <w:gridSpan w:val="2"/>
            <w:vMerge/>
            <w:tcBorders>
              <w:left w:val="single" w:sz="4" w:space="0" w:color="auto"/>
            </w:tcBorders>
            <w:vAlign w:val="center"/>
          </w:tcPr>
          <w:p w14:paraId="2E1E436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left w:val="single" w:sz="4" w:space="0" w:color="auto"/>
            </w:tcBorders>
            <w:vAlign w:val="center"/>
          </w:tcPr>
          <w:p w14:paraId="5A0D339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47801765"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bruk av proveny</w:t>
            </w:r>
          </w:p>
        </w:tc>
        <w:tc>
          <w:tcPr>
            <w:tcW w:w="345" w:type="dxa"/>
            <w:gridSpan w:val="2"/>
            <w:tcBorders>
              <w:top w:val="single" w:sz="4" w:space="0" w:color="auto"/>
              <w:left w:val="single" w:sz="4" w:space="0" w:color="auto"/>
            </w:tcBorders>
            <w:vAlign w:val="center"/>
          </w:tcPr>
          <w:p w14:paraId="180E4FBE"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muliggjørende</w:t>
            </w:r>
          </w:p>
        </w:tc>
        <w:tc>
          <w:tcPr>
            <w:tcW w:w="347" w:type="dxa"/>
            <w:vMerge/>
            <w:tcBorders>
              <w:left w:val="single" w:sz="4" w:space="0" w:color="auto"/>
            </w:tcBorders>
            <w:vAlign w:val="center"/>
          </w:tcPr>
          <w:p w14:paraId="7815DB8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left w:val="single" w:sz="4" w:space="0" w:color="auto"/>
            </w:tcBorders>
            <w:vAlign w:val="center"/>
          </w:tcPr>
          <w:p w14:paraId="7993AA0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vAlign w:val="center"/>
          </w:tcPr>
          <w:p w14:paraId="30EE9C3F"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bruk av proveny</w:t>
            </w:r>
          </w:p>
        </w:tc>
        <w:tc>
          <w:tcPr>
            <w:tcW w:w="338" w:type="dxa"/>
            <w:gridSpan w:val="2"/>
            <w:tcBorders>
              <w:top w:val="single" w:sz="4" w:space="0" w:color="auto"/>
              <w:left w:val="single" w:sz="4" w:space="0" w:color="auto"/>
            </w:tcBorders>
            <w:vAlign w:val="center"/>
          </w:tcPr>
          <w:p w14:paraId="4CECDE4C"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muliggjørende</w:t>
            </w:r>
          </w:p>
        </w:tc>
        <w:tc>
          <w:tcPr>
            <w:tcW w:w="350" w:type="dxa"/>
            <w:gridSpan w:val="2"/>
            <w:vMerge/>
            <w:tcBorders>
              <w:left w:val="single" w:sz="4" w:space="0" w:color="auto"/>
            </w:tcBorders>
            <w:vAlign w:val="center"/>
          </w:tcPr>
          <w:p w14:paraId="3618F96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left w:val="single" w:sz="4" w:space="0" w:color="auto"/>
            </w:tcBorders>
            <w:vAlign w:val="center"/>
          </w:tcPr>
          <w:p w14:paraId="7724BE8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vAlign w:val="center"/>
          </w:tcPr>
          <w:p w14:paraId="57AF3B21"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bruk av proveny</w:t>
            </w:r>
          </w:p>
        </w:tc>
        <w:tc>
          <w:tcPr>
            <w:tcW w:w="342" w:type="dxa"/>
            <w:tcBorders>
              <w:top w:val="single" w:sz="4" w:space="0" w:color="auto"/>
              <w:left w:val="single" w:sz="4" w:space="0" w:color="auto"/>
            </w:tcBorders>
            <w:vAlign w:val="center"/>
          </w:tcPr>
          <w:p w14:paraId="787C5067"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muliggjørende</w:t>
            </w:r>
          </w:p>
        </w:tc>
        <w:tc>
          <w:tcPr>
            <w:tcW w:w="366" w:type="dxa"/>
            <w:gridSpan w:val="2"/>
            <w:vMerge/>
            <w:tcBorders>
              <w:left w:val="single" w:sz="4" w:space="0" w:color="auto"/>
            </w:tcBorders>
            <w:vAlign w:val="center"/>
          </w:tcPr>
          <w:p w14:paraId="5425837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left w:val="single" w:sz="4" w:space="0" w:color="auto"/>
            </w:tcBorders>
            <w:vAlign w:val="center"/>
          </w:tcPr>
          <w:p w14:paraId="3E3061F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vAlign w:val="center"/>
          </w:tcPr>
          <w:p w14:paraId="612BFBE1"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bruk av proveny</w:t>
            </w:r>
          </w:p>
        </w:tc>
        <w:tc>
          <w:tcPr>
            <w:tcW w:w="392" w:type="dxa"/>
            <w:gridSpan w:val="2"/>
            <w:tcBorders>
              <w:top w:val="single" w:sz="4" w:space="0" w:color="auto"/>
              <w:left w:val="single" w:sz="4" w:space="0" w:color="auto"/>
            </w:tcBorders>
            <w:vAlign w:val="center"/>
          </w:tcPr>
          <w:p w14:paraId="6F6ABFD3"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omstilling</w:t>
            </w:r>
          </w:p>
        </w:tc>
        <w:tc>
          <w:tcPr>
            <w:tcW w:w="278" w:type="dxa"/>
            <w:tcBorders>
              <w:top w:val="single" w:sz="4" w:space="0" w:color="auto"/>
              <w:left w:val="single" w:sz="4" w:space="0" w:color="auto"/>
              <w:right w:val="single" w:sz="4" w:space="0" w:color="auto"/>
            </w:tcBorders>
            <w:vAlign w:val="center"/>
          </w:tcPr>
          <w:p w14:paraId="6D4E00BA"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Hvorav muliggjørende</w:t>
            </w:r>
          </w:p>
        </w:tc>
      </w:tr>
      <w:tr w:rsidR="006561BA" w14:paraId="0162605E" w14:textId="77777777">
        <w:trPr>
          <w:trHeight w:val="90"/>
        </w:trPr>
        <w:tc>
          <w:tcPr>
            <w:tcW w:w="942" w:type="dxa"/>
            <w:tcBorders>
              <w:top w:val="single" w:sz="4" w:space="0" w:color="auto"/>
              <w:left w:val="single" w:sz="4" w:space="0" w:color="auto"/>
            </w:tcBorders>
            <w:tcMar>
              <w:left w:w="0" w:type="dxa"/>
            </w:tcMar>
            <w:vAlign w:val="center"/>
          </w:tcPr>
          <w:p w14:paraId="72B77C89" w14:textId="77777777" w:rsidR="006561BA" w:rsidRDefault="006561BA">
            <w:pPr>
              <w:widowControl w:val="0"/>
              <w:shd w:val="clear" w:color="auto" w:fill="auto"/>
              <w:spacing w:after="0" w:line="240" w:lineRule="auto"/>
              <w:jc w:val="center"/>
              <w:rPr>
                <w:rFonts w:ascii="Helvetica" w:eastAsia="Arial Unicode MS" w:hAnsi="Helvetica" w:cs="Helvetica"/>
                <w:color w:val="000000"/>
                <w:sz w:val="6"/>
                <w:szCs w:val="6"/>
                <w:lang w:val="en-US"/>
              </w:rPr>
            </w:pPr>
          </w:p>
        </w:tc>
        <w:tc>
          <w:tcPr>
            <w:tcW w:w="1798" w:type="dxa"/>
            <w:tcBorders>
              <w:top w:val="single" w:sz="4" w:space="0" w:color="auto"/>
              <w:left w:val="single" w:sz="4" w:space="0" w:color="auto"/>
            </w:tcBorders>
            <w:vAlign w:val="center"/>
          </w:tcPr>
          <w:p w14:paraId="043189B6" w14:textId="77777777" w:rsidR="006561BA" w:rsidRDefault="005B4ED6">
            <w:pPr>
              <w:widowControl w:val="0"/>
              <w:shd w:val="clear" w:color="auto" w:fill="auto"/>
              <w:spacing w:after="0" w:line="240" w:lineRule="auto"/>
              <w:jc w:val="left"/>
              <w:rPr>
                <w:rFonts w:ascii="Helvetica" w:eastAsia="Arial Unicode MS" w:hAnsi="Helvetica" w:cs="Helvetica"/>
                <w:b/>
                <w:color w:val="000000"/>
                <w:sz w:val="6"/>
                <w:szCs w:val="6"/>
                <w:u w:val="single"/>
              </w:rPr>
            </w:pPr>
            <w:r>
              <w:rPr>
                <w:rFonts w:ascii="Helvetica" w:hAnsi="Helvetica"/>
                <w:b/>
                <w:color w:val="000000"/>
                <w:sz w:val="6"/>
                <w:u w:val="single"/>
              </w:rPr>
              <w:t xml:space="preserve">GAR </w:t>
            </w:r>
            <w:r>
              <w:rPr>
                <w:rFonts w:ascii="Helvetica" w:hAnsi="Helvetica"/>
                <w:b/>
                <w:color w:val="000000"/>
                <w:sz w:val="6"/>
                <w:u w:val="single"/>
              </w:rPr>
              <w:sym w:font="Symbol" w:char="F02D"/>
            </w:r>
            <w:r>
              <w:rPr>
                <w:rFonts w:ascii="Helvetica" w:hAnsi="Helvetica"/>
                <w:b/>
                <w:color w:val="000000"/>
                <w:sz w:val="6"/>
                <w:u w:val="single"/>
              </w:rPr>
              <w:t xml:space="preserve"> dekkede eiendeler i både teller og nevner</w:t>
            </w:r>
          </w:p>
        </w:tc>
        <w:tc>
          <w:tcPr>
            <w:tcW w:w="395" w:type="dxa"/>
            <w:tcBorders>
              <w:top w:val="single" w:sz="4" w:space="0" w:color="auto"/>
              <w:left w:val="single" w:sz="4" w:space="0" w:color="auto"/>
            </w:tcBorders>
            <w:shd w:val="clear" w:color="auto" w:fill="000000" w:themeFill="text1"/>
            <w:vAlign w:val="center"/>
          </w:tcPr>
          <w:p w14:paraId="7B7CBAF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56" w:type="dxa"/>
            <w:tcBorders>
              <w:top w:val="single" w:sz="4" w:space="0" w:color="auto"/>
              <w:left w:val="single" w:sz="4" w:space="0" w:color="auto"/>
            </w:tcBorders>
            <w:shd w:val="clear" w:color="auto" w:fill="000000" w:themeFill="text1"/>
            <w:vAlign w:val="center"/>
          </w:tcPr>
          <w:p w14:paraId="7B1EA51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2"/>
            <w:tcBorders>
              <w:top w:val="single" w:sz="4" w:space="0" w:color="auto"/>
              <w:left w:val="single" w:sz="4" w:space="0" w:color="auto"/>
            </w:tcBorders>
            <w:shd w:val="clear" w:color="auto" w:fill="000000" w:themeFill="text1"/>
            <w:vAlign w:val="center"/>
          </w:tcPr>
          <w:p w14:paraId="61B08F9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39" w:type="dxa"/>
            <w:gridSpan w:val="2"/>
            <w:tcBorders>
              <w:top w:val="single" w:sz="4" w:space="0" w:color="auto"/>
              <w:left w:val="single" w:sz="4" w:space="0" w:color="auto"/>
            </w:tcBorders>
            <w:shd w:val="clear" w:color="auto" w:fill="000000" w:themeFill="text1"/>
            <w:vAlign w:val="center"/>
          </w:tcPr>
          <w:p w14:paraId="4D826AA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9" w:type="dxa"/>
            <w:gridSpan w:val="2"/>
            <w:tcBorders>
              <w:top w:val="single" w:sz="4" w:space="0" w:color="auto"/>
              <w:left w:val="single" w:sz="4" w:space="0" w:color="auto"/>
            </w:tcBorders>
            <w:shd w:val="clear" w:color="auto" w:fill="000000" w:themeFill="text1"/>
            <w:vAlign w:val="center"/>
          </w:tcPr>
          <w:p w14:paraId="1F4262B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72" w:type="dxa"/>
            <w:gridSpan w:val="3"/>
            <w:tcBorders>
              <w:top w:val="single" w:sz="4" w:space="0" w:color="auto"/>
              <w:left w:val="single" w:sz="4" w:space="0" w:color="auto"/>
            </w:tcBorders>
            <w:shd w:val="clear" w:color="auto" w:fill="000000" w:themeFill="text1"/>
            <w:vAlign w:val="center"/>
          </w:tcPr>
          <w:p w14:paraId="50D2868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17" w:type="dxa"/>
            <w:tcBorders>
              <w:top w:val="single" w:sz="4" w:space="0" w:color="auto"/>
              <w:left w:val="single" w:sz="4" w:space="0" w:color="auto"/>
            </w:tcBorders>
            <w:shd w:val="clear" w:color="auto" w:fill="000000" w:themeFill="text1"/>
            <w:vAlign w:val="center"/>
          </w:tcPr>
          <w:p w14:paraId="377F1C9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97" w:type="dxa"/>
            <w:gridSpan w:val="2"/>
            <w:tcBorders>
              <w:top w:val="single" w:sz="4" w:space="0" w:color="auto"/>
              <w:left w:val="single" w:sz="4" w:space="0" w:color="auto"/>
            </w:tcBorders>
            <w:shd w:val="clear" w:color="auto" w:fill="000000" w:themeFill="text1"/>
            <w:vAlign w:val="center"/>
          </w:tcPr>
          <w:p w14:paraId="2279A8C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2" w:type="dxa"/>
            <w:gridSpan w:val="2"/>
            <w:tcBorders>
              <w:top w:val="single" w:sz="4" w:space="0" w:color="auto"/>
              <w:left w:val="single" w:sz="4" w:space="0" w:color="auto"/>
            </w:tcBorders>
            <w:shd w:val="clear" w:color="auto" w:fill="000000" w:themeFill="text1"/>
            <w:vAlign w:val="center"/>
          </w:tcPr>
          <w:p w14:paraId="304B8EF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shd w:val="clear" w:color="auto" w:fill="000000" w:themeFill="text1"/>
            <w:vAlign w:val="center"/>
          </w:tcPr>
          <w:p w14:paraId="5DB7681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48" w:type="dxa"/>
            <w:tcBorders>
              <w:top w:val="single" w:sz="4" w:space="0" w:color="auto"/>
              <w:left w:val="single" w:sz="4" w:space="0" w:color="auto"/>
            </w:tcBorders>
            <w:shd w:val="clear" w:color="auto" w:fill="000000" w:themeFill="text1"/>
            <w:vAlign w:val="center"/>
          </w:tcPr>
          <w:p w14:paraId="6020876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shd w:val="clear" w:color="auto" w:fill="000000" w:themeFill="text1"/>
            <w:vAlign w:val="center"/>
          </w:tcPr>
          <w:p w14:paraId="5AF766D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shd w:val="clear" w:color="auto" w:fill="000000" w:themeFill="text1"/>
            <w:vAlign w:val="center"/>
          </w:tcPr>
          <w:p w14:paraId="6031199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shd w:val="clear" w:color="auto" w:fill="000000" w:themeFill="text1"/>
            <w:vAlign w:val="center"/>
          </w:tcPr>
          <w:p w14:paraId="56AF039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75" w:type="dxa"/>
            <w:gridSpan w:val="2"/>
            <w:tcBorders>
              <w:top w:val="single" w:sz="4" w:space="0" w:color="auto"/>
              <w:left w:val="single" w:sz="4" w:space="0" w:color="auto"/>
            </w:tcBorders>
            <w:shd w:val="clear" w:color="auto" w:fill="000000" w:themeFill="text1"/>
            <w:vAlign w:val="center"/>
          </w:tcPr>
          <w:p w14:paraId="1329232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8" w:type="dxa"/>
            <w:gridSpan w:val="2"/>
            <w:tcBorders>
              <w:top w:val="single" w:sz="4" w:space="0" w:color="auto"/>
              <w:left w:val="single" w:sz="4" w:space="0" w:color="auto"/>
            </w:tcBorders>
            <w:shd w:val="clear" w:color="auto" w:fill="000000" w:themeFill="text1"/>
            <w:vAlign w:val="center"/>
          </w:tcPr>
          <w:p w14:paraId="2C374A1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shd w:val="clear" w:color="auto" w:fill="000000" w:themeFill="text1"/>
            <w:vAlign w:val="center"/>
          </w:tcPr>
          <w:p w14:paraId="60223EE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5" w:type="dxa"/>
            <w:gridSpan w:val="2"/>
            <w:tcBorders>
              <w:top w:val="single" w:sz="4" w:space="0" w:color="auto"/>
              <w:left w:val="single" w:sz="4" w:space="0" w:color="auto"/>
            </w:tcBorders>
            <w:shd w:val="clear" w:color="auto" w:fill="000000" w:themeFill="text1"/>
            <w:vAlign w:val="center"/>
          </w:tcPr>
          <w:p w14:paraId="1CD4090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7" w:type="dxa"/>
            <w:tcBorders>
              <w:top w:val="single" w:sz="4" w:space="0" w:color="auto"/>
              <w:left w:val="single" w:sz="4" w:space="0" w:color="auto"/>
            </w:tcBorders>
            <w:shd w:val="clear" w:color="auto" w:fill="000000" w:themeFill="text1"/>
            <w:vAlign w:val="center"/>
          </w:tcPr>
          <w:p w14:paraId="0D69F9C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shd w:val="clear" w:color="auto" w:fill="000000" w:themeFill="text1"/>
            <w:vAlign w:val="center"/>
          </w:tcPr>
          <w:p w14:paraId="359F0FC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0" w:type="dxa"/>
            <w:gridSpan w:val="2"/>
            <w:tcBorders>
              <w:top w:val="single" w:sz="4" w:space="0" w:color="auto"/>
              <w:left w:val="single" w:sz="4" w:space="0" w:color="auto"/>
            </w:tcBorders>
            <w:shd w:val="clear" w:color="auto" w:fill="000000" w:themeFill="text1"/>
            <w:vAlign w:val="center"/>
          </w:tcPr>
          <w:p w14:paraId="322DBEC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shd w:val="clear" w:color="auto" w:fill="000000" w:themeFill="text1"/>
            <w:vAlign w:val="center"/>
          </w:tcPr>
          <w:p w14:paraId="1FFDB96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50" w:type="dxa"/>
            <w:gridSpan w:val="2"/>
            <w:tcBorders>
              <w:top w:val="single" w:sz="4" w:space="0" w:color="auto"/>
              <w:left w:val="single" w:sz="4" w:space="0" w:color="auto"/>
            </w:tcBorders>
            <w:shd w:val="clear" w:color="auto" w:fill="000000" w:themeFill="text1"/>
            <w:vAlign w:val="center"/>
          </w:tcPr>
          <w:p w14:paraId="63BF8D9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7" w:type="dxa"/>
            <w:gridSpan w:val="2"/>
            <w:tcBorders>
              <w:top w:val="single" w:sz="4" w:space="0" w:color="auto"/>
              <w:left w:val="single" w:sz="4" w:space="0" w:color="auto"/>
            </w:tcBorders>
            <w:shd w:val="clear" w:color="auto" w:fill="000000" w:themeFill="text1"/>
            <w:vAlign w:val="center"/>
          </w:tcPr>
          <w:p w14:paraId="46A7075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3"/>
            <w:tcBorders>
              <w:top w:val="single" w:sz="4" w:space="0" w:color="auto"/>
              <w:left w:val="single" w:sz="4" w:space="0" w:color="auto"/>
            </w:tcBorders>
            <w:shd w:val="clear" w:color="auto" w:fill="000000" w:themeFill="text1"/>
            <w:vAlign w:val="center"/>
          </w:tcPr>
          <w:p w14:paraId="10D22EC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2" w:type="dxa"/>
            <w:tcBorders>
              <w:top w:val="single" w:sz="4" w:space="0" w:color="auto"/>
              <w:left w:val="single" w:sz="4" w:space="0" w:color="auto"/>
            </w:tcBorders>
            <w:shd w:val="clear" w:color="auto" w:fill="000000" w:themeFill="text1"/>
            <w:vAlign w:val="center"/>
          </w:tcPr>
          <w:p w14:paraId="6A59B11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6" w:type="dxa"/>
            <w:gridSpan w:val="2"/>
            <w:tcBorders>
              <w:top w:val="single" w:sz="4" w:space="0" w:color="auto"/>
              <w:left w:val="single" w:sz="4" w:space="0" w:color="auto"/>
            </w:tcBorders>
            <w:shd w:val="clear" w:color="auto" w:fill="000000" w:themeFill="text1"/>
            <w:vAlign w:val="center"/>
          </w:tcPr>
          <w:p w14:paraId="0DEC3BB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1" w:type="dxa"/>
            <w:tcBorders>
              <w:top w:val="single" w:sz="4" w:space="0" w:color="auto"/>
              <w:left w:val="single" w:sz="4" w:space="0" w:color="auto"/>
            </w:tcBorders>
            <w:shd w:val="clear" w:color="auto" w:fill="000000" w:themeFill="text1"/>
            <w:vAlign w:val="center"/>
          </w:tcPr>
          <w:p w14:paraId="3ABBAC5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3"/>
            <w:tcBorders>
              <w:top w:val="single" w:sz="4" w:space="0" w:color="auto"/>
              <w:left w:val="single" w:sz="4" w:space="0" w:color="auto"/>
            </w:tcBorders>
            <w:shd w:val="clear" w:color="auto" w:fill="000000" w:themeFill="text1"/>
            <w:vAlign w:val="center"/>
          </w:tcPr>
          <w:p w14:paraId="4CCEEBF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2" w:type="dxa"/>
            <w:gridSpan w:val="2"/>
            <w:tcBorders>
              <w:top w:val="single" w:sz="4" w:space="0" w:color="auto"/>
              <w:left w:val="single" w:sz="4" w:space="0" w:color="auto"/>
            </w:tcBorders>
            <w:shd w:val="clear" w:color="auto" w:fill="000000" w:themeFill="text1"/>
            <w:vAlign w:val="center"/>
          </w:tcPr>
          <w:p w14:paraId="393FD16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78" w:type="dxa"/>
            <w:tcBorders>
              <w:top w:val="single" w:sz="4" w:space="0" w:color="auto"/>
              <w:left w:val="single" w:sz="4" w:space="0" w:color="auto"/>
              <w:right w:val="single" w:sz="4" w:space="0" w:color="auto"/>
            </w:tcBorders>
            <w:shd w:val="clear" w:color="auto" w:fill="000000" w:themeFill="text1"/>
            <w:vAlign w:val="center"/>
          </w:tcPr>
          <w:p w14:paraId="60503DD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0F015F53" w14:textId="77777777">
        <w:trPr>
          <w:trHeight w:val="173"/>
        </w:trPr>
        <w:tc>
          <w:tcPr>
            <w:tcW w:w="942" w:type="dxa"/>
            <w:tcBorders>
              <w:top w:val="single" w:sz="4" w:space="0" w:color="auto"/>
              <w:left w:val="single" w:sz="4" w:space="0" w:color="auto"/>
            </w:tcBorders>
            <w:tcMar>
              <w:left w:w="0" w:type="dxa"/>
            </w:tcMar>
            <w:vAlign w:val="center"/>
          </w:tcPr>
          <w:p w14:paraId="3617AD2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1</w:t>
            </w:r>
          </w:p>
        </w:tc>
        <w:tc>
          <w:tcPr>
            <w:tcW w:w="1798" w:type="dxa"/>
            <w:tcBorders>
              <w:top w:val="single" w:sz="4" w:space="0" w:color="auto"/>
              <w:left w:val="single" w:sz="4" w:space="0" w:color="auto"/>
            </w:tcBorders>
            <w:vAlign w:val="center"/>
          </w:tcPr>
          <w:p w14:paraId="33F157D3" w14:textId="6D9ED381" w:rsidR="006561BA" w:rsidRDefault="005B4ED6" w:rsidP="00952E6E">
            <w:pPr>
              <w:widowControl w:val="0"/>
              <w:shd w:val="clear" w:color="auto" w:fill="auto"/>
              <w:spacing w:after="0" w:line="240" w:lineRule="auto"/>
              <w:ind w:left="42"/>
              <w:jc w:val="left"/>
              <w:rPr>
                <w:rFonts w:ascii="Helvetica" w:eastAsia="Arial Unicode MS" w:hAnsi="Helvetica" w:cs="Helvetica"/>
                <w:color w:val="000000"/>
                <w:sz w:val="6"/>
                <w:szCs w:val="6"/>
              </w:rPr>
            </w:pPr>
            <w:r>
              <w:rPr>
                <w:rFonts w:ascii="Helvetica" w:hAnsi="Helvetica"/>
                <w:color w:val="383838"/>
                <w:sz w:val="6"/>
              </w:rPr>
              <w:t>Lån og forskudd, gjeldsinstrumenter og egenkapitalinstrumenter som ikke innehas for handelsformål, og som inngår i beregningen av GAR</w:t>
            </w:r>
          </w:p>
        </w:tc>
        <w:tc>
          <w:tcPr>
            <w:tcW w:w="395" w:type="dxa"/>
            <w:tcBorders>
              <w:top w:val="single" w:sz="4" w:space="0" w:color="auto"/>
              <w:left w:val="single" w:sz="4" w:space="0" w:color="auto"/>
            </w:tcBorders>
            <w:vAlign w:val="center"/>
          </w:tcPr>
          <w:p w14:paraId="4CC3117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56" w:type="dxa"/>
            <w:tcBorders>
              <w:top w:val="single" w:sz="4" w:space="0" w:color="auto"/>
              <w:left w:val="single" w:sz="4" w:space="0" w:color="auto"/>
            </w:tcBorders>
            <w:vAlign w:val="center"/>
          </w:tcPr>
          <w:p w14:paraId="7281FDE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2"/>
            <w:tcBorders>
              <w:top w:val="single" w:sz="4" w:space="0" w:color="auto"/>
              <w:left w:val="single" w:sz="4" w:space="0" w:color="auto"/>
            </w:tcBorders>
            <w:vAlign w:val="center"/>
          </w:tcPr>
          <w:p w14:paraId="7FF7B5C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39" w:type="dxa"/>
            <w:gridSpan w:val="2"/>
            <w:tcBorders>
              <w:top w:val="single" w:sz="4" w:space="0" w:color="auto"/>
              <w:left w:val="single" w:sz="4" w:space="0" w:color="auto"/>
            </w:tcBorders>
            <w:vAlign w:val="center"/>
          </w:tcPr>
          <w:p w14:paraId="5D0497B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9" w:type="dxa"/>
            <w:gridSpan w:val="2"/>
            <w:tcBorders>
              <w:top w:val="single" w:sz="4" w:space="0" w:color="auto"/>
              <w:left w:val="single" w:sz="4" w:space="0" w:color="auto"/>
            </w:tcBorders>
            <w:vAlign w:val="center"/>
          </w:tcPr>
          <w:p w14:paraId="143DF36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72" w:type="dxa"/>
            <w:gridSpan w:val="3"/>
            <w:tcBorders>
              <w:top w:val="single" w:sz="4" w:space="0" w:color="auto"/>
              <w:left w:val="single" w:sz="4" w:space="0" w:color="auto"/>
            </w:tcBorders>
            <w:vAlign w:val="center"/>
          </w:tcPr>
          <w:p w14:paraId="27B02DD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17" w:type="dxa"/>
            <w:tcBorders>
              <w:top w:val="single" w:sz="4" w:space="0" w:color="auto"/>
              <w:left w:val="single" w:sz="4" w:space="0" w:color="auto"/>
            </w:tcBorders>
            <w:vAlign w:val="center"/>
          </w:tcPr>
          <w:p w14:paraId="2CDB15A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97" w:type="dxa"/>
            <w:gridSpan w:val="2"/>
            <w:tcBorders>
              <w:top w:val="single" w:sz="4" w:space="0" w:color="auto"/>
              <w:left w:val="single" w:sz="4" w:space="0" w:color="auto"/>
            </w:tcBorders>
            <w:vAlign w:val="center"/>
          </w:tcPr>
          <w:p w14:paraId="6BDB6AC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2" w:type="dxa"/>
            <w:gridSpan w:val="2"/>
            <w:tcBorders>
              <w:top w:val="single" w:sz="4" w:space="0" w:color="auto"/>
              <w:left w:val="single" w:sz="4" w:space="0" w:color="auto"/>
            </w:tcBorders>
            <w:vAlign w:val="center"/>
          </w:tcPr>
          <w:p w14:paraId="5B9B774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763CDBA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48" w:type="dxa"/>
            <w:tcBorders>
              <w:top w:val="single" w:sz="4" w:space="0" w:color="auto"/>
              <w:left w:val="single" w:sz="4" w:space="0" w:color="auto"/>
            </w:tcBorders>
            <w:vAlign w:val="center"/>
          </w:tcPr>
          <w:p w14:paraId="17C37A3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4134AD8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1CF2FA0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306F99E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75" w:type="dxa"/>
            <w:gridSpan w:val="2"/>
            <w:tcBorders>
              <w:top w:val="single" w:sz="4" w:space="0" w:color="auto"/>
              <w:left w:val="single" w:sz="4" w:space="0" w:color="auto"/>
            </w:tcBorders>
            <w:vAlign w:val="center"/>
          </w:tcPr>
          <w:p w14:paraId="4470940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8" w:type="dxa"/>
            <w:gridSpan w:val="2"/>
            <w:tcBorders>
              <w:top w:val="single" w:sz="4" w:space="0" w:color="auto"/>
              <w:left w:val="single" w:sz="4" w:space="0" w:color="auto"/>
            </w:tcBorders>
            <w:vAlign w:val="center"/>
          </w:tcPr>
          <w:p w14:paraId="2DEAB6B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207067D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5" w:type="dxa"/>
            <w:gridSpan w:val="2"/>
            <w:tcBorders>
              <w:top w:val="single" w:sz="4" w:space="0" w:color="auto"/>
              <w:left w:val="single" w:sz="4" w:space="0" w:color="auto"/>
            </w:tcBorders>
            <w:vAlign w:val="center"/>
          </w:tcPr>
          <w:p w14:paraId="134C896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7" w:type="dxa"/>
            <w:tcBorders>
              <w:top w:val="single" w:sz="4" w:space="0" w:color="auto"/>
              <w:left w:val="single" w:sz="4" w:space="0" w:color="auto"/>
            </w:tcBorders>
            <w:vAlign w:val="center"/>
          </w:tcPr>
          <w:p w14:paraId="7A3F4C1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6957FAB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0" w:type="dxa"/>
            <w:gridSpan w:val="2"/>
            <w:tcBorders>
              <w:top w:val="single" w:sz="4" w:space="0" w:color="auto"/>
              <w:left w:val="single" w:sz="4" w:space="0" w:color="auto"/>
            </w:tcBorders>
            <w:vAlign w:val="center"/>
          </w:tcPr>
          <w:p w14:paraId="6F3ABE0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3B9A356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50" w:type="dxa"/>
            <w:gridSpan w:val="2"/>
            <w:tcBorders>
              <w:top w:val="single" w:sz="4" w:space="0" w:color="auto"/>
              <w:left w:val="single" w:sz="4" w:space="0" w:color="auto"/>
            </w:tcBorders>
            <w:vAlign w:val="center"/>
          </w:tcPr>
          <w:p w14:paraId="25FF258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7" w:type="dxa"/>
            <w:gridSpan w:val="2"/>
            <w:tcBorders>
              <w:top w:val="single" w:sz="4" w:space="0" w:color="auto"/>
              <w:left w:val="single" w:sz="4" w:space="0" w:color="auto"/>
            </w:tcBorders>
            <w:vAlign w:val="center"/>
          </w:tcPr>
          <w:p w14:paraId="4850857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3"/>
            <w:tcBorders>
              <w:top w:val="single" w:sz="4" w:space="0" w:color="auto"/>
              <w:left w:val="single" w:sz="4" w:space="0" w:color="auto"/>
            </w:tcBorders>
            <w:vAlign w:val="center"/>
          </w:tcPr>
          <w:p w14:paraId="541CE7A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2" w:type="dxa"/>
            <w:tcBorders>
              <w:top w:val="single" w:sz="4" w:space="0" w:color="auto"/>
              <w:left w:val="single" w:sz="4" w:space="0" w:color="auto"/>
            </w:tcBorders>
            <w:vAlign w:val="center"/>
          </w:tcPr>
          <w:p w14:paraId="73EF6E5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6" w:type="dxa"/>
            <w:gridSpan w:val="2"/>
            <w:tcBorders>
              <w:top w:val="single" w:sz="4" w:space="0" w:color="auto"/>
              <w:left w:val="single" w:sz="4" w:space="0" w:color="auto"/>
            </w:tcBorders>
            <w:vAlign w:val="center"/>
          </w:tcPr>
          <w:p w14:paraId="436A0CA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1" w:type="dxa"/>
            <w:tcBorders>
              <w:top w:val="single" w:sz="4" w:space="0" w:color="auto"/>
              <w:left w:val="single" w:sz="4" w:space="0" w:color="auto"/>
            </w:tcBorders>
            <w:vAlign w:val="center"/>
          </w:tcPr>
          <w:p w14:paraId="567429E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3"/>
            <w:tcBorders>
              <w:top w:val="single" w:sz="4" w:space="0" w:color="auto"/>
              <w:left w:val="single" w:sz="4" w:space="0" w:color="auto"/>
            </w:tcBorders>
            <w:vAlign w:val="center"/>
          </w:tcPr>
          <w:p w14:paraId="417938F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2" w:type="dxa"/>
            <w:gridSpan w:val="2"/>
            <w:tcBorders>
              <w:top w:val="single" w:sz="4" w:space="0" w:color="auto"/>
              <w:left w:val="single" w:sz="4" w:space="0" w:color="auto"/>
            </w:tcBorders>
            <w:vAlign w:val="center"/>
          </w:tcPr>
          <w:p w14:paraId="628B740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78" w:type="dxa"/>
            <w:tcBorders>
              <w:top w:val="single" w:sz="4" w:space="0" w:color="auto"/>
              <w:left w:val="single" w:sz="4" w:space="0" w:color="auto"/>
              <w:right w:val="single" w:sz="4" w:space="0" w:color="auto"/>
            </w:tcBorders>
            <w:vAlign w:val="center"/>
          </w:tcPr>
          <w:p w14:paraId="1AF047D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7264E97F" w14:textId="77777777">
        <w:trPr>
          <w:trHeight w:val="86"/>
        </w:trPr>
        <w:tc>
          <w:tcPr>
            <w:tcW w:w="942" w:type="dxa"/>
            <w:tcBorders>
              <w:top w:val="single" w:sz="4" w:space="0" w:color="auto"/>
              <w:left w:val="single" w:sz="4" w:space="0" w:color="auto"/>
            </w:tcBorders>
            <w:tcMar>
              <w:left w:w="0" w:type="dxa"/>
            </w:tcMar>
            <w:vAlign w:val="center"/>
          </w:tcPr>
          <w:p w14:paraId="42B2A08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w:t>
            </w:r>
          </w:p>
        </w:tc>
        <w:tc>
          <w:tcPr>
            <w:tcW w:w="1798" w:type="dxa"/>
            <w:tcBorders>
              <w:top w:val="single" w:sz="4" w:space="0" w:color="auto"/>
              <w:left w:val="single" w:sz="4" w:space="0" w:color="auto"/>
            </w:tcBorders>
            <w:vAlign w:val="center"/>
          </w:tcPr>
          <w:p w14:paraId="59C66AA2" w14:textId="77777777" w:rsidR="006561BA" w:rsidRDefault="005B4ED6">
            <w:pPr>
              <w:widowControl w:val="0"/>
              <w:shd w:val="clear" w:color="auto" w:fill="auto"/>
              <w:spacing w:after="0" w:line="240" w:lineRule="auto"/>
              <w:ind w:left="102"/>
              <w:jc w:val="left"/>
              <w:rPr>
                <w:rFonts w:ascii="Helvetica" w:eastAsia="Arial Unicode MS" w:hAnsi="Helvetica" w:cs="Helvetica"/>
                <w:b/>
                <w:color w:val="000000"/>
                <w:sz w:val="6"/>
                <w:szCs w:val="6"/>
              </w:rPr>
            </w:pPr>
            <w:r>
              <w:rPr>
                <w:rFonts w:ascii="Helvetica" w:hAnsi="Helvetica"/>
                <w:b/>
                <w:color w:val="000000"/>
                <w:sz w:val="6"/>
              </w:rPr>
              <w:t>Finansforetak</w:t>
            </w:r>
          </w:p>
        </w:tc>
        <w:tc>
          <w:tcPr>
            <w:tcW w:w="395" w:type="dxa"/>
            <w:tcBorders>
              <w:top w:val="single" w:sz="4" w:space="0" w:color="auto"/>
              <w:left w:val="single" w:sz="4" w:space="0" w:color="auto"/>
            </w:tcBorders>
            <w:vAlign w:val="center"/>
          </w:tcPr>
          <w:p w14:paraId="2BF5BD2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0D65E45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18F4FA4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vAlign w:val="center"/>
          </w:tcPr>
          <w:p w14:paraId="093148A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42BC517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4D8DD0D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5491B20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746896C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vAlign w:val="center"/>
          </w:tcPr>
          <w:p w14:paraId="6B6D4C5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5B17D0E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3BB6C3A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6D7DAAC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090E43F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0352AF0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1610836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128D7ED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594854C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46E9192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7775E1B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0061752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vAlign w:val="center"/>
          </w:tcPr>
          <w:p w14:paraId="35D78E2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2975C1E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259D226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183C73B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vAlign w:val="center"/>
          </w:tcPr>
          <w:p w14:paraId="6230588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2" w:type="dxa"/>
            <w:tcBorders>
              <w:top w:val="single" w:sz="4" w:space="0" w:color="auto"/>
              <w:left w:val="single" w:sz="4" w:space="0" w:color="auto"/>
            </w:tcBorders>
            <w:vAlign w:val="center"/>
          </w:tcPr>
          <w:p w14:paraId="73C1D29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gridSpan w:val="2"/>
            <w:tcBorders>
              <w:top w:val="single" w:sz="4" w:space="0" w:color="auto"/>
              <w:left w:val="single" w:sz="4" w:space="0" w:color="auto"/>
            </w:tcBorders>
            <w:vAlign w:val="center"/>
          </w:tcPr>
          <w:p w14:paraId="6DB9D67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0D6619D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vAlign w:val="center"/>
          </w:tcPr>
          <w:p w14:paraId="20FAB31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2"/>
            <w:tcBorders>
              <w:top w:val="single" w:sz="4" w:space="0" w:color="auto"/>
              <w:left w:val="single" w:sz="4" w:space="0" w:color="auto"/>
            </w:tcBorders>
            <w:vAlign w:val="center"/>
          </w:tcPr>
          <w:p w14:paraId="4CB431B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37E54A6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3C9EACF5" w14:textId="77777777">
        <w:trPr>
          <w:trHeight w:val="86"/>
        </w:trPr>
        <w:tc>
          <w:tcPr>
            <w:tcW w:w="942" w:type="dxa"/>
            <w:tcBorders>
              <w:top w:val="single" w:sz="4" w:space="0" w:color="auto"/>
              <w:left w:val="single" w:sz="4" w:space="0" w:color="auto"/>
            </w:tcBorders>
            <w:tcMar>
              <w:left w:w="0" w:type="dxa"/>
            </w:tcMar>
            <w:vAlign w:val="center"/>
          </w:tcPr>
          <w:p w14:paraId="245EAC4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3</w:t>
            </w:r>
          </w:p>
        </w:tc>
        <w:tc>
          <w:tcPr>
            <w:tcW w:w="1798" w:type="dxa"/>
            <w:tcBorders>
              <w:top w:val="single" w:sz="4" w:space="0" w:color="auto"/>
              <w:left w:val="single" w:sz="4" w:space="0" w:color="auto"/>
            </w:tcBorders>
            <w:vAlign w:val="center"/>
          </w:tcPr>
          <w:p w14:paraId="5F047629" w14:textId="77777777" w:rsidR="006561BA" w:rsidRDefault="005B4ED6">
            <w:pPr>
              <w:widowControl w:val="0"/>
              <w:shd w:val="clear" w:color="auto" w:fill="auto"/>
              <w:spacing w:after="0" w:line="240" w:lineRule="auto"/>
              <w:ind w:left="138"/>
              <w:jc w:val="left"/>
              <w:rPr>
                <w:rFonts w:ascii="Helvetica" w:eastAsia="Arial Unicode MS" w:hAnsi="Helvetica" w:cs="Helvetica"/>
                <w:color w:val="000000"/>
                <w:sz w:val="6"/>
                <w:szCs w:val="6"/>
              </w:rPr>
            </w:pPr>
            <w:r>
              <w:rPr>
                <w:rFonts w:ascii="Helvetica" w:hAnsi="Helvetica"/>
                <w:color w:val="383838"/>
                <w:sz w:val="6"/>
              </w:rPr>
              <w:t>Kredittinstitusjoner</w:t>
            </w:r>
          </w:p>
        </w:tc>
        <w:tc>
          <w:tcPr>
            <w:tcW w:w="395" w:type="dxa"/>
            <w:tcBorders>
              <w:top w:val="single" w:sz="4" w:space="0" w:color="auto"/>
              <w:left w:val="single" w:sz="4" w:space="0" w:color="auto"/>
            </w:tcBorders>
            <w:vAlign w:val="center"/>
          </w:tcPr>
          <w:p w14:paraId="4935F69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36419D5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0E3E5CC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vAlign w:val="center"/>
          </w:tcPr>
          <w:p w14:paraId="0979813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155F667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07EB89C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72114BE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1C99574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vAlign w:val="center"/>
          </w:tcPr>
          <w:p w14:paraId="41B6E6F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20C82C5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3A5AA4F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4277152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6D747F2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293F7F5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0404397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311C76E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2C0B118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3FAC410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4E48AE3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554F948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vAlign w:val="center"/>
          </w:tcPr>
          <w:p w14:paraId="6901A2C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7ECEC52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5D6E0B4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61B2D5B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vAlign w:val="center"/>
          </w:tcPr>
          <w:p w14:paraId="24BCC4A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2" w:type="dxa"/>
            <w:tcBorders>
              <w:top w:val="single" w:sz="4" w:space="0" w:color="auto"/>
              <w:left w:val="single" w:sz="4" w:space="0" w:color="auto"/>
            </w:tcBorders>
            <w:vAlign w:val="center"/>
          </w:tcPr>
          <w:p w14:paraId="78D16DA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gridSpan w:val="2"/>
            <w:tcBorders>
              <w:top w:val="single" w:sz="4" w:space="0" w:color="auto"/>
              <w:left w:val="single" w:sz="4" w:space="0" w:color="auto"/>
            </w:tcBorders>
            <w:vAlign w:val="center"/>
          </w:tcPr>
          <w:p w14:paraId="1569370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006FDAD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vAlign w:val="center"/>
          </w:tcPr>
          <w:p w14:paraId="5E2B036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2"/>
            <w:tcBorders>
              <w:top w:val="single" w:sz="4" w:space="0" w:color="auto"/>
              <w:left w:val="single" w:sz="4" w:space="0" w:color="auto"/>
            </w:tcBorders>
            <w:vAlign w:val="center"/>
          </w:tcPr>
          <w:p w14:paraId="332F7BF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3FB2777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5937C5F9" w14:textId="77777777">
        <w:trPr>
          <w:trHeight w:val="83"/>
        </w:trPr>
        <w:tc>
          <w:tcPr>
            <w:tcW w:w="942" w:type="dxa"/>
            <w:tcBorders>
              <w:top w:val="single" w:sz="4" w:space="0" w:color="auto"/>
              <w:left w:val="single" w:sz="4" w:space="0" w:color="auto"/>
            </w:tcBorders>
            <w:tcMar>
              <w:left w:w="0" w:type="dxa"/>
            </w:tcMar>
            <w:vAlign w:val="center"/>
          </w:tcPr>
          <w:p w14:paraId="2E5E15D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4</w:t>
            </w:r>
          </w:p>
        </w:tc>
        <w:tc>
          <w:tcPr>
            <w:tcW w:w="1798" w:type="dxa"/>
            <w:tcBorders>
              <w:top w:val="single" w:sz="4" w:space="0" w:color="auto"/>
              <w:left w:val="single" w:sz="4" w:space="0" w:color="auto"/>
            </w:tcBorders>
            <w:vAlign w:val="center"/>
          </w:tcPr>
          <w:p w14:paraId="6A787C9F"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Lån og forskudd</w:t>
            </w:r>
          </w:p>
        </w:tc>
        <w:tc>
          <w:tcPr>
            <w:tcW w:w="395" w:type="dxa"/>
            <w:tcBorders>
              <w:top w:val="single" w:sz="4" w:space="0" w:color="auto"/>
              <w:left w:val="single" w:sz="4" w:space="0" w:color="auto"/>
            </w:tcBorders>
            <w:vAlign w:val="center"/>
          </w:tcPr>
          <w:p w14:paraId="2B51BD5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79D9D42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34ACA75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vAlign w:val="center"/>
          </w:tcPr>
          <w:p w14:paraId="5E9BD5D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1B66BBB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4F3D5BC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7FF7203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469B8A9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vAlign w:val="center"/>
          </w:tcPr>
          <w:p w14:paraId="581F932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4E5CF4A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5F23121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5F7B0C7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0E9A564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51ED815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1F88D23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5EF60E8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20983CD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0B63D2B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0F98581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6277D2A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vAlign w:val="center"/>
          </w:tcPr>
          <w:p w14:paraId="29DA27C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313459C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4064FD6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7D598D7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vAlign w:val="center"/>
          </w:tcPr>
          <w:p w14:paraId="6F95DC0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2" w:type="dxa"/>
            <w:tcBorders>
              <w:top w:val="single" w:sz="4" w:space="0" w:color="auto"/>
              <w:left w:val="single" w:sz="4" w:space="0" w:color="auto"/>
            </w:tcBorders>
            <w:vAlign w:val="center"/>
          </w:tcPr>
          <w:p w14:paraId="6327273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gridSpan w:val="2"/>
            <w:tcBorders>
              <w:top w:val="single" w:sz="4" w:space="0" w:color="auto"/>
              <w:left w:val="single" w:sz="4" w:space="0" w:color="auto"/>
            </w:tcBorders>
            <w:vAlign w:val="center"/>
          </w:tcPr>
          <w:p w14:paraId="7017B8F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591F31E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vAlign w:val="center"/>
          </w:tcPr>
          <w:p w14:paraId="1CCAF71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2"/>
            <w:tcBorders>
              <w:top w:val="single" w:sz="4" w:space="0" w:color="auto"/>
              <w:left w:val="single" w:sz="4" w:space="0" w:color="auto"/>
            </w:tcBorders>
            <w:vAlign w:val="center"/>
          </w:tcPr>
          <w:p w14:paraId="3175E45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12C636F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2B3348F2" w14:textId="77777777">
        <w:trPr>
          <w:trHeight w:val="83"/>
        </w:trPr>
        <w:tc>
          <w:tcPr>
            <w:tcW w:w="942" w:type="dxa"/>
            <w:tcBorders>
              <w:top w:val="single" w:sz="4" w:space="0" w:color="auto"/>
              <w:left w:val="single" w:sz="4" w:space="0" w:color="auto"/>
            </w:tcBorders>
            <w:tcMar>
              <w:left w:w="0" w:type="dxa"/>
            </w:tcMar>
            <w:vAlign w:val="center"/>
          </w:tcPr>
          <w:p w14:paraId="4BB2C14A"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5</w:t>
            </w:r>
          </w:p>
        </w:tc>
        <w:tc>
          <w:tcPr>
            <w:tcW w:w="1798" w:type="dxa"/>
            <w:tcBorders>
              <w:top w:val="single" w:sz="4" w:space="0" w:color="auto"/>
              <w:left w:val="single" w:sz="4" w:space="0" w:color="auto"/>
            </w:tcBorders>
            <w:vAlign w:val="center"/>
          </w:tcPr>
          <w:p w14:paraId="23AE19F0"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Gjeldsinstrumenter, herunder bruk av proveny</w:t>
            </w:r>
          </w:p>
        </w:tc>
        <w:tc>
          <w:tcPr>
            <w:tcW w:w="395" w:type="dxa"/>
            <w:tcBorders>
              <w:top w:val="single" w:sz="4" w:space="0" w:color="auto"/>
              <w:left w:val="single" w:sz="4" w:space="0" w:color="auto"/>
            </w:tcBorders>
            <w:vAlign w:val="center"/>
          </w:tcPr>
          <w:p w14:paraId="6925CEC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56" w:type="dxa"/>
            <w:tcBorders>
              <w:top w:val="single" w:sz="4" w:space="0" w:color="auto"/>
              <w:left w:val="single" w:sz="4" w:space="0" w:color="auto"/>
            </w:tcBorders>
            <w:vAlign w:val="center"/>
          </w:tcPr>
          <w:p w14:paraId="6A7B544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2"/>
            <w:tcBorders>
              <w:top w:val="single" w:sz="4" w:space="0" w:color="auto"/>
              <w:left w:val="single" w:sz="4" w:space="0" w:color="auto"/>
            </w:tcBorders>
            <w:vAlign w:val="center"/>
          </w:tcPr>
          <w:p w14:paraId="185E194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39" w:type="dxa"/>
            <w:gridSpan w:val="2"/>
            <w:tcBorders>
              <w:top w:val="single" w:sz="4" w:space="0" w:color="auto"/>
              <w:left w:val="single" w:sz="4" w:space="0" w:color="auto"/>
            </w:tcBorders>
            <w:vAlign w:val="center"/>
          </w:tcPr>
          <w:p w14:paraId="6CFC12E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9" w:type="dxa"/>
            <w:gridSpan w:val="2"/>
            <w:tcBorders>
              <w:top w:val="single" w:sz="4" w:space="0" w:color="auto"/>
              <w:left w:val="single" w:sz="4" w:space="0" w:color="auto"/>
            </w:tcBorders>
            <w:vAlign w:val="center"/>
          </w:tcPr>
          <w:p w14:paraId="1D6D1F0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72" w:type="dxa"/>
            <w:gridSpan w:val="3"/>
            <w:tcBorders>
              <w:top w:val="single" w:sz="4" w:space="0" w:color="auto"/>
              <w:left w:val="single" w:sz="4" w:space="0" w:color="auto"/>
            </w:tcBorders>
            <w:vAlign w:val="center"/>
          </w:tcPr>
          <w:p w14:paraId="7E4C088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17" w:type="dxa"/>
            <w:tcBorders>
              <w:top w:val="single" w:sz="4" w:space="0" w:color="auto"/>
              <w:left w:val="single" w:sz="4" w:space="0" w:color="auto"/>
            </w:tcBorders>
            <w:vAlign w:val="center"/>
          </w:tcPr>
          <w:p w14:paraId="45F15EE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97" w:type="dxa"/>
            <w:gridSpan w:val="2"/>
            <w:tcBorders>
              <w:top w:val="single" w:sz="4" w:space="0" w:color="auto"/>
              <w:left w:val="single" w:sz="4" w:space="0" w:color="auto"/>
            </w:tcBorders>
            <w:vAlign w:val="center"/>
          </w:tcPr>
          <w:p w14:paraId="57D338B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2" w:type="dxa"/>
            <w:gridSpan w:val="2"/>
            <w:tcBorders>
              <w:top w:val="single" w:sz="4" w:space="0" w:color="auto"/>
              <w:left w:val="single" w:sz="4" w:space="0" w:color="auto"/>
            </w:tcBorders>
            <w:vAlign w:val="center"/>
          </w:tcPr>
          <w:p w14:paraId="5D3361B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17380A1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48" w:type="dxa"/>
            <w:tcBorders>
              <w:top w:val="single" w:sz="4" w:space="0" w:color="auto"/>
              <w:left w:val="single" w:sz="4" w:space="0" w:color="auto"/>
            </w:tcBorders>
            <w:vAlign w:val="center"/>
          </w:tcPr>
          <w:p w14:paraId="5BE7C3B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654BEF2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2D22F42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30FC4F9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75" w:type="dxa"/>
            <w:gridSpan w:val="2"/>
            <w:tcBorders>
              <w:top w:val="single" w:sz="4" w:space="0" w:color="auto"/>
              <w:left w:val="single" w:sz="4" w:space="0" w:color="auto"/>
            </w:tcBorders>
            <w:vAlign w:val="center"/>
          </w:tcPr>
          <w:p w14:paraId="5A86E14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8" w:type="dxa"/>
            <w:gridSpan w:val="2"/>
            <w:tcBorders>
              <w:top w:val="single" w:sz="4" w:space="0" w:color="auto"/>
              <w:left w:val="single" w:sz="4" w:space="0" w:color="auto"/>
            </w:tcBorders>
            <w:vAlign w:val="center"/>
          </w:tcPr>
          <w:p w14:paraId="037E015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1406538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5" w:type="dxa"/>
            <w:gridSpan w:val="2"/>
            <w:tcBorders>
              <w:top w:val="single" w:sz="4" w:space="0" w:color="auto"/>
              <w:left w:val="single" w:sz="4" w:space="0" w:color="auto"/>
            </w:tcBorders>
            <w:vAlign w:val="center"/>
          </w:tcPr>
          <w:p w14:paraId="51C0261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7" w:type="dxa"/>
            <w:tcBorders>
              <w:top w:val="single" w:sz="4" w:space="0" w:color="auto"/>
              <w:left w:val="single" w:sz="4" w:space="0" w:color="auto"/>
            </w:tcBorders>
            <w:vAlign w:val="center"/>
          </w:tcPr>
          <w:p w14:paraId="5382CA8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5B9F718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0" w:type="dxa"/>
            <w:gridSpan w:val="2"/>
            <w:tcBorders>
              <w:top w:val="single" w:sz="4" w:space="0" w:color="auto"/>
              <w:left w:val="single" w:sz="4" w:space="0" w:color="auto"/>
            </w:tcBorders>
            <w:vAlign w:val="center"/>
          </w:tcPr>
          <w:p w14:paraId="0ED350D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5BD1FBA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50" w:type="dxa"/>
            <w:gridSpan w:val="2"/>
            <w:tcBorders>
              <w:top w:val="single" w:sz="4" w:space="0" w:color="auto"/>
              <w:left w:val="single" w:sz="4" w:space="0" w:color="auto"/>
            </w:tcBorders>
            <w:vAlign w:val="center"/>
          </w:tcPr>
          <w:p w14:paraId="21B15AC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7" w:type="dxa"/>
            <w:gridSpan w:val="2"/>
            <w:tcBorders>
              <w:top w:val="single" w:sz="4" w:space="0" w:color="auto"/>
              <w:left w:val="single" w:sz="4" w:space="0" w:color="auto"/>
            </w:tcBorders>
            <w:vAlign w:val="center"/>
          </w:tcPr>
          <w:p w14:paraId="2BF3E42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3"/>
            <w:tcBorders>
              <w:top w:val="single" w:sz="4" w:space="0" w:color="auto"/>
              <w:left w:val="single" w:sz="4" w:space="0" w:color="auto"/>
            </w:tcBorders>
            <w:vAlign w:val="center"/>
          </w:tcPr>
          <w:p w14:paraId="4684629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2" w:type="dxa"/>
            <w:tcBorders>
              <w:top w:val="single" w:sz="4" w:space="0" w:color="auto"/>
              <w:left w:val="single" w:sz="4" w:space="0" w:color="auto"/>
            </w:tcBorders>
            <w:vAlign w:val="center"/>
          </w:tcPr>
          <w:p w14:paraId="5FC6299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6" w:type="dxa"/>
            <w:gridSpan w:val="2"/>
            <w:tcBorders>
              <w:top w:val="single" w:sz="4" w:space="0" w:color="auto"/>
              <w:left w:val="single" w:sz="4" w:space="0" w:color="auto"/>
            </w:tcBorders>
            <w:vAlign w:val="center"/>
          </w:tcPr>
          <w:p w14:paraId="5035982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1" w:type="dxa"/>
            <w:tcBorders>
              <w:top w:val="single" w:sz="4" w:space="0" w:color="auto"/>
              <w:left w:val="single" w:sz="4" w:space="0" w:color="auto"/>
            </w:tcBorders>
            <w:vAlign w:val="center"/>
          </w:tcPr>
          <w:p w14:paraId="331B39B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3"/>
            <w:tcBorders>
              <w:top w:val="single" w:sz="4" w:space="0" w:color="auto"/>
              <w:left w:val="single" w:sz="4" w:space="0" w:color="auto"/>
            </w:tcBorders>
            <w:vAlign w:val="center"/>
          </w:tcPr>
          <w:p w14:paraId="368296C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2" w:type="dxa"/>
            <w:gridSpan w:val="2"/>
            <w:tcBorders>
              <w:top w:val="single" w:sz="4" w:space="0" w:color="auto"/>
              <w:left w:val="single" w:sz="4" w:space="0" w:color="auto"/>
            </w:tcBorders>
            <w:vAlign w:val="center"/>
          </w:tcPr>
          <w:p w14:paraId="4ADFDE1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78" w:type="dxa"/>
            <w:tcBorders>
              <w:top w:val="single" w:sz="4" w:space="0" w:color="auto"/>
              <w:left w:val="single" w:sz="4" w:space="0" w:color="auto"/>
              <w:right w:val="single" w:sz="4" w:space="0" w:color="auto"/>
            </w:tcBorders>
            <w:vAlign w:val="center"/>
          </w:tcPr>
          <w:p w14:paraId="0958B56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0F9EA169" w14:textId="77777777">
        <w:trPr>
          <w:trHeight w:val="86"/>
        </w:trPr>
        <w:tc>
          <w:tcPr>
            <w:tcW w:w="942" w:type="dxa"/>
            <w:tcBorders>
              <w:top w:val="single" w:sz="4" w:space="0" w:color="auto"/>
              <w:left w:val="single" w:sz="4" w:space="0" w:color="auto"/>
            </w:tcBorders>
            <w:tcMar>
              <w:left w:w="0" w:type="dxa"/>
            </w:tcMar>
            <w:vAlign w:val="center"/>
          </w:tcPr>
          <w:p w14:paraId="6982254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6</w:t>
            </w:r>
          </w:p>
        </w:tc>
        <w:tc>
          <w:tcPr>
            <w:tcW w:w="1798" w:type="dxa"/>
            <w:tcBorders>
              <w:top w:val="single" w:sz="4" w:space="0" w:color="auto"/>
              <w:left w:val="single" w:sz="4" w:space="0" w:color="auto"/>
            </w:tcBorders>
            <w:vAlign w:val="center"/>
          </w:tcPr>
          <w:p w14:paraId="40DE26C9"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Egenkapitalinstrumenter</w:t>
            </w:r>
          </w:p>
        </w:tc>
        <w:tc>
          <w:tcPr>
            <w:tcW w:w="395" w:type="dxa"/>
            <w:tcBorders>
              <w:top w:val="single" w:sz="4" w:space="0" w:color="auto"/>
              <w:left w:val="single" w:sz="4" w:space="0" w:color="auto"/>
            </w:tcBorders>
            <w:vAlign w:val="center"/>
          </w:tcPr>
          <w:p w14:paraId="2582B3C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2236B89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2853A17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shd w:val="clear" w:color="auto" w:fill="000000"/>
            <w:vAlign w:val="center"/>
          </w:tcPr>
          <w:p w14:paraId="2B671A3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2D64A53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0922F98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1DCBCC5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2E6B221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shd w:val="clear" w:color="auto" w:fill="000000"/>
            <w:vAlign w:val="center"/>
          </w:tcPr>
          <w:p w14:paraId="5F068E5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198F60D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2C84068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5FFA653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000000"/>
            <w:vAlign w:val="center"/>
          </w:tcPr>
          <w:p w14:paraId="240AE85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517F61B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1ED5623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7B2651B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000000"/>
            <w:vAlign w:val="center"/>
          </w:tcPr>
          <w:p w14:paraId="0819C2F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5F59E76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1710556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68A9469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shd w:val="clear" w:color="auto" w:fill="000000"/>
            <w:vAlign w:val="center"/>
          </w:tcPr>
          <w:p w14:paraId="410586C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0C0FCF5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55930B8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052E5E1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shd w:val="clear" w:color="auto" w:fill="000000"/>
            <w:vAlign w:val="center"/>
          </w:tcPr>
          <w:p w14:paraId="5EDB56B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2" w:type="dxa"/>
            <w:tcBorders>
              <w:top w:val="single" w:sz="4" w:space="0" w:color="auto"/>
              <w:left w:val="single" w:sz="4" w:space="0" w:color="auto"/>
            </w:tcBorders>
            <w:vAlign w:val="center"/>
          </w:tcPr>
          <w:p w14:paraId="1F9B831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gridSpan w:val="2"/>
            <w:tcBorders>
              <w:top w:val="single" w:sz="4" w:space="0" w:color="auto"/>
              <w:left w:val="single" w:sz="4" w:space="0" w:color="auto"/>
            </w:tcBorders>
            <w:vAlign w:val="center"/>
          </w:tcPr>
          <w:p w14:paraId="2C0057C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2433578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shd w:val="clear" w:color="auto" w:fill="000000"/>
            <w:vAlign w:val="center"/>
          </w:tcPr>
          <w:p w14:paraId="60B1129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2"/>
            <w:tcBorders>
              <w:top w:val="single" w:sz="4" w:space="0" w:color="auto"/>
              <w:left w:val="single" w:sz="4" w:space="0" w:color="auto"/>
            </w:tcBorders>
            <w:vAlign w:val="center"/>
          </w:tcPr>
          <w:p w14:paraId="0423B23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687946D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1E5DE57F" w14:textId="77777777">
        <w:trPr>
          <w:trHeight w:val="90"/>
        </w:trPr>
        <w:tc>
          <w:tcPr>
            <w:tcW w:w="942" w:type="dxa"/>
            <w:tcBorders>
              <w:top w:val="single" w:sz="4" w:space="0" w:color="auto"/>
              <w:left w:val="single" w:sz="4" w:space="0" w:color="auto"/>
            </w:tcBorders>
            <w:tcMar>
              <w:left w:w="0" w:type="dxa"/>
            </w:tcMar>
            <w:vAlign w:val="center"/>
          </w:tcPr>
          <w:p w14:paraId="53A2F8A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7</w:t>
            </w:r>
          </w:p>
        </w:tc>
        <w:tc>
          <w:tcPr>
            <w:tcW w:w="1798" w:type="dxa"/>
            <w:tcBorders>
              <w:top w:val="single" w:sz="4" w:space="0" w:color="auto"/>
              <w:left w:val="single" w:sz="4" w:space="0" w:color="auto"/>
            </w:tcBorders>
            <w:vAlign w:val="center"/>
          </w:tcPr>
          <w:p w14:paraId="2E2B2C9D" w14:textId="77777777" w:rsidR="006561BA" w:rsidRPr="00952E6E" w:rsidRDefault="005B4ED6">
            <w:pPr>
              <w:widowControl w:val="0"/>
              <w:shd w:val="clear" w:color="auto" w:fill="auto"/>
              <w:spacing w:after="0" w:line="240" w:lineRule="auto"/>
              <w:ind w:left="138"/>
              <w:jc w:val="left"/>
              <w:rPr>
                <w:rFonts w:ascii="Helvetica" w:eastAsia="Arial Unicode MS" w:hAnsi="Helvetica" w:cs="Helvetica"/>
                <w:color w:val="auto"/>
                <w:sz w:val="6"/>
                <w:szCs w:val="6"/>
              </w:rPr>
            </w:pPr>
            <w:r w:rsidRPr="00952E6E">
              <w:rPr>
                <w:rFonts w:ascii="Helvetica" w:hAnsi="Helvetica"/>
                <w:color w:val="auto"/>
                <w:sz w:val="6"/>
              </w:rPr>
              <w:t>Andre finansforetak</w:t>
            </w:r>
          </w:p>
        </w:tc>
        <w:tc>
          <w:tcPr>
            <w:tcW w:w="395" w:type="dxa"/>
            <w:tcBorders>
              <w:top w:val="single" w:sz="4" w:space="0" w:color="auto"/>
              <w:left w:val="single" w:sz="4" w:space="0" w:color="auto"/>
            </w:tcBorders>
            <w:vAlign w:val="center"/>
          </w:tcPr>
          <w:p w14:paraId="495B511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4F43835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6C12E7E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left w:val="single" w:sz="4" w:space="0" w:color="auto"/>
            </w:tcBorders>
            <w:vAlign w:val="center"/>
          </w:tcPr>
          <w:p w14:paraId="2C57DC2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41A52CB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78B147F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4421ABC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5AC72F2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left w:val="single" w:sz="4" w:space="0" w:color="auto"/>
            </w:tcBorders>
            <w:vAlign w:val="center"/>
          </w:tcPr>
          <w:p w14:paraId="2667F64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7D5FF43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65287D1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5D54455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vAlign w:val="center"/>
          </w:tcPr>
          <w:p w14:paraId="04F5980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5CD590C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081F9BB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3FA4FC7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vAlign w:val="center"/>
          </w:tcPr>
          <w:p w14:paraId="3776444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4F26834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1388189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6722FBE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left w:val="single" w:sz="4" w:space="0" w:color="auto"/>
            </w:tcBorders>
            <w:vAlign w:val="center"/>
          </w:tcPr>
          <w:p w14:paraId="442640C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0A90022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51AFC00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5E65A96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left w:val="single" w:sz="4" w:space="0" w:color="auto"/>
            </w:tcBorders>
            <w:vAlign w:val="center"/>
          </w:tcPr>
          <w:p w14:paraId="7D2183E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2" w:type="dxa"/>
            <w:tcBorders>
              <w:top w:val="single" w:sz="4" w:space="0" w:color="auto"/>
              <w:left w:val="single" w:sz="4" w:space="0" w:color="auto"/>
            </w:tcBorders>
            <w:vAlign w:val="center"/>
          </w:tcPr>
          <w:p w14:paraId="09CD1AF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gridSpan w:val="2"/>
            <w:tcBorders>
              <w:top w:val="single" w:sz="4" w:space="0" w:color="auto"/>
              <w:left w:val="single" w:sz="4" w:space="0" w:color="auto"/>
            </w:tcBorders>
            <w:vAlign w:val="center"/>
          </w:tcPr>
          <w:p w14:paraId="1C8F5F0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433E44D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left w:val="single" w:sz="4" w:space="0" w:color="auto"/>
            </w:tcBorders>
            <w:vAlign w:val="center"/>
          </w:tcPr>
          <w:p w14:paraId="46E40B7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2"/>
            <w:tcBorders>
              <w:top w:val="single" w:sz="4" w:space="0" w:color="auto"/>
              <w:left w:val="single" w:sz="4" w:space="0" w:color="auto"/>
            </w:tcBorders>
            <w:vAlign w:val="center"/>
          </w:tcPr>
          <w:p w14:paraId="35992E9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509C7C6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3C90B3EC" w14:textId="77777777">
        <w:trPr>
          <w:trHeight w:val="83"/>
        </w:trPr>
        <w:tc>
          <w:tcPr>
            <w:tcW w:w="942" w:type="dxa"/>
            <w:tcBorders>
              <w:top w:val="single" w:sz="4" w:space="0" w:color="auto"/>
              <w:left w:val="single" w:sz="4" w:space="0" w:color="auto"/>
            </w:tcBorders>
            <w:tcMar>
              <w:left w:w="0" w:type="dxa"/>
            </w:tcMar>
            <w:vAlign w:val="center"/>
          </w:tcPr>
          <w:p w14:paraId="1339FDB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8</w:t>
            </w:r>
          </w:p>
        </w:tc>
        <w:tc>
          <w:tcPr>
            <w:tcW w:w="1798" w:type="dxa"/>
            <w:tcBorders>
              <w:top w:val="single" w:sz="4" w:space="0" w:color="auto"/>
              <w:left w:val="single" w:sz="4" w:space="0" w:color="auto"/>
            </w:tcBorders>
            <w:vAlign w:val="center"/>
          </w:tcPr>
          <w:p w14:paraId="32C67739"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hvorav verdipapirforetak</w:t>
            </w:r>
          </w:p>
        </w:tc>
        <w:tc>
          <w:tcPr>
            <w:tcW w:w="395" w:type="dxa"/>
            <w:tcBorders>
              <w:top w:val="single" w:sz="4" w:space="0" w:color="auto"/>
              <w:left w:val="single" w:sz="4" w:space="0" w:color="auto"/>
            </w:tcBorders>
            <w:vAlign w:val="center"/>
          </w:tcPr>
          <w:p w14:paraId="02D88C3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4887F0E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2231760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vAlign w:val="center"/>
          </w:tcPr>
          <w:p w14:paraId="5E88FC0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48394F1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599C082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51F2E35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6E07780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vAlign w:val="center"/>
          </w:tcPr>
          <w:p w14:paraId="2F93DFE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5701B8C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781B4B1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4A1BA6A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21D5995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1A690A7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4AC3E30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57E9754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3245410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25DC2BF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0A8E8F3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1A18586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vAlign w:val="center"/>
          </w:tcPr>
          <w:p w14:paraId="3304BFE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5842381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7F6E8EE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4F6D889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vAlign w:val="center"/>
          </w:tcPr>
          <w:p w14:paraId="381CE95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2" w:type="dxa"/>
            <w:tcBorders>
              <w:top w:val="single" w:sz="4" w:space="0" w:color="auto"/>
              <w:left w:val="single" w:sz="4" w:space="0" w:color="auto"/>
            </w:tcBorders>
            <w:vAlign w:val="center"/>
          </w:tcPr>
          <w:p w14:paraId="483046B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gridSpan w:val="2"/>
            <w:tcBorders>
              <w:top w:val="single" w:sz="4" w:space="0" w:color="auto"/>
              <w:left w:val="single" w:sz="4" w:space="0" w:color="auto"/>
            </w:tcBorders>
            <w:vAlign w:val="center"/>
          </w:tcPr>
          <w:p w14:paraId="7F16608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1881164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vAlign w:val="center"/>
          </w:tcPr>
          <w:p w14:paraId="2B40340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2"/>
            <w:tcBorders>
              <w:top w:val="single" w:sz="4" w:space="0" w:color="auto"/>
              <w:left w:val="single" w:sz="4" w:space="0" w:color="auto"/>
            </w:tcBorders>
            <w:vAlign w:val="center"/>
          </w:tcPr>
          <w:p w14:paraId="5917C32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7FA6C99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5458E68B" w14:textId="77777777">
        <w:trPr>
          <w:trHeight w:val="86"/>
        </w:trPr>
        <w:tc>
          <w:tcPr>
            <w:tcW w:w="942" w:type="dxa"/>
            <w:tcBorders>
              <w:top w:val="single" w:sz="4" w:space="0" w:color="auto"/>
              <w:left w:val="single" w:sz="4" w:space="0" w:color="auto"/>
            </w:tcBorders>
            <w:tcMar>
              <w:left w:w="0" w:type="dxa"/>
            </w:tcMar>
            <w:vAlign w:val="center"/>
          </w:tcPr>
          <w:p w14:paraId="1653273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9</w:t>
            </w:r>
          </w:p>
        </w:tc>
        <w:tc>
          <w:tcPr>
            <w:tcW w:w="1798" w:type="dxa"/>
            <w:tcBorders>
              <w:top w:val="single" w:sz="4" w:space="0" w:color="auto"/>
              <w:left w:val="single" w:sz="4" w:space="0" w:color="auto"/>
            </w:tcBorders>
            <w:vAlign w:val="center"/>
          </w:tcPr>
          <w:p w14:paraId="0F13876D" w14:textId="77777777" w:rsidR="006561BA" w:rsidRDefault="005B4ED6">
            <w:pPr>
              <w:widowControl w:val="0"/>
              <w:shd w:val="clear" w:color="auto" w:fill="auto"/>
              <w:spacing w:after="0" w:line="240" w:lineRule="auto"/>
              <w:ind w:left="211"/>
              <w:jc w:val="left"/>
              <w:rPr>
                <w:rFonts w:ascii="Helvetica" w:eastAsia="Arial Unicode MS" w:hAnsi="Helvetica" w:cs="Helvetica"/>
                <w:color w:val="000000"/>
                <w:sz w:val="6"/>
                <w:szCs w:val="6"/>
              </w:rPr>
            </w:pPr>
            <w:r>
              <w:rPr>
                <w:rFonts w:ascii="Helvetica" w:hAnsi="Helvetica"/>
                <w:color w:val="383838"/>
                <w:sz w:val="6"/>
              </w:rPr>
              <w:t>Lån og forskudd</w:t>
            </w:r>
          </w:p>
        </w:tc>
        <w:tc>
          <w:tcPr>
            <w:tcW w:w="395" w:type="dxa"/>
            <w:tcBorders>
              <w:top w:val="single" w:sz="4" w:space="0" w:color="auto"/>
              <w:left w:val="single" w:sz="4" w:space="0" w:color="auto"/>
            </w:tcBorders>
            <w:vAlign w:val="center"/>
          </w:tcPr>
          <w:p w14:paraId="7B3F276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40D78D3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28510E9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vAlign w:val="center"/>
          </w:tcPr>
          <w:p w14:paraId="48A94C4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21E0646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3878EC7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121415F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279AF62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vAlign w:val="center"/>
          </w:tcPr>
          <w:p w14:paraId="7EE1043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196B7C9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4B98433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2B5766F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53156D8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78182B3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523F906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6B93F07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257D341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4F45149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283335A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4F9E10D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vAlign w:val="center"/>
          </w:tcPr>
          <w:p w14:paraId="7DFA269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00A8023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4869E63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21B113C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vAlign w:val="center"/>
          </w:tcPr>
          <w:p w14:paraId="2150E27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2" w:type="dxa"/>
            <w:tcBorders>
              <w:top w:val="single" w:sz="4" w:space="0" w:color="auto"/>
              <w:left w:val="single" w:sz="4" w:space="0" w:color="auto"/>
            </w:tcBorders>
            <w:vAlign w:val="center"/>
          </w:tcPr>
          <w:p w14:paraId="370D681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gridSpan w:val="2"/>
            <w:tcBorders>
              <w:top w:val="single" w:sz="4" w:space="0" w:color="auto"/>
              <w:left w:val="single" w:sz="4" w:space="0" w:color="auto"/>
            </w:tcBorders>
            <w:vAlign w:val="center"/>
          </w:tcPr>
          <w:p w14:paraId="185E36C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716871F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vAlign w:val="center"/>
          </w:tcPr>
          <w:p w14:paraId="4EEA073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2"/>
            <w:tcBorders>
              <w:top w:val="single" w:sz="4" w:space="0" w:color="auto"/>
              <w:left w:val="single" w:sz="4" w:space="0" w:color="auto"/>
            </w:tcBorders>
            <w:vAlign w:val="center"/>
          </w:tcPr>
          <w:p w14:paraId="0323E98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13C3A9E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0355FBC3" w14:textId="77777777">
        <w:trPr>
          <w:trHeight w:val="83"/>
        </w:trPr>
        <w:tc>
          <w:tcPr>
            <w:tcW w:w="942" w:type="dxa"/>
            <w:tcBorders>
              <w:top w:val="single" w:sz="4" w:space="0" w:color="auto"/>
              <w:left w:val="single" w:sz="4" w:space="0" w:color="auto"/>
            </w:tcBorders>
            <w:tcMar>
              <w:left w:w="0" w:type="dxa"/>
            </w:tcMar>
            <w:vAlign w:val="center"/>
          </w:tcPr>
          <w:p w14:paraId="7191501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10</w:t>
            </w:r>
          </w:p>
        </w:tc>
        <w:tc>
          <w:tcPr>
            <w:tcW w:w="1798" w:type="dxa"/>
            <w:tcBorders>
              <w:top w:val="single" w:sz="4" w:space="0" w:color="auto"/>
              <w:left w:val="single" w:sz="4" w:space="0" w:color="auto"/>
            </w:tcBorders>
            <w:vAlign w:val="center"/>
          </w:tcPr>
          <w:p w14:paraId="6EBB5EC5" w14:textId="77777777" w:rsidR="006561BA" w:rsidRDefault="005B4ED6">
            <w:pPr>
              <w:widowControl w:val="0"/>
              <w:shd w:val="clear" w:color="auto" w:fill="auto"/>
              <w:spacing w:after="0" w:line="240" w:lineRule="auto"/>
              <w:ind w:left="211"/>
              <w:jc w:val="left"/>
              <w:rPr>
                <w:rFonts w:ascii="Helvetica" w:eastAsia="Arial Unicode MS" w:hAnsi="Helvetica" w:cs="Helvetica"/>
                <w:color w:val="000000"/>
                <w:sz w:val="6"/>
                <w:szCs w:val="6"/>
              </w:rPr>
            </w:pPr>
            <w:r>
              <w:rPr>
                <w:rFonts w:ascii="Helvetica" w:hAnsi="Helvetica"/>
                <w:color w:val="383838"/>
                <w:sz w:val="6"/>
              </w:rPr>
              <w:t>Gjeldsinstrumenter,</w:t>
            </w:r>
            <w:r>
              <w:rPr>
                <w:rFonts w:ascii="Helvetica" w:hAnsi="Helvetica"/>
                <w:sz w:val="6"/>
              </w:rPr>
              <w:t xml:space="preserve"> </w:t>
            </w:r>
            <w:r w:rsidRPr="00952E6E">
              <w:rPr>
                <w:rFonts w:ascii="Helvetica" w:hAnsi="Helvetica"/>
                <w:color w:val="auto"/>
                <w:sz w:val="6"/>
              </w:rPr>
              <w:t>herunder bruk av proveny</w:t>
            </w:r>
          </w:p>
        </w:tc>
        <w:tc>
          <w:tcPr>
            <w:tcW w:w="395" w:type="dxa"/>
            <w:tcBorders>
              <w:top w:val="single" w:sz="4" w:space="0" w:color="auto"/>
              <w:left w:val="single" w:sz="4" w:space="0" w:color="auto"/>
            </w:tcBorders>
            <w:vAlign w:val="center"/>
          </w:tcPr>
          <w:p w14:paraId="252F9DA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56" w:type="dxa"/>
            <w:tcBorders>
              <w:top w:val="single" w:sz="4" w:space="0" w:color="auto"/>
              <w:left w:val="single" w:sz="4" w:space="0" w:color="auto"/>
            </w:tcBorders>
            <w:vAlign w:val="center"/>
          </w:tcPr>
          <w:p w14:paraId="2EC10EA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2"/>
            <w:tcBorders>
              <w:top w:val="single" w:sz="4" w:space="0" w:color="auto"/>
              <w:left w:val="single" w:sz="4" w:space="0" w:color="auto"/>
            </w:tcBorders>
            <w:vAlign w:val="center"/>
          </w:tcPr>
          <w:p w14:paraId="3F5AF7F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39" w:type="dxa"/>
            <w:gridSpan w:val="2"/>
            <w:tcBorders>
              <w:top w:val="single" w:sz="4" w:space="0" w:color="auto"/>
              <w:left w:val="single" w:sz="4" w:space="0" w:color="auto"/>
            </w:tcBorders>
            <w:vAlign w:val="center"/>
          </w:tcPr>
          <w:p w14:paraId="1FE8023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9" w:type="dxa"/>
            <w:gridSpan w:val="2"/>
            <w:tcBorders>
              <w:top w:val="single" w:sz="4" w:space="0" w:color="auto"/>
              <w:left w:val="single" w:sz="4" w:space="0" w:color="auto"/>
            </w:tcBorders>
            <w:vAlign w:val="center"/>
          </w:tcPr>
          <w:p w14:paraId="22A9F45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72" w:type="dxa"/>
            <w:gridSpan w:val="3"/>
            <w:tcBorders>
              <w:top w:val="single" w:sz="4" w:space="0" w:color="auto"/>
              <w:left w:val="single" w:sz="4" w:space="0" w:color="auto"/>
            </w:tcBorders>
            <w:vAlign w:val="center"/>
          </w:tcPr>
          <w:p w14:paraId="6D105B5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17" w:type="dxa"/>
            <w:tcBorders>
              <w:top w:val="single" w:sz="4" w:space="0" w:color="auto"/>
              <w:left w:val="single" w:sz="4" w:space="0" w:color="auto"/>
            </w:tcBorders>
            <w:vAlign w:val="center"/>
          </w:tcPr>
          <w:p w14:paraId="278D045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97" w:type="dxa"/>
            <w:gridSpan w:val="2"/>
            <w:tcBorders>
              <w:top w:val="single" w:sz="4" w:space="0" w:color="auto"/>
              <w:left w:val="single" w:sz="4" w:space="0" w:color="auto"/>
            </w:tcBorders>
            <w:vAlign w:val="center"/>
          </w:tcPr>
          <w:p w14:paraId="67ECD25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2" w:type="dxa"/>
            <w:gridSpan w:val="2"/>
            <w:tcBorders>
              <w:top w:val="single" w:sz="4" w:space="0" w:color="auto"/>
              <w:left w:val="single" w:sz="4" w:space="0" w:color="auto"/>
            </w:tcBorders>
            <w:vAlign w:val="center"/>
          </w:tcPr>
          <w:p w14:paraId="034DADF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5618BC1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48" w:type="dxa"/>
            <w:tcBorders>
              <w:top w:val="single" w:sz="4" w:space="0" w:color="auto"/>
              <w:left w:val="single" w:sz="4" w:space="0" w:color="auto"/>
            </w:tcBorders>
            <w:vAlign w:val="center"/>
          </w:tcPr>
          <w:p w14:paraId="0DF3CD5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5D1A5CE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576BB86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5A8E2C1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75" w:type="dxa"/>
            <w:gridSpan w:val="2"/>
            <w:tcBorders>
              <w:top w:val="single" w:sz="4" w:space="0" w:color="auto"/>
              <w:left w:val="single" w:sz="4" w:space="0" w:color="auto"/>
            </w:tcBorders>
            <w:vAlign w:val="center"/>
          </w:tcPr>
          <w:p w14:paraId="1B3F7FE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8" w:type="dxa"/>
            <w:gridSpan w:val="2"/>
            <w:tcBorders>
              <w:top w:val="single" w:sz="4" w:space="0" w:color="auto"/>
              <w:left w:val="single" w:sz="4" w:space="0" w:color="auto"/>
            </w:tcBorders>
            <w:vAlign w:val="center"/>
          </w:tcPr>
          <w:p w14:paraId="6E1A5DD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048EDF4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5" w:type="dxa"/>
            <w:gridSpan w:val="2"/>
            <w:tcBorders>
              <w:top w:val="single" w:sz="4" w:space="0" w:color="auto"/>
              <w:left w:val="single" w:sz="4" w:space="0" w:color="auto"/>
            </w:tcBorders>
            <w:vAlign w:val="center"/>
          </w:tcPr>
          <w:p w14:paraId="7819002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7" w:type="dxa"/>
            <w:tcBorders>
              <w:top w:val="single" w:sz="4" w:space="0" w:color="auto"/>
              <w:left w:val="single" w:sz="4" w:space="0" w:color="auto"/>
            </w:tcBorders>
            <w:vAlign w:val="center"/>
          </w:tcPr>
          <w:p w14:paraId="7227FC6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030B27F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0" w:type="dxa"/>
            <w:gridSpan w:val="2"/>
            <w:tcBorders>
              <w:top w:val="single" w:sz="4" w:space="0" w:color="auto"/>
              <w:left w:val="single" w:sz="4" w:space="0" w:color="auto"/>
            </w:tcBorders>
            <w:vAlign w:val="center"/>
          </w:tcPr>
          <w:p w14:paraId="5E0987F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2EB13ED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50" w:type="dxa"/>
            <w:gridSpan w:val="2"/>
            <w:tcBorders>
              <w:top w:val="single" w:sz="4" w:space="0" w:color="auto"/>
              <w:left w:val="single" w:sz="4" w:space="0" w:color="auto"/>
            </w:tcBorders>
            <w:vAlign w:val="center"/>
          </w:tcPr>
          <w:p w14:paraId="60C556A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7" w:type="dxa"/>
            <w:gridSpan w:val="2"/>
            <w:tcBorders>
              <w:top w:val="single" w:sz="4" w:space="0" w:color="auto"/>
              <w:left w:val="single" w:sz="4" w:space="0" w:color="auto"/>
            </w:tcBorders>
            <w:vAlign w:val="center"/>
          </w:tcPr>
          <w:p w14:paraId="0D99877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3"/>
            <w:tcBorders>
              <w:top w:val="single" w:sz="4" w:space="0" w:color="auto"/>
              <w:left w:val="single" w:sz="4" w:space="0" w:color="auto"/>
            </w:tcBorders>
            <w:vAlign w:val="center"/>
          </w:tcPr>
          <w:p w14:paraId="55EE379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2" w:type="dxa"/>
            <w:tcBorders>
              <w:top w:val="single" w:sz="4" w:space="0" w:color="auto"/>
              <w:left w:val="single" w:sz="4" w:space="0" w:color="auto"/>
            </w:tcBorders>
            <w:vAlign w:val="center"/>
          </w:tcPr>
          <w:p w14:paraId="2ED8975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6" w:type="dxa"/>
            <w:gridSpan w:val="2"/>
            <w:tcBorders>
              <w:top w:val="single" w:sz="4" w:space="0" w:color="auto"/>
              <w:left w:val="single" w:sz="4" w:space="0" w:color="auto"/>
            </w:tcBorders>
            <w:vAlign w:val="center"/>
          </w:tcPr>
          <w:p w14:paraId="4633CB5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1" w:type="dxa"/>
            <w:tcBorders>
              <w:top w:val="single" w:sz="4" w:space="0" w:color="auto"/>
              <w:left w:val="single" w:sz="4" w:space="0" w:color="auto"/>
            </w:tcBorders>
            <w:vAlign w:val="center"/>
          </w:tcPr>
          <w:p w14:paraId="4C0D7CE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3"/>
            <w:tcBorders>
              <w:top w:val="single" w:sz="4" w:space="0" w:color="auto"/>
              <w:left w:val="single" w:sz="4" w:space="0" w:color="auto"/>
            </w:tcBorders>
            <w:vAlign w:val="center"/>
          </w:tcPr>
          <w:p w14:paraId="3C7EC7F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2" w:type="dxa"/>
            <w:gridSpan w:val="2"/>
            <w:tcBorders>
              <w:top w:val="single" w:sz="4" w:space="0" w:color="auto"/>
              <w:left w:val="single" w:sz="4" w:space="0" w:color="auto"/>
            </w:tcBorders>
            <w:vAlign w:val="center"/>
          </w:tcPr>
          <w:p w14:paraId="66CA6B8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78" w:type="dxa"/>
            <w:tcBorders>
              <w:top w:val="single" w:sz="4" w:space="0" w:color="auto"/>
              <w:left w:val="single" w:sz="4" w:space="0" w:color="auto"/>
              <w:right w:val="single" w:sz="4" w:space="0" w:color="auto"/>
            </w:tcBorders>
            <w:vAlign w:val="center"/>
          </w:tcPr>
          <w:p w14:paraId="7E8D071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46B49B2C" w14:textId="77777777">
        <w:trPr>
          <w:trHeight w:val="83"/>
        </w:trPr>
        <w:tc>
          <w:tcPr>
            <w:tcW w:w="942" w:type="dxa"/>
            <w:tcBorders>
              <w:top w:val="single" w:sz="4" w:space="0" w:color="auto"/>
              <w:left w:val="single" w:sz="4" w:space="0" w:color="auto"/>
            </w:tcBorders>
            <w:tcMar>
              <w:left w:w="0" w:type="dxa"/>
            </w:tcMar>
            <w:vAlign w:val="center"/>
          </w:tcPr>
          <w:p w14:paraId="14A82BC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11</w:t>
            </w:r>
          </w:p>
        </w:tc>
        <w:tc>
          <w:tcPr>
            <w:tcW w:w="1798" w:type="dxa"/>
            <w:tcBorders>
              <w:top w:val="single" w:sz="4" w:space="0" w:color="auto"/>
              <w:left w:val="single" w:sz="4" w:space="0" w:color="auto"/>
            </w:tcBorders>
            <w:vAlign w:val="center"/>
          </w:tcPr>
          <w:p w14:paraId="12A527A6" w14:textId="77777777" w:rsidR="006561BA" w:rsidRDefault="005B4ED6">
            <w:pPr>
              <w:widowControl w:val="0"/>
              <w:shd w:val="clear" w:color="auto" w:fill="auto"/>
              <w:spacing w:after="0" w:line="240" w:lineRule="auto"/>
              <w:ind w:left="211"/>
              <w:jc w:val="left"/>
              <w:rPr>
                <w:rFonts w:ascii="Helvetica" w:eastAsia="Arial Unicode MS" w:hAnsi="Helvetica" w:cs="Helvetica"/>
                <w:color w:val="000000"/>
                <w:sz w:val="6"/>
                <w:szCs w:val="6"/>
              </w:rPr>
            </w:pPr>
            <w:r w:rsidRPr="00952E6E">
              <w:rPr>
                <w:rFonts w:ascii="Helvetica" w:hAnsi="Helvetica"/>
                <w:color w:val="auto"/>
                <w:sz w:val="6"/>
              </w:rPr>
              <w:t>Egenkapitalinstrumenter</w:t>
            </w:r>
          </w:p>
        </w:tc>
        <w:tc>
          <w:tcPr>
            <w:tcW w:w="395" w:type="dxa"/>
            <w:tcBorders>
              <w:top w:val="single" w:sz="4" w:space="0" w:color="auto"/>
              <w:left w:val="single" w:sz="4" w:space="0" w:color="auto"/>
            </w:tcBorders>
            <w:vAlign w:val="center"/>
          </w:tcPr>
          <w:p w14:paraId="64EECC6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3824F8C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7D69480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left w:val="single" w:sz="4" w:space="0" w:color="auto"/>
            </w:tcBorders>
            <w:shd w:val="clear" w:color="auto" w:fill="000000"/>
            <w:vAlign w:val="center"/>
          </w:tcPr>
          <w:p w14:paraId="4AFC3A6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4959A54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0F26C4E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5D5B99A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1E231C3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left w:val="single" w:sz="4" w:space="0" w:color="auto"/>
            </w:tcBorders>
            <w:shd w:val="clear" w:color="auto" w:fill="000000"/>
            <w:vAlign w:val="center"/>
          </w:tcPr>
          <w:p w14:paraId="43FE8E2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17A020A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75122A4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54ED67D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shd w:val="clear" w:color="auto" w:fill="000000"/>
            <w:vAlign w:val="center"/>
          </w:tcPr>
          <w:p w14:paraId="32B5B93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008E399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6B44E0F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4C779F5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shd w:val="clear" w:color="auto" w:fill="000000"/>
            <w:vAlign w:val="center"/>
          </w:tcPr>
          <w:p w14:paraId="24291E7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588325E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3A520B3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788570A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left w:val="single" w:sz="4" w:space="0" w:color="auto"/>
            </w:tcBorders>
            <w:shd w:val="clear" w:color="auto" w:fill="000000"/>
            <w:vAlign w:val="center"/>
          </w:tcPr>
          <w:p w14:paraId="323FCCE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54A474B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441F40B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7E018B7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left w:val="single" w:sz="4" w:space="0" w:color="auto"/>
            </w:tcBorders>
            <w:shd w:val="clear" w:color="auto" w:fill="000000"/>
            <w:vAlign w:val="center"/>
          </w:tcPr>
          <w:p w14:paraId="1C4FFA7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2" w:type="dxa"/>
            <w:tcBorders>
              <w:top w:val="single" w:sz="4" w:space="0" w:color="auto"/>
              <w:left w:val="single" w:sz="4" w:space="0" w:color="auto"/>
            </w:tcBorders>
            <w:vAlign w:val="center"/>
          </w:tcPr>
          <w:p w14:paraId="4347B37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gridSpan w:val="2"/>
            <w:tcBorders>
              <w:top w:val="single" w:sz="4" w:space="0" w:color="auto"/>
              <w:left w:val="single" w:sz="4" w:space="0" w:color="auto"/>
            </w:tcBorders>
            <w:vAlign w:val="center"/>
          </w:tcPr>
          <w:p w14:paraId="30BCC41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54BB2A0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left w:val="single" w:sz="4" w:space="0" w:color="auto"/>
            </w:tcBorders>
            <w:shd w:val="clear" w:color="auto" w:fill="000000"/>
            <w:vAlign w:val="center"/>
          </w:tcPr>
          <w:p w14:paraId="2B48249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2"/>
            <w:tcBorders>
              <w:top w:val="single" w:sz="4" w:space="0" w:color="auto"/>
              <w:left w:val="single" w:sz="4" w:space="0" w:color="auto"/>
            </w:tcBorders>
            <w:vAlign w:val="center"/>
          </w:tcPr>
          <w:p w14:paraId="09AF6FD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2A63836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54E02037" w14:textId="77777777">
        <w:trPr>
          <w:trHeight w:val="94"/>
        </w:trPr>
        <w:tc>
          <w:tcPr>
            <w:tcW w:w="942" w:type="dxa"/>
            <w:tcBorders>
              <w:top w:val="single" w:sz="4" w:space="0" w:color="auto"/>
              <w:left w:val="single" w:sz="4" w:space="0" w:color="auto"/>
            </w:tcBorders>
            <w:tcMar>
              <w:left w:w="0" w:type="dxa"/>
            </w:tcMar>
            <w:vAlign w:val="center"/>
          </w:tcPr>
          <w:p w14:paraId="19B1CCE4"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12</w:t>
            </w:r>
          </w:p>
        </w:tc>
        <w:tc>
          <w:tcPr>
            <w:tcW w:w="1798" w:type="dxa"/>
            <w:tcBorders>
              <w:top w:val="single" w:sz="4" w:space="0" w:color="auto"/>
              <w:left w:val="single" w:sz="4" w:space="0" w:color="auto"/>
            </w:tcBorders>
            <w:vAlign w:val="center"/>
          </w:tcPr>
          <w:p w14:paraId="550DFB80"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hvorav forvaltningsselskaper</w:t>
            </w:r>
          </w:p>
        </w:tc>
        <w:tc>
          <w:tcPr>
            <w:tcW w:w="395" w:type="dxa"/>
            <w:tcBorders>
              <w:top w:val="single" w:sz="4" w:space="0" w:color="auto"/>
              <w:left w:val="single" w:sz="4" w:space="0" w:color="auto"/>
            </w:tcBorders>
            <w:vAlign w:val="center"/>
          </w:tcPr>
          <w:p w14:paraId="147651F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1A32485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160F125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left w:val="single" w:sz="4" w:space="0" w:color="auto"/>
            </w:tcBorders>
            <w:vAlign w:val="center"/>
          </w:tcPr>
          <w:p w14:paraId="5B40804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548625B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3961DC5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7A4E969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33F35C3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left w:val="single" w:sz="4" w:space="0" w:color="auto"/>
            </w:tcBorders>
            <w:vAlign w:val="center"/>
          </w:tcPr>
          <w:p w14:paraId="1A26A47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577F6EC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4ECA699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4641ABC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vAlign w:val="center"/>
          </w:tcPr>
          <w:p w14:paraId="60670C8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6C57F20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04ECDAB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0D8FBF8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vAlign w:val="center"/>
          </w:tcPr>
          <w:p w14:paraId="5EB2789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7FC9836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70C245D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67FDC05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left w:val="single" w:sz="4" w:space="0" w:color="auto"/>
            </w:tcBorders>
            <w:vAlign w:val="center"/>
          </w:tcPr>
          <w:p w14:paraId="0CC899D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06C32EA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08E1196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3E9762D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left w:val="single" w:sz="4" w:space="0" w:color="auto"/>
            </w:tcBorders>
            <w:vAlign w:val="center"/>
          </w:tcPr>
          <w:p w14:paraId="50B8ED8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2" w:type="dxa"/>
            <w:tcBorders>
              <w:top w:val="single" w:sz="4" w:space="0" w:color="auto"/>
              <w:left w:val="single" w:sz="4" w:space="0" w:color="auto"/>
            </w:tcBorders>
            <w:vAlign w:val="center"/>
          </w:tcPr>
          <w:p w14:paraId="617D898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gridSpan w:val="2"/>
            <w:tcBorders>
              <w:top w:val="single" w:sz="4" w:space="0" w:color="auto"/>
              <w:left w:val="single" w:sz="4" w:space="0" w:color="auto"/>
            </w:tcBorders>
            <w:vAlign w:val="center"/>
          </w:tcPr>
          <w:p w14:paraId="28118A9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43FF4D9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left w:val="single" w:sz="4" w:space="0" w:color="auto"/>
            </w:tcBorders>
            <w:vAlign w:val="center"/>
          </w:tcPr>
          <w:p w14:paraId="3450D90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2"/>
            <w:tcBorders>
              <w:top w:val="single" w:sz="4" w:space="0" w:color="auto"/>
              <w:left w:val="single" w:sz="4" w:space="0" w:color="auto"/>
            </w:tcBorders>
            <w:vAlign w:val="center"/>
          </w:tcPr>
          <w:p w14:paraId="1CA1967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7E1709C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19C19AC2" w14:textId="77777777">
        <w:trPr>
          <w:trHeight w:val="83"/>
        </w:trPr>
        <w:tc>
          <w:tcPr>
            <w:tcW w:w="942" w:type="dxa"/>
            <w:tcBorders>
              <w:top w:val="single" w:sz="4" w:space="0" w:color="auto"/>
              <w:left w:val="single" w:sz="4" w:space="0" w:color="auto"/>
            </w:tcBorders>
            <w:tcMar>
              <w:left w:w="0" w:type="dxa"/>
            </w:tcMar>
            <w:vAlign w:val="center"/>
          </w:tcPr>
          <w:p w14:paraId="3540CBE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13</w:t>
            </w:r>
          </w:p>
        </w:tc>
        <w:tc>
          <w:tcPr>
            <w:tcW w:w="1798" w:type="dxa"/>
            <w:tcBorders>
              <w:top w:val="single" w:sz="4" w:space="0" w:color="auto"/>
              <w:left w:val="single" w:sz="4" w:space="0" w:color="auto"/>
            </w:tcBorders>
            <w:vAlign w:val="center"/>
          </w:tcPr>
          <w:p w14:paraId="11DB224E" w14:textId="77777777" w:rsidR="006561BA" w:rsidRDefault="005B4ED6">
            <w:pPr>
              <w:widowControl w:val="0"/>
              <w:shd w:val="clear" w:color="auto" w:fill="auto"/>
              <w:spacing w:after="0" w:line="240" w:lineRule="auto"/>
              <w:ind w:left="211"/>
              <w:jc w:val="left"/>
              <w:rPr>
                <w:rFonts w:ascii="Helvetica" w:eastAsia="Arial Unicode MS" w:hAnsi="Helvetica" w:cs="Helvetica"/>
                <w:color w:val="000000"/>
                <w:sz w:val="6"/>
                <w:szCs w:val="6"/>
              </w:rPr>
            </w:pPr>
            <w:r>
              <w:rPr>
                <w:rFonts w:ascii="Helvetica" w:hAnsi="Helvetica"/>
                <w:color w:val="383838"/>
                <w:sz w:val="6"/>
              </w:rPr>
              <w:t>Lån og forskudd</w:t>
            </w:r>
          </w:p>
        </w:tc>
        <w:tc>
          <w:tcPr>
            <w:tcW w:w="395" w:type="dxa"/>
            <w:tcBorders>
              <w:top w:val="single" w:sz="4" w:space="0" w:color="auto"/>
              <w:left w:val="single" w:sz="4" w:space="0" w:color="auto"/>
            </w:tcBorders>
            <w:vAlign w:val="center"/>
          </w:tcPr>
          <w:p w14:paraId="1EBFC57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3E06D90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27C1560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vAlign w:val="center"/>
          </w:tcPr>
          <w:p w14:paraId="3F0E655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2652C52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5062170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5E1A215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2B7CD5A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vAlign w:val="center"/>
          </w:tcPr>
          <w:p w14:paraId="6F1C339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27F4FBB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7C6A0BC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0B5298C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7ABBC8D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11156D1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7E07358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759CF63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219DD61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3F2A5EC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578219B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3522124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vAlign w:val="center"/>
          </w:tcPr>
          <w:p w14:paraId="7724AEA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554CE34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01B7237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69D7259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vAlign w:val="center"/>
          </w:tcPr>
          <w:p w14:paraId="7DCA5B5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2" w:type="dxa"/>
            <w:tcBorders>
              <w:top w:val="single" w:sz="4" w:space="0" w:color="auto"/>
              <w:left w:val="single" w:sz="4" w:space="0" w:color="auto"/>
            </w:tcBorders>
            <w:vAlign w:val="center"/>
          </w:tcPr>
          <w:p w14:paraId="571EF3A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gridSpan w:val="2"/>
            <w:tcBorders>
              <w:top w:val="single" w:sz="4" w:space="0" w:color="auto"/>
              <w:left w:val="single" w:sz="4" w:space="0" w:color="auto"/>
            </w:tcBorders>
            <w:vAlign w:val="center"/>
          </w:tcPr>
          <w:p w14:paraId="5975CF1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1796908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vAlign w:val="center"/>
          </w:tcPr>
          <w:p w14:paraId="063274F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2"/>
            <w:tcBorders>
              <w:top w:val="single" w:sz="4" w:space="0" w:color="auto"/>
              <w:left w:val="single" w:sz="4" w:space="0" w:color="auto"/>
            </w:tcBorders>
            <w:vAlign w:val="center"/>
          </w:tcPr>
          <w:p w14:paraId="58BDE1E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078F266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74DA5182" w14:textId="77777777">
        <w:trPr>
          <w:trHeight w:val="83"/>
        </w:trPr>
        <w:tc>
          <w:tcPr>
            <w:tcW w:w="942" w:type="dxa"/>
            <w:tcBorders>
              <w:top w:val="single" w:sz="4" w:space="0" w:color="auto"/>
              <w:left w:val="single" w:sz="4" w:space="0" w:color="auto"/>
            </w:tcBorders>
            <w:tcMar>
              <w:left w:w="0" w:type="dxa"/>
            </w:tcMar>
            <w:vAlign w:val="center"/>
          </w:tcPr>
          <w:p w14:paraId="335ACDA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14</w:t>
            </w:r>
          </w:p>
        </w:tc>
        <w:tc>
          <w:tcPr>
            <w:tcW w:w="1798" w:type="dxa"/>
            <w:tcBorders>
              <w:top w:val="single" w:sz="4" w:space="0" w:color="auto"/>
              <w:left w:val="single" w:sz="4" w:space="0" w:color="auto"/>
            </w:tcBorders>
            <w:vAlign w:val="center"/>
          </w:tcPr>
          <w:p w14:paraId="3D9177CF" w14:textId="77777777" w:rsidR="006561BA" w:rsidRPr="00952E6E" w:rsidRDefault="005B4ED6">
            <w:pPr>
              <w:widowControl w:val="0"/>
              <w:shd w:val="clear" w:color="auto" w:fill="auto"/>
              <w:spacing w:after="0" w:line="240" w:lineRule="auto"/>
              <w:ind w:left="211"/>
              <w:jc w:val="left"/>
              <w:rPr>
                <w:rFonts w:ascii="Helvetica" w:eastAsia="Arial Unicode MS" w:hAnsi="Helvetica" w:cs="Helvetica"/>
                <w:color w:val="auto"/>
                <w:sz w:val="6"/>
                <w:szCs w:val="6"/>
              </w:rPr>
            </w:pPr>
            <w:r w:rsidRPr="00952E6E">
              <w:rPr>
                <w:rFonts w:ascii="Helvetica" w:hAnsi="Helvetica"/>
                <w:color w:val="auto"/>
                <w:sz w:val="6"/>
              </w:rPr>
              <w:t>Gjeldsinstrumenter, herunder bruk av proveny</w:t>
            </w:r>
          </w:p>
        </w:tc>
        <w:tc>
          <w:tcPr>
            <w:tcW w:w="395" w:type="dxa"/>
            <w:tcBorders>
              <w:top w:val="single" w:sz="4" w:space="0" w:color="auto"/>
              <w:left w:val="single" w:sz="4" w:space="0" w:color="auto"/>
            </w:tcBorders>
            <w:vAlign w:val="center"/>
          </w:tcPr>
          <w:p w14:paraId="10AE13B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56" w:type="dxa"/>
            <w:tcBorders>
              <w:top w:val="single" w:sz="4" w:space="0" w:color="auto"/>
              <w:left w:val="single" w:sz="4" w:space="0" w:color="auto"/>
            </w:tcBorders>
            <w:vAlign w:val="center"/>
          </w:tcPr>
          <w:p w14:paraId="01384E2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2"/>
            <w:tcBorders>
              <w:top w:val="single" w:sz="4" w:space="0" w:color="auto"/>
              <w:left w:val="single" w:sz="4" w:space="0" w:color="auto"/>
            </w:tcBorders>
            <w:vAlign w:val="center"/>
          </w:tcPr>
          <w:p w14:paraId="681BA1E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39" w:type="dxa"/>
            <w:gridSpan w:val="2"/>
            <w:tcBorders>
              <w:top w:val="single" w:sz="4" w:space="0" w:color="auto"/>
              <w:left w:val="single" w:sz="4" w:space="0" w:color="auto"/>
            </w:tcBorders>
            <w:vAlign w:val="center"/>
          </w:tcPr>
          <w:p w14:paraId="071F3CC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9" w:type="dxa"/>
            <w:gridSpan w:val="2"/>
            <w:tcBorders>
              <w:top w:val="single" w:sz="4" w:space="0" w:color="auto"/>
              <w:left w:val="single" w:sz="4" w:space="0" w:color="auto"/>
            </w:tcBorders>
            <w:vAlign w:val="center"/>
          </w:tcPr>
          <w:p w14:paraId="546AF75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72" w:type="dxa"/>
            <w:gridSpan w:val="3"/>
            <w:tcBorders>
              <w:top w:val="single" w:sz="4" w:space="0" w:color="auto"/>
              <w:left w:val="single" w:sz="4" w:space="0" w:color="auto"/>
            </w:tcBorders>
            <w:vAlign w:val="center"/>
          </w:tcPr>
          <w:p w14:paraId="269F405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17" w:type="dxa"/>
            <w:tcBorders>
              <w:top w:val="single" w:sz="4" w:space="0" w:color="auto"/>
              <w:left w:val="single" w:sz="4" w:space="0" w:color="auto"/>
            </w:tcBorders>
            <w:vAlign w:val="center"/>
          </w:tcPr>
          <w:p w14:paraId="4673EF8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97" w:type="dxa"/>
            <w:gridSpan w:val="2"/>
            <w:tcBorders>
              <w:top w:val="single" w:sz="4" w:space="0" w:color="auto"/>
              <w:left w:val="single" w:sz="4" w:space="0" w:color="auto"/>
            </w:tcBorders>
            <w:vAlign w:val="center"/>
          </w:tcPr>
          <w:p w14:paraId="68B897B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2" w:type="dxa"/>
            <w:gridSpan w:val="2"/>
            <w:tcBorders>
              <w:top w:val="single" w:sz="4" w:space="0" w:color="auto"/>
              <w:left w:val="single" w:sz="4" w:space="0" w:color="auto"/>
            </w:tcBorders>
            <w:vAlign w:val="center"/>
          </w:tcPr>
          <w:p w14:paraId="0CA0E52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1383E05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48" w:type="dxa"/>
            <w:tcBorders>
              <w:top w:val="single" w:sz="4" w:space="0" w:color="auto"/>
              <w:left w:val="single" w:sz="4" w:space="0" w:color="auto"/>
            </w:tcBorders>
            <w:vAlign w:val="center"/>
          </w:tcPr>
          <w:p w14:paraId="45411A0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6D915F6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7D04F35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41F8280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75" w:type="dxa"/>
            <w:gridSpan w:val="2"/>
            <w:tcBorders>
              <w:top w:val="single" w:sz="4" w:space="0" w:color="auto"/>
              <w:left w:val="single" w:sz="4" w:space="0" w:color="auto"/>
            </w:tcBorders>
            <w:vAlign w:val="center"/>
          </w:tcPr>
          <w:p w14:paraId="68252D4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8" w:type="dxa"/>
            <w:gridSpan w:val="2"/>
            <w:tcBorders>
              <w:top w:val="single" w:sz="4" w:space="0" w:color="auto"/>
              <w:left w:val="single" w:sz="4" w:space="0" w:color="auto"/>
            </w:tcBorders>
            <w:vAlign w:val="center"/>
          </w:tcPr>
          <w:p w14:paraId="7547ADC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59E1833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5" w:type="dxa"/>
            <w:gridSpan w:val="2"/>
            <w:tcBorders>
              <w:top w:val="single" w:sz="4" w:space="0" w:color="auto"/>
              <w:left w:val="single" w:sz="4" w:space="0" w:color="auto"/>
            </w:tcBorders>
            <w:vAlign w:val="center"/>
          </w:tcPr>
          <w:p w14:paraId="3B74383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7" w:type="dxa"/>
            <w:tcBorders>
              <w:top w:val="single" w:sz="4" w:space="0" w:color="auto"/>
              <w:left w:val="single" w:sz="4" w:space="0" w:color="auto"/>
            </w:tcBorders>
            <w:vAlign w:val="center"/>
          </w:tcPr>
          <w:p w14:paraId="749E52C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78DA753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0" w:type="dxa"/>
            <w:gridSpan w:val="2"/>
            <w:tcBorders>
              <w:top w:val="single" w:sz="4" w:space="0" w:color="auto"/>
              <w:left w:val="single" w:sz="4" w:space="0" w:color="auto"/>
            </w:tcBorders>
            <w:vAlign w:val="center"/>
          </w:tcPr>
          <w:p w14:paraId="6FD049A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24A650D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50" w:type="dxa"/>
            <w:gridSpan w:val="2"/>
            <w:tcBorders>
              <w:top w:val="single" w:sz="4" w:space="0" w:color="auto"/>
              <w:left w:val="single" w:sz="4" w:space="0" w:color="auto"/>
            </w:tcBorders>
            <w:vAlign w:val="center"/>
          </w:tcPr>
          <w:p w14:paraId="1B77A1A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7" w:type="dxa"/>
            <w:gridSpan w:val="2"/>
            <w:tcBorders>
              <w:top w:val="single" w:sz="4" w:space="0" w:color="auto"/>
              <w:left w:val="single" w:sz="4" w:space="0" w:color="auto"/>
            </w:tcBorders>
            <w:vAlign w:val="center"/>
          </w:tcPr>
          <w:p w14:paraId="5781EFF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3"/>
            <w:tcBorders>
              <w:top w:val="single" w:sz="4" w:space="0" w:color="auto"/>
              <w:left w:val="single" w:sz="4" w:space="0" w:color="auto"/>
            </w:tcBorders>
            <w:vAlign w:val="center"/>
          </w:tcPr>
          <w:p w14:paraId="2EE0B91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2" w:type="dxa"/>
            <w:tcBorders>
              <w:top w:val="single" w:sz="4" w:space="0" w:color="auto"/>
              <w:left w:val="single" w:sz="4" w:space="0" w:color="auto"/>
            </w:tcBorders>
            <w:vAlign w:val="center"/>
          </w:tcPr>
          <w:p w14:paraId="7E289A3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6" w:type="dxa"/>
            <w:gridSpan w:val="2"/>
            <w:tcBorders>
              <w:top w:val="single" w:sz="4" w:space="0" w:color="auto"/>
              <w:left w:val="single" w:sz="4" w:space="0" w:color="auto"/>
            </w:tcBorders>
            <w:vAlign w:val="center"/>
          </w:tcPr>
          <w:p w14:paraId="76B01B8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1" w:type="dxa"/>
            <w:tcBorders>
              <w:top w:val="single" w:sz="4" w:space="0" w:color="auto"/>
              <w:left w:val="single" w:sz="4" w:space="0" w:color="auto"/>
            </w:tcBorders>
            <w:vAlign w:val="center"/>
          </w:tcPr>
          <w:p w14:paraId="5D1DAA4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3"/>
            <w:tcBorders>
              <w:top w:val="single" w:sz="4" w:space="0" w:color="auto"/>
              <w:left w:val="single" w:sz="4" w:space="0" w:color="auto"/>
            </w:tcBorders>
            <w:vAlign w:val="center"/>
          </w:tcPr>
          <w:p w14:paraId="561AD06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2" w:type="dxa"/>
            <w:gridSpan w:val="2"/>
            <w:tcBorders>
              <w:top w:val="single" w:sz="4" w:space="0" w:color="auto"/>
              <w:left w:val="single" w:sz="4" w:space="0" w:color="auto"/>
            </w:tcBorders>
            <w:vAlign w:val="center"/>
          </w:tcPr>
          <w:p w14:paraId="5DB981A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78" w:type="dxa"/>
            <w:tcBorders>
              <w:top w:val="single" w:sz="4" w:space="0" w:color="auto"/>
              <w:left w:val="single" w:sz="4" w:space="0" w:color="auto"/>
              <w:right w:val="single" w:sz="4" w:space="0" w:color="auto"/>
            </w:tcBorders>
            <w:vAlign w:val="center"/>
          </w:tcPr>
          <w:p w14:paraId="30B041D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5548F920" w14:textId="77777777">
        <w:trPr>
          <w:trHeight w:val="86"/>
        </w:trPr>
        <w:tc>
          <w:tcPr>
            <w:tcW w:w="942" w:type="dxa"/>
            <w:tcBorders>
              <w:top w:val="single" w:sz="4" w:space="0" w:color="auto"/>
              <w:left w:val="single" w:sz="4" w:space="0" w:color="auto"/>
            </w:tcBorders>
            <w:tcMar>
              <w:left w:w="0" w:type="dxa"/>
            </w:tcMar>
            <w:vAlign w:val="center"/>
          </w:tcPr>
          <w:p w14:paraId="7675CCDA"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15</w:t>
            </w:r>
          </w:p>
        </w:tc>
        <w:tc>
          <w:tcPr>
            <w:tcW w:w="1798" w:type="dxa"/>
            <w:tcBorders>
              <w:top w:val="single" w:sz="4" w:space="0" w:color="auto"/>
              <w:left w:val="single" w:sz="4" w:space="0" w:color="auto"/>
            </w:tcBorders>
            <w:vAlign w:val="center"/>
          </w:tcPr>
          <w:p w14:paraId="2040C54D" w14:textId="77777777" w:rsidR="006561BA" w:rsidRPr="00952E6E" w:rsidRDefault="005B4ED6">
            <w:pPr>
              <w:widowControl w:val="0"/>
              <w:shd w:val="clear" w:color="auto" w:fill="auto"/>
              <w:spacing w:after="0" w:line="240" w:lineRule="auto"/>
              <w:ind w:left="211"/>
              <w:jc w:val="left"/>
              <w:rPr>
                <w:rFonts w:ascii="Helvetica" w:eastAsia="Arial Unicode MS" w:hAnsi="Helvetica" w:cs="Helvetica"/>
                <w:color w:val="auto"/>
                <w:sz w:val="6"/>
                <w:szCs w:val="6"/>
              </w:rPr>
            </w:pPr>
            <w:r w:rsidRPr="00952E6E">
              <w:rPr>
                <w:rFonts w:ascii="Helvetica" w:hAnsi="Helvetica"/>
                <w:color w:val="auto"/>
                <w:sz w:val="6"/>
              </w:rPr>
              <w:t>Egenkapitalinstrumenter</w:t>
            </w:r>
          </w:p>
        </w:tc>
        <w:tc>
          <w:tcPr>
            <w:tcW w:w="395" w:type="dxa"/>
            <w:tcBorders>
              <w:top w:val="single" w:sz="4" w:space="0" w:color="auto"/>
              <w:left w:val="single" w:sz="4" w:space="0" w:color="auto"/>
            </w:tcBorders>
            <w:vAlign w:val="center"/>
          </w:tcPr>
          <w:p w14:paraId="6FDDE96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2F50B4E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463874F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left w:val="single" w:sz="4" w:space="0" w:color="auto"/>
            </w:tcBorders>
            <w:shd w:val="clear" w:color="auto" w:fill="000000"/>
            <w:vAlign w:val="center"/>
          </w:tcPr>
          <w:p w14:paraId="7EEBA49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3115D03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2CE1404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586B67B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2B75B5D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left w:val="single" w:sz="4" w:space="0" w:color="auto"/>
            </w:tcBorders>
            <w:shd w:val="clear" w:color="auto" w:fill="000000"/>
            <w:vAlign w:val="center"/>
          </w:tcPr>
          <w:p w14:paraId="5DCE9A7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5A09273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2C3159B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7C4BB64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shd w:val="clear" w:color="auto" w:fill="000000"/>
            <w:vAlign w:val="center"/>
          </w:tcPr>
          <w:p w14:paraId="7F9D3BE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4E0FF30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54EBDD0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778AAB2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shd w:val="clear" w:color="auto" w:fill="000000"/>
            <w:vAlign w:val="center"/>
          </w:tcPr>
          <w:p w14:paraId="1DD4188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6CBE09D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518DA28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419FF75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left w:val="single" w:sz="4" w:space="0" w:color="auto"/>
            </w:tcBorders>
            <w:shd w:val="clear" w:color="auto" w:fill="000000"/>
            <w:vAlign w:val="center"/>
          </w:tcPr>
          <w:p w14:paraId="30DFD11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15644F9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444D581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6638A80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left w:val="single" w:sz="4" w:space="0" w:color="auto"/>
            </w:tcBorders>
            <w:shd w:val="clear" w:color="auto" w:fill="000000"/>
            <w:vAlign w:val="center"/>
          </w:tcPr>
          <w:p w14:paraId="2693915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2" w:type="dxa"/>
            <w:tcBorders>
              <w:top w:val="single" w:sz="4" w:space="0" w:color="auto"/>
              <w:left w:val="single" w:sz="4" w:space="0" w:color="auto"/>
            </w:tcBorders>
            <w:vAlign w:val="center"/>
          </w:tcPr>
          <w:p w14:paraId="063BFDF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gridSpan w:val="2"/>
            <w:tcBorders>
              <w:top w:val="single" w:sz="4" w:space="0" w:color="auto"/>
              <w:left w:val="single" w:sz="4" w:space="0" w:color="auto"/>
            </w:tcBorders>
            <w:vAlign w:val="center"/>
          </w:tcPr>
          <w:p w14:paraId="468BBA0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796BDC8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left w:val="single" w:sz="4" w:space="0" w:color="auto"/>
            </w:tcBorders>
            <w:shd w:val="clear" w:color="auto" w:fill="000000"/>
            <w:vAlign w:val="center"/>
          </w:tcPr>
          <w:p w14:paraId="39F8264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2"/>
            <w:tcBorders>
              <w:top w:val="single" w:sz="4" w:space="0" w:color="auto"/>
              <w:left w:val="single" w:sz="4" w:space="0" w:color="auto"/>
            </w:tcBorders>
            <w:vAlign w:val="center"/>
          </w:tcPr>
          <w:p w14:paraId="7FE10F6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78183F8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48D2AB6B" w14:textId="77777777">
        <w:trPr>
          <w:trHeight w:val="90"/>
        </w:trPr>
        <w:tc>
          <w:tcPr>
            <w:tcW w:w="942" w:type="dxa"/>
            <w:tcBorders>
              <w:top w:val="single" w:sz="4" w:space="0" w:color="auto"/>
              <w:left w:val="single" w:sz="4" w:space="0" w:color="auto"/>
            </w:tcBorders>
            <w:tcMar>
              <w:left w:w="0" w:type="dxa"/>
            </w:tcMar>
            <w:vAlign w:val="center"/>
          </w:tcPr>
          <w:p w14:paraId="6B8A228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16</w:t>
            </w:r>
          </w:p>
        </w:tc>
        <w:tc>
          <w:tcPr>
            <w:tcW w:w="1798" w:type="dxa"/>
            <w:tcBorders>
              <w:top w:val="single" w:sz="4" w:space="0" w:color="auto"/>
              <w:left w:val="single" w:sz="4" w:space="0" w:color="auto"/>
            </w:tcBorders>
            <w:vAlign w:val="center"/>
          </w:tcPr>
          <w:p w14:paraId="2D5C8AF0"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hvorav forsikringsforetak</w:t>
            </w:r>
          </w:p>
        </w:tc>
        <w:tc>
          <w:tcPr>
            <w:tcW w:w="395" w:type="dxa"/>
            <w:tcBorders>
              <w:top w:val="single" w:sz="4" w:space="0" w:color="auto"/>
              <w:left w:val="single" w:sz="4" w:space="0" w:color="auto"/>
            </w:tcBorders>
            <w:vAlign w:val="center"/>
          </w:tcPr>
          <w:p w14:paraId="524ADBA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1CD94D9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57817A7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left w:val="single" w:sz="4" w:space="0" w:color="auto"/>
            </w:tcBorders>
            <w:vAlign w:val="center"/>
          </w:tcPr>
          <w:p w14:paraId="1D44B37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6FA60D4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50588BA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6FF343E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628045B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left w:val="single" w:sz="4" w:space="0" w:color="auto"/>
            </w:tcBorders>
            <w:vAlign w:val="center"/>
          </w:tcPr>
          <w:p w14:paraId="6DFF46D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754D52E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3272A67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7368D36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vAlign w:val="center"/>
          </w:tcPr>
          <w:p w14:paraId="1783351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1F998EF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610DCBF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69563B0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vAlign w:val="center"/>
          </w:tcPr>
          <w:p w14:paraId="2C22C71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4D3CB7D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2D66727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4E41857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left w:val="single" w:sz="4" w:space="0" w:color="auto"/>
            </w:tcBorders>
            <w:vAlign w:val="center"/>
          </w:tcPr>
          <w:p w14:paraId="42A9D7F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08CFA96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21A2998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75E7AF7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left w:val="single" w:sz="4" w:space="0" w:color="auto"/>
            </w:tcBorders>
            <w:vAlign w:val="center"/>
          </w:tcPr>
          <w:p w14:paraId="544384F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2" w:type="dxa"/>
            <w:tcBorders>
              <w:top w:val="single" w:sz="4" w:space="0" w:color="auto"/>
              <w:left w:val="single" w:sz="4" w:space="0" w:color="auto"/>
            </w:tcBorders>
            <w:vAlign w:val="center"/>
          </w:tcPr>
          <w:p w14:paraId="3D516AB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gridSpan w:val="2"/>
            <w:tcBorders>
              <w:top w:val="single" w:sz="4" w:space="0" w:color="auto"/>
              <w:left w:val="single" w:sz="4" w:space="0" w:color="auto"/>
            </w:tcBorders>
            <w:vAlign w:val="center"/>
          </w:tcPr>
          <w:p w14:paraId="7778175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55255B0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left w:val="single" w:sz="4" w:space="0" w:color="auto"/>
            </w:tcBorders>
            <w:vAlign w:val="center"/>
          </w:tcPr>
          <w:p w14:paraId="1521C1F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2"/>
            <w:tcBorders>
              <w:top w:val="single" w:sz="4" w:space="0" w:color="auto"/>
              <w:left w:val="single" w:sz="4" w:space="0" w:color="auto"/>
            </w:tcBorders>
            <w:vAlign w:val="center"/>
          </w:tcPr>
          <w:p w14:paraId="4B1B9AF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7D15CFD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593031F4" w14:textId="77777777">
        <w:trPr>
          <w:trHeight w:val="83"/>
        </w:trPr>
        <w:tc>
          <w:tcPr>
            <w:tcW w:w="942" w:type="dxa"/>
            <w:tcBorders>
              <w:top w:val="single" w:sz="4" w:space="0" w:color="auto"/>
              <w:left w:val="single" w:sz="4" w:space="0" w:color="auto"/>
            </w:tcBorders>
            <w:tcMar>
              <w:left w:w="0" w:type="dxa"/>
            </w:tcMar>
            <w:vAlign w:val="center"/>
          </w:tcPr>
          <w:p w14:paraId="5506F2B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17</w:t>
            </w:r>
          </w:p>
        </w:tc>
        <w:tc>
          <w:tcPr>
            <w:tcW w:w="1798" w:type="dxa"/>
            <w:tcBorders>
              <w:top w:val="single" w:sz="4" w:space="0" w:color="auto"/>
              <w:left w:val="single" w:sz="4" w:space="0" w:color="auto"/>
            </w:tcBorders>
            <w:vAlign w:val="center"/>
          </w:tcPr>
          <w:p w14:paraId="069A8EA8" w14:textId="77777777" w:rsidR="006561BA" w:rsidRDefault="005B4ED6">
            <w:pPr>
              <w:widowControl w:val="0"/>
              <w:shd w:val="clear" w:color="auto" w:fill="auto"/>
              <w:spacing w:after="0" w:line="240" w:lineRule="auto"/>
              <w:ind w:left="211"/>
              <w:jc w:val="left"/>
              <w:rPr>
                <w:rFonts w:ascii="Helvetica" w:eastAsia="Arial Unicode MS" w:hAnsi="Helvetica" w:cs="Helvetica"/>
                <w:color w:val="000000"/>
                <w:sz w:val="6"/>
                <w:szCs w:val="6"/>
              </w:rPr>
            </w:pPr>
            <w:r>
              <w:rPr>
                <w:rFonts w:ascii="Helvetica" w:hAnsi="Helvetica"/>
                <w:color w:val="383838"/>
                <w:sz w:val="6"/>
              </w:rPr>
              <w:t>Lån og forskudd</w:t>
            </w:r>
          </w:p>
        </w:tc>
        <w:tc>
          <w:tcPr>
            <w:tcW w:w="395" w:type="dxa"/>
            <w:tcBorders>
              <w:top w:val="single" w:sz="4" w:space="0" w:color="auto"/>
              <w:left w:val="single" w:sz="4" w:space="0" w:color="auto"/>
            </w:tcBorders>
            <w:vAlign w:val="center"/>
          </w:tcPr>
          <w:p w14:paraId="725F88A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5609CB9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50D4AC7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vAlign w:val="center"/>
          </w:tcPr>
          <w:p w14:paraId="09E9ED3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6E3DF42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59CB62B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6A96E05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39287B7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vAlign w:val="center"/>
          </w:tcPr>
          <w:p w14:paraId="6115374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05F5AD3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3D026FA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2181D8E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0D6B904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7289E22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2EB507F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72008CC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1A26025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3F349F3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60CDECF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570942C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vAlign w:val="center"/>
          </w:tcPr>
          <w:p w14:paraId="1952E3B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1BF5E7A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43C3B54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460F0C1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vAlign w:val="center"/>
          </w:tcPr>
          <w:p w14:paraId="4A4F7BE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2" w:type="dxa"/>
            <w:tcBorders>
              <w:top w:val="single" w:sz="4" w:space="0" w:color="auto"/>
              <w:left w:val="single" w:sz="4" w:space="0" w:color="auto"/>
            </w:tcBorders>
            <w:vAlign w:val="center"/>
          </w:tcPr>
          <w:p w14:paraId="6651844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gridSpan w:val="2"/>
            <w:tcBorders>
              <w:top w:val="single" w:sz="4" w:space="0" w:color="auto"/>
              <w:left w:val="single" w:sz="4" w:space="0" w:color="auto"/>
            </w:tcBorders>
            <w:vAlign w:val="center"/>
          </w:tcPr>
          <w:p w14:paraId="604C10C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612B6CB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vAlign w:val="center"/>
          </w:tcPr>
          <w:p w14:paraId="59F78A7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2"/>
            <w:tcBorders>
              <w:top w:val="single" w:sz="4" w:space="0" w:color="auto"/>
              <w:left w:val="single" w:sz="4" w:space="0" w:color="auto"/>
            </w:tcBorders>
            <w:vAlign w:val="center"/>
          </w:tcPr>
          <w:p w14:paraId="0886ED9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3B5579D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575A6EB5" w14:textId="77777777">
        <w:trPr>
          <w:trHeight w:val="83"/>
        </w:trPr>
        <w:tc>
          <w:tcPr>
            <w:tcW w:w="942" w:type="dxa"/>
            <w:tcBorders>
              <w:top w:val="single" w:sz="4" w:space="0" w:color="auto"/>
              <w:left w:val="single" w:sz="4" w:space="0" w:color="auto"/>
            </w:tcBorders>
            <w:tcMar>
              <w:left w:w="0" w:type="dxa"/>
            </w:tcMar>
            <w:vAlign w:val="center"/>
          </w:tcPr>
          <w:p w14:paraId="28F9395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18</w:t>
            </w:r>
          </w:p>
        </w:tc>
        <w:tc>
          <w:tcPr>
            <w:tcW w:w="1798" w:type="dxa"/>
            <w:tcBorders>
              <w:top w:val="single" w:sz="4" w:space="0" w:color="auto"/>
              <w:left w:val="single" w:sz="4" w:space="0" w:color="auto"/>
            </w:tcBorders>
            <w:vAlign w:val="center"/>
          </w:tcPr>
          <w:p w14:paraId="7C1A181E" w14:textId="77777777" w:rsidR="006561BA" w:rsidRDefault="005B4ED6">
            <w:pPr>
              <w:widowControl w:val="0"/>
              <w:shd w:val="clear" w:color="auto" w:fill="auto"/>
              <w:spacing w:after="0" w:line="240" w:lineRule="auto"/>
              <w:ind w:left="211"/>
              <w:jc w:val="left"/>
              <w:rPr>
                <w:rFonts w:ascii="Helvetica" w:eastAsia="Arial Unicode MS" w:hAnsi="Helvetica" w:cs="Helvetica"/>
                <w:color w:val="000000"/>
                <w:sz w:val="6"/>
                <w:szCs w:val="6"/>
              </w:rPr>
            </w:pPr>
            <w:r>
              <w:rPr>
                <w:rFonts w:ascii="Helvetica" w:hAnsi="Helvetica"/>
                <w:color w:val="383838"/>
                <w:sz w:val="6"/>
              </w:rPr>
              <w:t>Gjeldsinstrumenter, herunder bruk av proveny</w:t>
            </w:r>
          </w:p>
        </w:tc>
        <w:tc>
          <w:tcPr>
            <w:tcW w:w="395" w:type="dxa"/>
            <w:tcBorders>
              <w:top w:val="single" w:sz="4" w:space="0" w:color="auto"/>
              <w:left w:val="single" w:sz="4" w:space="0" w:color="auto"/>
            </w:tcBorders>
            <w:vAlign w:val="center"/>
          </w:tcPr>
          <w:p w14:paraId="101C42B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56" w:type="dxa"/>
            <w:tcBorders>
              <w:top w:val="single" w:sz="4" w:space="0" w:color="auto"/>
              <w:left w:val="single" w:sz="4" w:space="0" w:color="auto"/>
            </w:tcBorders>
            <w:vAlign w:val="center"/>
          </w:tcPr>
          <w:p w14:paraId="27383E3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2"/>
            <w:tcBorders>
              <w:top w:val="single" w:sz="4" w:space="0" w:color="auto"/>
              <w:left w:val="single" w:sz="4" w:space="0" w:color="auto"/>
            </w:tcBorders>
            <w:vAlign w:val="center"/>
          </w:tcPr>
          <w:p w14:paraId="33B7DF1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39" w:type="dxa"/>
            <w:gridSpan w:val="2"/>
            <w:tcBorders>
              <w:top w:val="single" w:sz="4" w:space="0" w:color="auto"/>
              <w:left w:val="single" w:sz="4" w:space="0" w:color="auto"/>
            </w:tcBorders>
            <w:vAlign w:val="center"/>
          </w:tcPr>
          <w:p w14:paraId="2FF6025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9" w:type="dxa"/>
            <w:gridSpan w:val="2"/>
            <w:tcBorders>
              <w:top w:val="single" w:sz="4" w:space="0" w:color="auto"/>
              <w:left w:val="single" w:sz="4" w:space="0" w:color="auto"/>
            </w:tcBorders>
            <w:vAlign w:val="center"/>
          </w:tcPr>
          <w:p w14:paraId="0BC3C78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72" w:type="dxa"/>
            <w:gridSpan w:val="3"/>
            <w:tcBorders>
              <w:top w:val="single" w:sz="4" w:space="0" w:color="auto"/>
              <w:left w:val="single" w:sz="4" w:space="0" w:color="auto"/>
            </w:tcBorders>
            <w:vAlign w:val="center"/>
          </w:tcPr>
          <w:p w14:paraId="70CA414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17" w:type="dxa"/>
            <w:tcBorders>
              <w:top w:val="single" w:sz="4" w:space="0" w:color="auto"/>
              <w:left w:val="single" w:sz="4" w:space="0" w:color="auto"/>
            </w:tcBorders>
            <w:vAlign w:val="center"/>
          </w:tcPr>
          <w:p w14:paraId="1A38678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97" w:type="dxa"/>
            <w:gridSpan w:val="2"/>
            <w:tcBorders>
              <w:top w:val="single" w:sz="4" w:space="0" w:color="auto"/>
              <w:left w:val="single" w:sz="4" w:space="0" w:color="auto"/>
            </w:tcBorders>
            <w:vAlign w:val="center"/>
          </w:tcPr>
          <w:p w14:paraId="00E8EC1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2" w:type="dxa"/>
            <w:gridSpan w:val="2"/>
            <w:tcBorders>
              <w:top w:val="single" w:sz="4" w:space="0" w:color="auto"/>
              <w:left w:val="single" w:sz="4" w:space="0" w:color="auto"/>
            </w:tcBorders>
            <w:vAlign w:val="center"/>
          </w:tcPr>
          <w:p w14:paraId="02B5980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0B96197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48" w:type="dxa"/>
            <w:tcBorders>
              <w:top w:val="single" w:sz="4" w:space="0" w:color="auto"/>
              <w:left w:val="single" w:sz="4" w:space="0" w:color="auto"/>
            </w:tcBorders>
            <w:vAlign w:val="center"/>
          </w:tcPr>
          <w:p w14:paraId="185ABB5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6BD09A3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3CB8180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7D7E904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75" w:type="dxa"/>
            <w:gridSpan w:val="2"/>
            <w:tcBorders>
              <w:top w:val="single" w:sz="4" w:space="0" w:color="auto"/>
              <w:left w:val="single" w:sz="4" w:space="0" w:color="auto"/>
            </w:tcBorders>
            <w:vAlign w:val="center"/>
          </w:tcPr>
          <w:p w14:paraId="7B727F9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8" w:type="dxa"/>
            <w:gridSpan w:val="2"/>
            <w:tcBorders>
              <w:top w:val="single" w:sz="4" w:space="0" w:color="auto"/>
              <w:left w:val="single" w:sz="4" w:space="0" w:color="auto"/>
            </w:tcBorders>
            <w:vAlign w:val="center"/>
          </w:tcPr>
          <w:p w14:paraId="72957E8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6C23BD3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5" w:type="dxa"/>
            <w:gridSpan w:val="2"/>
            <w:tcBorders>
              <w:top w:val="single" w:sz="4" w:space="0" w:color="auto"/>
              <w:left w:val="single" w:sz="4" w:space="0" w:color="auto"/>
            </w:tcBorders>
            <w:vAlign w:val="center"/>
          </w:tcPr>
          <w:p w14:paraId="321E951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7" w:type="dxa"/>
            <w:tcBorders>
              <w:top w:val="single" w:sz="4" w:space="0" w:color="auto"/>
              <w:left w:val="single" w:sz="4" w:space="0" w:color="auto"/>
            </w:tcBorders>
            <w:vAlign w:val="center"/>
          </w:tcPr>
          <w:p w14:paraId="5A49559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4A644B7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0" w:type="dxa"/>
            <w:gridSpan w:val="2"/>
            <w:tcBorders>
              <w:top w:val="single" w:sz="4" w:space="0" w:color="auto"/>
              <w:left w:val="single" w:sz="4" w:space="0" w:color="auto"/>
            </w:tcBorders>
            <w:vAlign w:val="center"/>
          </w:tcPr>
          <w:p w14:paraId="04B0832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02A538D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50" w:type="dxa"/>
            <w:gridSpan w:val="2"/>
            <w:tcBorders>
              <w:top w:val="single" w:sz="4" w:space="0" w:color="auto"/>
              <w:left w:val="single" w:sz="4" w:space="0" w:color="auto"/>
            </w:tcBorders>
            <w:vAlign w:val="center"/>
          </w:tcPr>
          <w:p w14:paraId="1782E56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7" w:type="dxa"/>
            <w:gridSpan w:val="2"/>
            <w:tcBorders>
              <w:top w:val="single" w:sz="4" w:space="0" w:color="auto"/>
              <w:left w:val="single" w:sz="4" w:space="0" w:color="auto"/>
            </w:tcBorders>
            <w:vAlign w:val="center"/>
          </w:tcPr>
          <w:p w14:paraId="13A8657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3"/>
            <w:tcBorders>
              <w:top w:val="single" w:sz="4" w:space="0" w:color="auto"/>
              <w:left w:val="single" w:sz="4" w:space="0" w:color="auto"/>
            </w:tcBorders>
            <w:vAlign w:val="center"/>
          </w:tcPr>
          <w:p w14:paraId="3E4928B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2" w:type="dxa"/>
            <w:tcBorders>
              <w:top w:val="single" w:sz="4" w:space="0" w:color="auto"/>
              <w:left w:val="single" w:sz="4" w:space="0" w:color="auto"/>
            </w:tcBorders>
            <w:vAlign w:val="center"/>
          </w:tcPr>
          <w:p w14:paraId="17AB23C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6" w:type="dxa"/>
            <w:gridSpan w:val="2"/>
            <w:tcBorders>
              <w:top w:val="single" w:sz="4" w:space="0" w:color="auto"/>
              <w:left w:val="single" w:sz="4" w:space="0" w:color="auto"/>
            </w:tcBorders>
            <w:vAlign w:val="center"/>
          </w:tcPr>
          <w:p w14:paraId="1B8897C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1" w:type="dxa"/>
            <w:tcBorders>
              <w:top w:val="single" w:sz="4" w:space="0" w:color="auto"/>
              <w:left w:val="single" w:sz="4" w:space="0" w:color="auto"/>
            </w:tcBorders>
            <w:vAlign w:val="center"/>
          </w:tcPr>
          <w:p w14:paraId="6234A61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3"/>
            <w:tcBorders>
              <w:top w:val="single" w:sz="4" w:space="0" w:color="auto"/>
              <w:left w:val="single" w:sz="4" w:space="0" w:color="auto"/>
            </w:tcBorders>
            <w:vAlign w:val="center"/>
          </w:tcPr>
          <w:p w14:paraId="18D545B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2" w:type="dxa"/>
            <w:gridSpan w:val="2"/>
            <w:tcBorders>
              <w:top w:val="single" w:sz="4" w:space="0" w:color="auto"/>
              <w:left w:val="single" w:sz="4" w:space="0" w:color="auto"/>
            </w:tcBorders>
            <w:vAlign w:val="center"/>
          </w:tcPr>
          <w:p w14:paraId="48DFF9C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78" w:type="dxa"/>
            <w:tcBorders>
              <w:top w:val="single" w:sz="4" w:space="0" w:color="auto"/>
              <w:left w:val="single" w:sz="4" w:space="0" w:color="auto"/>
              <w:right w:val="single" w:sz="4" w:space="0" w:color="auto"/>
            </w:tcBorders>
            <w:vAlign w:val="center"/>
          </w:tcPr>
          <w:p w14:paraId="537F57D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563378B0" w14:textId="77777777">
        <w:trPr>
          <w:trHeight w:val="86"/>
        </w:trPr>
        <w:tc>
          <w:tcPr>
            <w:tcW w:w="942" w:type="dxa"/>
            <w:tcBorders>
              <w:top w:val="single" w:sz="4" w:space="0" w:color="auto"/>
              <w:left w:val="single" w:sz="4" w:space="0" w:color="auto"/>
            </w:tcBorders>
            <w:tcMar>
              <w:left w:w="0" w:type="dxa"/>
            </w:tcMar>
            <w:vAlign w:val="center"/>
          </w:tcPr>
          <w:p w14:paraId="4356032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19</w:t>
            </w:r>
          </w:p>
        </w:tc>
        <w:tc>
          <w:tcPr>
            <w:tcW w:w="1798" w:type="dxa"/>
            <w:tcBorders>
              <w:top w:val="single" w:sz="4" w:space="0" w:color="auto"/>
              <w:left w:val="single" w:sz="4" w:space="0" w:color="auto"/>
            </w:tcBorders>
            <w:vAlign w:val="center"/>
          </w:tcPr>
          <w:p w14:paraId="55C3AA23" w14:textId="77777777" w:rsidR="006561BA" w:rsidRDefault="005B4ED6">
            <w:pPr>
              <w:widowControl w:val="0"/>
              <w:shd w:val="clear" w:color="auto" w:fill="auto"/>
              <w:spacing w:after="0" w:line="240" w:lineRule="auto"/>
              <w:ind w:left="211"/>
              <w:jc w:val="left"/>
              <w:rPr>
                <w:rFonts w:ascii="Helvetica" w:eastAsia="Arial Unicode MS" w:hAnsi="Helvetica" w:cs="Helvetica"/>
                <w:color w:val="000000"/>
                <w:sz w:val="6"/>
                <w:szCs w:val="6"/>
              </w:rPr>
            </w:pPr>
            <w:r>
              <w:rPr>
                <w:rFonts w:ascii="Helvetica" w:hAnsi="Helvetica"/>
                <w:color w:val="383838"/>
                <w:sz w:val="6"/>
              </w:rPr>
              <w:t>Egenkapitalinstrumenter</w:t>
            </w:r>
          </w:p>
        </w:tc>
        <w:tc>
          <w:tcPr>
            <w:tcW w:w="395" w:type="dxa"/>
            <w:tcBorders>
              <w:top w:val="single" w:sz="4" w:space="0" w:color="auto"/>
              <w:left w:val="single" w:sz="4" w:space="0" w:color="auto"/>
            </w:tcBorders>
            <w:vAlign w:val="center"/>
          </w:tcPr>
          <w:p w14:paraId="4E62D8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411F6E7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6DDEA51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shd w:val="clear" w:color="auto" w:fill="000000"/>
            <w:vAlign w:val="center"/>
          </w:tcPr>
          <w:p w14:paraId="11709B4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2802D67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0FEAE9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4213662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7D425A2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shd w:val="clear" w:color="auto" w:fill="000000"/>
            <w:vAlign w:val="center"/>
          </w:tcPr>
          <w:p w14:paraId="758A6E2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5AB0A71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4607A80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2EC5D9A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000000"/>
            <w:vAlign w:val="center"/>
          </w:tcPr>
          <w:p w14:paraId="773ABB1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23287E1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637AAB5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740C517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000000"/>
            <w:vAlign w:val="center"/>
          </w:tcPr>
          <w:p w14:paraId="179F38A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524D051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6FC9BD9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297C23F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shd w:val="clear" w:color="auto" w:fill="000000"/>
            <w:vAlign w:val="center"/>
          </w:tcPr>
          <w:p w14:paraId="1A7BFB1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215D7F9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1AF3DD6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1882933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shd w:val="clear" w:color="auto" w:fill="000000"/>
            <w:vAlign w:val="center"/>
          </w:tcPr>
          <w:p w14:paraId="6455643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2" w:type="dxa"/>
            <w:tcBorders>
              <w:top w:val="single" w:sz="4" w:space="0" w:color="auto"/>
              <w:left w:val="single" w:sz="4" w:space="0" w:color="auto"/>
            </w:tcBorders>
            <w:vAlign w:val="center"/>
          </w:tcPr>
          <w:p w14:paraId="3AF177C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gridSpan w:val="2"/>
            <w:tcBorders>
              <w:top w:val="single" w:sz="4" w:space="0" w:color="auto"/>
              <w:left w:val="single" w:sz="4" w:space="0" w:color="auto"/>
            </w:tcBorders>
            <w:vAlign w:val="center"/>
          </w:tcPr>
          <w:p w14:paraId="5C8CEE2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259A08D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shd w:val="clear" w:color="auto" w:fill="000000"/>
            <w:vAlign w:val="center"/>
          </w:tcPr>
          <w:p w14:paraId="2153024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2"/>
            <w:tcBorders>
              <w:top w:val="single" w:sz="4" w:space="0" w:color="auto"/>
              <w:left w:val="single" w:sz="4" w:space="0" w:color="auto"/>
            </w:tcBorders>
            <w:vAlign w:val="center"/>
          </w:tcPr>
          <w:p w14:paraId="088BC25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74AAC42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74EF0987" w14:textId="77777777">
        <w:trPr>
          <w:trHeight w:val="90"/>
        </w:trPr>
        <w:tc>
          <w:tcPr>
            <w:tcW w:w="942" w:type="dxa"/>
            <w:tcBorders>
              <w:top w:val="single" w:sz="4" w:space="0" w:color="auto"/>
              <w:left w:val="single" w:sz="4" w:space="0" w:color="auto"/>
            </w:tcBorders>
            <w:tcMar>
              <w:left w:w="0" w:type="dxa"/>
            </w:tcMar>
            <w:vAlign w:val="center"/>
          </w:tcPr>
          <w:p w14:paraId="0FA9C91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20</w:t>
            </w:r>
          </w:p>
        </w:tc>
        <w:tc>
          <w:tcPr>
            <w:tcW w:w="1798" w:type="dxa"/>
            <w:tcBorders>
              <w:top w:val="single" w:sz="4" w:space="0" w:color="auto"/>
              <w:left w:val="single" w:sz="4" w:space="0" w:color="auto"/>
            </w:tcBorders>
            <w:vAlign w:val="center"/>
          </w:tcPr>
          <w:p w14:paraId="7F941FF7" w14:textId="77777777" w:rsidR="006561BA" w:rsidRDefault="005B4ED6">
            <w:pPr>
              <w:widowControl w:val="0"/>
              <w:shd w:val="clear" w:color="auto" w:fill="auto"/>
              <w:spacing w:after="0" w:line="240" w:lineRule="auto"/>
              <w:ind w:left="102"/>
              <w:jc w:val="left"/>
              <w:rPr>
                <w:rFonts w:ascii="Helvetica" w:eastAsia="Arial Unicode MS" w:hAnsi="Helvetica" w:cs="Helvetica"/>
                <w:b/>
                <w:color w:val="000000"/>
                <w:sz w:val="6"/>
                <w:szCs w:val="6"/>
              </w:rPr>
            </w:pPr>
            <w:r>
              <w:rPr>
                <w:rFonts w:ascii="Helvetica" w:hAnsi="Helvetica"/>
                <w:b/>
                <w:color w:val="000000"/>
                <w:sz w:val="6"/>
              </w:rPr>
              <w:t>Ikke-finansielle foretak</w:t>
            </w:r>
          </w:p>
        </w:tc>
        <w:tc>
          <w:tcPr>
            <w:tcW w:w="395" w:type="dxa"/>
            <w:tcBorders>
              <w:top w:val="single" w:sz="4" w:space="0" w:color="auto"/>
              <w:left w:val="single" w:sz="4" w:space="0" w:color="auto"/>
            </w:tcBorders>
            <w:vAlign w:val="center"/>
          </w:tcPr>
          <w:p w14:paraId="709B31C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0CD2750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00E0EC4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left w:val="single" w:sz="4" w:space="0" w:color="auto"/>
            </w:tcBorders>
            <w:vAlign w:val="center"/>
          </w:tcPr>
          <w:p w14:paraId="4FD646D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6A68DCD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53EDA3A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5EAD608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3C5C900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left w:val="single" w:sz="4" w:space="0" w:color="auto"/>
            </w:tcBorders>
            <w:vAlign w:val="center"/>
          </w:tcPr>
          <w:p w14:paraId="460E41D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2C00EB7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3A56E31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3252CA8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vAlign w:val="center"/>
          </w:tcPr>
          <w:p w14:paraId="2D30DA2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462E426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77B6CF7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3B413A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vAlign w:val="center"/>
          </w:tcPr>
          <w:p w14:paraId="5074FF3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336F272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4A3D3AD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2A07FF4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left w:val="single" w:sz="4" w:space="0" w:color="auto"/>
            </w:tcBorders>
            <w:vAlign w:val="center"/>
          </w:tcPr>
          <w:p w14:paraId="0FD8720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7D9C25D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6A6500D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3FDD766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left w:val="single" w:sz="4" w:space="0" w:color="auto"/>
            </w:tcBorders>
            <w:vAlign w:val="center"/>
          </w:tcPr>
          <w:p w14:paraId="2E13CF1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2" w:type="dxa"/>
            <w:tcBorders>
              <w:top w:val="single" w:sz="4" w:space="0" w:color="auto"/>
              <w:left w:val="single" w:sz="4" w:space="0" w:color="auto"/>
            </w:tcBorders>
            <w:vAlign w:val="center"/>
          </w:tcPr>
          <w:p w14:paraId="48FB98D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gridSpan w:val="2"/>
            <w:tcBorders>
              <w:top w:val="single" w:sz="4" w:space="0" w:color="auto"/>
              <w:left w:val="single" w:sz="4" w:space="0" w:color="auto"/>
            </w:tcBorders>
            <w:vAlign w:val="center"/>
          </w:tcPr>
          <w:p w14:paraId="7724406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44C6D13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left w:val="single" w:sz="4" w:space="0" w:color="auto"/>
            </w:tcBorders>
            <w:vAlign w:val="center"/>
          </w:tcPr>
          <w:p w14:paraId="1A55B85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2"/>
            <w:tcBorders>
              <w:top w:val="single" w:sz="4" w:space="0" w:color="auto"/>
              <w:left w:val="single" w:sz="4" w:space="0" w:color="auto"/>
            </w:tcBorders>
            <w:vAlign w:val="center"/>
          </w:tcPr>
          <w:p w14:paraId="658E081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14D971C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140ADE48" w14:textId="77777777">
        <w:trPr>
          <w:trHeight w:val="83"/>
        </w:trPr>
        <w:tc>
          <w:tcPr>
            <w:tcW w:w="942" w:type="dxa"/>
            <w:tcBorders>
              <w:top w:val="single" w:sz="4" w:space="0" w:color="auto"/>
              <w:left w:val="single" w:sz="4" w:space="0" w:color="auto"/>
            </w:tcBorders>
            <w:tcMar>
              <w:left w:w="0" w:type="dxa"/>
            </w:tcMar>
            <w:vAlign w:val="center"/>
          </w:tcPr>
          <w:p w14:paraId="114D744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21</w:t>
            </w:r>
          </w:p>
        </w:tc>
        <w:tc>
          <w:tcPr>
            <w:tcW w:w="1798" w:type="dxa"/>
            <w:tcBorders>
              <w:top w:val="single" w:sz="4" w:space="0" w:color="auto"/>
              <w:left w:val="single" w:sz="4" w:space="0" w:color="auto"/>
            </w:tcBorders>
            <w:vAlign w:val="center"/>
          </w:tcPr>
          <w:p w14:paraId="6371D753"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Lån og forskudd</w:t>
            </w:r>
          </w:p>
        </w:tc>
        <w:tc>
          <w:tcPr>
            <w:tcW w:w="395" w:type="dxa"/>
            <w:tcBorders>
              <w:top w:val="single" w:sz="4" w:space="0" w:color="auto"/>
              <w:left w:val="single" w:sz="4" w:space="0" w:color="auto"/>
            </w:tcBorders>
            <w:vAlign w:val="center"/>
          </w:tcPr>
          <w:p w14:paraId="215E72B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3F633E4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5D59104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vAlign w:val="center"/>
          </w:tcPr>
          <w:p w14:paraId="3CD2F9A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04C0E89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77A7D00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7BE4A15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0D0D752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vAlign w:val="center"/>
          </w:tcPr>
          <w:p w14:paraId="5854DD3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4AB87F9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2302DB0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3F99975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024F27B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31B2714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25B1025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12B4C2D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3BA475A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2F42213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170138D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24EF2FC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vAlign w:val="center"/>
          </w:tcPr>
          <w:p w14:paraId="0707E52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54EF653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7F0B74A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7586296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vAlign w:val="center"/>
          </w:tcPr>
          <w:p w14:paraId="36EFBB2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2" w:type="dxa"/>
            <w:tcBorders>
              <w:top w:val="single" w:sz="4" w:space="0" w:color="auto"/>
              <w:left w:val="single" w:sz="4" w:space="0" w:color="auto"/>
            </w:tcBorders>
            <w:vAlign w:val="center"/>
          </w:tcPr>
          <w:p w14:paraId="25EA789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gridSpan w:val="2"/>
            <w:tcBorders>
              <w:top w:val="single" w:sz="4" w:space="0" w:color="auto"/>
              <w:left w:val="single" w:sz="4" w:space="0" w:color="auto"/>
            </w:tcBorders>
            <w:vAlign w:val="center"/>
          </w:tcPr>
          <w:p w14:paraId="2F211B0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241619F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vAlign w:val="center"/>
          </w:tcPr>
          <w:p w14:paraId="7EEF8E7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2"/>
            <w:tcBorders>
              <w:top w:val="single" w:sz="4" w:space="0" w:color="auto"/>
              <w:left w:val="single" w:sz="4" w:space="0" w:color="auto"/>
            </w:tcBorders>
            <w:vAlign w:val="center"/>
          </w:tcPr>
          <w:p w14:paraId="473A6F9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27D7920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75111B61" w14:textId="77777777">
        <w:trPr>
          <w:trHeight w:val="83"/>
        </w:trPr>
        <w:tc>
          <w:tcPr>
            <w:tcW w:w="942" w:type="dxa"/>
            <w:tcBorders>
              <w:top w:val="single" w:sz="4" w:space="0" w:color="auto"/>
              <w:left w:val="single" w:sz="4" w:space="0" w:color="auto"/>
            </w:tcBorders>
            <w:tcMar>
              <w:left w:w="0" w:type="dxa"/>
            </w:tcMar>
            <w:vAlign w:val="center"/>
          </w:tcPr>
          <w:p w14:paraId="7FFE36A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22</w:t>
            </w:r>
          </w:p>
        </w:tc>
        <w:tc>
          <w:tcPr>
            <w:tcW w:w="1798" w:type="dxa"/>
            <w:tcBorders>
              <w:top w:val="single" w:sz="4" w:space="0" w:color="auto"/>
              <w:left w:val="single" w:sz="4" w:space="0" w:color="auto"/>
            </w:tcBorders>
            <w:vAlign w:val="center"/>
          </w:tcPr>
          <w:p w14:paraId="5683EEAC"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Gjeldsinstrumenter, herunder bruk av proveny</w:t>
            </w:r>
          </w:p>
        </w:tc>
        <w:tc>
          <w:tcPr>
            <w:tcW w:w="395" w:type="dxa"/>
            <w:tcBorders>
              <w:top w:val="single" w:sz="4" w:space="0" w:color="auto"/>
              <w:left w:val="single" w:sz="4" w:space="0" w:color="auto"/>
            </w:tcBorders>
            <w:vAlign w:val="center"/>
          </w:tcPr>
          <w:p w14:paraId="1E68314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56" w:type="dxa"/>
            <w:tcBorders>
              <w:top w:val="single" w:sz="4" w:space="0" w:color="auto"/>
              <w:left w:val="single" w:sz="4" w:space="0" w:color="auto"/>
            </w:tcBorders>
            <w:vAlign w:val="center"/>
          </w:tcPr>
          <w:p w14:paraId="1E38114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2"/>
            <w:tcBorders>
              <w:top w:val="single" w:sz="4" w:space="0" w:color="auto"/>
              <w:left w:val="single" w:sz="4" w:space="0" w:color="auto"/>
            </w:tcBorders>
            <w:vAlign w:val="center"/>
          </w:tcPr>
          <w:p w14:paraId="67FB43A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39" w:type="dxa"/>
            <w:gridSpan w:val="2"/>
            <w:tcBorders>
              <w:top w:val="single" w:sz="4" w:space="0" w:color="auto"/>
              <w:left w:val="single" w:sz="4" w:space="0" w:color="auto"/>
            </w:tcBorders>
            <w:vAlign w:val="center"/>
          </w:tcPr>
          <w:p w14:paraId="2D604C3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9" w:type="dxa"/>
            <w:gridSpan w:val="2"/>
            <w:tcBorders>
              <w:top w:val="single" w:sz="4" w:space="0" w:color="auto"/>
              <w:left w:val="single" w:sz="4" w:space="0" w:color="auto"/>
            </w:tcBorders>
            <w:vAlign w:val="center"/>
          </w:tcPr>
          <w:p w14:paraId="6258CA4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72" w:type="dxa"/>
            <w:gridSpan w:val="3"/>
            <w:tcBorders>
              <w:top w:val="single" w:sz="4" w:space="0" w:color="auto"/>
              <w:left w:val="single" w:sz="4" w:space="0" w:color="auto"/>
            </w:tcBorders>
            <w:vAlign w:val="center"/>
          </w:tcPr>
          <w:p w14:paraId="0355AA2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17" w:type="dxa"/>
            <w:tcBorders>
              <w:top w:val="single" w:sz="4" w:space="0" w:color="auto"/>
              <w:left w:val="single" w:sz="4" w:space="0" w:color="auto"/>
            </w:tcBorders>
            <w:vAlign w:val="center"/>
          </w:tcPr>
          <w:p w14:paraId="086DDDF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97" w:type="dxa"/>
            <w:gridSpan w:val="2"/>
            <w:tcBorders>
              <w:top w:val="single" w:sz="4" w:space="0" w:color="auto"/>
              <w:left w:val="single" w:sz="4" w:space="0" w:color="auto"/>
            </w:tcBorders>
            <w:vAlign w:val="center"/>
          </w:tcPr>
          <w:p w14:paraId="79E8CB8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2" w:type="dxa"/>
            <w:gridSpan w:val="2"/>
            <w:tcBorders>
              <w:top w:val="single" w:sz="4" w:space="0" w:color="auto"/>
              <w:left w:val="single" w:sz="4" w:space="0" w:color="auto"/>
            </w:tcBorders>
            <w:vAlign w:val="center"/>
          </w:tcPr>
          <w:p w14:paraId="72D4FDD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701B0E6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48" w:type="dxa"/>
            <w:tcBorders>
              <w:top w:val="single" w:sz="4" w:space="0" w:color="auto"/>
              <w:left w:val="single" w:sz="4" w:space="0" w:color="auto"/>
            </w:tcBorders>
            <w:vAlign w:val="center"/>
          </w:tcPr>
          <w:p w14:paraId="5905460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3A5CAA6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1001F0D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3580024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75" w:type="dxa"/>
            <w:gridSpan w:val="2"/>
            <w:tcBorders>
              <w:top w:val="single" w:sz="4" w:space="0" w:color="auto"/>
              <w:left w:val="single" w:sz="4" w:space="0" w:color="auto"/>
            </w:tcBorders>
            <w:vAlign w:val="center"/>
          </w:tcPr>
          <w:p w14:paraId="0AE51A4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8" w:type="dxa"/>
            <w:gridSpan w:val="2"/>
            <w:tcBorders>
              <w:top w:val="single" w:sz="4" w:space="0" w:color="auto"/>
              <w:left w:val="single" w:sz="4" w:space="0" w:color="auto"/>
            </w:tcBorders>
            <w:vAlign w:val="center"/>
          </w:tcPr>
          <w:p w14:paraId="122E6C5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19FE145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5" w:type="dxa"/>
            <w:gridSpan w:val="2"/>
            <w:tcBorders>
              <w:top w:val="single" w:sz="4" w:space="0" w:color="auto"/>
              <w:left w:val="single" w:sz="4" w:space="0" w:color="auto"/>
            </w:tcBorders>
            <w:vAlign w:val="center"/>
          </w:tcPr>
          <w:p w14:paraId="435E972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7" w:type="dxa"/>
            <w:tcBorders>
              <w:top w:val="single" w:sz="4" w:space="0" w:color="auto"/>
              <w:left w:val="single" w:sz="4" w:space="0" w:color="auto"/>
            </w:tcBorders>
            <w:vAlign w:val="center"/>
          </w:tcPr>
          <w:p w14:paraId="1ED8CB2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7DF705F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0" w:type="dxa"/>
            <w:gridSpan w:val="2"/>
            <w:tcBorders>
              <w:top w:val="single" w:sz="4" w:space="0" w:color="auto"/>
              <w:left w:val="single" w:sz="4" w:space="0" w:color="auto"/>
            </w:tcBorders>
            <w:vAlign w:val="center"/>
          </w:tcPr>
          <w:p w14:paraId="08ACAA4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630E103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50" w:type="dxa"/>
            <w:gridSpan w:val="2"/>
            <w:tcBorders>
              <w:top w:val="single" w:sz="4" w:space="0" w:color="auto"/>
              <w:left w:val="single" w:sz="4" w:space="0" w:color="auto"/>
            </w:tcBorders>
            <w:vAlign w:val="center"/>
          </w:tcPr>
          <w:p w14:paraId="2D91937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7" w:type="dxa"/>
            <w:gridSpan w:val="2"/>
            <w:tcBorders>
              <w:top w:val="single" w:sz="4" w:space="0" w:color="auto"/>
              <w:left w:val="single" w:sz="4" w:space="0" w:color="auto"/>
            </w:tcBorders>
            <w:vAlign w:val="center"/>
          </w:tcPr>
          <w:p w14:paraId="44D3ACA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3"/>
            <w:tcBorders>
              <w:top w:val="single" w:sz="4" w:space="0" w:color="auto"/>
              <w:left w:val="single" w:sz="4" w:space="0" w:color="auto"/>
            </w:tcBorders>
            <w:vAlign w:val="center"/>
          </w:tcPr>
          <w:p w14:paraId="07943E4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2" w:type="dxa"/>
            <w:tcBorders>
              <w:top w:val="single" w:sz="4" w:space="0" w:color="auto"/>
              <w:left w:val="single" w:sz="4" w:space="0" w:color="auto"/>
            </w:tcBorders>
            <w:vAlign w:val="center"/>
          </w:tcPr>
          <w:p w14:paraId="5D25933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6" w:type="dxa"/>
            <w:gridSpan w:val="2"/>
            <w:tcBorders>
              <w:top w:val="single" w:sz="4" w:space="0" w:color="auto"/>
              <w:left w:val="single" w:sz="4" w:space="0" w:color="auto"/>
            </w:tcBorders>
            <w:vAlign w:val="center"/>
          </w:tcPr>
          <w:p w14:paraId="058E718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1" w:type="dxa"/>
            <w:tcBorders>
              <w:top w:val="single" w:sz="4" w:space="0" w:color="auto"/>
              <w:left w:val="single" w:sz="4" w:space="0" w:color="auto"/>
            </w:tcBorders>
            <w:vAlign w:val="center"/>
          </w:tcPr>
          <w:p w14:paraId="44A58D1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3"/>
            <w:tcBorders>
              <w:top w:val="single" w:sz="4" w:space="0" w:color="auto"/>
              <w:left w:val="single" w:sz="4" w:space="0" w:color="auto"/>
            </w:tcBorders>
            <w:vAlign w:val="center"/>
          </w:tcPr>
          <w:p w14:paraId="1E21ED9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2" w:type="dxa"/>
            <w:gridSpan w:val="2"/>
            <w:tcBorders>
              <w:top w:val="single" w:sz="4" w:space="0" w:color="auto"/>
              <w:left w:val="single" w:sz="4" w:space="0" w:color="auto"/>
            </w:tcBorders>
            <w:vAlign w:val="center"/>
          </w:tcPr>
          <w:p w14:paraId="16A5867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78" w:type="dxa"/>
            <w:tcBorders>
              <w:top w:val="single" w:sz="4" w:space="0" w:color="auto"/>
              <w:left w:val="single" w:sz="4" w:space="0" w:color="auto"/>
              <w:right w:val="single" w:sz="4" w:space="0" w:color="auto"/>
            </w:tcBorders>
            <w:vAlign w:val="center"/>
          </w:tcPr>
          <w:p w14:paraId="6724425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7F806FB2" w14:textId="77777777">
        <w:trPr>
          <w:trHeight w:val="86"/>
        </w:trPr>
        <w:tc>
          <w:tcPr>
            <w:tcW w:w="942" w:type="dxa"/>
            <w:tcBorders>
              <w:top w:val="single" w:sz="4" w:space="0" w:color="auto"/>
              <w:left w:val="single" w:sz="4" w:space="0" w:color="auto"/>
            </w:tcBorders>
            <w:tcMar>
              <w:left w:w="0" w:type="dxa"/>
            </w:tcMar>
            <w:vAlign w:val="center"/>
          </w:tcPr>
          <w:p w14:paraId="2C543F0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23</w:t>
            </w:r>
          </w:p>
        </w:tc>
        <w:tc>
          <w:tcPr>
            <w:tcW w:w="1798" w:type="dxa"/>
            <w:tcBorders>
              <w:top w:val="single" w:sz="4" w:space="0" w:color="auto"/>
              <w:left w:val="single" w:sz="4" w:space="0" w:color="auto"/>
            </w:tcBorders>
            <w:vAlign w:val="center"/>
          </w:tcPr>
          <w:p w14:paraId="37034491"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Egenkapitalinstrumenter</w:t>
            </w:r>
          </w:p>
        </w:tc>
        <w:tc>
          <w:tcPr>
            <w:tcW w:w="395" w:type="dxa"/>
            <w:tcBorders>
              <w:top w:val="single" w:sz="4" w:space="0" w:color="auto"/>
              <w:left w:val="single" w:sz="4" w:space="0" w:color="auto"/>
            </w:tcBorders>
            <w:vAlign w:val="center"/>
          </w:tcPr>
          <w:p w14:paraId="136A31A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6C00091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5868C7D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shd w:val="clear" w:color="auto" w:fill="000000"/>
            <w:vAlign w:val="center"/>
          </w:tcPr>
          <w:p w14:paraId="46C8385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0A2606E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6FE450B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24FA6E0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365BD6B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shd w:val="clear" w:color="auto" w:fill="000000"/>
            <w:vAlign w:val="center"/>
          </w:tcPr>
          <w:p w14:paraId="7C47F71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6FDF802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6C434A2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6C81989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vMerge w:val="restart"/>
            <w:tcBorders>
              <w:top w:val="single" w:sz="4" w:space="0" w:color="auto"/>
            </w:tcBorders>
            <w:shd w:val="clear" w:color="auto" w:fill="000000"/>
            <w:vAlign w:val="center"/>
          </w:tcPr>
          <w:p w14:paraId="42C860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tcBorders>
            <w:vAlign w:val="center"/>
          </w:tcPr>
          <w:p w14:paraId="1C31BC1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3B0A9A9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20DAA9C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000000"/>
            <w:vAlign w:val="center"/>
          </w:tcPr>
          <w:p w14:paraId="7FB0970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349ECFE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4B9B454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1EBCDB7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tcBorders>
            <w:shd w:val="clear" w:color="auto" w:fill="000000"/>
            <w:vAlign w:val="center"/>
          </w:tcPr>
          <w:p w14:paraId="4E3CC3B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tcBorders>
            <w:vAlign w:val="center"/>
          </w:tcPr>
          <w:p w14:paraId="0C2E237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61147FF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6A7D6BA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tcBorders>
            <w:shd w:val="clear" w:color="auto" w:fill="000000"/>
            <w:vAlign w:val="center"/>
          </w:tcPr>
          <w:p w14:paraId="689913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2" w:type="dxa"/>
            <w:tcBorders>
              <w:top w:val="single" w:sz="4" w:space="0" w:color="auto"/>
            </w:tcBorders>
            <w:vAlign w:val="center"/>
          </w:tcPr>
          <w:p w14:paraId="5394E4C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gridSpan w:val="2"/>
            <w:tcBorders>
              <w:top w:val="single" w:sz="4" w:space="0" w:color="auto"/>
              <w:left w:val="single" w:sz="4" w:space="0" w:color="auto"/>
            </w:tcBorders>
            <w:vAlign w:val="center"/>
          </w:tcPr>
          <w:p w14:paraId="1218CB8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5C45E1B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shd w:val="clear" w:color="auto" w:fill="000000"/>
            <w:vAlign w:val="center"/>
          </w:tcPr>
          <w:p w14:paraId="7FF0651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2"/>
            <w:tcBorders>
              <w:top w:val="single" w:sz="4" w:space="0" w:color="auto"/>
              <w:left w:val="single" w:sz="4" w:space="0" w:color="auto"/>
            </w:tcBorders>
            <w:vAlign w:val="center"/>
          </w:tcPr>
          <w:p w14:paraId="4462439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08C8195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19B81988" w14:textId="77777777">
        <w:trPr>
          <w:trHeight w:val="90"/>
        </w:trPr>
        <w:tc>
          <w:tcPr>
            <w:tcW w:w="942" w:type="dxa"/>
            <w:tcBorders>
              <w:top w:val="single" w:sz="4" w:space="0" w:color="auto"/>
              <w:left w:val="single" w:sz="4" w:space="0" w:color="auto"/>
            </w:tcBorders>
            <w:tcMar>
              <w:left w:w="0" w:type="dxa"/>
            </w:tcMar>
            <w:vAlign w:val="center"/>
          </w:tcPr>
          <w:p w14:paraId="7D4A0B1A"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24</w:t>
            </w:r>
          </w:p>
        </w:tc>
        <w:tc>
          <w:tcPr>
            <w:tcW w:w="1798" w:type="dxa"/>
            <w:tcBorders>
              <w:top w:val="single" w:sz="4" w:space="0" w:color="auto"/>
              <w:left w:val="single" w:sz="4" w:space="0" w:color="auto"/>
            </w:tcBorders>
            <w:vAlign w:val="center"/>
          </w:tcPr>
          <w:p w14:paraId="1C98E600" w14:textId="77777777" w:rsidR="006561BA" w:rsidRDefault="005B4ED6">
            <w:pPr>
              <w:widowControl w:val="0"/>
              <w:shd w:val="clear" w:color="auto" w:fill="auto"/>
              <w:spacing w:after="0" w:line="240" w:lineRule="auto"/>
              <w:ind w:left="102"/>
              <w:jc w:val="left"/>
              <w:rPr>
                <w:rFonts w:ascii="Helvetica" w:eastAsia="Arial Unicode MS" w:hAnsi="Helvetica" w:cs="Helvetica"/>
                <w:color w:val="000000"/>
                <w:sz w:val="6"/>
                <w:szCs w:val="6"/>
              </w:rPr>
            </w:pPr>
            <w:r>
              <w:rPr>
                <w:rFonts w:ascii="Helvetica" w:hAnsi="Helvetica"/>
                <w:b/>
                <w:color w:val="000000"/>
                <w:sz w:val="6"/>
              </w:rPr>
              <w:t>Husholdninger</w:t>
            </w:r>
          </w:p>
        </w:tc>
        <w:tc>
          <w:tcPr>
            <w:tcW w:w="395" w:type="dxa"/>
            <w:tcBorders>
              <w:top w:val="single" w:sz="4" w:space="0" w:color="auto"/>
              <w:left w:val="single" w:sz="4" w:space="0" w:color="auto"/>
            </w:tcBorders>
            <w:vAlign w:val="center"/>
          </w:tcPr>
          <w:p w14:paraId="30BC43B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417EF31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3E41706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left w:val="single" w:sz="4" w:space="0" w:color="auto"/>
            </w:tcBorders>
            <w:vAlign w:val="center"/>
          </w:tcPr>
          <w:p w14:paraId="6F81391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4B77165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32A2023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0C3BF1A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72B2DFF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left w:val="single" w:sz="4" w:space="0" w:color="auto"/>
            </w:tcBorders>
            <w:vAlign w:val="center"/>
          </w:tcPr>
          <w:p w14:paraId="5348204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110B8B0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781" w:type="dxa"/>
            <w:gridSpan w:val="3"/>
            <w:shd w:val="clear" w:color="auto" w:fill="000000"/>
            <w:vAlign w:val="center"/>
          </w:tcPr>
          <w:p w14:paraId="02E164B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vMerge/>
            <w:shd w:val="clear" w:color="auto" w:fill="000000"/>
            <w:vAlign w:val="center"/>
          </w:tcPr>
          <w:p w14:paraId="1BE1537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shd w:val="clear" w:color="auto" w:fill="000000"/>
            <w:vAlign w:val="center"/>
          </w:tcPr>
          <w:p w14:paraId="2E4AC7C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tcBorders>
            <w:vAlign w:val="center"/>
          </w:tcPr>
          <w:p w14:paraId="05E00BB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7F2D67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vAlign w:val="center"/>
          </w:tcPr>
          <w:p w14:paraId="0BEF6B0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7AE8FBA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680" w:type="dxa"/>
            <w:gridSpan w:val="3"/>
            <w:shd w:val="clear" w:color="auto" w:fill="000000"/>
            <w:vAlign w:val="center"/>
          </w:tcPr>
          <w:p w14:paraId="570BEE6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shd w:val="clear" w:color="auto" w:fill="000000"/>
            <w:vAlign w:val="center"/>
          </w:tcPr>
          <w:p w14:paraId="7FC65F4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025" w:type="dxa"/>
            <w:gridSpan w:val="6"/>
            <w:shd w:val="clear" w:color="auto" w:fill="000000"/>
            <w:vAlign w:val="center"/>
          </w:tcPr>
          <w:p w14:paraId="7843046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shd w:val="clear" w:color="auto" w:fill="000000"/>
            <w:vAlign w:val="center"/>
          </w:tcPr>
          <w:p w14:paraId="3E0CF84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2" w:type="dxa"/>
            <w:shd w:val="clear" w:color="auto" w:fill="000000"/>
            <w:vAlign w:val="center"/>
          </w:tcPr>
          <w:p w14:paraId="129E78D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gridSpan w:val="2"/>
            <w:tcBorders>
              <w:top w:val="single" w:sz="4" w:space="0" w:color="auto"/>
            </w:tcBorders>
            <w:vAlign w:val="center"/>
          </w:tcPr>
          <w:p w14:paraId="648DB16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2ADBC79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left w:val="single" w:sz="4" w:space="0" w:color="auto"/>
            </w:tcBorders>
            <w:vAlign w:val="center"/>
          </w:tcPr>
          <w:p w14:paraId="4C839E8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2"/>
            <w:tcBorders>
              <w:top w:val="single" w:sz="4" w:space="0" w:color="auto"/>
              <w:left w:val="single" w:sz="4" w:space="0" w:color="auto"/>
            </w:tcBorders>
            <w:vAlign w:val="center"/>
          </w:tcPr>
          <w:p w14:paraId="70666CB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2466E05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1EC85B34" w14:textId="77777777">
        <w:trPr>
          <w:trHeight w:val="84"/>
        </w:trPr>
        <w:tc>
          <w:tcPr>
            <w:tcW w:w="942" w:type="dxa"/>
            <w:tcBorders>
              <w:top w:val="single" w:sz="4" w:space="0" w:color="auto"/>
              <w:left w:val="single" w:sz="4" w:space="0" w:color="auto"/>
            </w:tcBorders>
            <w:tcMar>
              <w:left w:w="0" w:type="dxa"/>
            </w:tcMar>
            <w:vAlign w:val="center"/>
          </w:tcPr>
          <w:p w14:paraId="46B8404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25</w:t>
            </w:r>
          </w:p>
        </w:tc>
        <w:tc>
          <w:tcPr>
            <w:tcW w:w="1798" w:type="dxa"/>
            <w:tcBorders>
              <w:top w:val="single" w:sz="4" w:space="0" w:color="auto"/>
              <w:left w:val="single" w:sz="4" w:space="0" w:color="auto"/>
            </w:tcBorders>
            <w:vAlign w:val="center"/>
          </w:tcPr>
          <w:p w14:paraId="25870E1B"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hvorav lån med sikkerhet i boligeiendommer</w:t>
            </w:r>
          </w:p>
        </w:tc>
        <w:tc>
          <w:tcPr>
            <w:tcW w:w="395" w:type="dxa"/>
            <w:tcBorders>
              <w:top w:val="single" w:sz="4" w:space="0" w:color="auto"/>
              <w:left w:val="single" w:sz="4" w:space="0" w:color="auto"/>
            </w:tcBorders>
            <w:vAlign w:val="center"/>
          </w:tcPr>
          <w:p w14:paraId="4934F6A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56" w:type="dxa"/>
            <w:tcBorders>
              <w:top w:val="single" w:sz="4" w:space="0" w:color="auto"/>
              <w:left w:val="single" w:sz="4" w:space="0" w:color="auto"/>
            </w:tcBorders>
            <w:vAlign w:val="center"/>
          </w:tcPr>
          <w:p w14:paraId="0FE649A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2"/>
            <w:tcBorders>
              <w:top w:val="single" w:sz="4" w:space="0" w:color="auto"/>
              <w:left w:val="single" w:sz="4" w:space="0" w:color="auto"/>
            </w:tcBorders>
            <w:vAlign w:val="center"/>
          </w:tcPr>
          <w:p w14:paraId="10A3F98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39" w:type="dxa"/>
            <w:gridSpan w:val="2"/>
            <w:tcBorders>
              <w:top w:val="single" w:sz="4" w:space="0" w:color="auto"/>
              <w:left w:val="single" w:sz="4" w:space="0" w:color="auto"/>
            </w:tcBorders>
            <w:vAlign w:val="center"/>
          </w:tcPr>
          <w:p w14:paraId="7DA8D84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9" w:type="dxa"/>
            <w:gridSpan w:val="2"/>
            <w:tcBorders>
              <w:top w:val="single" w:sz="4" w:space="0" w:color="auto"/>
              <w:left w:val="single" w:sz="4" w:space="0" w:color="auto"/>
            </w:tcBorders>
            <w:vAlign w:val="center"/>
          </w:tcPr>
          <w:p w14:paraId="517D2D7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72" w:type="dxa"/>
            <w:gridSpan w:val="3"/>
            <w:tcBorders>
              <w:top w:val="single" w:sz="4" w:space="0" w:color="auto"/>
              <w:left w:val="single" w:sz="4" w:space="0" w:color="auto"/>
            </w:tcBorders>
            <w:vAlign w:val="center"/>
          </w:tcPr>
          <w:p w14:paraId="4A4752F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17" w:type="dxa"/>
            <w:tcBorders>
              <w:top w:val="single" w:sz="4" w:space="0" w:color="auto"/>
              <w:left w:val="single" w:sz="4" w:space="0" w:color="auto"/>
            </w:tcBorders>
            <w:vAlign w:val="center"/>
          </w:tcPr>
          <w:p w14:paraId="2D46311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97" w:type="dxa"/>
            <w:gridSpan w:val="2"/>
            <w:tcBorders>
              <w:top w:val="single" w:sz="4" w:space="0" w:color="auto"/>
              <w:left w:val="single" w:sz="4" w:space="0" w:color="auto"/>
            </w:tcBorders>
            <w:vAlign w:val="center"/>
          </w:tcPr>
          <w:p w14:paraId="78D6CA2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2" w:type="dxa"/>
            <w:gridSpan w:val="2"/>
            <w:tcBorders>
              <w:top w:val="single" w:sz="4" w:space="0" w:color="auto"/>
              <w:left w:val="single" w:sz="4" w:space="0" w:color="auto"/>
            </w:tcBorders>
            <w:vAlign w:val="center"/>
          </w:tcPr>
          <w:p w14:paraId="6316F35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028340E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1515" w:type="dxa"/>
            <w:gridSpan w:val="7"/>
            <w:vMerge w:val="restart"/>
            <w:shd w:val="clear" w:color="auto" w:fill="000000"/>
            <w:vAlign w:val="center"/>
          </w:tcPr>
          <w:p w14:paraId="005CC88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75" w:type="dxa"/>
            <w:gridSpan w:val="2"/>
            <w:tcBorders>
              <w:top w:val="single" w:sz="4" w:space="0" w:color="auto"/>
            </w:tcBorders>
            <w:vAlign w:val="center"/>
          </w:tcPr>
          <w:p w14:paraId="02851C1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8" w:type="dxa"/>
            <w:gridSpan w:val="2"/>
            <w:tcBorders>
              <w:top w:val="single" w:sz="4" w:space="0" w:color="auto"/>
              <w:left w:val="single" w:sz="4" w:space="0" w:color="auto"/>
            </w:tcBorders>
            <w:vAlign w:val="center"/>
          </w:tcPr>
          <w:p w14:paraId="4793684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7D154CA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5" w:type="dxa"/>
            <w:gridSpan w:val="2"/>
            <w:tcBorders>
              <w:top w:val="single" w:sz="4" w:space="0" w:color="auto"/>
              <w:left w:val="single" w:sz="4" w:space="0" w:color="auto"/>
            </w:tcBorders>
            <w:vAlign w:val="center"/>
          </w:tcPr>
          <w:p w14:paraId="3529FF9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3" w:type="dxa"/>
            <w:gridSpan w:val="15"/>
            <w:vMerge w:val="restart"/>
            <w:shd w:val="clear" w:color="auto" w:fill="000000"/>
            <w:vAlign w:val="center"/>
          </w:tcPr>
          <w:p w14:paraId="273F907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6" w:type="dxa"/>
            <w:gridSpan w:val="2"/>
            <w:tcBorders>
              <w:top w:val="single" w:sz="4" w:space="0" w:color="auto"/>
            </w:tcBorders>
            <w:vAlign w:val="center"/>
          </w:tcPr>
          <w:p w14:paraId="4C96C13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1" w:type="dxa"/>
            <w:tcBorders>
              <w:top w:val="single" w:sz="4" w:space="0" w:color="auto"/>
              <w:left w:val="single" w:sz="4" w:space="0" w:color="auto"/>
            </w:tcBorders>
            <w:vAlign w:val="center"/>
          </w:tcPr>
          <w:p w14:paraId="4E7EF82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3"/>
            <w:tcBorders>
              <w:top w:val="single" w:sz="4" w:space="0" w:color="auto"/>
              <w:left w:val="single" w:sz="4" w:space="0" w:color="auto"/>
            </w:tcBorders>
            <w:vAlign w:val="center"/>
          </w:tcPr>
          <w:p w14:paraId="7801D6B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2" w:type="dxa"/>
            <w:gridSpan w:val="2"/>
            <w:tcBorders>
              <w:top w:val="single" w:sz="4" w:space="0" w:color="auto"/>
              <w:left w:val="single" w:sz="4" w:space="0" w:color="auto"/>
            </w:tcBorders>
            <w:vAlign w:val="center"/>
          </w:tcPr>
          <w:p w14:paraId="7997045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78" w:type="dxa"/>
            <w:tcBorders>
              <w:top w:val="single" w:sz="4" w:space="0" w:color="auto"/>
              <w:left w:val="single" w:sz="4" w:space="0" w:color="auto"/>
              <w:right w:val="single" w:sz="4" w:space="0" w:color="auto"/>
            </w:tcBorders>
            <w:vAlign w:val="center"/>
          </w:tcPr>
          <w:p w14:paraId="318D8F8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32798119" w14:textId="77777777">
        <w:trPr>
          <w:trHeight w:val="83"/>
        </w:trPr>
        <w:tc>
          <w:tcPr>
            <w:tcW w:w="942" w:type="dxa"/>
            <w:tcBorders>
              <w:top w:val="single" w:sz="4" w:space="0" w:color="auto"/>
              <w:left w:val="single" w:sz="4" w:space="0" w:color="auto"/>
            </w:tcBorders>
            <w:tcMar>
              <w:left w:w="0" w:type="dxa"/>
            </w:tcMar>
            <w:vAlign w:val="center"/>
          </w:tcPr>
          <w:p w14:paraId="075FAAF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26</w:t>
            </w:r>
          </w:p>
        </w:tc>
        <w:tc>
          <w:tcPr>
            <w:tcW w:w="1798" w:type="dxa"/>
            <w:tcBorders>
              <w:top w:val="single" w:sz="4" w:space="0" w:color="auto"/>
              <w:left w:val="single" w:sz="4" w:space="0" w:color="auto"/>
            </w:tcBorders>
            <w:vAlign w:val="center"/>
          </w:tcPr>
          <w:p w14:paraId="7C2E8DBC"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 xml:space="preserve">hvorav lån til </w:t>
            </w:r>
            <w:proofErr w:type="spellStart"/>
            <w:r>
              <w:rPr>
                <w:rFonts w:ascii="Helvetica" w:hAnsi="Helvetica"/>
                <w:color w:val="383838"/>
                <w:sz w:val="6"/>
              </w:rPr>
              <w:t>byggrenovering</w:t>
            </w:r>
            <w:proofErr w:type="spellEnd"/>
          </w:p>
        </w:tc>
        <w:tc>
          <w:tcPr>
            <w:tcW w:w="395" w:type="dxa"/>
            <w:tcBorders>
              <w:top w:val="single" w:sz="4" w:space="0" w:color="auto"/>
              <w:left w:val="single" w:sz="4" w:space="0" w:color="auto"/>
            </w:tcBorders>
            <w:vAlign w:val="center"/>
          </w:tcPr>
          <w:p w14:paraId="2100547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24B62E8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7C23D93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vAlign w:val="center"/>
          </w:tcPr>
          <w:p w14:paraId="0650191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49DEB38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7F99789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3DB4F89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62B0FBA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vAlign w:val="center"/>
          </w:tcPr>
          <w:p w14:paraId="3AB28D0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6EDA410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515" w:type="dxa"/>
            <w:gridSpan w:val="7"/>
            <w:vMerge/>
            <w:shd w:val="clear" w:color="auto" w:fill="000000"/>
            <w:vAlign w:val="center"/>
          </w:tcPr>
          <w:p w14:paraId="45FE904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tcBorders>
            <w:vAlign w:val="center"/>
          </w:tcPr>
          <w:p w14:paraId="51F2A81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6528986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616BC43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7E545F0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3" w:type="dxa"/>
            <w:gridSpan w:val="15"/>
            <w:vMerge/>
            <w:shd w:val="clear" w:color="auto" w:fill="000000"/>
            <w:vAlign w:val="center"/>
          </w:tcPr>
          <w:p w14:paraId="05CE8DF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gridSpan w:val="2"/>
            <w:tcBorders>
              <w:top w:val="single" w:sz="4" w:space="0" w:color="auto"/>
            </w:tcBorders>
            <w:vAlign w:val="center"/>
          </w:tcPr>
          <w:p w14:paraId="6028673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090D5F5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vAlign w:val="center"/>
          </w:tcPr>
          <w:p w14:paraId="610F275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2"/>
            <w:tcBorders>
              <w:top w:val="single" w:sz="4" w:space="0" w:color="auto"/>
              <w:left w:val="single" w:sz="4" w:space="0" w:color="auto"/>
            </w:tcBorders>
            <w:vAlign w:val="center"/>
          </w:tcPr>
          <w:p w14:paraId="1D65A1F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5F03DE7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4B0B95C8" w14:textId="77777777">
        <w:trPr>
          <w:trHeight w:val="86"/>
        </w:trPr>
        <w:tc>
          <w:tcPr>
            <w:tcW w:w="942" w:type="dxa"/>
            <w:tcBorders>
              <w:top w:val="single" w:sz="4" w:space="0" w:color="auto"/>
              <w:left w:val="single" w:sz="4" w:space="0" w:color="auto"/>
            </w:tcBorders>
            <w:tcMar>
              <w:left w:w="0" w:type="dxa"/>
            </w:tcMar>
            <w:vAlign w:val="center"/>
          </w:tcPr>
          <w:p w14:paraId="7A5A7312"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27</w:t>
            </w:r>
          </w:p>
        </w:tc>
        <w:tc>
          <w:tcPr>
            <w:tcW w:w="1798" w:type="dxa"/>
            <w:tcBorders>
              <w:top w:val="single" w:sz="4" w:space="0" w:color="auto"/>
              <w:left w:val="single" w:sz="4" w:space="0" w:color="auto"/>
            </w:tcBorders>
            <w:vAlign w:val="center"/>
          </w:tcPr>
          <w:p w14:paraId="7AFD7551"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000000"/>
                <w:sz w:val="6"/>
              </w:rPr>
              <w:t>hvorav billån</w:t>
            </w:r>
          </w:p>
        </w:tc>
        <w:tc>
          <w:tcPr>
            <w:tcW w:w="395" w:type="dxa"/>
            <w:tcBorders>
              <w:top w:val="single" w:sz="4" w:space="0" w:color="auto"/>
              <w:left w:val="single" w:sz="4" w:space="0" w:color="auto"/>
            </w:tcBorders>
            <w:vAlign w:val="center"/>
          </w:tcPr>
          <w:p w14:paraId="688AA75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2A42019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4143703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vAlign w:val="center"/>
          </w:tcPr>
          <w:p w14:paraId="5334EBE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304C16A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720CDA0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shd w:val="clear" w:color="auto" w:fill="000000" w:themeFill="text1"/>
            <w:vAlign w:val="center"/>
          </w:tcPr>
          <w:p w14:paraId="7216346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shd w:val="clear" w:color="auto" w:fill="000000" w:themeFill="text1"/>
            <w:vAlign w:val="center"/>
          </w:tcPr>
          <w:p w14:paraId="58E66F2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shd w:val="clear" w:color="auto" w:fill="000000" w:themeFill="text1"/>
            <w:vAlign w:val="center"/>
          </w:tcPr>
          <w:p w14:paraId="1B42E32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shd w:val="clear" w:color="auto" w:fill="000000" w:themeFill="text1"/>
            <w:vAlign w:val="center"/>
          </w:tcPr>
          <w:p w14:paraId="7010A9D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515" w:type="dxa"/>
            <w:gridSpan w:val="7"/>
            <w:vMerge/>
            <w:shd w:val="clear" w:color="auto" w:fill="000000"/>
            <w:vAlign w:val="center"/>
          </w:tcPr>
          <w:p w14:paraId="4A50FED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tcBorders>
            <w:shd w:val="clear" w:color="auto" w:fill="000000" w:themeFill="text1"/>
            <w:vAlign w:val="center"/>
          </w:tcPr>
          <w:p w14:paraId="204E491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shd w:val="clear" w:color="auto" w:fill="000000" w:themeFill="text1"/>
            <w:vAlign w:val="center"/>
          </w:tcPr>
          <w:p w14:paraId="7655D06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000000" w:themeFill="text1"/>
            <w:vAlign w:val="center"/>
          </w:tcPr>
          <w:p w14:paraId="5529580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shd w:val="clear" w:color="auto" w:fill="000000" w:themeFill="text1"/>
            <w:vAlign w:val="center"/>
          </w:tcPr>
          <w:p w14:paraId="2E232FE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3" w:type="dxa"/>
            <w:gridSpan w:val="15"/>
            <w:vMerge/>
            <w:shd w:val="clear" w:color="auto" w:fill="000000"/>
            <w:vAlign w:val="center"/>
          </w:tcPr>
          <w:p w14:paraId="16F19A9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gridSpan w:val="2"/>
            <w:tcBorders>
              <w:top w:val="single" w:sz="4" w:space="0" w:color="auto"/>
            </w:tcBorders>
            <w:vAlign w:val="center"/>
          </w:tcPr>
          <w:p w14:paraId="4DC38AD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61B3001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vAlign w:val="center"/>
          </w:tcPr>
          <w:p w14:paraId="2B189C2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2"/>
            <w:tcBorders>
              <w:top w:val="single" w:sz="4" w:space="0" w:color="auto"/>
              <w:left w:val="single" w:sz="4" w:space="0" w:color="auto"/>
            </w:tcBorders>
            <w:vAlign w:val="center"/>
          </w:tcPr>
          <w:p w14:paraId="6A2C27F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3B0507D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4DE5B1A0" w14:textId="77777777">
        <w:trPr>
          <w:trHeight w:val="90"/>
        </w:trPr>
        <w:tc>
          <w:tcPr>
            <w:tcW w:w="942" w:type="dxa"/>
            <w:tcBorders>
              <w:top w:val="single" w:sz="4" w:space="0" w:color="auto"/>
              <w:left w:val="single" w:sz="4" w:space="0" w:color="auto"/>
            </w:tcBorders>
            <w:tcMar>
              <w:left w:w="0" w:type="dxa"/>
            </w:tcMar>
            <w:vAlign w:val="center"/>
          </w:tcPr>
          <w:p w14:paraId="167DF41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28</w:t>
            </w:r>
          </w:p>
        </w:tc>
        <w:tc>
          <w:tcPr>
            <w:tcW w:w="1798" w:type="dxa"/>
            <w:tcBorders>
              <w:top w:val="single" w:sz="4" w:space="0" w:color="auto"/>
              <w:left w:val="single" w:sz="4" w:space="0" w:color="auto"/>
            </w:tcBorders>
            <w:vAlign w:val="center"/>
          </w:tcPr>
          <w:p w14:paraId="790A1FC5" w14:textId="77777777" w:rsidR="006561BA" w:rsidRDefault="005B4ED6">
            <w:pPr>
              <w:widowControl w:val="0"/>
              <w:shd w:val="clear" w:color="auto" w:fill="auto"/>
              <w:spacing w:after="0" w:line="240" w:lineRule="auto"/>
              <w:ind w:left="102"/>
              <w:jc w:val="left"/>
              <w:rPr>
                <w:rFonts w:ascii="Helvetica" w:eastAsia="Arial Unicode MS" w:hAnsi="Helvetica" w:cs="Helvetica"/>
                <w:b/>
                <w:color w:val="000000"/>
                <w:sz w:val="6"/>
                <w:szCs w:val="6"/>
              </w:rPr>
            </w:pPr>
            <w:r>
              <w:rPr>
                <w:rFonts w:ascii="Helvetica" w:hAnsi="Helvetica"/>
                <w:b/>
                <w:color w:val="000000"/>
                <w:sz w:val="6"/>
              </w:rPr>
              <w:t>Finansiering til lokale myndigheter</w:t>
            </w:r>
          </w:p>
        </w:tc>
        <w:tc>
          <w:tcPr>
            <w:tcW w:w="395" w:type="dxa"/>
            <w:tcBorders>
              <w:top w:val="single" w:sz="4" w:space="0" w:color="auto"/>
              <w:left w:val="single" w:sz="4" w:space="0" w:color="auto"/>
            </w:tcBorders>
            <w:vAlign w:val="center"/>
          </w:tcPr>
          <w:p w14:paraId="1471CDB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6CEDB6C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7689CD3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vAlign w:val="center"/>
          </w:tcPr>
          <w:p w14:paraId="1F9226B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44E4512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060A767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5A6EEA7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6C2615D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vAlign w:val="center"/>
          </w:tcPr>
          <w:p w14:paraId="0C21034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6987350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left w:val="single" w:sz="4" w:space="0" w:color="auto"/>
            </w:tcBorders>
            <w:vAlign w:val="center"/>
          </w:tcPr>
          <w:p w14:paraId="030A018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left w:val="single" w:sz="4" w:space="0" w:color="auto"/>
            </w:tcBorders>
            <w:vAlign w:val="center"/>
          </w:tcPr>
          <w:p w14:paraId="31EA0D9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left w:val="single" w:sz="4" w:space="0" w:color="auto"/>
            </w:tcBorders>
            <w:vAlign w:val="center"/>
          </w:tcPr>
          <w:p w14:paraId="7B17F00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left w:val="single" w:sz="4" w:space="0" w:color="auto"/>
            </w:tcBorders>
            <w:vAlign w:val="center"/>
          </w:tcPr>
          <w:p w14:paraId="6060711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6EE082C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3607232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4ADC74F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06812EB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left w:val="single" w:sz="4" w:space="0" w:color="auto"/>
            </w:tcBorders>
            <w:vAlign w:val="center"/>
          </w:tcPr>
          <w:p w14:paraId="24E9A7F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left w:val="single" w:sz="4" w:space="0" w:color="auto"/>
            </w:tcBorders>
            <w:vAlign w:val="center"/>
          </w:tcPr>
          <w:p w14:paraId="32DCF91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left w:val="single" w:sz="4" w:space="0" w:color="auto"/>
            </w:tcBorders>
            <w:vAlign w:val="center"/>
          </w:tcPr>
          <w:p w14:paraId="624C725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left w:val="single" w:sz="4" w:space="0" w:color="auto"/>
            </w:tcBorders>
            <w:vAlign w:val="center"/>
          </w:tcPr>
          <w:p w14:paraId="29CC74E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left w:val="single" w:sz="4" w:space="0" w:color="auto"/>
            </w:tcBorders>
            <w:vAlign w:val="center"/>
          </w:tcPr>
          <w:p w14:paraId="23AD022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left w:val="single" w:sz="4" w:space="0" w:color="auto"/>
            </w:tcBorders>
            <w:vAlign w:val="center"/>
          </w:tcPr>
          <w:p w14:paraId="3F387C4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left w:val="single" w:sz="4" w:space="0" w:color="auto"/>
            </w:tcBorders>
            <w:vAlign w:val="center"/>
          </w:tcPr>
          <w:p w14:paraId="75041E5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2" w:type="dxa"/>
            <w:tcBorders>
              <w:left w:val="single" w:sz="4" w:space="0" w:color="auto"/>
            </w:tcBorders>
            <w:vAlign w:val="center"/>
          </w:tcPr>
          <w:p w14:paraId="3A0C96B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gridSpan w:val="2"/>
            <w:tcBorders>
              <w:top w:val="single" w:sz="4" w:space="0" w:color="auto"/>
              <w:left w:val="single" w:sz="4" w:space="0" w:color="auto"/>
            </w:tcBorders>
            <w:vAlign w:val="center"/>
          </w:tcPr>
          <w:p w14:paraId="0FFEE3C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4075992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vAlign w:val="center"/>
          </w:tcPr>
          <w:p w14:paraId="7A80F55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2"/>
            <w:tcBorders>
              <w:top w:val="single" w:sz="4" w:space="0" w:color="auto"/>
              <w:left w:val="single" w:sz="4" w:space="0" w:color="auto"/>
            </w:tcBorders>
            <w:vAlign w:val="center"/>
          </w:tcPr>
          <w:p w14:paraId="4050B65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7370EA9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0945E785" w14:textId="77777777">
        <w:trPr>
          <w:trHeight w:val="83"/>
        </w:trPr>
        <w:tc>
          <w:tcPr>
            <w:tcW w:w="942" w:type="dxa"/>
            <w:tcBorders>
              <w:top w:val="single" w:sz="4" w:space="0" w:color="auto"/>
              <w:left w:val="single" w:sz="4" w:space="0" w:color="auto"/>
            </w:tcBorders>
            <w:tcMar>
              <w:left w:w="0" w:type="dxa"/>
            </w:tcMar>
            <w:vAlign w:val="center"/>
          </w:tcPr>
          <w:p w14:paraId="7FDC154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29</w:t>
            </w:r>
          </w:p>
        </w:tc>
        <w:tc>
          <w:tcPr>
            <w:tcW w:w="1798" w:type="dxa"/>
            <w:tcBorders>
              <w:top w:val="single" w:sz="4" w:space="0" w:color="auto"/>
              <w:left w:val="single" w:sz="4" w:space="0" w:color="auto"/>
            </w:tcBorders>
            <w:vAlign w:val="center"/>
          </w:tcPr>
          <w:p w14:paraId="39290994"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Boligfinansiering</w:t>
            </w:r>
          </w:p>
        </w:tc>
        <w:tc>
          <w:tcPr>
            <w:tcW w:w="395" w:type="dxa"/>
            <w:tcBorders>
              <w:top w:val="single" w:sz="4" w:space="0" w:color="auto"/>
              <w:left w:val="single" w:sz="4" w:space="0" w:color="auto"/>
            </w:tcBorders>
            <w:vAlign w:val="center"/>
          </w:tcPr>
          <w:p w14:paraId="7661430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vAlign w:val="center"/>
          </w:tcPr>
          <w:p w14:paraId="0C54B88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vAlign w:val="center"/>
          </w:tcPr>
          <w:p w14:paraId="29382FB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vAlign w:val="center"/>
          </w:tcPr>
          <w:p w14:paraId="6B8B786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vAlign w:val="center"/>
          </w:tcPr>
          <w:p w14:paraId="60975AC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vAlign w:val="center"/>
          </w:tcPr>
          <w:p w14:paraId="2982E0F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vAlign w:val="center"/>
          </w:tcPr>
          <w:p w14:paraId="1CFCEE3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vAlign w:val="center"/>
          </w:tcPr>
          <w:p w14:paraId="2E4BC4A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vAlign w:val="center"/>
          </w:tcPr>
          <w:p w14:paraId="2BC4A44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31DFB8B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vAlign w:val="center"/>
          </w:tcPr>
          <w:p w14:paraId="6EBE652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193A674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7097C80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09E0D2B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vAlign w:val="center"/>
          </w:tcPr>
          <w:p w14:paraId="10FF7B6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vAlign w:val="center"/>
          </w:tcPr>
          <w:p w14:paraId="342D497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vAlign w:val="center"/>
          </w:tcPr>
          <w:p w14:paraId="48679B5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vAlign w:val="center"/>
          </w:tcPr>
          <w:p w14:paraId="49C02FC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vAlign w:val="center"/>
          </w:tcPr>
          <w:p w14:paraId="6CF5BBD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vAlign w:val="center"/>
          </w:tcPr>
          <w:p w14:paraId="2A33D2B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vAlign w:val="center"/>
          </w:tcPr>
          <w:p w14:paraId="2127858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vAlign w:val="center"/>
          </w:tcPr>
          <w:p w14:paraId="043A7E1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vAlign w:val="center"/>
          </w:tcPr>
          <w:p w14:paraId="5303D70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vAlign w:val="center"/>
          </w:tcPr>
          <w:p w14:paraId="555C000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vAlign w:val="center"/>
          </w:tcPr>
          <w:p w14:paraId="4578FA8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2" w:type="dxa"/>
            <w:tcBorders>
              <w:top w:val="single" w:sz="4" w:space="0" w:color="auto"/>
              <w:left w:val="single" w:sz="4" w:space="0" w:color="auto"/>
            </w:tcBorders>
            <w:vAlign w:val="center"/>
          </w:tcPr>
          <w:p w14:paraId="4D2F266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gridSpan w:val="2"/>
            <w:tcBorders>
              <w:top w:val="single" w:sz="4" w:space="0" w:color="auto"/>
              <w:left w:val="single" w:sz="4" w:space="0" w:color="auto"/>
            </w:tcBorders>
            <w:vAlign w:val="center"/>
          </w:tcPr>
          <w:p w14:paraId="24E0AA0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vAlign w:val="center"/>
          </w:tcPr>
          <w:p w14:paraId="59E70D3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vAlign w:val="center"/>
          </w:tcPr>
          <w:p w14:paraId="0FF2751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2"/>
            <w:tcBorders>
              <w:top w:val="single" w:sz="4" w:space="0" w:color="auto"/>
              <w:left w:val="single" w:sz="4" w:space="0" w:color="auto"/>
            </w:tcBorders>
            <w:vAlign w:val="center"/>
          </w:tcPr>
          <w:p w14:paraId="6383784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vAlign w:val="center"/>
          </w:tcPr>
          <w:p w14:paraId="45A9419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2BE690EF" w14:textId="77777777">
        <w:trPr>
          <w:trHeight w:val="86"/>
        </w:trPr>
        <w:tc>
          <w:tcPr>
            <w:tcW w:w="942" w:type="dxa"/>
            <w:tcBorders>
              <w:top w:val="single" w:sz="4" w:space="0" w:color="auto"/>
              <w:left w:val="single" w:sz="4" w:space="0" w:color="auto"/>
            </w:tcBorders>
            <w:tcMar>
              <w:left w:w="0" w:type="dxa"/>
            </w:tcMar>
            <w:vAlign w:val="center"/>
          </w:tcPr>
          <w:p w14:paraId="59CF8C7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30</w:t>
            </w:r>
          </w:p>
        </w:tc>
        <w:tc>
          <w:tcPr>
            <w:tcW w:w="1798" w:type="dxa"/>
            <w:tcBorders>
              <w:top w:val="single" w:sz="4" w:space="0" w:color="auto"/>
              <w:left w:val="single" w:sz="4" w:space="0" w:color="auto"/>
            </w:tcBorders>
            <w:vAlign w:val="center"/>
          </w:tcPr>
          <w:p w14:paraId="0A4D99F0"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Annen finansiering av lokale myndigheter</w:t>
            </w:r>
          </w:p>
        </w:tc>
        <w:tc>
          <w:tcPr>
            <w:tcW w:w="395" w:type="dxa"/>
            <w:tcBorders>
              <w:top w:val="single" w:sz="4" w:space="0" w:color="auto"/>
              <w:left w:val="single" w:sz="4" w:space="0" w:color="auto"/>
            </w:tcBorders>
            <w:vAlign w:val="center"/>
          </w:tcPr>
          <w:p w14:paraId="5E174FB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56" w:type="dxa"/>
            <w:tcBorders>
              <w:top w:val="single" w:sz="4" w:space="0" w:color="auto"/>
              <w:left w:val="single" w:sz="4" w:space="0" w:color="auto"/>
            </w:tcBorders>
            <w:vAlign w:val="center"/>
          </w:tcPr>
          <w:p w14:paraId="3F5952C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2"/>
            <w:tcBorders>
              <w:top w:val="single" w:sz="4" w:space="0" w:color="auto"/>
              <w:left w:val="single" w:sz="4" w:space="0" w:color="auto"/>
            </w:tcBorders>
            <w:vAlign w:val="center"/>
          </w:tcPr>
          <w:p w14:paraId="60C88FF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39" w:type="dxa"/>
            <w:gridSpan w:val="2"/>
            <w:tcBorders>
              <w:top w:val="single" w:sz="4" w:space="0" w:color="auto"/>
              <w:left w:val="single" w:sz="4" w:space="0" w:color="auto"/>
            </w:tcBorders>
            <w:vAlign w:val="center"/>
          </w:tcPr>
          <w:p w14:paraId="0947555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9" w:type="dxa"/>
            <w:gridSpan w:val="2"/>
            <w:tcBorders>
              <w:top w:val="single" w:sz="4" w:space="0" w:color="auto"/>
              <w:left w:val="single" w:sz="4" w:space="0" w:color="auto"/>
            </w:tcBorders>
            <w:vAlign w:val="center"/>
          </w:tcPr>
          <w:p w14:paraId="10A0B77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72" w:type="dxa"/>
            <w:gridSpan w:val="3"/>
            <w:tcBorders>
              <w:top w:val="single" w:sz="4" w:space="0" w:color="auto"/>
              <w:left w:val="single" w:sz="4" w:space="0" w:color="auto"/>
            </w:tcBorders>
            <w:vAlign w:val="center"/>
          </w:tcPr>
          <w:p w14:paraId="00AAAB5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17" w:type="dxa"/>
            <w:tcBorders>
              <w:top w:val="single" w:sz="4" w:space="0" w:color="auto"/>
              <w:left w:val="single" w:sz="4" w:space="0" w:color="auto"/>
            </w:tcBorders>
            <w:vAlign w:val="center"/>
          </w:tcPr>
          <w:p w14:paraId="2E7D00E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97" w:type="dxa"/>
            <w:gridSpan w:val="2"/>
            <w:tcBorders>
              <w:top w:val="single" w:sz="4" w:space="0" w:color="auto"/>
              <w:left w:val="single" w:sz="4" w:space="0" w:color="auto"/>
            </w:tcBorders>
            <w:vAlign w:val="center"/>
          </w:tcPr>
          <w:p w14:paraId="0C9869E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2" w:type="dxa"/>
            <w:gridSpan w:val="2"/>
            <w:tcBorders>
              <w:top w:val="single" w:sz="4" w:space="0" w:color="auto"/>
              <w:left w:val="single" w:sz="4" w:space="0" w:color="auto"/>
            </w:tcBorders>
            <w:vAlign w:val="center"/>
          </w:tcPr>
          <w:p w14:paraId="4E23629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3E89849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48" w:type="dxa"/>
            <w:tcBorders>
              <w:top w:val="single" w:sz="4" w:space="0" w:color="auto"/>
              <w:left w:val="single" w:sz="4" w:space="0" w:color="auto"/>
            </w:tcBorders>
            <w:vAlign w:val="center"/>
          </w:tcPr>
          <w:p w14:paraId="3CAFAB0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3A42260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16B8E01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4D7A73A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75" w:type="dxa"/>
            <w:gridSpan w:val="2"/>
            <w:tcBorders>
              <w:top w:val="single" w:sz="4" w:space="0" w:color="auto"/>
              <w:left w:val="single" w:sz="4" w:space="0" w:color="auto"/>
            </w:tcBorders>
            <w:vAlign w:val="center"/>
          </w:tcPr>
          <w:p w14:paraId="6DB3B39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8" w:type="dxa"/>
            <w:gridSpan w:val="2"/>
            <w:tcBorders>
              <w:top w:val="single" w:sz="4" w:space="0" w:color="auto"/>
              <w:left w:val="single" w:sz="4" w:space="0" w:color="auto"/>
            </w:tcBorders>
            <w:vAlign w:val="center"/>
          </w:tcPr>
          <w:p w14:paraId="21FCC31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78D4A46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5" w:type="dxa"/>
            <w:gridSpan w:val="2"/>
            <w:tcBorders>
              <w:top w:val="single" w:sz="4" w:space="0" w:color="auto"/>
              <w:left w:val="single" w:sz="4" w:space="0" w:color="auto"/>
            </w:tcBorders>
            <w:vAlign w:val="center"/>
          </w:tcPr>
          <w:p w14:paraId="10B461A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7" w:type="dxa"/>
            <w:tcBorders>
              <w:top w:val="single" w:sz="4" w:space="0" w:color="auto"/>
              <w:left w:val="single" w:sz="4" w:space="0" w:color="auto"/>
            </w:tcBorders>
            <w:vAlign w:val="center"/>
          </w:tcPr>
          <w:p w14:paraId="73133A4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43AFA43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0" w:type="dxa"/>
            <w:gridSpan w:val="2"/>
            <w:tcBorders>
              <w:top w:val="single" w:sz="4" w:space="0" w:color="auto"/>
              <w:left w:val="single" w:sz="4" w:space="0" w:color="auto"/>
            </w:tcBorders>
            <w:vAlign w:val="center"/>
          </w:tcPr>
          <w:p w14:paraId="443C881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613E6CB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50" w:type="dxa"/>
            <w:gridSpan w:val="2"/>
            <w:tcBorders>
              <w:top w:val="single" w:sz="4" w:space="0" w:color="auto"/>
              <w:left w:val="single" w:sz="4" w:space="0" w:color="auto"/>
            </w:tcBorders>
            <w:vAlign w:val="center"/>
          </w:tcPr>
          <w:p w14:paraId="32DE954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7" w:type="dxa"/>
            <w:gridSpan w:val="2"/>
            <w:tcBorders>
              <w:top w:val="single" w:sz="4" w:space="0" w:color="auto"/>
              <w:left w:val="single" w:sz="4" w:space="0" w:color="auto"/>
            </w:tcBorders>
            <w:vAlign w:val="center"/>
          </w:tcPr>
          <w:p w14:paraId="2012BAD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3"/>
            <w:tcBorders>
              <w:top w:val="single" w:sz="4" w:space="0" w:color="auto"/>
              <w:left w:val="single" w:sz="4" w:space="0" w:color="auto"/>
            </w:tcBorders>
            <w:vAlign w:val="center"/>
          </w:tcPr>
          <w:p w14:paraId="099673F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2" w:type="dxa"/>
            <w:tcBorders>
              <w:top w:val="single" w:sz="4" w:space="0" w:color="auto"/>
              <w:left w:val="single" w:sz="4" w:space="0" w:color="auto"/>
            </w:tcBorders>
            <w:vAlign w:val="center"/>
          </w:tcPr>
          <w:p w14:paraId="6BEC9F5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6" w:type="dxa"/>
            <w:gridSpan w:val="2"/>
            <w:tcBorders>
              <w:top w:val="single" w:sz="4" w:space="0" w:color="auto"/>
              <w:left w:val="single" w:sz="4" w:space="0" w:color="auto"/>
            </w:tcBorders>
            <w:vAlign w:val="center"/>
          </w:tcPr>
          <w:p w14:paraId="6FAA35D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1" w:type="dxa"/>
            <w:tcBorders>
              <w:top w:val="single" w:sz="4" w:space="0" w:color="auto"/>
              <w:left w:val="single" w:sz="4" w:space="0" w:color="auto"/>
            </w:tcBorders>
            <w:vAlign w:val="center"/>
          </w:tcPr>
          <w:p w14:paraId="6FE0FDA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3"/>
            <w:tcBorders>
              <w:top w:val="single" w:sz="4" w:space="0" w:color="auto"/>
              <w:left w:val="single" w:sz="4" w:space="0" w:color="auto"/>
            </w:tcBorders>
            <w:vAlign w:val="center"/>
          </w:tcPr>
          <w:p w14:paraId="256EF90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2" w:type="dxa"/>
            <w:gridSpan w:val="2"/>
            <w:tcBorders>
              <w:top w:val="single" w:sz="4" w:space="0" w:color="auto"/>
              <w:left w:val="single" w:sz="4" w:space="0" w:color="auto"/>
            </w:tcBorders>
            <w:vAlign w:val="center"/>
          </w:tcPr>
          <w:p w14:paraId="2D5579C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78" w:type="dxa"/>
            <w:tcBorders>
              <w:top w:val="single" w:sz="4" w:space="0" w:color="auto"/>
              <w:left w:val="single" w:sz="4" w:space="0" w:color="auto"/>
              <w:right w:val="single" w:sz="4" w:space="0" w:color="auto"/>
            </w:tcBorders>
            <w:vAlign w:val="center"/>
          </w:tcPr>
          <w:p w14:paraId="432CE1F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53091689" w14:textId="77777777">
        <w:trPr>
          <w:trHeight w:val="173"/>
        </w:trPr>
        <w:tc>
          <w:tcPr>
            <w:tcW w:w="942" w:type="dxa"/>
            <w:tcBorders>
              <w:top w:val="single" w:sz="4" w:space="0" w:color="auto"/>
              <w:left w:val="single" w:sz="4" w:space="0" w:color="auto"/>
            </w:tcBorders>
            <w:tcMar>
              <w:left w:w="0" w:type="dxa"/>
            </w:tcMar>
            <w:vAlign w:val="center"/>
          </w:tcPr>
          <w:p w14:paraId="4752FB7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31</w:t>
            </w:r>
          </w:p>
        </w:tc>
        <w:tc>
          <w:tcPr>
            <w:tcW w:w="1798" w:type="dxa"/>
            <w:tcBorders>
              <w:top w:val="single" w:sz="4" w:space="0" w:color="auto"/>
              <w:left w:val="single" w:sz="4" w:space="0" w:color="auto"/>
            </w:tcBorders>
            <w:vAlign w:val="center"/>
          </w:tcPr>
          <w:p w14:paraId="5586BC02" w14:textId="77777777" w:rsidR="006561BA" w:rsidRDefault="005B4ED6">
            <w:pPr>
              <w:widowControl w:val="0"/>
              <w:shd w:val="clear" w:color="auto" w:fill="auto"/>
              <w:spacing w:after="0" w:line="240" w:lineRule="auto"/>
              <w:ind w:left="102"/>
              <w:jc w:val="left"/>
              <w:rPr>
                <w:rFonts w:ascii="Helvetica" w:eastAsia="Arial Unicode MS" w:hAnsi="Helvetica" w:cs="Helvetica"/>
                <w:color w:val="000000"/>
                <w:sz w:val="6"/>
                <w:szCs w:val="6"/>
              </w:rPr>
            </w:pPr>
            <w:r>
              <w:rPr>
                <w:rFonts w:ascii="Helvetica" w:hAnsi="Helvetica"/>
                <w:b/>
                <w:color w:val="000000"/>
                <w:sz w:val="6"/>
              </w:rPr>
              <w:t>Overtatte sikkerheter: bolig- og næringseiendommer</w:t>
            </w:r>
          </w:p>
        </w:tc>
        <w:tc>
          <w:tcPr>
            <w:tcW w:w="395" w:type="dxa"/>
            <w:tcBorders>
              <w:top w:val="single" w:sz="4" w:space="0" w:color="auto"/>
              <w:left w:val="single" w:sz="4" w:space="0" w:color="auto"/>
            </w:tcBorders>
            <w:vAlign w:val="center"/>
          </w:tcPr>
          <w:p w14:paraId="2CE76B2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56" w:type="dxa"/>
            <w:tcBorders>
              <w:top w:val="single" w:sz="4" w:space="0" w:color="auto"/>
              <w:left w:val="single" w:sz="4" w:space="0" w:color="auto"/>
            </w:tcBorders>
            <w:vAlign w:val="center"/>
          </w:tcPr>
          <w:p w14:paraId="4506632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2"/>
            <w:tcBorders>
              <w:top w:val="single" w:sz="4" w:space="0" w:color="auto"/>
              <w:left w:val="single" w:sz="4" w:space="0" w:color="auto"/>
            </w:tcBorders>
            <w:vAlign w:val="center"/>
          </w:tcPr>
          <w:p w14:paraId="21169A8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39" w:type="dxa"/>
            <w:gridSpan w:val="2"/>
            <w:tcBorders>
              <w:top w:val="single" w:sz="4" w:space="0" w:color="auto"/>
              <w:left w:val="single" w:sz="4" w:space="0" w:color="auto"/>
            </w:tcBorders>
            <w:vAlign w:val="center"/>
          </w:tcPr>
          <w:p w14:paraId="7B33BC5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9" w:type="dxa"/>
            <w:gridSpan w:val="2"/>
            <w:tcBorders>
              <w:top w:val="single" w:sz="4" w:space="0" w:color="auto"/>
              <w:left w:val="single" w:sz="4" w:space="0" w:color="auto"/>
            </w:tcBorders>
            <w:vAlign w:val="center"/>
          </w:tcPr>
          <w:p w14:paraId="0ACDE48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72" w:type="dxa"/>
            <w:gridSpan w:val="3"/>
            <w:tcBorders>
              <w:top w:val="single" w:sz="4" w:space="0" w:color="auto"/>
              <w:left w:val="single" w:sz="4" w:space="0" w:color="auto"/>
            </w:tcBorders>
            <w:vAlign w:val="center"/>
          </w:tcPr>
          <w:p w14:paraId="17C5A18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17" w:type="dxa"/>
            <w:tcBorders>
              <w:top w:val="single" w:sz="4" w:space="0" w:color="auto"/>
              <w:left w:val="single" w:sz="4" w:space="0" w:color="auto"/>
            </w:tcBorders>
            <w:vAlign w:val="center"/>
          </w:tcPr>
          <w:p w14:paraId="13D1B91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97" w:type="dxa"/>
            <w:gridSpan w:val="2"/>
            <w:tcBorders>
              <w:top w:val="single" w:sz="4" w:space="0" w:color="auto"/>
              <w:left w:val="single" w:sz="4" w:space="0" w:color="auto"/>
            </w:tcBorders>
            <w:vAlign w:val="center"/>
          </w:tcPr>
          <w:p w14:paraId="6FB772E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2" w:type="dxa"/>
            <w:gridSpan w:val="2"/>
            <w:tcBorders>
              <w:top w:val="single" w:sz="4" w:space="0" w:color="auto"/>
              <w:left w:val="single" w:sz="4" w:space="0" w:color="auto"/>
            </w:tcBorders>
            <w:vAlign w:val="center"/>
          </w:tcPr>
          <w:p w14:paraId="6BC04BA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4B224A6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48" w:type="dxa"/>
            <w:tcBorders>
              <w:top w:val="single" w:sz="4" w:space="0" w:color="auto"/>
              <w:left w:val="single" w:sz="4" w:space="0" w:color="auto"/>
            </w:tcBorders>
            <w:vAlign w:val="center"/>
          </w:tcPr>
          <w:p w14:paraId="7D8D7FC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386BC2C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191BD28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5B67C85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75" w:type="dxa"/>
            <w:gridSpan w:val="2"/>
            <w:tcBorders>
              <w:top w:val="single" w:sz="4" w:space="0" w:color="auto"/>
              <w:left w:val="single" w:sz="4" w:space="0" w:color="auto"/>
            </w:tcBorders>
            <w:vAlign w:val="center"/>
          </w:tcPr>
          <w:p w14:paraId="377DF99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8" w:type="dxa"/>
            <w:gridSpan w:val="2"/>
            <w:tcBorders>
              <w:top w:val="single" w:sz="4" w:space="0" w:color="auto"/>
              <w:left w:val="single" w:sz="4" w:space="0" w:color="auto"/>
            </w:tcBorders>
            <w:vAlign w:val="center"/>
          </w:tcPr>
          <w:p w14:paraId="76DCE7F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13BC3EA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5" w:type="dxa"/>
            <w:gridSpan w:val="2"/>
            <w:tcBorders>
              <w:top w:val="single" w:sz="4" w:space="0" w:color="auto"/>
              <w:left w:val="single" w:sz="4" w:space="0" w:color="auto"/>
            </w:tcBorders>
            <w:vAlign w:val="center"/>
          </w:tcPr>
          <w:p w14:paraId="37BC8EF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7" w:type="dxa"/>
            <w:tcBorders>
              <w:top w:val="single" w:sz="4" w:space="0" w:color="auto"/>
              <w:left w:val="single" w:sz="4" w:space="0" w:color="auto"/>
            </w:tcBorders>
            <w:vAlign w:val="center"/>
          </w:tcPr>
          <w:p w14:paraId="57C5951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51F45FE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0" w:type="dxa"/>
            <w:gridSpan w:val="2"/>
            <w:tcBorders>
              <w:top w:val="single" w:sz="4" w:space="0" w:color="auto"/>
              <w:left w:val="single" w:sz="4" w:space="0" w:color="auto"/>
            </w:tcBorders>
            <w:vAlign w:val="center"/>
          </w:tcPr>
          <w:p w14:paraId="270FF9A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2AE8981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50" w:type="dxa"/>
            <w:gridSpan w:val="2"/>
            <w:tcBorders>
              <w:top w:val="single" w:sz="4" w:space="0" w:color="auto"/>
              <w:left w:val="single" w:sz="4" w:space="0" w:color="auto"/>
            </w:tcBorders>
            <w:vAlign w:val="center"/>
          </w:tcPr>
          <w:p w14:paraId="381F74D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7" w:type="dxa"/>
            <w:gridSpan w:val="2"/>
            <w:tcBorders>
              <w:top w:val="single" w:sz="4" w:space="0" w:color="auto"/>
              <w:left w:val="single" w:sz="4" w:space="0" w:color="auto"/>
            </w:tcBorders>
            <w:vAlign w:val="center"/>
          </w:tcPr>
          <w:p w14:paraId="29D1FE5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3"/>
            <w:tcBorders>
              <w:top w:val="single" w:sz="4" w:space="0" w:color="auto"/>
              <w:left w:val="single" w:sz="4" w:space="0" w:color="auto"/>
            </w:tcBorders>
            <w:vAlign w:val="center"/>
          </w:tcPr>
          <w:p w14:paraId="7817768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2" w:type="dxa"/>
            <w:tcBorders>
              <w:top w:val="single" w:sz="4" w:space="0" w:color="auto"/>
              <w:left w:val="single" w:sz="4" w:space="0" w:color="auto"/>
            </w:tcBorders>
            <w:vAlign w:val="center"/>
          </w:tcPr>
          <w:p w14:paraId="372BA70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6" w:type="dxa"/>
            <w:gridSpan w:val="2"/>
            <w:tcBorders>
              <w:top w:val="single" w:sz="4" w:space="0" w:color="auto"/>
              <w:left w:val="single" w:sz="4" w:space="0" w:color="auto"/>
            </w:tcBorders>
            <w:vAlign w:val="center"/>
          </w:tcPr>
          <w:p w14:paraId="20B2E2F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1" w:type="dxa"/>
            <w:tcBorders>
              <w:top w:val="single" w:sz="4" w:space="0" w:color="auto"/>
              <w:left w:val="single" w:sz="4" w:space="0" w:color="auto"/>
            </w:tcBorders>
            <w:vAlign w:val="center"/>
          </w:tcPr>
          <w:p w14:paraId="09B95B5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3"/>
            <w:tcBorders>
              <w:top w:val="single" w:sz="4" w:space="0" w:color="auto"/>
              <w:left w:val="single" w:sz="4" w:space="0" w:color="auto"/>
            </w:tcBorders>
            <w:vAlign w:val="center"/>
          </w:tcPr>
          <w:p w14:paraId="26F21B5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2" w:type="dxa"/>
            <w:gridSpan w:val="2"/>
            <w:tcBorders>
              <w:top w:val="single" w:sz="4" w:space="0" w:color="auto"/>
              <w:left w:val="single" w:sz="4" w:space="0" w:color="auto"/>
            </w:tcBorders>
            <w:vAlign w:val="center"/>
          </w:tcPr>
          <w:p w14:paraId="31104A7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78" w:type="dxa"/>
            <w:tcBorders>
              <w:top w:val="single" w:sz="4" w:space="0" w:color="auto"/>
              <w:left w:val="single" w:sz="4" w:space="0" w:color="auto"/>
              <w:right w:val="single" w:sz="4" w:space="0" w:color="auto"/>
            </w:tcBorders>
            <w:vAlign w:val="center"/>
          </w:tcPr>
          <w:p w14:paraId="5905EAA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6385737D" w14:textId="77777777">
        <w:trPr>
          <w:trHeight w:val="172"/>
        </w:trPr>
        <w:tc>
          <w:tcPr>
            <w:tcW w:w="942" w:type="dxa"/>
            <w:tcBorders>
              <w:top w:val="single" w:sz="4" w:space="0" w:color="auto"/>
              <w:left w:val="single" w:sz="4" w:space="0" w:color="auto"/>
            </w:tcBorders>
            <w:tcMar>
              <w:left w:w="0" w:type="dxa"/>
            </w:tcMar>
            <w:vAlign w:val="center"/>
          </w:tcPr>
          <w:p w14:paraId="1EB2733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32</w:t>
            </w:r>
          </w:p>
        </w:tc>
        <w:tc>
          <w:tcPr>
            <w:tcW w:w="1798" w:type="dxa"/>
            <w:tcBorders>
              <w:top w:val="single" w:sz="4" w:space="0" w:color="auto"/>
              <w:left w:val="single" w:sz="4" w:space="0" w:color="auto"/>
            </w:tcBorders>
            <w:vAlign w:val="center"/>
          </w:tcPr>
          <w:p w14:paraId="3EFBD376" w14:textId="77777777" w:rsidR="006561BA" w:rsidRDefault="005B4ED6">
            <w:pPr>
              <w:widowControl w:val="0"/>
              <w:shd w:val="clear" w:color="auto" w:fill="auto"/>
              <w:spacing w:after="0" w:line="240" w:lineRule="auto"/>
              <w:jc w:val="left"/>
              <w:rPr>
                <w:rFonts w:ascii="Helvetica" w:eastAsia="Arial Unicode MS" w:hAnsi="Helvetica" w:cs="Helvetica"/>
                <w:b/>
                <w:color w:val="000000"/>
                <w:sz w:val="6"/>
                <w:szCs w:val="6"/>
                <w:u w:val="single"/>
              </w:rPr>
            </w:pPr>
            <w:r>
              <w:rPr>
                <w:rFonts w:ascii="Helvetica" w:hAnsi="Helvetica"/>
                <w:b/>
                <w:color w:val="000000"/>
                <w:sz w:val="6"/>
                <w:u w:val="single"/>
              </w:rPr>
              <w:t>Eiendeler som ikke skal tas med i telleren ved beregning av GAR (inngår i nevneren)</w:t>
            </w:r>
          </w:p>
        </w:tc>
        <w:tc>
          <w:tcPr>
            <w:tcW w:w="395" w:type="dxa"/>
            <w:tcBorders>
              <w:top w:val="single" w:sz="4" w:space="0" w:color="auto"/>
              <w:left w:val="single" w:sz="4" w:space="0" w:color="auto"/>
            </w:tcBorders>
            <w:vAlign w:val="center"/>
          </w:tcPr>
          <w:p w14:paraId="5DEC29B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56" w:type="dxa"/>
            <w:tcBorders>
              <w:top w:val="single" w:sz="4" w:space="0" w:color="auto"/>
              <w:left w:val="single" w:sz="4" w:space="0" w:color="auto"/>
            </w:tcBorders>
            <w:vAlign w:val="center"/>
          </w:tcPr>
          <w:p w14:paraId="48090EC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0" w:type="dxa"/>
            <w:gridSpan w:val="2"/>
            <w:tcBorders>
              <w:top w:val="single" w:sz="4" w:space="0" w:color="auto"/>
              <w:left w:val="single" w:sz="4" w:space="0" w:color="auto"/>
            </w:tcBorders>
            <w:vAlign w:val="center"/>
          </w:tcPr>
          <w:p w14:paraId="1E888BB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39" w:type="dxa"/>
            <w:gridSpan w:val="2"/>
            <w:tcBorders>
              <w:top w:val="single" w:sz="4" w:space="0" w:color="auto"/>
              <w:left w:val="single" w:sz="4" w:space="0" w:color="auto"/>
            </w:tcBorders>
            <w:vAlign w:val="center"/>
          </w:tcPr>
          <w:p w14:paraId="776581E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9" w:type="dxa"/>
            <w:gridSpan w:val="2"/>
            <w:tcBorders>
              <w:top w:val="single" w:sz="4" w:space="0" w:color="auto"/>
              <w:left w:val="single" w:sz="4" w:space="0" w:color="auto"/>
            </w:tcBorders>
            <w:vAlign w:val="center"/>
          </w:tcPr>
          <w:p w14:paraId="0C35C6F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72" w:type="dxa"/>
            <w:gridSpan w:val="3"/>
            <w:tcBorders>
              <w:top w:val="single" w:sz="4" w:space="0" w:color="auto"/>
              <w:left w:val="single" w:sz="4" w:space="0" w:color="auto"/>
            </w:tcBorders>
            <w:vAlign w:val="center"/>
          </w:tcPr>
          <w:p w14:paraId="061E232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17" w:type="dxa"/>
            <w:tcBorders>
              <w:top w:val="single" w:sz="4" w:space="0" w:color="auto"/>
              <w:left w:val="single" w:sz="4" w:space="0" w:color="auto"/>
            </w:tcBorders>
            <w:vAlign w:val="center"/>
          </w:tcPr>
          <w:p w14:paraId="4D36946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97" w:type="dxa"/>
            <w:gridSpan w:val="2"/>
            <w:tcBorders>
              <w:top w:val="single" w:sz="4" w:space="0" w:color="auto"/>
              <w:left w:val="single" w:sz="4" w:space="0" w:color="auto"/>
            </w:tcBorders>
            <w:vAlign w:val="center"/>
          </w:tcPr>
          <w:p w14:paraId="41E9524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82" w:type="dxa"/>
            <w:gridSpan w:val="2"/>
            <w:tcBorders>
              <w:top w:val="single" w:sz="4" w:space="0" w:color="auto"/>
              <w:left w:val="single" w:sz="4" w:space="0" w:color="auto"/>
            </w:tcBorders>
            <w:vAlign w:val="center"/>
          </w:tcPr>
          <w:p w14:paraId="2F06FDA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3A3D096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48" w:type="dxa"/>
            <w:tcBorders>
              <w:top w:val="single" w:sz="4" w:space="0" w:color="auto"/>
              <w:left w:val="single" w:sz="4" w:space="0" w:color="auto"/>
            </w:tcBorders>
            <w:vAlign w:val="center"/>
          </w:tcPr>
          <w:p w14:paraId="529E1D7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16DE2E4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64A2733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472C11B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75" w:type="dxa"/>
            <w:gridSpan w:val="2"/>
            <w:tcBorders>
              <w:top w:val="single" w:sz="4" w:space="0" w:color="auto"/>
              <w:left w:val="single" w:sz="4" w:space="0" w:color="auto"/>
            </w:tcBorders>
            <w:vAlign w:val="center"/>
          </w:tcPr>
          <w:p w14:paraId="00B0DE3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8" w:type="dxa"/>
            <w:gridSpan w:val="2"/>
            <w:tcBorders>
              <w:top w:val="single" w:sz="4" w:space="0" w:color="auto"/>
              <w:left w:val="single" w:sz="4" w:space="0" w:color="auto"/>
            </w:tcBorders>
            <w:vAlign w:val="center"/>
          </w:tcPr>
          <w:p w14:paraId="1C4AC9E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2"/>
            <w:tcBorders>
              <w:top w:val="single" w:sz="4" w:space="0" w:color="auto"/>
              <w:left w:val="single" w:sz="4" w:space="0" w:color="auto"/>
            </w:tcBorders>
            <w:vAlign w:val="center"/>
          </w:tcPr>
          <w:p w14:paraId="7C30E43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5" w:type="dxa"/>
            <w:gridSpan w:val="2"/>
            <w:tcBorders>
              <w:top w:val="single" w:sz="4" w:space="0" w:color="auto"/>
              <w:left w:val="single" w:sz="4" w:space="0" w:color="auto"/>
            </w:tcBorders>
            <w:vAlign w:val="center"/>
          </w:tcPr>
          <w:p w14:paraId="7AB0A90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7" w:type="dxa"/>
            <w:tcBorders>
              <w:top w:val="single" w:sz="4" w:space="0" w:color="auto"/>
              <w:left w:val="single" w:sz="4" w:space="0" w:color="auto"/>
            </w:tcBorders>
            <w:vAlign w:val="center"/>
          </w:tcPr>
          <w:p w14:paraId="6652327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3" w:type="dxa"/>
            <w:gridSpan w:val="2"/>
            <w:tcBorders>
              <w:top w:val="single" w:sz="4" w:space="0" w:color="auto"/>
              <w:left w:val="single" w:sz="4" w:space="0" w:color="auto"/>
            </w:tcBorders>
            <w:vAlign w:val="center"/>
          </w:tcPr>
          <w:p w14:paraId="7A66B18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0" w:type="dxa"/>
            <w:gridSpan w:val="2"/>
            <w:tcBorders>
              <w:top w:val="single" w:sz="4" w:space="0" w:color="auto"/>
              <w:left w:val="single" w:sz="4" w:space="0" w:color="auto"/>
            </w:tcBorders>
            <w:vAlign w:val="center"/>
          </w:tcPr>
          <w:p w14:paraId="50B49D7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8" w:type="dxa"/>
            <w:gridSpan w:val="2"/>
            <w:tcBorders>
              <w:top w:val="single" w:sz="4" w:space="0" w:color="auto"/>
              <w:left w:val="single" w:sz="4" w:space="0" w:color="auto"/>
            </w:tcBorders>
            <w:vAlign w:val="center"/>
          </w:tcPr>
          <w:p w14:paraId="3C0ADFE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50" w:type="dxa"/>
            <w:gridSpan w:val="2"/>
            <w:tcBorders>
              <w:top w:val="single" w:sz="4" w:space="0" w:color="auto"/>
              <w:left w:val="single" w:sz="4" w:space="0" w:color="auto"/>
            </w:tcBorders>
            <w:vAlign w:val="center"/>
          </w:tcPr>
          <w:p w14:paraId="083BDDA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7" w:type="dxa"/>
            <w:gridSpan w:val="2"/>
            <w:tcBorders>
              <w:top w:val="single" w:sz="4" w:space="0" w:color="auto"/>
              <w:left w:val="single" w:sz="4" w:space="0" w:color="auto"/>
            </w:tcBorders>
            <w:vAlign w:val="center"/>
          </w:tcPr>
          <w:p w14:paraId="7BB2655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3"/>
            <w:tcBorders>
              <w:top w:val="single" w:sz="4" w:space="0" w:color="auto"/>
              <w:left w:val="single" w:sz="4" w:space="0" w:color="auto"/>
            </w:tcBorders>
            <w:vAlign w:val="center"/>
          </w:tcPr>
          <w:p w14:paraId="05E6C47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42" w:type="dxa"/>
            <w:tcBorders>
              <w:top w:val="single" w:sz="4" w:space="0" w:color="auto"/>
              <w:left w:val="single" w:sz="4" w:space="0" w:color="auto"/>
            </w:tcBorders>
            <w:vAlign w:val="center"/>
          </w:tcPr>
          <w:p w14:paraId="010C383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6" w:type="dxa"/>
            <w:gridSpan w:val="2"/>
            <w:tcBorders>
              <w:top w:val="single" w:sz="4" w:space="0" w:color="auto"/>
              <w:left w:val="single" w:sz="4" w:space="0" w:color="auto"/>
            </w:tcBorders>
            <w:vAlign w:val="center"/>
          </w:tcPr>
          <w:p w14:paraId="4CD4684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1" w:type="dxa"/>
            <w:tcBorders>
              <w:top w:val="single" w:sz="4" w:space="0" w:color="auto"/>
              <w:left w:val="single" w:sz="4" w:space="0" w:color="auto"/>
            </w:tcBorders>
            <w:vAlign w:val="center"/>
          </w:tcPr>
          <w:p w14:paraId="0BB203C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6" w:type="dxa"/>
            <w:gridSpan w:val="3"/>
            <w:tcBorders>
              <w:top w:val="single" w:sz="4" w:space="0" w:color="auto"/>
              <w:left w:val="single" w:sz="4" w:space="0" w:color="auto"/>
            </w:tcBorders>
            <w:vAlign w:val="center"/>
          </w:tcPr>
          <w:p w14:paraId="4748ACC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92" w:type="dxa"/>
            <w:gridSpan w:val="2"/>
            <w:tcBorders>
              <w:top w:val="single" w:sz="4" w:space="0" w:color="auto"/>
              <w:left w:val="single" w:sz="4" w:space="0" w:color="auto"/>
            </w:tcBorders>
            <w:vAlign w:val="center"/>
          </w:tcPr>
          <w:p w14:paraId="4A186DC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78" w:type="dxa"/>
            <w:tcBorders>
              <w:top w:val="single" w:sz="4" w:space="0" w:color="auto"/>
              <w:left w:val="single" w:sz="4" w:space="0" w:color="auto"/>
              <w:right w:val="single" w:sz="4" w:space="0" w:color="auto"/>
            </w:tcBorders>
            <w:vAlign w:val="center"/>
          </w:tcPr>
          <w:p w14:paraId="263893A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7705B8A7" w14:textId="77777777">
        <w:trPr>
          <w:trHeight w:val="94"/>
        </w:trPr>
        <w:tc>
          <w:tcPr>
            <w:tcW w:w="942" w:type="dxa"/>
            <w:tcBorders>
              <w:top w:val="single" w:sz="4" w:space="0" w:color="auto"/>
              <w:left w:val="single" w:sz="4" w:space="0" w:color="auto"/>
            </w:tcBorders>
            <w:tcMar>
              <w:left w:w="0" w:type="dxa"/>
            </w:tcMar>
            <w:vAlign w:val="center"/>
          </w:tcPr>
          <w:p w14:paraId="11AC6BF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33</w:t>
            </w:r>
          </w:p>
        </w:tc>
        <w:tc>
          <w:tcPr>
            <w:tcW w:w="1798" w:type="dxa"/>
            <w:tcBorders>
              <w:top w:val="single" w:sz="4" w:space="0" w:color="auto"/>
              <w:left w:val="single" w:sz="4" w:space="0" w:color="auto"/>
            </w:tcBorders>
            <w:vAlign w:val="center"/>
          </w:tcPr>
          <w:p w14:paraId="1EB779C4" w14:textId="77777777" w:rsidR="006561BA" w:rsidRDefault="005B4ED6">
            <w:pPr>
              <w:widowControl w:val="0"/>
              <w:shd w:val="clear" w:color="auto" w:fill="auto"/>
              <w:spacing w:after="0" w:line="240" w:lineRule="auto"/>
              <w:ind w:left="102"/>
              <w:jc w:val="left"/>
              <w:rPr>
                <w:rFonts w:ascii="Helvetica" w:eastAsia="Arial Unicode MS" w:hAnsi="Helvetica" w:cs="Helvetica"/>
                <w:b/>
                <w:color w:val="000000"/>
                <w:sz w:val="6"/>
                <w:szCs w:val="6"/>
              </w:rPr>
            </w:pPr>
            <w:r>
              <w:rPr>
                <w:rFonts w:ascii="Helvetica" w:hAnsi="Helvetica"/>
                <w:b/>
                <w:color w:val="000000"/>
                <w:sz w:val="6"/>
              </w:rPr>
              <w:t>Finansforetak og ikke-finansielle foretak</w:t>
            </w:r>
          </w:p>
        </w:tc>
        <w:tc>
          <w:tcPr>
            <w:tcW w:w="395" w:type="dxa"/>
            <w:tcBorders>
              <w:top w:val="single" w:sz="4" w:space="0" w:color="auto"/>
              <w:left w:val="single" w:sz="4" w:space="0" w:color="auto"/>
            </w:tcBorders>
            <w:vAlign w:val="center"/>
          </w:tcPr>
          <w:p w14:paraId="7FC7182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596" w:type="dxa"/>
            <w:gridSpan w:val="3"/>
            <w:vMerge w:val="restart"/>
            <w:shd w:val="clear" w:color="auto" w:fill="000000"/>
            <w:vAlign w:val="center"/>
          </w:tcPr>
          <w:p w14:paraId="13F6D36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1300" w:type="dxa"/>
            <w:gridSpan w:val="7"/>
            <w:vMerge w:val="restart"/>
            <w:shd w:val="clear" w:color="auto" w:fill="000000"/>
            <w:vAlign w:val="center"/>
          </w:tcPr>
          <w:p w14:paraId="7F1A0A9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714" w:type="dxa"/>
            <w:gridSpan w:val="3"/>
            <w:vMerge w:val="restart"/>
            <w:shd w:val="clear" w:color="auto" w:fill="000000"/>
            <w:vAlign w:val="center"/>
          </w:tcPr>
          <w:p w14:paraId="2514FE5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8285" w:type="dxa"/>
            <w:gridSpan w:val="43"/>
            <w:vMerge w:val="restart"/>
            <w:shd w:val="clear" w:color="auto" w:fill="000000"/>
            <w:vAlign w:val="center"/>
          </w:tcPr>
          <w:p w14:paraId="316E7ED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7F59431C" w14:textId="77777777">
        <w:trPr>
          <w:trHeight w:val="173"/>
        </w:trPr>
        <w:tc>
          <w:tcPr>
            <w:tcW w:w="942" w:type="dxa"/>
            <w:tcBorders>
              <w:top w:val="single" w:sz="4" w:space="0" w:color="auto"/>
              <w:left w:val="single" w:sz="4" w:space="0" w:color="auto"/>
            </w:tcBorders>
            <w:tcMar>
              <w:left w:w="0" w:type="dxa"/>
            </w:tcMar>
            <w:vAlign w:val="center"/>
          </w:tcPr>
          <w:p w14:paraId="3189CCB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34</w:t>
            </w:r>
          </w:p>
        </w:tc>
        <w:tc>
          <w:tcPr>
            <w:tcW w:w="1798" w:type="dxa"/>
            <w:tcBorders>
              <w:top w:val="single" w:sz="4" w:space="0" w:color="auto"/>
              <w:left w:val="single" w:sz="4" w:space="0" w:color="auto"/>
            </w:tcBorders>
            <w:vAlign w:val="center"/>
          </w:tcPr>
          <w:p w14:paraId="0E80420F" w14:textId="77777777" w:rsidR="006561BA" w:rsidRDefault="005B4ED6">
            <w:pPr>
              <w:widowControl w:val="0"/>
              <w:shd w:val="clear" w:color="auto" w:fill="auto"/>
              <w:spacing w:after="0" w:line="240" w:lineRule="auto"/>
              <w:ind w:left="141"/>
              <w:jc w:val="left"/>
              <w:rPr>
                <w:rFonts w:ascii="Helvetica" w:eastAsia="Arial Unicode MS" w:hAnsi="Helvetica" w:cs="Helvetica"/>
                <w:color w:val="000000"/>
                <w:sz w:val="6"/>
                <w:szCs w:val="6"/>
              </w:rPr>
            </w:pPr>
            <w:r>
              <w:rPr>
                <w:rFonts w:ascii="Helvetica" w:hAnsi="Helvetica"/>
                <w:color w:val="383838"/>
                <w:sz w:val="6"/>
              </w:rPr>
              <w:t>SMB-er og ikke-finansielle foretak (som ikke er SMB-er) som ikke er omfattet av opplysningsplikten i direktivet om ikke-finansiell rapportering (NFRD)</w:t>
            </w:r>
          </w:p>
        </w:tc>
        <w:tc>
          <w:tcPr>
            <w:tcW w:w="395" w:type="dxa"/>
            <w:tcBorders>
              <w:top w:val="single" w:sz="4" w:space="0" w:color="auto"/>
              <w:left w:val="single" w:sz="4" w:space="0" w:color="auto"/>
            </w:tcBorders>
            <w:vAlign w:val="center"/>
          </w:tcPr>
          <w:p w14:paraId="6972F34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596" w:type="dxa"/>
            <w:gridSpan w:val="3"/>
            <w:vMerge/>
            <w:shd w:val="clear" w:color="auto" w:fill="000000"/>
            <w:vAlign w:val="center"/>
          </w:tcPr>
          <w:p w14:paraId="79EC66C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1300" w:type="dxa"/>
            <w:gridSpan w:val="7"/>
            <w:vMerge/>
            <w:shd w:val="clear" w:color="auto" w:fill="000000"/>
            <w:vAlign w:val="center"/>
          </w:tcPr>
          <w:p w14:paraId="7D2FB4A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714" w:type="dxa"/>
            <w:gridSpan w:val="3"/>
            <w:vMerge/>
            <w:shd w:val="clear" w:color="auto" w:fill="000000"/>
            <w:vAlign w:val="center"/>
          </w:tcPr>
          <w:p w14:paraId="2A32A59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8285" w:type="dxa"/>
            <w:gridSpan w:val="43"/>
            <w:vMerge/>
            <w:shd w:val="clear" w:color="auto" w:fill="000000"/>
            <w:vAlign w:val="center"/>
          </w:tcPr>
          <w:p w14:paraId="7408595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267E2877" w14:textId="77777777">
        <w:trPr>
          <w:trHeight w:val="83"/>
        </w:trPr>
        <w:tc>
          <w:tcPr>
            <w:tcW w:w="942" w:type="dxa"/>
            <w:tcBorders>
              <w:top w:val="single" w:sz="4" w:space="0" w:color="auto"/>
              <w:left w:val="single" w:sz="4" w:space="0" w:color="auto"/>
            </w:tcBorders>
            <w:tcMar>
              <w:left w:w="0" w:type="dxa"/>
            </w:tcMar>
            <w:vAlign w:val="center"/>
          </w:tcPr>
          <w:p w14:paraId="1E7092F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35</w:t>
            </w:r>
          </w:p>
        </w:tc>
        <w:tc>
          <w:tcPr>
            <w:tcW w:w="1798" w:type="dxa"/>
            <w:tcBorders>
              <w:top w:val="single" w:sz="4" w:space="0" w:color="auto"/>
              <w:left w:val="single" w:sz="4" w:space="0" w:color="auto"/>
            </w:tcBorders>
            <w:vAlign w:val="center"/>
          </w:tcPr>
          <w:p w14:paraId="5FC2E911"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Lån og forskudd</w:t>
            </w:r>
          </w:p>
        </w:tc>
        <w:tc>
          <w:tcPr>
            <w:tcW w:w="395" w:type="dxa"/>
            <w:tcBorders>
              <w:top w:val="single" w:sz="4" w:space="0" w:color="auto"/>
              <w:left w:val="single" w:sz="4" w:space="0" w:color="auto"/>
            </w:tcBorders>
            <w:vAlign w:val="center"/>
          </w:tcPr>
          <w:p w14:paraId="53741B2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96" w:type="dxa"/>
            <w:gridSpan w:val="3"/>
            <w:vMerge/>
            <w:shd w:val="clear" w:color="auto" w:fill="000000"/>
            <w:vAlign w:val="center"/>
          </w:tcPr>
          <w:p w14:paraId="28416E5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00" w:type="dxa"/>
            <w:gridSpan w:val="7"/>
            <w:vMerge/>
            <w:shd w:val="clear" w:color="auto" w:fill="000000"/>
            <w:vAlign w:val="center"/>
          </w:tcPr>
          <w:p w14:paraId="7132158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714" w:type="dxa"/>
            <w:gridSpan w:val="3"/>
            <w:vMerge/>
            <w:shd w:val="clear" w:color="auto" w:fill="000000"/>
            <w:vAlign w:val="center"/>
          </w:tcPr>
          <w:p w14:paraId="296FEE4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285" w:type="dxa"/>
            <w:gridSpan w:val="43"/>
            <w:vMerge/>
            <w:shd w:val="clear" w:color="auto" w:fill="000000"/>
            <w:vAlign w:val="center"/>
          </w:tcPr>
          <w:p w14:paraId="4614C95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1A38FEB9" w14:textId="77777777">
        <w:trPr>
          <w:trHeight w:val="84"/>
        </w:trPr>
        <w:tc>
          <w:tcPr>
            <w:tcW w:w="942" w:type="dxa"/>
            <w:tcBorders>
              <w:top w:val="single" w:sz="4" w:space="0" w:color="auto"/>
              <w:left w:val="single" w:sz="4" w:space="0" w:color="auto"/>
            </w:tcBorders>
            <w:tcMar>
              <w:left w:w="0" w:type="dxa"/>
            </w:tcMar>
            <w:vAlign w:val="center"/>
          </w:tcPr>
          <w:p w14:paraId="50E326B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36</w:t>
            </w:r>
          </w:p>
        </w:tc>
        <w:tc>
          <w:tcPr>
            <w:tcW w:w="1798" w:type="dxa"/>
            <w:tcBorders>
              <w:top w:val="single" w:sz="4" w:space="0" w:color="auto"/>
              <w:left w:val="single" w:sz="4" w:space="0" w:color="auto"/>
            </w:tcBorders>
            <w:vAlign w:val="center"/>
          </w:tcPr>
          <w:p w14:paraId="3551DB68" w14:textId="77777777" w:rsidR="006561BA" w:rsidRDefault="005B4ED6">
            <w:pPr>
              <w:widowControl w:val="0"/>
              <w:shd w:val="clear" w:color="auto" w:fill="auto"/>
              <w:spacing w:after="0" w:line="240" w:lineRule="auto"/>
              <w:ind w:left="211"/>
              <w:jc w:val="left"/>
              <w:rPr>
                <w:rFonts w:ascii="Helvetica" w:eastAsia="Arial Unicode MS" w:hAnsi="Helvetica" w:cs="Helvetica"/>
                <w:color w:val="000000"/>
                <w:sz w:val="6"/>
                <w:szCs w:val="6"/>
              </w:rPr>
            </w:pPr>
            <w:r>
              <w:rPr>
                <w:rFonts w:ascii="Helvetica" w:hAnsi="Helvetica"/>
                <w:color w:val="383838"/>
                <w:sz w:val="6"/>
              </w:rPr>
              <w:t>hvorav lån med sikkerhet i næringseiendommer</w:t>
            </w:r>
          </w:p>
        </w:tc>
        <w:tc>
          <w:tcPr>
            <w:tcW w:w="395" w:type="dxa"/>
            <w:tcBorders>
              <w:top w:val="single" w:sz="4" w:space="0" w:color="auto"/>
              <w:left w:val="single" w:sz="4" w:space="0" w:color="auto"/>
            </w:tcBorders>
            <w:vAlign w:val="center"/>
          </w:tcPr>
          <w:p w14:paraId="205AE7D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596" w:type="dxa"/>
            <w:gridSpan w:val="3"/>
            <w:vMerge/>
            <w:shd w:val="clear" w:color="auto" w:fill="000000"/>
            <w:vAlign w:val="center"/>
          </w:tcPr>
          <w:p w14:paraId="5A7D12B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1300" w:type="dxa"/>
            <w:gridSpan w:val="7"/>
            <w:vMerge/>
            <w:shd w:val="clear" w:color="auto" w:fill="000000"/>
            <w:vAlign w:val="center"/>
          </w:tcPr>
          <w:p w14:paraId="0B451BF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714" w:type="dxa"/>
            <w:gridSpan w:val="3"/>
            <w:vMerge/>
            <w:shd w:val="clear" w:color="auto" w:fill="000000"/>
            <w:vAlign w:val="center"/>
          </w:tcPr>
          <w:p w14:paraId="754E2F1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8285" w:type="dxa"/>
            <w:gridSpan w:val="43"/>
            <w:vMerge/>
            <w:shd w:val="clear" w:color="auto" w:fill="000000"/>
            <w:vAlign w:val="center"/>
          </w:tcPr>
          <w:p w14:paraId="5370675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17CC313C" w14:textId="77777777">
        <w:trPr>
          <w:trHeight w:val="86"/>
        </w:trPr>
        <w:tc>
          <w:tcPr>
            <w:tcW w:w="942" w:type="dxa"/>
            <w:tcBorders>
              <w:top w:val="single" w:sz="4" w:space="0" w:color="auto"/>
              <w:left w:val="single" w:sz="4" w:space="0" w:color="auto"/>
            </w:tcBorders>
            <w:tcMar>
              <w:left w:w="0" w:type="dxa"/>
            </w:tcMar>
            <w:vAlign w:val="center"/>
          </w:tcPr>
          <w:p w14:paraId="1790C6B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37</w:t>
            </w:r>
          </w:p>
        </w:tc>
        <w:tc>
          <w:tcPr>
            <w:tcW w:w="1798" w:type="dxa"/>
            <w:tcBorders>
              <w:top w:val="single" w:sz="4" w:space="0" w:color="auto"/>
              <w:left w:val="single" w:sz="4" w:space="0" w:color="auto"/>
            </w:tcBorders>
            <w:vAlign w:val="center"/>
          </w:tcPr>
          <w:p w14:paraId="282332B8" w14:textId="77777777" w:rsidR="006561BA" w:rsidRDefault="005B4ED6">
            <w:pPr>
              <w:widowControl w:val="0"/>
              <w:shd w:val="clear" w:color="auto" w:fill="auto"/>
              <w:spacing w:after="0" w:line="240" w:lineRule="auto"/>
              <w:ind w:left="211"/>
              <w:jc w:val="left"/>
              <w:rPr>
                <w:rFonts w:ascii="Helvetica" w:eastAsia="Arial Unicode MS" w:hAnsi="Helvetica" w:cs="Helvetica"/>
                <w:color w:val="000000"/>
                <w:sz w:val="6"/>
                <w:szCs w:val="6"/>
              </w:rPr>
            </w:pPr>
            <w:r>
              <w:rPr>
                <w:rFonts w:ascii="Helvetica" w:hAnsi="Helvetica"/>
                <w:color w:val="383838"/>
                <w:sz w:val="6"/>
              </w:rPr>
              <w:t xml:space="preserve">hvorav lån til </w:t>
            </w:r>
            <w:proofErr w:type="spellStart"/>
            <w:r>
              <w:rPr>
                <w:rFonts w:ascii="Helvetica" w:hAnsi="Helvetica"/>
                <w:color w:val="383838"/>
                <w:sz w:val="6"/>
              </w:rPr>
              <w:t>byggrenovering</w:t>
            </w:r>
            <w:proofErr w:type="spellEnd"/>
          </w:p>
        </w:tc>
        <w:tc>
          <w:tcPr>
            <w:tcW w:w="395" w:type="dxa"/>
            <w:tcBorders>
              <w:top w:val="single" w:sz="4" w:space="0" w:color="auto"/>
              <w:left w:val="single" w:sz="4" w:space="0" w:color="auto"/>
            </w:tcBorders>
            <w:vAlign w:val="center"/>
          </w:tcPr>
          <w:p w14:paraId="695D7C1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96" w:type="dxa"/>
            <w:gridSpan w:val="3"/>
            <w:vMerge/>
            <w:shd w:val="clear" w:color="auto" w:fill="000000"/>
            <w:vAlign w:val="center"/>
          </w:tcPr>
          <w:p w14:paraId="426E172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00" w:type="dxa"/>
            <w:gridSpan w:val="7"/>
            <w:vMerge/>
            <w:shd w:val="clear" w:color="auto" w:fill="000000"/>
            <w:vAlign w:val="center"/>
          </w:tcPr>
          <w:p w14:paraId="147B381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714" w:type="dxa"/>
            <w:gridSpan w:val="3"/>
            <w:vMerge/>
            <w:shd w:val="clear" w:color="auto" w:fill="000000"/>
            <w:vAlign w:val="center"/>
          </w:tcPr>
          <w:p w14:paraId="5623AD0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285" w:type="dxa"/>
            <w:gridSpan w:val="43"/>
            <w:vMerge/>
            <w:shd w:val="clear" w:color="auto" w:fill="000000"/>
            <w:vAlign w:val="center"/>
          </w:tcPr>
          <w:p w14:paraId="31B2149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450ADA2A" w14:textId="77777777">
        <w:trPr>
          <w:trHeight w:val="83"/>
        </w:trPr>
        <w:tc>
          <w:tcPr>
            <w:tcW w:w="942" w:type="dxa"/>
            <w:tcBorders>
              <w:top w:val="single" w:sz="4" w:space="0" w:color="auto"/>
              <w:left w:val="single" w:sz="4" w:space="0" w:color="auto"/>
            </w:tcBorders>
            <w:tcMar>
              <w:left w:w="0" w:type="dxa"/>
            </w:tcMar>
            <w:vAlign w:val="center"/>
          </w:tcPr>
          <w:p w14:paraId="0F897882"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38</w:t>
            </w:r>
          </w:p>
        </w:tc>
        <w:tc>
          <w:tcPr>
            <w:tcW w:w="1798" w:type="dxa"/>
            <w:tcBorders>
              <w:top w:val="single" w:sz="4" w:space="0" w:color="auto"/>
              <w:left w:val="single" w:sz="4" w:space="0" w:color="auto"/>
            </w:tcBorders>
            <w:vAlign w:val="center"/>
          </w:tcPr>
          <w:p w14:paraId="27E0BF10"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Gjeldsinstrumenter</w:t>
            </w:r>
          </w:p>
        </w:tc>
        <w:tc>
          <w:tcPr>
            <w:tcW w:w="395" w:type="dxa"/>
            <w:tcBorders>
              <w:top w:val="single" w:sz="4" w:space="0" w:color="auto"/>
              <w:left w:val="single" w:sz="4" w:space="0" w:color="auto"/>
            </w:tcBorders>
            <w:vAlign w:val="center"/>
          </w:tcPr>
          <w:p w14:paraId="740E864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96" w:type="dxa"/>
            <w:gridSpan w:val="3"/>
            <w:vMerge/>
            <w:shd w:val="clear" w:color="auto" w:fill="000000"/>
            <w:vAlign w:val="center"/>
          </w:tcPr>
          <w:p w14:paraId="6C41435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00" w:type="dxa"/>
            <w:gridSpan w:val="7"/>
            <w:vMerge/>
            <w:shd w:val="clear" w:color="auto" w:fill="000000"/>
            <w:vAlign w:val="center"/>
          </w:tcPr>
          <w:p w14:paraId="1EC1C88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714" w:type="dxa"/>
            <w:gridSpan w:val="3"/>
            <w:vMerge/>
            <w:shd w:val="clear" w:color="auto" w:fill="000000"/>
            <w:vAlign w:val="center"/>
          </w:tcPr>
          <w:p w14:paraId="0B3603F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285" w:type="dxa"/>
            <w:gridSpan w:val="43"/>
            <w:vMerge/>
            <w:shd w:val="clear" w:color="auto" w:fill="000000"/>
            <w:vAlign w:val="center"/>
          </w:tcPr>
          <w:p w14:paraId="3242BAF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348B3660" w14:textId="77777777">
        <w:trPr>
          <w:trHeight w:val="86"/>
        </w:trPr>
        <w:tc>
          <w:tcPr>
            <w:tcW w:w="942" w:type="dxa"/>
            <w:tcBorders>
              <w:top w:val="single" w:sz="4" w:space="0" w:color="auto"/>
              <w:left w:val="single" w:sz="4" w:space="0" w:color="auto"/>
            </w:tcBorders>
            <w:tcMar>
              <w:left w:w="0" w:type="dxa"/>
            </w:tcMar>
            <w:vAlign w:val="center"/>
          </w:tcPr>
          <w:p w14:paraId="4C60479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39</w:t>
            </w:r>
          </w:p>
        </w:tc>
        <w:tc>
          <w:tcPr>
            <w:tcW w:w="1798" w:type="dxa"/>
            <w:tcBorders>
              <w:top w:val="single" w:sz="4" w:space="0" w:color="auto"/>
              <w:left w:val="single" w:sz="4" w:space="0" w:color="auto"/>
            </w:tcBorders>
            <w:vAlign w:val="center"/>
          </w:tcPr>
          <w:p w14:paraId="24A72687"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Egenkapitalinstrumenter</w:t>
            </w:r>
          </w:p>
        </w:tc>
        <w:tc>
          <w:tcPr>
            <w:tcW w:w="395" w:type="dxa"/>
            <w:tcBorders>
              <w:top w:val="single" w:sz="4" w:space="0" w:color="auto"/>
              <w:left w:val="single" w:sz="4" w:space="0" w:color="auto"/>
            </w:tcBorders>
            <w:vAlign w:val="center"/>
          </w:tcPr>
          <w:p w14:paraId="3B7DC52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96" w:type="dxa"/>
            <w:gridSpan w:val="3"/>
            <w:vMerge/>
            <w:shd w:val="clear" w:color="auto" w:fill="000000"/>
            <w:vAlign w:val="center"/>
          </w:tcPr>
          <w:p w14:paraId="63009D1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00" w:type="dxa"/>
            <w:gridSpan w:val="7"/>
            <w:vMerge/>
            <w:shd w:val="clear" w:color="auto" w:fill="000000"/>
            <w:vAlign w:val="center"/>
          </w:tcPr>
          <w:p w14:paraId="299853B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714" w:type="dxa"/>
            <w:gridSpan w:val="3"/>
            <w:vMerge/>
            <w:shd w:val="clear" w:color="auto" w:fill="000000"/>
            <w:vAlign w:val="center"/>
          </w:tcPr>
          <w:p w14:paraId="53D0D98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285" w:type="dxa"/>
            <w:gridSpan w:val="43"/>
            <w:vMerge/>
            <w:shd w:val="clear" w:color="auto" w:fill="000000"/>
            <w:vAlign w:val="center"/>
          </w:tcPr>
          <w:p w14:paraId="0E3579B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39370457" w14:textId="77777777">
        <w:trPr>
          <w:trHeight w:val="173"/>
        </w:trPr>
        <w:tc>
          <w:tcPr>
            <w:tcW w:w="942" w:type="dxa"/>
            <w:tcBorders>
              <w:top w:val="single" w:sz="4" w:space="0" w:color="auto"/>
              <w:left w:val="single" w:sz="4" w:space="0" w:color="auto"/>
            </w:tcBorders>
            <w:tcMar>
              <w:left w:w="0" w:type="dxa"/>
            </w:tcMar>
            <w:vAlign w:val="center"/>
          </w:tcPr>
          <w:p w14:paraId="5BB1D2F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40</w:t>
            </w:r>
          </w:p>
        </w:tc>
        <w:tc>
          <w:tcPr>
            <w:tcW w:w="1798" w:type="dxa"/>
            <w:tcBorders>
              <w:top w:val="single" w:sz="4" w:space="0" w:color="auto"/>
              <w:left w:val="single" w:sz="4" w:space="0" w:color="auto"/>
            </w:tcBorders>
            <w:vAlign w:val="center"/>
          </w:tcPr>
          <w:p w14:paraId="4FF85D79" w14:textId="77777777" w:rsidR="006561BA" w:rsidRDefault="005B4ED6">
            <w:pPr>
              <w:widowControl w:val="0"/>
              <w:shd w:val="clear" w:color="auto" w:fill="auto"/>
              <w:spacing w:after="0" w:line="240" w:lineRule="auto"/>
              <w:ind w:left="141"/>
              <w:jc w:val="left"/>
              <w:rPr>
                <w:rFonts w:ascii="Helvetica" w:eastAsia="Arial Unicode MS" w:hAnsi="Helvetica" w:cs="Helvetica"/>
                <w:color w:val="000000"/>
                <w:sz w:val="6"/>
                <w:szCs w:val="6"/>
              </w:rPr>
            </w:pPr>
            <w:r>
              <w:rPr>
                <w:rFonts w:ascii="Helvetica" w:hAnsi="Helvetica"/>
                <w:color w:val="383838"/>
                <w:sz w:val="6"/>
              </w:rPr>
              <w:t>Motparter fra land utenfor EU som ikke er omfattet av opplysningsplikten i direktivet om ikke-finansiell rapportering</w:t>
            </w:r>
          </w:p>
        </w:tc>
        <w:tc>
          <w:tcPr>
            <w:tcW w:w="395" w:type="dxa"/>
            <w:tcBorders>
              <w:top w:val="single" w:sz="4" w:space="0" w:color="auto"/>
              <w:left w:val="single" w:sz="4" w:space="0" w:color="auto"/>
            </w:tcBorders>
            <w:vAlign w:val="center"/>
          </w:tcPr>
          <w:p w14:paraId="0626C6D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596" w:type="dxa"/>
            <w:gridSpan w:val="3"/>
            <w:vMerge/>
            <w:shd w:val="clear" w:color="auto" w:fill="000000"/>
            <w:vAlign w:val="center"/>
          </w:tcPr>
          <w:p w14:paraId="18A6344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1300" w:type="dxa"/>
            <w:gridSpan w:val="7"/>
            <w:vMerge/>
            <w:shd w:val="clear" w:color="auto" w:fill="000000"/>
            <w:vAlign w:val="center"/>
          </w:tcPr>
          <w:p w14:paraId="3B30D81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714" w:type="dxa"/>
            <w:gridSpan w:val="3"/>
            <w:vMerge/>
            <w:shd w:val="clear" w:color="auto" w:fill="000000"/>
            <w:vAlign w:val="center"/>
          </w:tcPr>
          <w:p w14:paraId="5BDEE90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8285" w:type="dxa"/>
            <w:gridSpan w:val="43"/>
            <w:vMerge/>
            <w:shd w:val="clear" w:color="auto" w:fill="000000"/>
            <w:vAlign w:val="center"/>
          </w:tcPr>
          <w:p w14:paraId="119FC43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119F283D" w14:textId="77777777">
        <w:trPr>
          <w:trHeight w:val="83"/>
        </w:trPr>
        <w:tc>
          <w:tcPr>
            <w:tcW w:w="942" w:type="dxa"/>
            <w:tcBorders>
              <w:top w:val="single" w:sz="4" w:space="0" w:color="auto"/>
              <w:left w:val="single" w:sz="4" w:space="0" w:color="auto"/>
            </w:tcBorders>
            <w:tcMar>
              <w:left w:w="0" w:type="dxa"/>
            </w:tcMar>
            <w:vAlign w:val="center"/>
          </w:tcPr>
          <w:p w14:paraId="0EAE445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41</w:t>
            </w:r>
          </w:p>
        </w:tc>
        <w:tc>
          <w:tcPr>
            <w:tcW w:w="1798" w:type="dxa"/>
            <w:tcBorders>
              <w:top w:val="single" w:sz="4" w:space="0" w:color="auto"/>
              <w:left w:val="single" w:sz="4" w:space="0" w:color="auto"/>
            </w:tcBorders>
            <w:vAlign w:val="center"/>
          </w:tcPr>
          <w:p w14:paraId="4E808310"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Lån og forskudd</w:t>
            </w:r>
          </w:p>
        </w:tc>
        <w:tc>
          <w:tcPr>
            <w:tcW w:w="395" w:type="dxa"/>
            <w:tcBorders>
              <w:top w:val="single" w:sz="4" w:space="0" w:color="auto"/>
              <w:left w:val="single" w:sz="4" w:space="0" w:color="auto"/>
            </w:tcBorders>
            <w:vAlign w:val="center"/>
          </w:tcPr>
          <w:p w14:paraId="3330E54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96" w:type="dxa"/>
            <w:gridSpan w:val="3"/>
            <w:vMerge/>
            <w:shd w:val="clear" w:color="auto" w:fill="000000"/>
            <w:vAlign w:val="center"/>
          </w:tcPr>
          <w:p w14:paraId="75D81D1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00" w:type="dxa"/>
            <w:gridSpan w:val="7"/>
            <w:vMerge/>
            <w:shd w:val="clear" w:color="auto" w:fill="000000"/>
            <w:vAlign w:val="center"/>
          </w:tcPr>
          <w:p w14:paraId="7EE209A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714" w:type="dxa"/>
            <w:gridSpan w:val="3"/>
            <w:vMerge/>
            <w:shd w:val="clear" w:color="auto" w:fill="000000"/>
            <w:vAlign w:val="center"/>
          </w:tcPr>
          <w:p w14:paraId="4099FC6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285" w:type="dxa"/>
            <w:gridSpan w:val="43"/>
            <w:vMerge/>
            <w:shd w:val="clear" w:color="auto" w:fill="000000"/>
            <w:vAlign w:val="center"/>
          </w:tcPr>
          <w:p w14:paraId="6E74CB1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52801ED5" w14:textId="77777777">
        <w:trPr>
          <w:trHeight w:val="86"/>
        </w:trPr>
        <w:tc>
          <w:tcPr>
            <w:tcW w:w="942" w:type="dxa"/>
            <w:tcBorders>
              <w:top w:val="single" w:sz="4" w:space="0" w:color="auto"/>
              <w:left w:val="single" w:sz="4" w:space="0" w:color="auto"/>
            </w:tcBorders>
            <w:tcMar>
              <w:left w:w="0" w:type="dxa"/>
            </w:tcMar>
            <w:vAlign w:val="center"/>
          </w:tcPr>
          <w:p w14:paraId="21D776B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42</w:t>
            </w:r>
          </w:p>
        </w:tc>
        <w:tc>
          <w:tcPr>
            <w:tcW w:w="1798" w:type="dxa"/>
            <w:tcBorders>
              <w:top w:val="single" w:sz="4" w:space="0" w:color="auto"/>
              <w:left w:val="single" w:sz="4" w:space="0" w:color="auto"/>
            </w:tcBorders>
            <w:vAlign w:val="center"/>
          </w:tcPr>
          <w:p w14:paraId="61F21A0D"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Gjeldsinstrumenter</w:t>
            </w:r>
          </w:p>
        </w:tc>
        <w:tc>
          <w:tcPr>
            <w:tcW w:w="395" w:type="dxa"/>
            <w:tcBorders>
              <w:top w:val="single" w:sz="4" w:space="0" w:color="auto"/>
              <w:left w:val="single" w:sz="4" w:space="0" w:color="auto"/>
            </w:tcBorders>
            <w:vAlign w:val="center"/>
          </w:tcPr>
          <w:p w14:paraId="1FDE612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96" w:type="dxa"/>
            <w:gridSpan w:val="3"/>
            <w:vMerge/>
            <w:shd w:val="clear" w:color="auto" w:fill="000000"/>
            <w:vAlign w:val="center"/>
          </w:tcPr>
          <w:p w14:paraId="3142F03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00" w:type="dxa"/>
            <w:gridSpan w:val="7"/>
            <w:vMerge/>
            <w:shd w:val="clear" w:color="auto" w:fill="000000"/>
            <w:vAlign w:val="center"/>
          </w:tcPr>
          <w:p w14:paraId="7007156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714" w:type="dxa"/>
            <w:gridSpan w:val="3"/>
            <w:vMerge/>
            <w:shd w:val="clear" w:color="auto" w:fill="000000"/>
            <w:vAlign w:val="center"/>
          </w:tcPr>
          <w:p w14:paraId="5ACDB21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285" w:type="dxa"/>
            <w:gridSpan w:val="43"/>
            <w:vMerge/>
            <w:shd w:val="clear" w:color="auto" w:fill="000000"/>
            <w:vAlign w:val="center"/>
          </w:tcPr>
          <w:p w14:paraId="2035FEE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0DE3E23E" w14:textId="77777777">
        <w:trPr>
          <w:trHeight w:val="86"/>
        </w:trPr>
        <w:tc>
          <w:tcPr>
            <w:tcW w:w="942" w:type="dxa"/>
            <w:tcBorders>
              <w:top w:val="single" w:sz="4" w:space="0" w:color="auto"/>
              <w:left w:val="single" w:sz="4" w:space="0" w:color="auto"/>
            </w:tcBorders>
            <w:tcMar>
              <w:left w:w="0" w:type="dxa"/>
            </w:tcMar>
            <w:vAlign w:val="center"/>
          </w:tcPr>
          <w:p w14:paraId="182BBF74"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43</w:t>
            </w:r>
          </w:p>
        </w:tc>
        <w:tc>
          <w:tcPr>
            <w:tcW w:w="1798" w:type="dxa"/>
            <w:tcBorders>
              <w:top w:val="single" w:sz="4" w:space="0" w:color="auto"/>
              <w:left w:val="single" w:sz="4" w:space="0" w:color="auto"/>
            </w:tcBorders>
            <w:vAlign w:val="center"/>
          </w:tcPr>
          <w:p w14:paraId="615C7219" w14:textId="77777777" w:rsidR="006561BA" w:rsidRDefault="005B4ED6">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383838"/>
                <w:sz w:val="6"/>
              </w:rPr>
              <w:t>Egenkapitalinstrumenter</w:t>
            </w:r>
          </w:p>
        </w:tc>
        <w:tc>
          <w:tcPr>
            <w:tcW w:w="395" w:type="dxa"/>
            <w:tcBorders>
              <w:top w:val="single" w:sz="4" w:space="0" w:color="auto"/>
              <w:left w:val="single" w:sz="4" w:space="0" w:color="auto"/>
            </w:tcBorders>
            <w:vAlign w:val="center"/>
          </w:tcPr>
          <w:p w14:paraId="3292025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96" w:type="dxa"/>
            <w:gridSpan w:val="3"/>
            <w:vMerge/>
            <w:shd w:val="clear" w:color="auto" w:fill="000000"/>
            <w:vAlign w:val="center"/>
          </w:tcPr>
          <w:p w14:paraId="266FEA7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00" w:type="dxa"/>
            <w:gridSpan w:val="7"/>
            <w:vMerge/>
            <w:shd w:val="clear" w:color="auto" w:fill="000000"/>
            <w:vAlign w:val="center"/>
          </w:tcPr>
          <w:p w14:paraId="2E81C50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714" w:type="dxa"/>
            <w:gridSpan w:val="3"/>
            <w:vMerge/>
            <w:shd w:val="clear" w:color="auto" w:fill="000000"/>
            <w:vAlign w:val="center"/>
          </w:tcPr>
          <w:p w14:paraId="4371289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285" w:type="dxa"/>
            <w:gridSpan w:val="43"/>
            <w:vMerge/>
            <w:shd w:val="clear" w:color="auto" w:fill="000000"/>
            <w:vAlign w:val="center"/>
          </w:tcPr>
          <w:p w14:paraId="672EEA6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634462ED" w14:textId="77777777">
        <w:trPr>
          <w:trHeight w:val="86"/>
        </w:trPr>
        <w:tc>
          <w:tcPr>
            <w:tcW w:w="942" w:type="dxa"/>
            <w:tcBorders>
              <w:top w:val="single" w:sz="4" w:space="0" w:color="auto"/>
              <w:left w:val="single" w:sz="4" w:space="0" w:color="auto"/>
            </w:tcBorders>
            <w:tcMar>
              <w:left w:w="0" w:type="dxa"/>
            </w:tcMar>
            <w:vAlign w:val="center"/>
          </w:tcPr>
          <w:p w14:paraId="7A6B100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44</w:t>
            </w:r>
          </w:p>
        </w:tc>
        <w:tc>
          <w:tcPr>
            <w:tcW w:w="1798" w:type="dxa"/>
            <w:tcBorders>
              <w:top w:val="single" w:sz="4" w:space="0" w:color="auto"/>
              <w:left w:val="single" w:sz="4" w:space="0" w:color="auto"/>
            </w:tcBorders>
            <w:vAlign w:val="center"/>
          </w:tcPr>
          <w:p w14:paraId="7853D761" w14:textId="77777777" w:rsidR="006561BA" w:rsidRDefault="005B4ED6">
            <w:pPr>
              <w:widowControl w:val="0"/>
              <w:shd w:val="clear" w:color="auto" w:fill="auto"/>
              <w:spacing w:after="0" w:line="240" w:lineRule="auto"/>
              <w:ind w:left="102"/>
              <w:jc w:val="left"/>
              <w:rPr>
                <w:rFonts w:ascii="Helvetica" w:eastAsia="Arial Unicode MS" w:hAnsi="Helvetica" w:cs="Helvetica"/>
                <w:b/>
                <w:color w:val="000000"/>
                <w:sz w:val="6"/>
                <w:szCs w:val="6"/>
              </w:rPr>
            </w:pPr>
            <w:r>
              <w:rPr>
                <w:rFonts w:ascii="Helvetica" w:hAnsi="Helvetica"/>
                <w:b/>
                <w:color w:val="000000"/>
                <w:sz w:val="6"/>
              </w:rPr>
              <w:t>Derivater</w:t>
            </w:r>
          </w:p>
        </w:tc>
        <w:tc>
          <w:tcPr>
            <w:tcW w:w="395" w:type="dxa"/>
            <w:tcBorders>
              <w:top w:val="single" w:sz="4" w:space="0" w:color="auto"/>
              <w:left w:val="single" w:sz="4" w:space="0" w:color="auto"/>
            </w:tcBorders>
            <w:vAlign w:val="center"/>
          </w:tcPr>
          <w:p w14:paraId="437A8C7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96" w:type="dxa"/>
            <w:gridSpan w:val="3"/>
            <w:vMerge/>
            <w:shd w:val="clear" w:color="auto" w:fill="000000"/>
            <w:vAlign w:val="center"/>
          </w:tcPr>
          <w:p w14:paraId="4F6B7E2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00" w:type="dxa"/>
            <w:gridSpan w:val="7"/>
            <w:vMerge/>
            <w:shd w:val="clear" w:color="auto" w:fill="000000"/>
            <w:vAlign w:val="center"/>
          </w:tcPr>
          <w:p w14:paraId="69D4997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714" w:type="dxa"/>
            <w:gridSpan w:val="3"/>
            <w:vMerge/>
            <w:shd w:val="clear" w:color="auto" w:fill="000000"/>
            <w:vAlign w:val="center"/>
          </w:tcPr>
          <w:p w14:paraId="1C0FE2D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285" w:type="dxa"/>
            <w:gridSpan w:val="43"/>
            <w:vMerge/>
            <w:shd w:val="clear" w:color="auto" w:fill="000000"/>
            <w:vAlign w:val="center"/>
          </w:tcPr>
          <w:p w14:paraId="287D201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56431940" w14:textId="77777777">
        <w:trPr>
          <w:trHeight w:val="86"/>
        </w:trPr>
        <w:tc>
          <w:tcPr>
            <w:tcW w:w="942" w:type="dxa"/>
            <w:tcBorders>
              <w:top w:val="single" w:sz="4" w:space="0" w:color="auto"/>
              <w:left w:val="single" w:sz="4" w:space="0" w:color="auto"/>
            </w:tcBorders>
            <w:tcMar>
              <w:left w:w="0" w:type="dxa"/>
            </w:tcMar>
            <w:vAlign w:val="center"/>
          </w:tcPr>
          <w:p w14:paraId="5193F8C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45</w:t>
            </w:r>
          </w:p>
        </w:tc>
        <w:tc>
          <w:tcPr>
            <w:tcW w:w="1798" w:type="dxa"/>
            <w:tcBorders>
              <w:top w:val="single" w:sz="4" w:space="0" w:color="auto"/>
              <w:left w:val="single" w:sz="4" w:space="0" w:color="auto"/>
            </w:tcBorders>
            <w:vAlign w:val="center"/>
          </w:tcPr>
          <w:p w14:paraId="34BB2270" w14:textId="77777777" w:rsidR="006561BA" w:rsidRDefault="005B4ED6">
            <w:pPr>
              <w:widowControl w:val="0"/>
              <w:shd w:val="clear" w:color="auto" w:fill="auto"/>
              <w:spacing w:after="0" w:line="240" w:lineRule="auto"/>
              <w:ind w:left="102"/>
              <w:jc w:val="left"/>
              <w:rPr>
                <w:rFonts w:ascii="Helvetica" w:eastAsia="Arial Unicode MS" w:hAnsi="Helvetica" w:cs="Helvetica"/>
                <w:b/>
                <w:color w:val="000000"/>
                <w:sz w:val="6"/>
                <w:szCs w:val="6"/>
              </w:rPr>
            </w:pPr>
            <w:r>
              <w:rPr>
                <w:rFonts w:ascii="Helvetica" w:hAnsi="Helvetica"/>
                <w:b/>
                <w:color w:val="000000"/>
                <w:sz w:val="6"/>
              </w:rPr>
              <w:t>Interbanklån på anfordring</w:t>
            </w:r>
          </w:p>
        </w:tc>
        <w:tc>
          <w:tcPr>
            <w:tcW w:w="395" w:type="dxa"/>
            <w:tcBorders>
              <w:top w:val="single" w:sz="4" w:space="0" w:color="auto"/>
              <w:left w:val="single" w:sz="4" w:space="0" w:color="auto"/>
            </w:tcBorders>
            <w:vAlign w:val="center"/>
          </w:tcPr>
          <w:p w14:paraId="0A24F51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96" w:type="dxa"/>
            <w:gridSpan w:val="3"/>
            <w:vMerge/>
            <w:shd w:val="clear" w:color="auto" w:fill="000000"/>
            <w:vAlign w:val="center"/>
          </w:tcPr>
          <w:p w14:paraId="46DC058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00" w:type="dxa"/>
            <w:gridSpan w:val="7"/>
            <w:vMerge/>
            <w:shd w:val="clear" w:color="auto" w:fill="000000"/>
            <w:vAlign w:val="center"/>
          </w:tcPr>
          <w:p w14:paraId="01CC8AB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714" w:type="dxa"/>
            <w:gridSpan w:val="3"/>
            <w:vMerge/>
            <w:shd w:val="clear" w:color="auto" w:fill="000000"/>
            <w:vAlign w:val="center"/>
          </w:tcPr>
          <w:p w14:paraId="1EF19E2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285" w:type="dxa"/>
            <w:gridSpan w:val="43"/>
            <w:vMerge/>
            <w:shd w:val="clear" w:color="auto" w:fill="000000"/>
            <w:vAlign w:val="center"/>
          </w:tcPr>
          <w:p w14:paraId="364D806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384BDDB9" w14:textId="77777777">
        <w:trPr>
          <w:trHeight w:val="83"/>
        </w:trPr>
        <w:tc>
          <w:tcPr>
            <w:tcW w:w="942" w:type="dxa"/>
            <w:tcBorders>
              <w:top w:val="single" w:sz="4" w:space="0" w:color="auto"/>
              <w:left w:val="single" w:sz="4" w:space="0" w:color="auto"/>
            </w:tcBorders>
            <w:tcMar>
              <w:left w:w="0" w:type="dxa"/>
            </w:tcMar>
            <w:vAlign w:val="center"/>
          </w:tcPr>
          <w:p w14:paraId="672C8A6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46</w:t>
            </w:r>
          </w:p>
        </w:tc>
        <w:tc>
          <w:tcPr>
            <w:tcW w:w="1798" w:type="dxa"/>
            <w:tcBorders>
              <w:top w:val="single" w:sz="4" w:space="0" w:color="auto"/>
              <w:left w:val="single" w:sz="4" w:space="0" w:color="auto"/>
            </w:tcBorders>
            <w:vAlign w:val="center"/>
          </w:tcPr>
          <w:p w14:paraId="32C7AA87" w14:textId="77777777" w:rsidR="006561BA" w:rsidRDefault="005B4ED6">
            <w:pPr>
              <w:widowControl w:val="0"/>
              <w:shd w:val="clear" w:color="auto" w:fill="auto"/>
              <w:spacing w:after="0" w:line="240" w:lineRule="auto"/>
              <w:ind w:left="102"/>
              <w:jc w:val="left"/>
              <w:rPr>
                <w:rFonts w:ascii="Helvetica" w:eastAsia="Arial Unicode MS" w:hAnsi="Helvetica" w:cs="Helvetica"/>
                <w:b/>
                <w:color w:val="000000"/>
                <w:sz w:val="6"/>
                <w:szCs w:val="6"/>
              </w:rPr>
            </w:pPr>
            <w:r>
              <w:rPr>
                <w:rFonts w:ascii="Helvetica" w:hAnsi="Helvetica"/>
                <w:b/>
                <w:color w:val="000000"/>
                <w:sz w:val="6"/>
              </w:rPr>
              <w:t>Kontanter og kontantrelaterte eiendeler</w:t>
            </w:r>
          </w:p>
        </w:tc>
        <w:tc>
          <w:tcPr>
            <w:tcW w:w="395" w:type="dxa"/>
            <w:tcBorders>
              <w:top w:val="single" w:sz="4" w:space="0" w:color="auto"/>
              <w:left w:val="single" w:sz="4" w:space="0" w:color="auto"/>
            </w:tcBorders>
            <w:vAlign w:val="center"/>
          </w:tcPr>
          <w:p w14:paraId="30E5CD9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96" w:type="dxa"/>
            <w:gridSpan w:val="3"/>
            <w:vMerge/>
            <w:shd w:val="clear" w:color="auto" w:fill="000000"/>
            <w:vAlign w:val="center"/>
          </w:tcPr>
          <w:p w14:paraId="7B0CFDC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00" w:type="dxa"/>
            <w:gridSpan w:val="7"/>
            <w:vMerge/>
            <w:shd w:val="clear" w:color="auto" w:fill="000000"/>
            <w:vAlign w:val="center"/>
          </w:tcPr>
          <w:p w14:paraId="3C71D3E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714" w:type="dxa"/>
            <w:gridSpan w:val="3"/>
            <w:vMerge/>
            <w:shd w:val="clear" w:color="auto" w:fill="000000"/>
            <w:vAlign w:val="center"/>
          </w:tcPr>
          <w:p w14:paraId="75DA24F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285" w:type="dxa"/>
            <w:gridSpan w:val="43"/>
            <w:vMerge/>
            <w:shd w:val="clear" w:color="auto" w:fill="000000"/>
            <w:vAlign w:val="center"/>
          </w:tcPr>
          <w:p w14:paraId="4CC8395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1C2BE3EF" w14:textId="77777777">
        <w:trPr>
          <w:trHeight w:val="79"/>
        </w:trPr>
        <w:tc>
          <w:tcPr>
            <w:tcW w:w="942" w:type="dxa"/>
            <w:tcBorders>
              <w:top w:val="single" w:sz="4" w:space="0" w:color="auto"/>
              <w:left w:val="single" w:sz="4" w:space="0" w:color="auto"/>
            </w:tcBorders>
            <w:tcMar>
              <w:left w:w="0" w:type="dxa"/>
            </w:tcMar>
            <w:vAlign w:val="center"/>
          </w:tcPr>
          <w:p w14:paraId="5185E15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47</w:t>
            </w:r>
          </w:p>
        </w:tc>
        <w:tc>
          <w:tcPr>
            <w:tcW w:w="1798" w:type="dxa"/>
            <w:tcBorders>
              <w:top w:val="single" w:sz="4" w:space="0" w:color="auto"/>
              <w:left w:val="single" w:sz="4" w:space="0" w:color="auto"/>
            </w:tcBorders>
            <w:vAlign w:val="center"/>
          </w:tcPr>
          <w:p w14:paraId="1823A0DA" w14:textId="77777777" w:rsidR="006561BA" w:rsidRDefault="005B4ED6">
            <w:pPr>
              <w:widowControl w:val="0"/>
              <w:shd w:val="clear" w:color="auto" w:fill="auto"/>
              <w:spacing w:after="0" w:line="240" w:lineRule="auto"/>
              <w:ind w:left="102"/>
              <w:jc w:val="left"/>
              <w:rPr>
                <w:rFonts w:ascii="Helvetica" w:eastAsia="Arial Unicode MS" w:hAnsi="Helvetica" w:cs="Helvetica"/>
                <w:b/>
                <w:color w:val="000000"/>
                <w:sz w:val="6"/>
                <w:szCs w:val="6"/>
              </w:rPr>
            </w:pPr>
            <w:r>
              <w:rPr>
                <w:rFonts w:ascii="Helvetica" w:hAnsi="Helvetica"/>
                <w:b/>
                <w:color w:val="000000"/>
                <w:sz w:val="6"/>
              </w:rPr>
              <w:t>Andre kategorier av eiendeler (for eksempel goodwill, varer osv.)</w:t>
            </w:r>
          </w:p>
        </w:tc>
        <w:tc>
          <w:tcPr>
            <w:tcW w:w="395" w:type="dxa"/>
            <w:tcBorders>
              <w:top w:val="single" w:sz="4" w:space="0" w:color="auto"/>
              <w:left w:val="single" w:sz="4" w:space="0" w:color="auto"/>
            </w:tcBorders>
            <w:vAlign w:val="center"/>
          </w:tcPr>
          <w:p w14:paraId="29DE8C8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596" w:type="dxa"/>
            <w:gridSpan w:val="3"/>
            <w:vMerge/>
            <w:tcBorders>
              <w:bottom w:val="single" w:sz="4" w:space="0" w:color="auto"/>
            </w:tcBorders>
            <w:shd w:val="clear" w:color="auto" w:fill="000000"/>
            <w:vAlign w:val="center"/>
          </w:tcPr>
          <w:p w14:paraId="59C2263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1300" w:type="dxa"/>
            <w:gridSpan w:val="7"/>
            <w:vMerge/>
            <w:tcBorders>
              <w:bottom w:val="single" w:sz="4" w:space="0" w:color="auto"/>
            </w:tcBorders>
            <w:shd w:val="clear" w:color="auto" w:fill="000000"/>
            <w:vAlign w:val="center"/>
          </w:tcPr>
          <w:p w14:paraId="084183B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714" w:type="dxa"/>
            <w:gridSpan w:val="3"/>
            <w:vMerge/>
            <w:tcBorders>
              <w:bottom w:val="single" w:sz="4" w:space="0" w:color="auto"/>
            </w:tcBorders>
            <w:shd w:val="clear" w:color="auto" w:fill="000000"/>
            <w:vAlign w:val="center"/>
          </w:tcPr>
          <w:p w14:paraId="54660A7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8285" w:type="dxa"/>
            <w:gridSpan w:val="43"/>
            <w:vMerge/>
            <w:tcBorders>
              <w:bottom w:val="single" w:sz="4" w:space="0" w:color="auto"/>
            </w:tcBorders>
            <w:shd w:val="clear" w:color="auto" w:fill="000000"/>
            <w:vAlign w:val="center"/>
          </w:tcPr>
          <w:p w14:paraId="69AC906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63325EB2" w14:textId="77777777">
        <w:trPr>
          <w:trHeight w:val="86"/>
        </w:trPr>
        <w:tc>
          <w:tcPr>
            <w:tcW w:w="942" w:type="dxa"/>
            <w:tcBorders>
              <w:top w:val="single" w:sz="4" w:space="0" w:color="auto"/>
              <w:left w:val="single" w:sz="4" w:space="0" w:color="auto"/>
            </w:tcBorders>
            <w:shd w:val="clear" w:color="auto" w:fill="DBE5F1" w:themeFill="accent1" w:themeFillTint="33"/>
            <w:tcMar>
              <w:left w:w="0" w:type="dxa"/>
            </w:tcMar>
            <w:vAlign w:val="center"/>
          </w:tcPr>
          <w:p w14:paraId="5AD4039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48</w:t>
            </w:r>
          </w:p>
        </w:tc>
        <w:tc>
          <w:tcPr>
            <w:tcW w:w="1798" w:type="dxa"/>
            <w:tcBorders>
              <w:top w:val="single" w:sz="4" w:space="0" w:color="auto"/>
              <w:left w:val="single" w:sz="4" w:space="0" w:color="auto"/>
            </w:tcBorders>
            <w:shd w:val="clear" w:color="auto" w:fill="DBE5F1" w:themeFill="accent1" w:themeFillTint="33"/>
            <w:vAlign w:val="center"/>
          </w:tcPr>
          <w:p w14:paraId="129B9C4B"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b/>
                <w:color w:val="000000"/>
                <w:sz w:val="6"/>
              </w:rPr>
              <w:t>Samlet GAR for eiendeler</w:t>
            </w:r>
          </w:p>
        </w:tc>
        <w:tc>
          <w:tcPr>
            <w:tcW w:w="395" w:type="dxa"/>
            <w:tcBorders>
              <w:top w:val="single" w:sz="4" w:space="0" w:color="auto"/>
              <w:left w:val="single" w:sz="4" w:space="0" w:color="auto"/>
            </w:tcBorders>
            <w:shd w:val="clear" w:color="auto" w:fill="DBE5F1" w:themeFill="accent1" w:themeFillTint="33"/>
            <w:vAlign w:val="center"/>
          </w:tcPr>
          <w:p w14:paraId="76C79F3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tcBorders>
            <w:shd w:val="clear" w:color="auto" w:fill="DBE5F1" w:themeFill="accent1" w:themeFillTint="33"/>
            <w:vAlign w:val="center"/>
          </w:tcPr>
          <w:p w14:paraId="6333129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tcBorders>
            <w:shd w:val="clear" w:color="auto" w:fill="DBE5F1" w:themeFill="accent1" w:themeFillTint="33"/>
            <w:vAlign w:val="center"/>
          </w:tcPr>
          <w:p w14:paraId="395DD59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tcBorders>
            <w:shd w:val="clear" w:color="auto" w:fill="DBE5F1" w:themeFill="accent1" w:themeFillTint="33"/>
            <w:vAlign w:val="center"/>
          </w:tcPr>
          <w:p w14:paraId="5FD809C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tcBorders>
            <w:shd w:val="clear" w:color="auto" w:fill="DBE5F1" w:themeFill="accent1" w:themeFillTint="33"/>
            <w:vAlign w:val="center"/>
          </w:tcPr>
          <w:p w14:paraId="7DFBDDC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tcBorders>
            <w:shd w:val="clear" w:color="auto" w:fill="DBE5F1" w:themeFill="accent1" w:themeFillTint="33"/>
            <w:vAlign w:val="center"/>
          </w:tcPr>
          <w:p w14:paraId="4278D86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tcBorders>
            <w:shd w:val="clear" w:color="auto" w:fill="DBE5F1" w:themeFill="accent1" w:themeFillTint="33"/>
            <w:vAlign w:val="center"/>
          </w:tcPr>
          <w:p w14:paraId="311242C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tcBorders>
            <w:shd w:val="clear" w:color="auto" w:fill="DBE5F1" w:themeFill="accent1" w:themeFillTint="33"/>
            <w:vAlign w:val="center"/>
          </w:tcPr>
          <w:p w14:paraId="2498ACF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tcBorders>
            <w:shd w:val="clear" w:color="auto" w:fill="DBE5F1" w:themeFill="accent1" w:themeFillTint="33"/>
            <w:vAlign w:val="center"/>
          </w:tcPr>
          <w:p w14:paraId="102FCC4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shd w:val="clear" w:color="auto" w:fill="DBE5F1" w:themeFill="accent1" w:themeFillTint="33"/>
            <w:vAlign w:val="center"/>
          </w:tcPr>
          <w:p w14:paraId="14BBBB9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shd w:val="clear" w:color="auto" w:fill="DBE5F1" w:themeFill="accent1" w:themeFillTint="33"/>
            <w:vAlign w:val="center"/>
          </w:tcPr>
          <w:p w14:paraId="01198CB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shd w:val="clear" w:color="auto" w:fill="DBE5F1" w:themeFill="accent1" w:themeFillTint="33"/>
            <w:vAlign w:val="center"/>
          </w:tcPr>
          <w:p w14:paraId="4C382D0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DBE5F1" w:themeFill="accent1" w:themeFillTint="33"/>
            <w:vAlign w:val="center"/>
          </w:tcPr>
          <w:p w14:paraId="222482F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shd w:val="clear" w:color="auto" w:fill="DBE5F1" w:themeFill="accent1" w:themeFillTint="33"/>
            <w:vAlign w:val="center"/>
          </w:tcPr>
          <w:p w14:paraId="6DC13B1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shd w:val="clear" w:color="auto" w:fill="DBE5F1" w:themeFill="accent1" w:themeFillTint="33"/>
            <w:vAlign w:val="center"/>
          </w:tcPr>
          <w:p w14:paraId="2904906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shd w:val="clear" w:color="auto" w:fill="DBE5F1" w:themeFill="accent1" w:themeFillTint="33"/>
            <w:vAlign w:val="center"/>
          </w:tcPr>
          <w:p w14:paraId="2F24E8A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DBE5F1" w:themeFill="accent1" w:themeFillTint="33"/>
            <w:vAlign w:val="center"/>
          </w:tcPr>
          <w:p w14:paraId="35FF419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shd w:val="clear" w:color="auto" w:fill="DBE5F1" w:themeFill="accent1" w:themeFillTint="33"/>
            <w:vAlign w:val="center"/>
          </w:tcPr>
          <w:p w14:paraId="1C830FC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shd w:val="clear" w:color="auto" w:fill="DBE5F1" w:themeFill="accent1" w:themeFillTint="33"/>
            <w:vAlign w:val="center"/>
          </w:tcPr>
          <w:p w14:paraId="6B01E0D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shd w:val="clear" w:color="auto" w:fill="DBE5F1" w:themeFill="accent1" w:themeFillTint="33"/>
            <w:vAlign w:val="center"/>
          </w:tcPr>
          <w:p w14:paraId="421ABEB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shd w:val="clear" w:color="auto" w:fill="DBE5F1" w:themeFill="accent1" w:themeFillTint="33"/>
            <w:vAlign w:val="center"/>
          </w:tcPr>
          <w:p w14:paraId="1713580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shd w:val="clear" w:color="auto" w:fill="DBE5F1" w:themeFill="accent1" w:themeFillTint="33"/>
            <w:vAlign w:val="center"/>
          </w:tcPr>
          <w:p w14:paraId="5C24234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shd w:val="clear" w:color="auto" w:fill="DBE5F1" w:themeFill="accent1" w:themeFillTint="33"/>
            <w:vAlign w:val="center"/>
          </w:tcPr>
          <w:p w14:paraId="716A8A3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shd w:val="clear" w:color="auto" w:fill="DBE5F1" w:themeFill="accent1" w:themeFillTint="33"/>
            <w:vAlign w:val="center"/>
          </w:tcPr>
          <w:p w14:paraId="1F44A8D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shd w:val="clear" w:color="auto" w:fill="DBE5F1" w:themeFill="accent1" w:themeFillTint="33"/>
            <w:vAlign w:val="center"/>
          </w:tcPr>
          <w:p w14:paraId="280DD93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2" w:type="dxa"/>
            <w:tcBorders>
              <w:top w:val="single" w:sz="4" w:space="0" w:color="auto"/>
              <w:left w:val="single" w:sz="4" w:space="0" w:color="auto"/>
            </w:tcBorders>
            <w:shd w:val="clear" w:color="auto" w:fill="DBE5F1" w:themeFill="accent1" w:themeFillTint="33"/>
            <w:vAlign w:val="center"/>
          </w:tcPr>
          <w:p w14:paraId="36529A5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gridSpan w:val="2"/>
            <w:tcBorders>
              <w:top w:val="single" w:sz="4" w:space="0" w:color="auto"/>
              <w:left w:val="single" w:sz="4" w:space="0" w:color="auto"/>
            </w:tcBorders>
            <w:shd w:val="clear" w:color="auto" w:fill="DBE5F1" w:themeFill="accent1" w:themeFillTint="33"/>
            <w:vAlign w:val="center"/>
          </w:tcPr>
          <w:p w14:paraId="19F7345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shd w:val="clear" w:color="auto" w:fill="DBE5F1" w:themeFill="accent1" w:themeFillTint="33"/>
            <w:vAlign w:val="center"/>
          </w:tcPr>
          <w:p w14:paraId="3BA01E2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shd w:val="clear" w:color="auto" w:fill="DBE5F1" w:themeFill="accent1" w:themeFillTint="33"/>
            <w:vAlign w:val="center"/>
          </w:tcPr>
          <w:p w14:paraId="08B0FC7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2"/>
            <w:tcBorders>
              <w:top w:val="single" w:sz="4" w:space="0" w:color="auto"/>
              <w:left w:val="single" w:sz="4" w:space="0" w:color="auto"/>
            </w:tcBorders>
            <w:shd w:val="clear" w:color="auto" w:fill="DBE5F1" w:themeFill="accent1" w:themeFillTint="33"/>
            <w:vAlign w:val="center"/>
          </w:tcPr>
          <w:p w14:paraId="08D1E2E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shd w:val="clear" w:color="auto" w:fill="DBE5F1" w:themeFill="accent1" w:themeFillTint="33"/>
            <w:vAlign w:val="center"/>
          </w:tcPr>
          <w:p w14:paraId="76F9AB6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2CD1CCE2" w14:textId="77777777">
        <w:trPr>
          <w:trHeight w:val="94"/>
        </w:trPr>
        <w:tc>
          <w:tcPr>
            <w:tcW w:w="942" w:type="dxa"/>
            <w:tcBorders>
              <w:top w:val="single" w:sz="4" w:space="0" w:color="auto"/>
              <w:left w:val="single" w:sz="4" w:space="0" w:color="auto"/>
            </w:tcBorders>
            <w:tcMar>
              <w:left w:w="0" w:type="dxa"/>
            </w:tcMar>
            <w:vAlign w:val="center"/>
          </w:tcPr>
          <w:p w14:paraId="1E67B44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49</w:t>
            </w:r>
          </w:p>
        </w:tc>
        <w:tc>
          <w:tcPr>
            <w:tcW w:w="1798" w:type="dxa"/>
            <w:tcBorders>
              <w:top w:val="single" w:sz="4" w:space="0" w:color="auto"/>
              <w:left w:val="single" w:sz="4" w:space="0" w:color="auto"/>
            </w:tcBorders>
            <w:vAlign w:val="center"/>
          </w:tcPr>
          <w:p w14:paraId="0B7C9517" w14:textId="77777777" w:rsidR="006561BA" w:rsidRDefault="005B4ED6">
            <w:pPr>
              <w:widowControl w:val="0"/>
              <w:shd w:val="clear" w:color="auto" w:fill="auto"/>
              <w:spacing w:after="0" w:line="240" w:lineRule="auto"/>
              <w:jc w:val="left"/>
              <w:rPr>
                <w:rFonts w:ascii="Helvetica" w:eastAsia="Arial Unicode MS" w:hAnsi="Helvetica" w:cs="Helvetica"/>
                <w:b/>
                <w:color w:val="000000"/>
                <w:sz w:val="6"/>
                <w:szCs w:val="6"/>
                <w:u w:val="single"/>
              </w:rPr>
            </w:pPr>
            <w:r>
              <w:rPr>
                <w:rFonts w:ascii="Helvetica" w:hAnsi="Helvetica"/>
                <w:b/>
                <w:color w:val="000000"/>
                <w:sz w:val="6"/>
                <w:u w:val="single"/>
              </w:rPr>
              <w:t>Eiendeler som ikke inngår i beregningen av GAR</w:t>
            </w:r>
          </w:p>
        </w:tc>
        <w:tc>
          <w:tcPr>
            <w:tcW w:w="395" w:type="dxa"/>
            <w:tcBorders>
              <w:top w:val="single" w:sz="4" w:space="0" w:color="auto"/>
              <w:left w:val="single" w:sz="4" w:space="0" w:color="auto"/>
            </w:tcBorders>
            <w:vAlign w:val="center"/>
          </w:tcPr>
          <w:p w14:paraId="45703FC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596" w:type="dxa"/>
            <w:gridSpan w:val="3"/>
            <w:vMerge w:val="restart"/>
            <w:tcBorders>
              <w:top w:val="single" w:sz="4" w:space="0" w:color="auto"/>
            </w:tcBorders>
            <w:shd w:val="clear" w:color="auto" w:fill="000000"/>
            <w:vAlign w:val="center"/>
          </w:tcPr>
          <w:p w14:paraId="7E4BF73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1300" w:type="dxa"/>
            <w:gridSpan w:val="7"/>
            <w:vMerge w:val="restart"/>
            <w:tcBorders>
              <w:top w:val="single" w:sz="4" w:space="0" w:color="auto"/>
            </w:tcBorders>
            <w:shd w:val="clear" w:color="auto" w:fill="000000"/>
            <w:vAlign w:val="center"/>
          </w:tcPr>
          <w:p w14:paraId="4357896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714" w:type="dxa"/>
            <w:gridSpan w:val="3"/>
            <w:vMerge w:val="restart"/>
            <w:tcBorders>
              <w:top w:val="single" w:sz="4" w:space="0" w:color="auto"/>
            </w:tcBorders>
            <w:shd w:val="clear" w:color="auto" w:fill="000000"/>
            <w:vAlign w:val="center"/>
          </w:tcPr>
          <w:p w14:paraId="103E92C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8285" w:type="dxa"/>
            <w:gridSpan w:val="43"/>
            <w:vMerge w:val="restart"/>
            <w:tcBorders>
              <w:top w:val="single" w:sz="4" w:space="0" w:color="auto"/>
            </w:tcBorders>
            <w:shd w:val="clear" w:color="auto" w:fill="000000"/>
            <w:vAlign w:val="center"/>
          </w:tcPr>
          <w:p w14:paraId="4B91A0C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2BABCFF0" w14:textId="77777777">
        <w:trPr>
          <w:trHeight w:val="83"/>
        </w:trPr>
        <w:tc>
          <w:tcPr>
            <w:tcW w:w="942" w:type="dxa"/>
            <w:tcBorders>
              <w:top w:val="single" w:sz="4" w:space="0" w:color="auto"/>
              <w:left w:val="single" w:sz="4" w:space="0" w:color="auto"/>
            </w:tcBorders>
            <w:tcMar>
              <w:left w:w="0" w:type="dxa"/>
            </w:tcMar>
            <w:vAlign w:val="center"/>
          </w:tcPr>
          <w:p w14:paraId="07ADC4B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50</w:t>
            </w:r>
          </w:p>
        </w:tc>
        <w:tc>
          <w:tcPr>
            <w:tcW w:w="1798" w:type="dxa"/>
            <w:tcBorders>
              <w:top w:val="single" w:sz="4" w:space="0" w:color="auto"/>
              <w:left w:val="single" w:sz="4" w:space="0" w:color="auto"/>
            </w:tcBorders>
            <w:vAlign w:val="center"/>
          </w:tcPr>
          <w:p w14:paraId="3061107A" w14:textId="77777777" w:rsidR="006561BA" w:rsidRDefault="005B4ED6">
            <w:pPr>
              <w:widowControl w:val="0"/>
              <w:shd w:val="clear" w:color="auto" w:fill="auto"/>
              <w:spacing w:after="0" w:line="240" w:lineRule="auto"/>
              <w:ind w:left="102"/>
              <w:jc w:val="left"/>
              <w:rPr>
                <w:rFonts w:ascii="Helvetica" w:eastAsia="Arial Unicode MS" w:hAnsi="Helvetica" w:cs="Helvetica"/>
                <w:b/>
                <w:color w:val="000000"/>
                <w:sz w:val="6"/>
                <w:szCs w:val="6"/>
              </w:rPr>
            </w:pPr>
            <w:r>
              <w:rPr>
                <w:rFonts w:ascii="Helvetica" w:hAnsi="Helvetica"/>
                <w:b/>
                <w:color w:val="000000"/>
                <w:sz w:val="6"/>
              </w:rPr>
              <w:t>Sentralmyndigheter og overnasjonale utstedere</w:t>
            </w:r>
          </w:p>
        </w:tc>
        <w:tc>
          <w:tcPr>
            <w:tcW w:w="395" w:type="dxa"/>
            <w:tcBorders>
              <w:top w:val="single" w:sz="4" w:space="0" w:color="auto"/>
              <w:left w:val="single" w:sz="4" w:space="0" w:color="auto"/>
            </w:tcBorders>
            <w:vAlign w:val="center"/>
          </w:tcPr>
          <w:p w14:paraId="16C1EA4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96" w:type="dxa"/>
            <w:gridSpan w:val="3"/>
            <w:vMerge/>
            <w:shd w:val="clear" w:color="auto" w:fill="000000"/>
            <w:vAlign w:val="center"/>
          </w:tcPr>
          <w:p w14:paraId="28460E2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00" w:type="dxa"/>
            <w:gridSpan w:val="7"/>
            <w:vMerge/>
            <w:shd w:val="clear" w:color="auto" w:fill="000000"/>
            <w:vAlign w:val="center"/>
          </w:tcPr>
          <w:p w14:paraId="2299858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714" w:type="dxa"/>
            <w:gridSpan w:val="3"/>
            <w:vMerge/>
            <w:shd w:val="clear" w:color="auto" w:fill="000000"/>
            <w:vAlign w:val="center"/>
          </w:tcPr>
          <w:p w14:paraId="76A5191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285" w:type="dxa"/>
            <w:gridSpan w:val="43"/>
            <w:vMerge/>
            <w:shd w:val="clear" w:color="auto" w:fill="000000"/>
            <w:vAlign w:val="center"/>
          </w:tcPr>
          <w:p w14:paraId="36C12B6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4E24B99D" w14:textId="77777777">
        <w:trPr>
          <w:trHeight w:val="86"/>
        </w:trPr>
        <w:tc>
          <w:tcPr>
            <w:tcW w:w="942" w:type="dxa"/>
            <w:tcBorders>
              <w:top w:val="single" w:sz="4" w:space="0" w:color="auto"/>
              <w:left w:val="single" w:sz="4" w:space="0" w:color="auto"/>
            </w:tcBorders>
            <w:tcMar>
              <w:left w:w="0" w:type="dxa"/>
            </w:tcMar>
            <w:vAlign w:val="center"/>
          </w:tcPr>
          <w:p w14:paraId="7954EDC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51</w:t>
            </w:r>
          </w:p>
        </w:tc>
        <w:tc>
          <w:tcPr>
            <w:tcW w:w="1798" w:type="dxa"/>
            <w:tcBorders>
              <w:top w:val="single" w:sz="4" w:space="0" w:color="auto"/>
              <w:left w:val="single" w:sz="4" w:space="0" w:color="auto"/>
            </w:tcBorders>
            <w:vAlign w:val="center"/>
          </w:tcPr>
          <w:p w14:paraId="4A3298A0" w14:textId="77777777" w:rsidR="006561BA" w:rsidRDefault="005B4ED6">
            <w:pPr>
              <w:widowControl w:val="0"/>
              <w:shd w:val="clear" w:color="auto" w:fill="auto"/>
              <w:spacing w:after="0" w:line="240" w:lineRule="auto"/>
              <w:ind w:left="102"/>
              <w:jc w:val="left"/>
              <w:rPr>
                <w:rFonts w:ascii="Helvetica" w:eastAsia="Arial Unicode MS" w:hAnsi="Helvetica" w:cs="Helvetica"/>
                <w:b/>
                <w:color w:val="000000"/>
                <w:sz w:val="6"/>
                <w:szCs w:val="6"/>
              </w:rPr>
            </w:pPr>
            <w:r>
              <w:rPr>
                <w:rFonts w:ascii="Helvetica" w:hAnsi="Helvetica"/>
                <w:b/>
                <w:color w:val="000000"/>
                <w:sz w:val="6"/>
              </w:rPr>
              <w:t>Eksponeringer mot sentralbanker</w:t>
            </w:r>
          </w:p>
        </w:tc>
        <w:tc>
          <w:tcPr>
            <w:tcW w:w="395" w:type="dxa"/>
            <w:tcBorders>
              <w:top w:val="single" w:sz="4" w:space="0" w:color="auto"/>
              <w:left w:val="single" w:sz="4" w:space="0" w:color="auto"/>
            </w:tcBorders>
            <w:vAlign w:val="center"/>
          </w:tcPr>
          <w:p w14:paraId="121607E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96" w:type="dxa"/>
            <w:gridSpan w:val="3"/>
            <w:vMerge/>
            <w:shd w:val="clear" w:color="auto" w:fill="000000"/>
            <w:vAlign w:val="center"/>
          </w:tcPr>
          <w:p w14:paraId="723A9B6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00" w:type="dxa"/>
            <w:gridSpan w:val="7"/>
            <w:vMerge/>
            <w:shd w:val="clear" w:color="auto" w:fill="000000"/>
            <w:vAlign w:val="center"/>
          </w:tcPr>
          <w:p w14:paraId="4D67F6B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714" w:type="dxa"/>
            <w:gridSpan w:val="3"/>
            <w:vMerge/>
            <w:shd w:val="clear" w:color="auto" w:fill="000000"/>
            <w:vAlign w:val="center"/>
          </w:tcPr>
          <w:p w14:paraId="2870848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285" w:type="dxa"/>
            <w:gridSpan w:val="43"/>
            <w:vMerge/>
            <w:shd w:val="clear" w:color="auto" w:fill="000000"/>
            <w:vAlign w:val="center"/>
          </w:tcPr>
          <w:p w14:paraId="7F99E64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6B84C8C9" w14:textId="77777777">
        <w:trPr>
          <w:trHeight w:val="86"/>
        </w:trPr>
        <w:tc>
          <w:tcPr>
            <w:tcW w:w="942" w:type="dxa"/>
            <w:tcBorders>
              <w:top w:val="single" w:sz="4" w:space="0" w:color="auto"/>
              <w:left w:val="single" w:sz="4" w:space="0" w:color="auto"/>
            </w:tcBorders>
            <w:tcMar>
              <w:left w:w="0" w:type="dxa"/>
            </w:tcMar>
            <w:vAlign w:val="center"/>
          </w:tcPr>
          <w:p w14:paraId="71F1AB4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52</w:t>
            </w:r>
          </w:p>
        </w:tc>
        <w:tc>
          <w:tcPr>
            <w:tcW w:w="1798" w:type="dxa"/>
            <w:tcBorders>
              <w:top w:val="single" w:sz="4" w:space="0" w:color="auto"/>
              <w:left w:val="single" w:sz="4" w:space="0" w:color="auto"/>
            </w:tcBorders>
            <w:vAlign w:val="center"/>
          </w:tcPr>
          <w:p w14:paraId="5F459F0F" w14:textId="77777777" w:rsidR="006561BA" w:rsidRDefault="005B4ED6">
            <w:pPr>
              <w:widowControl w:val="0"/>
              <w:shd w:val="clear" w:color="auto" w:fill="auto"/>
              <w:spacing w:after="0" w:line="240" w:lineRule="auto"/>
              <w:ind w:left="102"/>
              <w:jc w:val="left"/>
              <w:rPr>
                <w:rFonts w:ascii="Helvetica" w:eastAsia="Arial Unicode MS" w:hAnsi="Helvetica" w:cs="Helvetica"/>
                <w:b/>
                <w:color w:val="000000"/>
                <w:sz w:val="6"/>
                <w:szCs w:val="6"/>
              </w:rPr>
            </w:pPr>
            <w:r>
              <w:rPr>
                <w:rFonts w:ascii="Helvetica" w:hAnsi="Helvetica"/>
                <w:b/>
                <w:color w:val="000000"/>
                <w:sz w:val="6"/>
              </w:rPr>
              <w:t>Handelsporteføljen</w:t>
            </w:r>
          </w:p>
        </w:tc>
        <w:tc>
          <w:tcPr>
            <w:tcW w:w="395" w:type="dxa"/>
            <w:tcBorders>
              <w:top w:val="single" w:sz="4" w:space="0" w:color="auto"/>
              <w:left w:val="single" w:sz="4" w:space="0" w:color="auto"/>
              <w:bottom w:val="single" w:sz="4" w:space="0" w:color="auto"/>
            </w:tcBorders>
            <w:vAlign w:val="center"/>
          </w:tcPr>
          <w:p w14:paraId="0CF3E67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96" w:type="dxa"/>
            <w:gridSpan w:val="3"/>
            <w:vMerge/>
            <w:tcBorders>
              <w:bottom w:val="single" w:sz="4" w:space="0" w:color="auto"/>
            </w:tcBorders>
            <w:shd w:val="clear" w:color="auto" w:fill="000000"/>
            <w:vAlign w:val="center"/>
          </w:tcPr>
          <w:p w14:paraId="03DDC2F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00" w:type="dxa"/>
            <w:gridSpan w:val="7"/>
            <w:vMerge/>
            <w:tcBorders>
              <w:bottom w:val="single" w:sz="4" w:space="0" w:color="auto"/>
            </w:tcBorders>
            <w:shd w:val="clear" w:color="auto" w:fill="000000"/>
            <w:vAlign w:val="center"/>
          </w:tcPr>
          <w:p w14:paraId="6D8D661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714" w:type="dxa"/>
            <w:gridSpan w:val="3"/>
            <w:vMerge/>
            <w:tcBorders>
              <w:bottom w:val="single" w:sz="4" w:space="0" w:color="auto"/>
            </w:tcBorders>
            <w:shd w:val="clear" w:color="auto" w:fill="000000"/>
            <w:vAlign w:val="center"/>
          </w:tcPr>
          <w:p w14:paraId="6492F49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285" w:type="dxa"/>
            <w:gridSpan w:val="43"/>
            <w:vMerge/>
            <w:tcBorders>
              <w:bottom w:val="single" w:sz="4" w:space="0" w:color="auto"/>
            </w:tcBorders>
            <w:shd w:val="clear" w:color="auto" w:fill="000000"/>
            <w:vAlign w:val="center"/>
          </w:tcPr>
          <w:p w14:paraId="74BF574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28060F79" w14:textId="77777777">
        <w:trPr>
          <w:trHeight w:val="86"/>
        </w:trPr>
        <w:tc>
          <w:tcPr>
            <w:tcW w:w="942" w:type="dxa"/>
            <w:tcBorders>
              <w:top w:val="single" w:sz="4" w:space="0" w:color="auto"/>
              <w:left w:val="single" w:sz="4" w:space="0" w:color="auto"/>
            </w:tcBorders>
            <w:tcMar>
              <w:left w:w="0" w:type="dxa"/>
            </w:tcMar>
            <w:vAlign w:val="center"/>
          </w:tcPr>
          <w:p w14:paraId="6017C0A0"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53</w:t>
            </w:r>
          </w:p>
        </w:tc>
        <w:tc>
          <w:tcPr>
            <w:tcW w:w="1798" w:type="dxa"/>
            <w:tcBorders>
              <w:top w:val="single" w:sz="4" w:space="0" w:color="auto"/>
              <w:left w:val="single" w:sz="4" w:space="0" w:color="auto"/>
            </w:tcBorders>
            <w:vAlign w:val="center"/>
          </w:tcPr>
          <w:p w14:paraId="0A45B2D7" w14:textId="77777777" w:rsidR="006561BA" w:rsidRDefault="005B4ED6">
            <w:pPr>
              <w:widowControl w:val="0"/>
              <w:shd w:val="clear" w:color="auto" w:fill="auto"/>
              <w:spacing w:after="0" w:line="240" w:lineRule="auto"/>
              <w:jc w:val="left"/>
              <w:rPr>
                <w:rFonts w:ascii="Helvetica" w:eastAsia="Arial Unicode MS" w:hAnsi="Helvetica" w:cs="Helvetica"/>
                <w:b/>
                <w:color w:val="000000"/>
                <w:sz w:val="6"/>
                <w:szCs w:val="6"/>
                <w:u w:val="single"/>
              </w:rPr>
            </w:pPr>
            <w:r>
              <w:rPr>
                <w:rFonts w:ascii="Helvetica" w:hAnsi="Helvetica"/>
                <w:b/>
                <w:color w:val="000000"/>
                <w:sz w:val="6"/>
                <w:u w:val="single"/>
              </w:rPr>
              <w:t>Samlede eiendeler</w:t>
            </w:r>
          </w:p>
        </w:tc>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14:paraId="2EEA871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bottom w:val="single" w:sz="4" w:space="0" w:color="auto"/>
              <w:right w:val="single" w:sz="4" w:space="0" w:color="auto"/>
            </w:tcBorders>
            <w:shd w:val="clear" w:color="auto" w:fill="auto"/>
            <w:vAlign w:val="center"/>
          </w:tcPr>
          <w:p w14:paraId="764E7FC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882AF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EE5186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45E5022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F6B0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285" w:type="dxa"/>
            <w:gridSpan w:val="43"/>
            <w:tcBorders>
              <w:top w:val="single" w:sz="4" w:space="0" w:color="auto"/>
              <w:left w:val="single" w:sz="4" w:space="0" w:color="auto"/>
              <w:bottom w:val="single" w:sz="4" w:space="0" w:color="auto"/>
              <w:right w:val="single" w:sz="4" w:space="0" w:color="auto"/>
            </w:tcBorders>
            <w:shd w:val="clear" w:color="auto" w:fill="auto"/>
            <w:vAlign w:val="center"/>
          </w:tcPr>
          <w:p w14:paraId="0208D5F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11E5B96A" w14:textId="77777777">
        <w:trPr>
          <w:trHeight w:val="76"/>
        </w:trPr>
        <w:tc>
          <w:tcPr>
            <w:tcW w:w="3135" w:type="dxa"/>
            <w:gridSpan w:val="3"/>
            <w:tcBorders>
              <w:top w:val="single" w:sz="4" w:space="0" w:color="auto"/>
              <w:left w:val="single" w:sz="4" w:space="0" w:color="auto"/>
            </w:tcBorders>
            <w:shd w:val="clear" w:color="auto" w:fill="B5B5B5"/>
            <w:tcMar>
              <w:left w:w="0" w:type="dxa"/>
            </w:tcMar>
            <w:vAlign w:val="center"/>
          </w:tcPr>
          <w:p w14:paraId="0B8C5028" w14:textId="77777777" w:rsidR="006561BA" w:rsidRDefault="005B4ED6">
            <w:pPr>
              <w:widowControl w:val="0"/>
              <w:shd w:val="clear" w:color="auto" w:fill="auto"/>
              <w:spacing w:after="0" w:line="240" w:lineRule="auto"/>
              <w:ind w:left="10"/>
              <w:jc w:val="left"/>
              <w:rPr>
                <w:rFonts w:ascii="Helvetica" w:eastAsia="Arial Unicode MS" w:hAnsi="Helvetica" w:cs="Helvetica"/>
                <w:b/>
                <w:color w:val="000000"/>
                <w:sz w:val="6"/>
                <w:szCs w:val="6"/>
              </w:rPr>
            </w:pPr>
            <w:r>
              <w:rPr>
                <w:rFonts w:ascii="Helvetica" w:hAnsi="Helvetica"/>
                <w:b/>
                <w:color w:val="000000"/>
                <w:sz w:val="6"/>
              </w:rPr>
              <w:t>Eksponeringer utenfor balansen</w:t>
            </w:r>
            <w:r>
              <w:rPr>
                <w:rFonts w:ascii="Helvetica" w:hAnsi="Helvetica"/>
                <w:b/>
                <w:color w:val="000000"/>
                <w:sz w:val="6"/>
              </w:rPr>
              <w:sym w:font="Symbol" w:char="F02D"/>
            </w:r>
            <w:r>
              <w:rPr>
                <w:rFonts w:ascii="Helvetica" w:hAnsi="Helvetica"/>
                <w:b/>
                <w:color w:val="000000"/>
                <w:sz w:val="6"/>
              </w:rPr>
              <w:t xml:space="preserve"> </w:t>
            </w:r>
          </w:p>
        </w:tc>
        <w:tc>
          <w:tcPr>
            <w:tcW w:w="596" w:type="dxa"/>
            <w:gridSpan w:val="3"/>
            <w:shd w:val="clear" w:color="auto" w:fill="BFBFBF" w:themeFill="background1" w:themeFillShade="BF"/>
            <w:vAlign w:val="center"/>
          </w:tcPr>
          <w:p w14:paraId="20EBC5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300" w:type="dxa"/>
            <w:gridSpan w:val="7"/>
            <w:tcBorders>
              <w:top w:val="single" w:sz="4" w:space="0" w:color="auto"/>
            </w:tcBorders>
            <w:shd w:val="clear" w:color="auto" w:fill="BFBFBF" w:themeFill="background1" w:themeFillShade="BF"/>
            <w:vAlign w:val="center"/>
          </w:tcPr>
          <w:p w14:paraId="100B721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714" w:type="dxa"/>
            <w:gridSpan w:val="3"/>
            <w:shd w:val="clear" w:color="auto" w:fill="BFBFBF" w:themeFill="background1" w:themeFillShade="BF"/>
            <w:vAlign w:val="center"/>
          </w:tcPr>
          <w:p w14:paraId="22239F1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285" w:type="dxa"/>
            <w:gridSpan w:val="43"/>
            <w:tcBorders>
              <w:top w:val="single" w:sz="4" w:space="0" w:color="auto"/>
            </w:tcBorders>
            <w:shd w:val="clear" w:color="auto" w:fill="B5B5B5"/>
            <w:vAlign w:val="center"/>
          </w:tcPr>
          <w:p w14:paraId="4B9AEF9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1FF2BE02" w14:textId="77777777">
        <w:trPr>
          <w:trHeight w:val="86"/>
        </w:trPr>
        <w:tc>
          <w:tcPr>
            <w:tcW w:w="942" w:type="dxa"/>
            <w:tcBorders>
              <w:top w:val="single" w:sz="4" w:space="0" w:color="auto"/>
              <w:left w:val="single" w:sz="4" w:space="0" w:color="auto"/>
            </w:tcBorders>
            <w:tcMar>
              <w:left w:w="0" w:type="dxa"/>
            </w:tcMar>
            <w:vAlign w:val="center"/>
          </w:tcPr>
          <w:p w14:paraId="3506D74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54</w:t>
            </w:r>
          </w:p>
        </w:tc>
        <w:tc>
          <w:tcPr>
            <w:tcW w:w="1798" w:type="dxa"/>
            <w:tcBorders>
              <w:top w:val="single" w:sz="4" w:space="0" w:color="auto"/>
              <w:left w:val="single" w:sz="4" w:space="0" w:color="auto"/>
            </w:tcBorders>
            <w:vAlign w:val="center"/>
          </w:tcPr>
          <w:p w14:paraId="627D6202"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Finansielle garantier</w:t>
            </w:r>
          </w:p>
        </w:tc>
        <w:tc>
          <w:tcPr>
            <w:tcW w:w="395" w:type="dxa"/>
            <w:tcBorders>
              <w:top w:val="single" w:sz="4" w:space="0" w:color="auto"/>
              <w:left w:val="single" w:sz="4" w:space="0" w:color="auto"/>
              <w:bottom w:val="single" w:sz="4" w:space="0" w:color="auto"/>
              <w:right w:val="single" w:sz="4" w:space="0" w:color="auto"/>
            </w:tcBorders>
            <w:vAlign w:val="center"/>
          </w:tcPr>
          <w:p w14:paraId="7F25CEC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bottom w:val="single" w:sz="4" w:space="0" w:color="auto"/>
              <w:right w:val="single" w:sz="4" w:space="0" w:color="auto"/>
            </w:tcBorders>
            <w:shd w:val="clear" w:color="auto" w:fill="auto"/>
            <w:vAlign w:val="center"/>
          </w:tcPr>
          <w:p w14:paraId="687B73C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562F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81CCF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A0B42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2D5F7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33B443C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80FB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bottom w:val="single" w:sz="4" w:space="0" w:color="auto"/>
            </w:tcBorders>
            <w:shd w:val="clear" w:color="auto" w:fill="auto"/>
            <w:vAlign w:val="center"/>
          </w:tcPr>
          <w:p w14:paraId="559EC53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shd w:val="clear" w:color="auto" w:fill="auto"/>
            <w:vAlign w:val="center"/>
          </w:tcPr>
          <w:p w14:paraId="470035C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shd w:val="clear" w:color="auto" w:fill="auto"/>
            <w:vAlign w:val="center"/>
          </w:tcPr>
          <w:p w14:paraId="6E1CF87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shd w:val="clear" w:color="auto" w:fill="auto"/>
            <w:vAlign w:val="center"/>
          </w:tcPr>
          <w:p w14:paraId="6875359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auto"/>
            <w:vAlign w:val="center"/>
          </w:tcPr>
          <w:p w14:paraId="7395B09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shd w:val="clear" w:color="auto" w:fill="auto"/>
            <w:vAlign w:val="center"/>
          </w:tcPr>
          <w:p w14:paraId="50A5007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shd w:val="clear" w:color="auto" w:fill="auto"/>
            <w:vAlign w:val="center"/>
          </w:tcPr>
          <w:p w14:paraId="65101DF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shd w:val="clear" w:color="auto" w:fill="auto"/>
            <w:vAlign w:val="center"/>
          </w:tcPr>
          <w:p w14:paraId="365A57C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auto"/>
            <w:vAlign w:val="center"/>
          </w:tcPr>
          <w:p w14:paraId="42E77A3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shd w:val="clear" w:color="auto" w:fill="auto"/>
            <w:vAlign w:val="center"/>
          </w:tcPr>
          <w:p w14:paraId="4547630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shd w:val="clear" w:color="auto" w:fill="auto"/>
            <w:vAlign w:val="center"/>
          </w:tcPr>
          <w:p w14:paraId="5EAF948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shd w:val="clear" w:color="auto" w:fill="auto"/>
            <w:vAlign w:val="center"/>
          </w:tcPr>
          <w:p w14:paraId="10E10E3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shd w:val="clear" w:color="auto" w:fill="auto"/>
            <w:vAlign w:val="center"/>
          </w:tcPr>
          <w:p w14:paraId="24EAA59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shd w:val="clear" w:color="auto" w:fill="auto"/>
            <w:vAlign w:val="center"/>
          </w:tcPr>
          <w:p w14:paraId="58DFCE1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shd w:val="clear" w:color="auto" w:fill="auto"/>
            <w:vAlign w:val="center"/>
          </w:tcPr>
          <w:p w14:paraId="1CF1938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shd w:val="clear" w:color="auto" w:fill="auto"/>
            <w:vAlign w:val="center"/>
          </w:tcPr>
          <w:p w14:paraId="7AB5A01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shd w:val="clear" w:color="auto" w:fill="auto"/>
            <w:vAlign w:val="center"/>
          </w:tcPr>
          <w:p w14:paraId="24CAC05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2" w:type="dxa"/>
            <w:tcBorders>
              <w:top w:val="single" w:sz="4" w:space="0" w:color="auto"/>
              <w:left w:val="single" w:sz="4" w:space="0" w:color="auto"/>
            </w:tcBorders>
            <w:shd w:val="clear" w:color="auto" w:fill="auto"/>
            <w:vAlign w:val="center"/>
          </w:tcPr>
          <w:p w14:paraId="1140749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gridSpan w:val="2"/>
            <w:tcBorders>
              <w:top w:val="single" w:sz="4" w:space="0" w:color="auto"/>
              <w:left w:val="single" w:sz="4" w:space="0" w:color="auto"/>
            </w:tcBorders>
            <w:shd w:val="clear" w:color="auto" w:fill="auto"/>
            <w:vAlign w:val="center"/>
          </w:tcPr>
          <w:p w14:paraId="70C568D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shd w:val="clear" w:color="auto" w:fill="auto"/>
            <w:vAlign w:val="center"/>
          </w:tcPr>
          <w:p w14:paraId="6053215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shd w:val="clear" w:color="auto" w:fill="auto"/>
            <w:vAlign w:val="center"/>
          </w:tcPr>
          <w:p w14:paraId="7032295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2"/>
            <w:tcBorders>
              <w:top w:val="single" w:sz="4" w:space="0" w:color="auto"/>
              <w:left w:val="single" w:sz="4" w:space="0" w:color="auto"/>
            </w:tcBorders>
            <w:shd w:val="clear" w:color="auto" w:fill="auto"/>
            <w:vAlign w:val="center"/>
          </w:tcPr>
          <w:p w14:paraId="4F68032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shd w:val="clear" w:color="auto" w:fill="auto"/>
            <w:vAlign w:val="center"/>
          </w:tcPr>
          <w:p w14:paraId="644E03C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4C30AA7D" w14:textId="77777777">
        <w:trPr>
          <w:trHeight w:val="86"/>
        </w:trPr>
        <w:tc>
          <w:tcPr>
            <w:tcW w:w="942" w:type="dxa"/>
            <w:tcBorders>
              <w:top w:val="single" w:sz="4" w:space="0" w:color="auto"/>
              <w:left w:val="single" w:sz="4" w:space="0" w:color="auto"/>
            </w:tcBorders>
            <w:tcMar>
              <w:left w:w="0" w:type="dxa"/>
            </w:tcMar>
            <w:vAlign w:val="center"/>
          </w:tcPr>
          <w:p w14:paraId="3E7023B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55</w:t>
            </w:r>
          </w:p>
        </w:tc>
        <w:tc>
          <w:tcPr>
            <w:tcW w:w="1798" w:type="dxa"/>
            <w:tcBorders>
              <w:top w:val="single" w:sz="4" w:space="0" w:color="auto"/>
              <w:left w:val="single" w:sz="4" w:space="0" w:color="auto"/>
            </w:tcBorders>
            <w:vAlign w:val="center"/>
          </w:tcPr>
          <w:p w14:paraId="6F17579B"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383838"/>
                <w:sz w:val="6"/>
              </w:rPr>
              <w:t>Eiendeler under forvaltning</w:t>
            </w:r>
          </w:p>
        </w:tc>
        <w:tc>
          <w:tcPr>
            <w:tcW w:w="395" w:type="dxa"/>
            <w:tcBorders>
              <w:top w:val="single" w:sz="4" w:space="0" w:color="auto"/>
              <w:left w:val="single" w:sz="4" w:space="0" w:color="auto"/>
              <w:bottom w:val="single" w:sz="4" w:space="0" w:color="auto"/>
              <w:right w:val="single" w:sz="4" w:space="0" w:color="auto"/>
            </w:tcBorders>
            <w:vAlign w:val="center"/>
          </w:tcPr>
          <w:p w14:paraId="6D88C89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bottom w:val="single" w:sz="4" w:space="0" w:color="auto"/>
              <w:right w:val="single" w:sz="4" w:space="0" w:color="auto"/>
            </w:tcBorders>
            <w:shd w:val="clear" w:color="auto" w:fill="auto"/>
            <w:vAlign w:val="center"/>
          </w:tcPr>
          <w:p w14:paraId="33856A9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6A27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A4260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545A4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1806F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79CF51B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7FF27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bottom w:val="single" w:sz="4" w:space="0" w:color="auto"/>
            </w:tcBorders>
            <w:shd w:val="clear" w:color="auto" w:fill="auto"/>
            <w:vAlign w:val="center"/>
          </w:tcPr>
          <w:p w14:paraId="44849BD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shd w:val="clear" w:color="auto" w:fill="auto"/>
            <w:vAlign w:val="center"/>
          </w:tcPr>
          <w:p w14:paraId="2E5A4E5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shd w:val="clear" w:color="auto" w:fill="auto"/>
            <w:vAlign w:val="center"/>
          </w:tcPr>
          <w:p w14:paraId="597BEF9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shd w:val="clear" w:color="auto" w:fill="auto"/>
            <w:vAlign w:val="center"/>
          </w:tcPr>
          <w:p w14:paraId="02A25B9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auto"/>
            <w:vAlign w:val="center"/>
          </w:tcPr>
          <w:p w14:paraId="29A0F93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shd w:val="clear" w:color="auto" w:fill="auto"/>
            <w:vAlign w:val="center"/>
          </w:tcPr>
          <w:p w14:paraId="1F8482E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shd w:val="clear" w:color="auto" w:fill="auto"/>
            <w:vAlign w:val="center"/>
          </w:tcPr>
          <w:p w14:paraId="399EA7F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shd w:val="clear" w:color="auto" w:fill="auto"/>
            <w:vAlign w:val="center"/>
          </w:tcPr>
          <w:p w14:paraId="169DA21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auto"/>
            <w:vAlign w:val="center"/>
          </w:tcPr>
          <w:p w14:paraId="3860288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shd w:val="clear" w:color="auto" w:fill="auto"/>
            <w:vAlign w:val="center"/>
          </w:tcPr>
          <w:p w14:paraId="5BFF39D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shd w:val="clear" w:color="auto" w:fill="auto"/>
            <w:vAlign w:val="center"/>
          </w:tcPr>
          <w:p w14:paraId="695A46B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shd w:val="clear" w:color="auto" w:fill="auto"/>
            <w:vAlign w:val="center"/>
          </w:tcPr>
          <w:p w14:paraId="4758C0D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shd w:val="clear" w:color="auto" w:fill="auto"/>
            <w:vAlign w:val="center"/>
          </w:tcPr>
          <w:p w14:paraId="32EBAFF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shd w:val="clear" w:color="auto" w:fill="auto"/>
            <w:vAlign w:val="center"/>
          </w:tcPr>
          <w:p w14:paraId="16CA236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shd w:val="clear" w:color="auto" w:fill="auto"/>
            <w:vAlign w:val="center"/>
          </w:tcPr>
          <w:p w14:paraId="63BCA7E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shd w:val="clear" w:color="auto" w:fill="auto"/>
            <w:vAlign w:val="center"/>
          </w:tcPr>
          <w:p w14:paraId="5782AE1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shd w:val="clear" w:color="auto" w:fill="auto"/>
            <w:vAlign w:val="center"/>
          </w:tcPr>
          <w:p w14:paraId="4B5ECD9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2" w:type="dxa"/>
            <w:tcBorders>
              <w:top w:val="single" w:sz="4" w:space="0" w:color="auto"/>
              <w:left w:val="single" w:sz="4" w:space="0" w:color="auto"/>
            </w:tcBorders>
            <w:shd w:val="clear" w:color="auto" w:fill="auto"/>
            <w:vAlign w:val="center"/>
          </w:tcPr>
          <w:p w14:paraId="0F026DD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gridSpan w:val="2"/>
            <w:tcBorders>
              <w:top w:val="single" w:sz="4" w:space="0" w:color="auto"/>
              <w:left w:val="single" w:sz="4" w:space="0" w:color="auto"/>
            </w:tcBorders>
            <w:shd w:val="clear" w:color="auto" w:fill="auto"/>
            <w:vAlign w:val="center"/>
          </w:tcPr>
          <w:p w14:paraId="6B3C328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shd w:val="clear" w:color="auto" w:fill="auto"/>
            <w:vAlign w:val="center"/>
          </w:tcPr>
          <w:p w14:paraId="7F6B876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shd w:val="clear" w:color="auto" w:fill="auto"/>
            <w:vAlign w:val="center"/>
          </w:tcPr>
          <w:p w14:paraId="5B36B8A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2"/>
            <w:tcBorders>
              <w:top w:val="single" w:sz="4" w:space="0" w:color="auto"/>
              <w:left w:val="single" w:sz="4" w:space="0" w:color="auto"/>
            </w:tcBorders>
            <w:shd w:val="clear" w:color="auto" w:fill="auto"/>
            <w:vAlign w:val="center"/>
          </w:tcPr>
          <w:p w14:paraId="5D570C6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shd w:val="clear" w:color="auto" w:fill="auto"/>
            <w:vAlign w:val="center"/>
          </w:tcPr>
          <w:p w14:paraId="6F84940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57D0CFDC" w14:textId="77777777">
        <w:trPr>
          <w:trHeight w:val="86"/>
        </w:trPr>
        <w:tc>
          <w:tcPr>
            <w:tcW w:w="942" w:type="dxa"/>
            <w:tcBorders>
              <w:top w:val="single" w:sz="4" w:space="0" w:color="auto"/>
              <w:left w:val="single" w:sz="4" w:space="0" w:color="auto"/>
            </w:tcBorders>
            <w:tcMar>
              <w:left w:w="0" w:type="dxa"/>
            </w:tcMar>
            <w:vAlign w:val="center"/>
          </w:tcPr>
          <w:p w14:paraId="0209495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56</w:t>
            </w:r>
          </w:p>
        </w:tc>
        <w:tc>
          <w:tcPr>
            <w:tcW w:w="1798" w:type="dxa"/>
            <w:tcBorders>
              <w:top w:val="single" w:sz="4" w:space="0" w:color="auto"/>
              <w:left w:val="single" w:sz="4" w:space="0" w:color="auto"/>
            </w:tcBorders>
            <w:vAlign w:val="center"/>
          </w:tcPr>
          <w:p w14:paraId="394E5BFA" w14:textId="77777777" w:rsidR="006561BA" w:rsidRPr="00E96D8F" w:rsidRDefault="005B4ED6">
            <w:pPr>
              <w:widowControl w:val="0"/>
              <w:shd w:val="clear" w:color="auto" w:fill="auto"/>
              <w:spacing w:after="0" w:line="240" w:lineRule="auto"/>
              <w:jc w:val="right"/>
              <w:rPr>
                <w:rFonts w:ascii="Helvetica" w:eastAsia="Arial Unicode MS" w:hAnsi="Helvetica" w:cs="Helvetica"/>
                <w:color w:val="auto"/>
                <w:sz w:val="6"/>
                <w:szCs w:val="6"/>
              </w:rPr>
            </w:pPr>
            <w:r w:rsidRPr="00E96D8F">
              <w:rPr>
                <w:rFonts w:ascii="Helvetica" w:hAnsi="Helvetica"/>
                <w:color w:val="auto"/>
                <w:sz w:val="6"/>
              </w:rPr>
              <w:t>hvorav gjeldsinstrumenter</w:t>
            </w:r>
          </w:p>
        </w:tc>
        <w:tc>
          <w:tcPr>
            <w:tcW w:w="395" w:type="dxa"/>
            <w:tcBorders>
              <w:top w:val="single" w:sz="4" w:space="0" w:color="auto"/>
              <w:left w:val="single" w:sz="4" w:space="0" w:color="auto"/>
              <w:bottom w:val="single" w:sz="4" w:space="0" w:color="auto"/>
              <w:right w:val="single" w:sz="4" w:space="0" w:color="auto"/>
            </w:tcBorders>
            <w:vAlign w:val="center"/>
          </w:tcPr>
          <w:p w14:paraId="0E2B5E7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bottom w:val="single" w:sz="4" w:space="0" w:color="auto"/>
              <w:right w:val="single" w:sz="4" w:space="0" w:color="auto"/>
            </w:tcBorders>
            <w:shd w:val="clear" w:color="auto" w:fill="auto"/>
            <w:vAlign w:val="center"/>
          </w:tcPr>
          <w:p w14:paraId="30D3C12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A5479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B91B1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11F0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1FB83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4BEBE98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6BCDE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bottom w:val="single" w:sz="4" w:space="0" w:color="auto"/>
            </w:tcBorders>
            <w:shd w:val="clear" w:color="auto" w:fill="auto"/>
            <w:vAlign w:val="center"/>
          </w:tcPr>
          <w:p w14:paraId="26C7885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shd w:val="clear" w:color="auto" w:fill="auto"/>
            <w:vAlign w:val="center"/>
          </w:tcPr>
          <w:p w14:paraId="4FC62E8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tcBorders>
            <w:shd w:val="clear" w:color="auto" w:fill="auto"/>
            <w:vAlign w:val="center"/>
          </w:tcPr>
          <w:p w14:paraId="00F3980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shd w:val="clear" w:color="auto" w:fill="auto"/>
            <w:vAlign w:val="center"/>
          </w:tcPr>
          <w:p w14:paraId="1C1B499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auto"/>
            <w:vAlign w:val="center"/>
          </w:tcPr>
          <w:p w14:paraId="5DE2D68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shd w:val="clear" w:color="auto" w:fill="auto"/>
            <w:vAlign w:val="center"/>
          </w:tcPr>
          <w:p w14:paraId="624E13D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tcBorders>
            <w:shd w:val="clear" w:color="auto" w:fill="auto"/>
            <w:vAlign w:val="center"/>
          </w:tcPr>
          <w:p w14:paraId="685BDFD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tcBorders>
            <w:shd w:val="clear" w:color="auto" w:fill="auto"/>
            <w:vAlign w:val="center"/>
          </w:tcPr>
          <w:p w14:paraId="27A738E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tcBorders>
            <w:shd w:val="clear" w:color="auto" w:fill="auto"/>
            <w:vAlign w:val="center"/>
          </w:tcPr>
          <w:p w14:paraId="553F1B8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tcBorders>
            <w:shd w:val="clear" w:color="auto" w:fill="auto"/>
            <w:vAlign w:val="center"/>
          </w:tcPr>
          <w:p w14:paraId="710F346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tcBorders>
            <w:shd w:val="clear" w:color="auto" w:fill="auto"/>
            <w:vAlign w:val="center"/>
          </w:tcPr>
          <w:p w14:paraId="6F5A15A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tcBorders>
            <w:shd w:val="clear" w:color="auto" w:fill="auto"/>
            <w:vAlign w:val="center"/>
          </w:tcPr>
          <w:p w14:paraId="6DFD976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tcBorders>
            <w:shd w:val="clear" w:color="auto" w:fill="auto"/>
            <w:vAlign w:val="center"/>
          </w:tcPr>
          <w:p w14:paraId="34A5843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tcBorders>
            <w:shd w:val="clear" w:color="auto" w:fill="auto"/>
            <w:vAlign w:val="center"/>
          </w:tcPr>
          <w:p w14:paraId="4CCDDDF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tcBorders>
            <w:shd w:val="clear" w:color="auto" w:fill="auto"/>
            <w:vAlign w:val="center"/>
          </w:tcPr>
          <w:p w14:paraId="10C9181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tcBorders>
            <w:shd w:val="clear" w:color="auto" w:fill="auto"/>
            <w:vAlign w:val="center"/>
          </w:tcPr>
          <w:p w14:paraId="0DAEB9A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shd w:val="clear" w:color="auto" w:fill="auto"/>
            <w:vAlign w:val="center"/>
          </w:tcPr>
          <w:p w14:paraId="0315CA9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2" w:type="dxa"/>
            <w:tcBorders>
              <w:top w:val="single" w:sz="4" w:space="0" w:color="auto"/>
              <w:left w:val="single" w:sz="4" w:space="0" w:color="auto"/>
            </w:tcBorders>
            <w:shd w:val="clear" w:color="auto" w:fill="auto"/>
            <w:vAlign w:val="center"/>
          </w:tcPr>
          <w:p w14:paraId="760A955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gridSpan w:val="2"/>
            <w:tcBorders>
              <w:top w:val="single" w:sz="4" w:space="0" w:color="auto"/>
              <w:left w:val="single" w:sz="4" w:space="0" w:color="auto"/>
            </w:tcBorders>
            <w:shd w:val="clear" w:color="auto" w:fill="auto"/>
            <w:vAlign w:val="center"/>
          </w:tcPr>
          <w:p w14:paraId="0F0F2BA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tcBorders>
            <w:shd w:val="clear" w:color="auto" w:fill="auto"/>
            <w:vAlign w:val="center"/>
          </w:tcPr>
          <w:p w14:paraId="540B884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tcBorders>
            <w:shd w:val="clear" w:color="auto" w:fill="auto"/>
            <w:vAlign w:val="center"/>
          </w:tcPr>
          <w:p w14:paraId="5978E6D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2"/>
            <w:tcBorders>
              <w:top w:val="single" w:sz="4" w:space="0" w:color="auto"/>
              <w:left w:val="single" w:sz="4" w:space="0" w:color="auto"/>
            </w:tcBorders>
            <w:shd w:val="clear" w:color="auto" w:fill="auto"/>
            <w:vAlign w:val="center"/>
          </w:tcPr>
          <w:p w14:paraId="0E3D6D8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right w:val="single" w:sz="4" w:space="0" w:color="auto"/>
            </w:tcBorders>
            <w:shd w:val="clear" w:color="auto" w:fill="auto"/>
            <w:vAlign w:val="center"/>
          </w:tcPr>
          <w:p w14:paraId="65A075B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3F5FA82B" w14:textId="77777777">
        <w:trPr>
          <w:trHeight w:val="104"/>
        </w:trPr>
        <w:tc>
          <w:tcPr>
            <w:tcW w:w="942" w:type="dxa"/>
            <w:tcBorders>
              <w:top w:val="single" w:sz="4" w:space="0" w:color="auto"/>
              <w:left w:val="single" w:sz="4" w:space="0" w:color="auto"/>
              <w:bottom w:val="single" w:sz="4" w:space="0" w:color="auto"/>
            </w:tcBorders>
            <w:tcMar>
              <w:left w:w="0" w:type="dxa"/>
            </w:tcMar>
            <w:vAlign w:val="center"/>
          </w:tcPr>
          <w:p w14:paraId="00C317B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57</w:t>
            </w:r>
          </w:p>
        </w:tc>
        <w:tc>
          <w:tcPr>
            <w:tcW w:w="1798" w:type="dxa"/>
            <w:tcBorders>
              <w:top w:val="single" w:sz="4" w:space="0" w:color="auto"/>
              <w:left w:val="single" w:sz="4" w:space="0" w:color="auto"/>
              <w:bottom w:val="single" w:sz="4" w:space="0" w:color="auto"/>
            </w:tcBorders>
            <w:vAlign w:val="center"/>
          </w:tcPr>
          <w:p w14:paraId="5771BDCB" w14:textId="77777777" w:rsidR="006561BA" w:rsidRDefault="005B4ED6">
            <w:pPr>
              <w:widowControl w:val="0"/>
              <w:shd w:val="clear" w:color="auto" w:fill="auto"/>
              <w:spacing w:after="0" w:line="240" w:lineRule="auto"/>
              <w:jc w:val="right"/>
              <w:rPr>
                <w:rFonts w:ascii="Helvetica" w:eastAsia="Arial Unicode MS" w:hAnsi="Helvetica" w:cs="Helvetica"/>
                <w:color w:val="000000"/>
                <w:sz w:val="6"/>
                <w:szCs w:val="6"/>
              </w:rPr>
            </w:pPr>
            <w:r>
              <w:rPr>
                <w:rFonts w:ascii="Helvetica" w:hAnsi="Helvetica"/>
                <w:color w:val="383838"/>
                <w:sz w:val="6"/>
              </w:rPr>
              <w:t>hvorav egenkapitalinstrumenter</w:t>
            </w:r>
          </w:p>
        </w:tc>
        <w:tc>
          <w:tcPr>
            <w:tcW w:w="395" w:type="dxa"/>
            <w:tcBorders>
              <w:top w:val="single" w:sz="4" w:space="0" w:color="auto"/>
              <w:left w:val="single" w:sz="4" w:space="0" w:color="auto"/>
              <w:bottom w:val="single" w:sz="4" w:space="0" w:color="auto"/>
              <w:right w:val="single" w:sz="4" w:space="0" w:color="auto"/>
            </w:tcBorders>
            <w:vAlign w:val="center"/>
          </w:tcPr>
          <w:p w14:paraId="418AE75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56" w:type="dxa"/>
            <w:tcBorders>
              <w:top w:val="single" w:sz="4" w:space="0" w:color="auto"/>
              <w:left w:val="single" w:sz="4" w:space="0" w:color="auto"/>
              <w:bottom w:val="single" w:sz="4" w:space="0" w:color="auto"/>
              <w:right w:val="single" w:sz="4" w:space="0" w:color="auto"/>
            </w:tcBorders>
            <w:shd w:val="clear" w:color="auto" w:fill="auto"/>
            <w:vAlign w:val="center"/>
          </w:tcPr>
          <w:p w14:paraId="08D8FA2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24B7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15FA2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29C56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865B7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1270427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2C5B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82" w:type="dxa"/>
            <w:gridSpan w:val="2"/>
            <w:tcBorders>
              <w:top w:val="single" w:sz="4" w:space="0" w:color="auto"/>
              <w:left w:val="single" w:sz="4" w:space="0" w:color="auto"/>
              <w:bottom w:val="single" w:sz="4" w:space="0" w:color="auto"/>
            </w:tcBorders>
            <w:shd w:val="clear" w:color="auto" w:fill="auto"/>
            <w:vAlign w:val="center"/>
          </w:tcPr>
          <w:p w14:paraId="2056F7D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bottom w:val="single" w:sz="4" w:space="0" w:color="auto"/>
            </w:tcBorders>
            <w:shd w:val="clear" w:color="auto" w:fill="auto"/>
            <w:vAlign w:val="center"/>
          </w:tcPr>
          <w:p w14:paraId="436D983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8" w:type="dxa"/>
            <w:tcBorders>
              <w:top w:val="single" w:sz="4" w:space="0" w:color="auto"/>
              <w:left w:val="single" w:sz="4" w:space="0" w:color="auto"/>
              <w:bottom w:val="single" w:sz="4" w:space="0" w:color="auto"/>
            </w:tcBorders>
            <w:shd w:val="clear" w:color="auto" w:fill="auto"/>
            <w:vAlign w:val="center"/>
          </w:tcPr>
          <w:p w14:paraId="5E76466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bottom w:val="single" w:sz="4" w:space="0" w:color="auto"/>
            </w:tcBorders>
            <w:shd w:val="clear" w:color="auto" w:fill="auto"/>
            <w:vAlign w:val="center"/>
          </w:tcPr>
          <w:p w14:paraId="7A77F35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bottom w:val="single" w:sz="4" w:space="0" w:color="auto"/>
            </w:tcBorders>
            <w:shd w:val="clear" w:color="auto" w:fill="auto"/>
            <w:vAlign w:val="center"/>
          </w:tcPr>
          <w:p w14:paraId="66BF88E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bottom w:val="single" w:sz="4" w:space="0" w:color="auto"/>
            </w:tcBorders>
            <w:shd w:val="clear" w:color="auto" w:fill="auto"/>
            <w:vAlign w:val="center"/>
          </w:tcPr>
          <w:p w14:paraId="5CF4E60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75" w:type="dxa"/>
            <w:gridSpan w:val="2"/>
            <w:tcBorders>
              <w:top w:val="single" w:sz="4" w:space="0" w:color="auto"/>
              <w:left w:val="single" w:sz="4" w:space="0" w:color="auto"/>
              <w:bottom w:val="single" w:sz="4" w:space="0" w:color="auto"/>
            </w:tcBorders>
            <w:shd w:val="clear" w:color="auto" w:fill="auto"/>
            <w:vAlign w:val="center"/>
          </w:tcPr>
          <w:p w14:paraId="3A28A28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8" w:type="dxa"/>
            <w:gridSpan w:val="2"/>
            <w:tcBorders>
              <w:top w:val="single" w:sz="4" w:space="0" w:color="auto"/>
              <w:left w:val="single" w:sz="4" w:space="0" w:color="auto"/>
              <w:bottom w:val="single" w:sz="4" w:space="0" w:color="auto"/>
            </w:tcBorders>
            <w:shd w:val="clear" w:color="auto" w:fill="auto"/>
            <w:vAlign w:val="center"/>
          </w:tcPr>
          <w:p w14:paraId="43EF2F8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2"/>
            <w:tcBorders>
              <w:top w:val="single" w:sz="4" w:space="0" w:color="auto"/>
              <w:left w:val="single" w:sz="4" w:space="0" w:color="auto"/>
              <w:bottom w:val="single" w:sz="4" w:space="0" w:color="auto"/>
            </w:tcBorders>
            <w:shd w:val="clear" w:color="auto" w:fill="auto"/>
            <w:vAlign w:val="center"/>
          </w:tcPr>
          <w:p w14:paraId="49FEB01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5" w:type="dxa"/>
            <w:gridSpan w:val="2"/>
            <w:tcBorders>
              <w:top w:val="single" w:sz="4" w:space="0" w:color="auto"/>
              <w:left w:val="single" w:sz="4" w:space="0" w:color="auto"/>
              <w:bottom w:val="single" w:sz="4" w:space="0" w:color="auto"/>
            </w:tcBorders>
            <w:shd w:val="clear" w:color="auto" w:fill="auto"/>
            <w:vAlign w:val="center"/>
          </w:tcPr>
          <w:p w14:paraId="4AB5899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7" w:type="dxa"/>
            <w:tcBorders>
              <w:top w:val="single" w:sz="4" w:space="0" w:color="auto"/>
              <w:left w:val="single" w:sz="4" w:space="0" w:color="auto"/>
              <w:bottom w:val="single" w:sz="4" w:space="0" w:color="auto"/>
            </w:tcBorders>
            <w:shd w:val="clear" w:color="auto" w:fill="auto"/>
            <w:vAlign w:val="center"/>
          </w:tcPr>
          <w:p w14:paraId="316B502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3" w:type="dxa"/>
            <w:gridSpan w:val="2"/>
            <w:tcBorders>
              <w:top w:val="single" w:sz="4" w:space="0" w:color="auto"/>
              <w:left w:val="single" w:sz="4" w:space="0" w:color="auto"/>
              <w:bottom w:val="single" w:sz="4" w:space="0" w:color="auto"/>
            </w:tcBorders>
            <w:shd w:val="clear" w:color="auto" w:fill="auto"/>
            <w:vAlign w:val="center"/>
          </w:tcPr>
          <w:p w14:paraId="7CEE9EC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0" w:type="dxa"/>
            <w:gridSpan w:val="2"/>
            <w:tcBorders>
              <w:top w:val="single" w:sz="4" w:space="0" w:color="auto"/>
              <w:left w:val="single" w:sz="4" w:space="0" w:color="auto"/>
              <w:bottom w:val="single" w:sz="4" w:space="0" w:color="auto"/>
            </w:tcBorders>
            <w:shd w:val="clear" w:color="auto" w:fill="auto"/>
            <w:vAlign w:val="center"/>
          </w:tcPr>
          <w:p w14:paraId="694E952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8" w:type="dxa"/>
            <w:gridSpan w:val="2"/>
            <w:tcBorders>
              <w:top w:val="single" w:sz="4" w:space="0" w:color="auto"/>
              <w:left w:val="single" w:sz="4" w:space="0" w:color="auto"/>
              <w:bottom w:val="single" w:sz="4" w:space="0" w:color="auto"/>
            </w:tcBorders>
            <w:shd w:val="clear" w:color="auto" w:fill="auto"/>
            <w:vAlign w:val="center"/>
          </w:tcPr>
          <w:p w14:paraId="06BDF1D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0" w:type="dxa"/>
            <w:gridSpan w:val="2"/>
            <w:tcBorders>
              <w:top w:val="single" w:sz="4" w:space="0" w:color="auto"/>
              <w:left w:val="single" w:sz="4" w:space="0" w:color="auto"/>
              <w:bottom w:val="single" w:sz="4" w:space="0" w:color="auto"/>
            </w:tcBorders>
            <w:shd w:val="clear" w:color="auto" w:fill="auto"/>
            <w:vAlign w:val="center"/>
          </w:tcPr>
          <w:p w14:paraId="3FF3565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7" w:type="dxa"/>
            <w:gridSpan w:val="2"/>
            <w:tcBorders>
              <w:top w:val="single" w:sz="4" w:space="0" w:color="auto"/>
              <w:left w:val="single" w:sz="4" w:space="0" w:color="auto"/>
              <w:bottom w:val="single" w:sz="4" w:space="0" w:color="auto"/>
            </w:tcBorders>
            <w:shd w:val="clear" w:color="auto" w:fill="auto"/>
            <w:vAlign w:val="center"/>
          </w:tcPr>
          <w:p w14:paraId="754418E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bottom w:val="single" w:sz="4" w:space="0" w:color="auto"/>
            </w:tcBorders>
            <w:shd w:val="clear" w:color="auto" w:fill="auto"/>
            <w:vAlign w:val="center"/>
          </w:tcPr>
          <w:p w14:paraId="507C32D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42" w:type="dxa"/>
            <w:tcBorders>
              <w:top w:val="single" w:sz="4" w:space="0" w:color="auto"/>
              <w:left w:val="single" w:sz="4" w:space="0" w:color="auto"/>
              <w:bottom w:val="single" w:sz="4" w:space="0" w:color="auto"/>
            </w:tcBorders>
            <w:shd w:val="clear" w:color="auto" w:fill="auto"/>
            <w:vAlign w:val="center"/>
          </w:tcPr>
          <w:p w14:paraId="47B6D1D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6" w:type="dxa"/>
            <w:gridSpan w:val="2"/>
            <w:tcBorders>
              <w:top w:val="single" w:sz="4" w:space="0" w:color="auto"/>
              <w:left w:val="single" w:sz="4" w:space="0" w:color="auto"/>
              <w:bottom w:val="single" w:sz="4" w:space="0" w:color="auto"/>
            </w:tcBorders>
            <w:shd w:val="clear" w:color="auto" w:fill="auto"/>
            <w:vAlign w:val="center"/>
          </w:tcPr>
          <w:p w14:paraId="4B9D3BB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1" w:type="dxa"/>
            <w:tcBorders>
              <w:top w:val="single" w:sz="4" w:space="0" w:color="auto"/>
              <w:left w:val="single" w:sz="4" w:space="0" w:color="auto"/>
              <w:bottom w:val="single" w:sz="4" w:space="0" w:color="auto"/>
            </w:tcBorders>
            <w:shd w:val="clear" w:color="auto" w:fill="auto"/>
            <w:vAlign w:val="center"/>
          </w:tcPr>
          <w:p w14:paraId="6A0892B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6" w:type="dxa"/>
            <w:gridSpan w:val="3"/>
            <w:tcBorders>
              <w:top w:val="single" w:sz="4" w:space="0" w:color="auto"/>
              <w:left w:val="single" w:sz="4" w:space="0" w:color="auto"/>
              <w:bottom w:val="single" w:sz="4" w:space="0" w:color="auto"/>
            </w:tcBorders>
            <w:shd w:val="clear" w:color="auto" w:fill="auto"/>
            <w:vAlign w:val="center"/>
          </w:tcPr>
          <w:p w14:paraId="65F0D83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92" w:type="dxa"/>
            <w:gridSpan w:val="2"/>
            <w:tcBorders>
              <w:top w:val="single" w:sz="4" w:space="0" w:color="auto"/>
              <w:left w:val="single" w:sz="4" w:space="0" w:color="auto"/>
              <w:bottom w:val="single" w:sz="4" w:space="0" w:color="auto"/>
            </w:tcBorders>
            <w:shd w:val="clear" w:color="auto" w:fill="auto"/>
            <w:vAlign w:val="center"/>
          </w:tcPr>
          <w:p w14:paraId="63A35AC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78" w:type="dxa"/>
            <w:tcBorders>
              <w:top w:val="single" w:sz="4" w:space="0" w:color="auto"/>
              <w:left w:val="single" w:sz="4" w:space="0" w:color="auto"/>
              <w:bottom w:val="single" w:sz="4" w:space="0" w:color="auto"/>
              <w:right w:val="single" w:sz="4" w:space="0" w:color="auto"/>
            </w:tcBorders>
            <w:shd w:val="clear" w:color="auto" w:fill="auto"/>
            <w:vAlign w:val="center"/>
          </w:tcPr>
          <w:p w14:paraId="0CDE188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bl>
    <w:p w14:paraId="53C34B24" w14:textId="77777777" w:rsidR="006561BA" w:rsidRDefault="005B4ED6">
      <w:pPr>
        <w:pStyle w:val="Para"/>
        <w:spacing w:line="240" w:lineRule="auto"/>
        <w:jc w:val="left"/>
      </w:pPr>
      <w:r>
        <w:br w:type="page"/>
      </w:r>
    </w:p>
    <w:p w14:paraId="062695E6" w14:textId="77777777" w:rsidR="006561BA" w:rsidRDefault="005B4ED6">
      <w:pPr>
        <w:pStyle w:val="AnnexNumberedText"/>
        <w:spacing w:after="300"/>
        <w:ind w:left="279" w:hanging="279"/>
      </w:pPr>
      <w:r>
        <w:lastRenderedPageBreak/>
        <w:t>2.</w:t>
      </w:r>
      <w:r>
        <w:rPr>
          <w:b/>
        </w:rPr>
        <w:tab/>
        <w:t>GAR – sektoropplysninger</w:t>
      </w:r>
    </w:p>
    <w:tbl>
      <w:tblPr>
        <w:tblOverlap w:val="never"/>
        <w:tblW w:w="0" w:type="auto"/>
        <w:tblInd w:w="279" w:type="dxa"/>
        <w:tblLayout w:type="fixed"/>
        <w:tblCellMar>
          <w:left w:w="10" w:type="dxa"/>
          <w:right w:w="10" w:type="dxa"/>
        </w:tblCellMar>
        <w:tblLook w:val="04A0" w:firstRow="1" w:lastRow="0" w:firstColumn="1" w:lastColumn="0" w:noHBand="0" w:noVBand="1"/>
      </w:tblPr>
      <w:tblGrid>
        <w:gridCol w:w="260"/>
        <w:gridCol w:w="1151"/>
        <w:gridCol w:w="422"/>
        <w:gridCol w:w="39"/>
        <w:gridCol w:w="462"/>
        <w:gridCol w:w="396"/>
        <w:gridCol w:w="46"/>
        <w:gridCol w:w="442"/>
        <w:gridCol w:w="429"/>
        <w:gridCol w:w="475"/>
        <w:gridCol w:w="396"/>
        <w:gridCol w:w="46"/>
        <w:gridCol w:w="442"/>
        <w:gridCol w:w="429"/>
        <w:gridCol w:w="501"/>
        <w:gridCol w:w="396"/>
        <w:gridCol w:w="47"/>
        <w:gridCol w:w="444"/>
        <w:gridCol w:w="429"/>
        <w:gridCol w:w="501"/>
        <w:gridCol w:w="396"/>
        <w:gridCol w:w="489"/>
        <w:gridCol w:w="429"/>
        <w:gridCol w:w="495"/>
        <w:gridCol w:w="403"/>
        <w:gridCol w:w="492"/>
        <w:gridCol w:w="422"/>
        <w:gridCol w:w="39"/>
        <w:gridCol w:w="462"/>
        <w:gridCol w:w="396"/>
        <w:gridCol w:w="46"/>
        <w:gridCol w:w="442"/>
        <w:gridCol w:w="429"/>
        <w:gridCol w:w="467"/>
        <w:gridCol w:w="407"/>
        <w:gridCol w:w="491"/>
      </w:tblGrid>
      <w:tr w:rsidR="006561BA" w14:paraId="4EFFFE28" w14:textId="77777777">
        <w:tc>
          <w:tcPr>
            <w:tcW w:w="260" w:type="dxa"/>
            <w:tcMar>
              <w:top w:w="10" w:type="dxa"/>
              <w:bottom w:w="10" w:type="dxa"/>
            </w:tcMar>
          </w:tcPr>
          <w:p w14:paraId="115148A9" w14:textId="77777777" w:rsidR="006561BA" w:rsidRDefault="006561BA">
            <w:pPr>
              <w:widowControl w:val="0"/>
              <w:shd w:val="clear" w:color="auto" w:fill="auto"/>
              <w:spacing w:after="0" w:line="240" w:lineRule="auto"/>
              <w:jc w:val="center"/>
              <w:rPr>
                <w:rFonts w:ascii="Helvetica" w:eastAsia="Arial Unicode MS" w:hAnsi="Helvetica" w:cs="Helvetica"/>
                <w:color w:val="000000"/>
                <w:sz w:val="6"/>
                <w:szCs w:val="6"/>
                <w:lang w:val="en-US"/>
              </w:rPr>
            </w:pPr>
          </w:p>
        </w:tc>
        <w:tc>
          <w:tcPr>
            <w:tcW w:w="1151" w:type="dxa"/>
            <w:tcMar>
              <w:top w:w="10" w:type="dxa"/>
              <w:bottom w:w="10" w:type="dxa"/>
            </w:tcMar>
          </w:tcPr>
          <w:p w14:paraId="765D466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1" w:type="dxa"/>
            <w:gridSpan w:val="2"/>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73628A13" w14:textId="77777777" w:rsidR="006561BA" w:rsidRDefault="005B4ED6">
            <w:pPr>
              <w:widowControl w:val="0"/>
              <w:shd w:val="clear" w:color="auto" w:fill="auto"/>
              <w:tabs>
                <w:tab w:val="left" w:pos="205"/>
                <w:tab w:val="left" w:pos="435"/>
              </w:tabs>
              <w:spacing w:after="0" w:line="240" w:lineRule="auto"/>
              <w:jc w:val="center"/>
              <w:rPr>
                <w:rFonts w:ascii="Helvetica" w:eastAsia="Arial Unicode MS" w:hAnsi="Helvetica" w:cs="Helvetica"/>
                <w:color w:val="000000"/>
                <w:sz w:val="6"/>
                <w:szCs w:val="6"/>
              </w:rPr>
            </w:pPr>
            <w:r>
              <w:rPr>
                <w:rFonts w:ascii="Helvetica" w:hAnsi="Helvetica"/>
                <w:color w:val="383838"/>
                <w:sz w:val="6"/>
              </w:rPr>
              <w:t>a</w:t>
            </w:r>
          </w:p>
        </w:tc>
        <w:tc>
          <w:tcPr>
            <w:tcW w:w="462" w:type="dxa"/>
            <w:tcBorders>
              <w:top w:val="single" w:sz="4" w:space="0" w:color="auto"/>
              <w:left w:val="single" w:sz="4" w:space="0" w:color="auto"/>
              <w:bottom w:val="single" w:sz="4" w:space="0" w:color="auto"/>
              <w:right w:val="single" w:sz="4" w:space="0" w:color="auto"/>
            </w:tcBorders>
            <w:vAlign w:val="center"/>
          </w:tcPr>
          <w:p w14:paraId="2657DEA2" w14:textId="77777777" w:rsidR="006561BA" w:rsidRDefault="005B4ED6">
            <w:pPr>
              <w:widowControl w:val="0"/>
              <w:shd w:val="clear" w:color="auto" w:fill="auto"/>
              <w:tabs>
                <w:tab w:val="left" w:pos="205"/>
                <w:tab w:val="left" w:pos="435"/>
              </w:tabs>
              <w:spacing w:after="0" w:line="240" w:lineRule="auto"/>
              <w:jc w:val="center"/>
              <w:rPr>
                <w:rFonts w:ascii="Helvetica" w:eastAsia="Arial Unicode MS" w:hAnsi="Helvetica" w:cs="Helvetica"/>
                <w:color w:val="000000"/>
                <w:sz w:val="6"/>
                <w:szCs w:val="6"/>
              </w:rPr>
            </w:pPr>
            <w:r>
              <w:rPr>
                <w:rFonts w:ascii="Helvetica" w:hAnsi="Helvetica"/>
                <w:color w:val="000000"/>
                <w:sz w:val="6"/>
              </w:rPr>
              <w:t>b</w:t>
            </w:r>
          </w:p>
        </w:tc>
        <w:tc>
          <w:tcPr>
            <w:tcW w:w="442" w:type="dxa"/>
            <w:gridSpan w:val="2"/>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1404BDB4" w14:textId="77777777" w:rsidR="006561BA" w:rsidRDefault="005B4ED6">
            <w:pPr>
              <w:widowControl w:val="0"/>
              <w:shd w:val="clear" w:color="auto" w:fill="auto"/>
              <w:tabs>
                <w:tab w:val="left" w:pos="414"/>
              </w:tabs>
              <w:spacing w:after="0" w:line="240" w:lineRule="auto"/>
              <w:jc w:val="center"/>
              <w:rPr>
                <w:rFonts w:ascii="Helvetica" w:eastAsia="Arial Unicode MS" w:hAnsi="Helvetica" w:cs="Helvetica"/>
                <w:color w:val="000000"/>
                <w:sz w:val="6"/>
                <w:szCs w:val="6"/>
              </w:rPr>
            </w:pPr>
            <w:r>
              <w:rPr>
                <w:rFonts w:ascii="Helvetica" w:hAnsi="Helvetica"/>
                <w:color w:val="000000"/>
                <w:sz w:val="6"/>
              </w:rPr>
              <w:t>c</w:t>
            </w:r>
          </w:p>
        </w:tc>
        <w:tc>
          <w:tcPr>
            <w:tcW w:w="442" w:type="dxa"/>
            <w:tcBorders>
              <w:top w:val="single" w:sz="4" w:space="0" w:color="auto"/>
              <w:left w:val="single" w:sz="4" w:space="0" w:color="auto"/>
              <w:bottom w:val="single" w:sz="4" w:space="0" w:color="auto"/>
              <w:right w:val="single" w:sz="4" w:space="0" w:color="auto"/>
            </w:tcBorders>
            <w:vAlign w:val="center"/>
          </w:tcPr>
          <w:p w14:paraId="14EE557F" w14:textId="77777777" w:rsidR="006561BA" w:rsidRDefault="005B4ED6">
            <w:pPr>
              <w:widowControl w:val="0"/>
              <w:shd w:val="clear" w:color="auto" w:fill="auto"/>
              <w:tabs>
                <w:tab w:val="left" w:pos="414"/>
              </w:tabs>
              <w:spacing w:after="0" w:line="240" w:lineRule="auto"/>
              <w:jc w:val="center"/>
              <w:rPr>
                <w:rFonts w:ascii="Helvetica" w:eastAsia="Arial Unicode MS" w:hAnsi="Helvetica" w:cs="Helvetica"/>
                <w:color w:val="000000"/>
                <w:sz w:val="6"/>
                <w:szCs w:val="6"/>
              </w:rPr>
            </w:pPr>
            <w:r>
              <w:rPr>
                <w:rFonts w:ascii="Helvetica" w:hAnsi="Helvetica"/>
                <w:color w:val="000000"/>
                <w:sz w:val="6"/>
              </w:rPr>
              <w:t>d</w:t>
            </w:r>
          </w:p>
        </w:tc>
        <w:tc>
          <w:tcPr>
            <w:tcW w:w="429"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165297F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e</w:t>
            </w:r>
          </w:p>
        </w:tc>
        <w:tc>
          <w:tcPr>
            <w:tcW w:w="475"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799CCCB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f</w:t>
            </w:r>
          </w:p>
        </w:tc>
        <w:tc>
          <w:tcPr>
            <w:tcW w:w="442" w:type="dxa"/>
            <w:gridSpan w:val="2"/>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0F66C7ED" w14:textId="77777777" w:rsidR="006561BA" w:rsidRDefault="005B4ED6">
            <w:pPr>
              <w:widowControl w:val="0"/>
              <w:shd w:val="clear" w:color="auto" w:fill="auto"/>
              <w:tabs>
                <w:tab w:val="left" w:pos="580"/>
              </w:tabs>
              <w:spacing w:after="0" w:line="240" w:lineRule="auto"/>
              <w:jc w:val="center"/>
              <w:rPr>
                <w:rFonts w:ascii="Helvetica" w:eastAsia="Arial Unicode MS" w:hAnsi="Helvetica" w:cs="Helvetica"/>
                <w:color w:val="000000"/>
                <w:sz w:val="6"/>
                <w:szCs w:val="6"/>
              </w:rPr>
            </w:pPr>
            <w:r>
              <w:rPr>
                <w:rFonts w:ascii="Helvetica" w:hAnsi="Helvetica"/>
                <w:color w:val="383838"/>
                <w:sz w:val="6"/>
              </w:rPr>
              <w:t>g</w:t>
            </w:r>
          </w:p>
        </w:tc>
        <w:tc>
          <w:tcPr>
            <w:tcW w:w="442" w:type="dxa"/>
            <w:tcBorders>
              <w:top w:val="single" w:sz="4" w:space="0" w:color="auto"/>
              <w:left w:val="single" w:sz="4" w:space="0" w:color="auto"/>
              <w:bottom w:val="single" w:sz="4" w:space="0" w:color="auto"/>
              <w:right w:val="single" w:sz="4" w:space="0" w:color="auto"/>
            </w:tcBorders>
            <w:vAlign w:val="center"/>
          </w:tcPr>
          <w:p w14:paraId="7510862B" w14:textId="77777777" w:rsidR="006561BA" w:rsidRDefault="005B4ED6">
            <w:pPr>
              <w:widowControl w:val="0"/>
              <w:shd w:val="clear" w:color="auto" w:fill="auto"/>
              <w:tabs>
                <w:tab w:val="left" w:pos="580"/>
              </w:tabs>
              <w:spacing w:after="0" w:line="240" w:lineRule="auto"/>
              <w:jc w:val="center"/>
              <w:rPr>
                <w:rFonts w:ascii="Helvetica" w:eastAsia="Arial Unicode MS" w:hAnsi="Helvetica" w:cs="Helvetica"/>
                <w:color w:val="000000"/>
                <w:sz w:val="6"/>
                <w:szCs w:val="6"/>
              </w:rPr>
            </w:pPr>
            <w:r>
              <w:rPr>
                <w:rFonts w:ascii="Helvetica" w:hAnsi="Helvetica"/>
                <w:color w:val="000000"/>
                <w:sz w:val="6"/>
              </w:rPr>
              <w:t>h</w:t>
            </w:r>
          </w:p>
        </w:tc>
        <w:tc>
          <w:tcPr>
            <w:tcW w:w="429"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15F80CD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i</w:t>
            </w:r>
          </w:p>
        </w:tc>
        <w:tc>
          <w:tcPr>
            <w:tcW w:w="501"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6812743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j</w:t>
            </w:r>
          </w:p>
        </w:tc>
        <w:tc>
          <w:tcPr>
            <w:tcW w:w="443" w:type="dxa"/>
            <w:gridSpan w:val="2"/>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270069F2"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k</w:t>
            </w:r>
          </w:p>
        </w:tc>
        <w:tc>
          <w:tcPr>
            <w:tcW w:w="444" w:type="dxa"/>
            <w:tcBorders>
              <w:top w:val="single" w:sz="4" w:space="0" w:color="auto"/>
              <w:left w:val="single" w:sz="4" w:space="0" w:color="auto"/>
              <w:bottom w:val="single" w:sz="4" w:space="0" w:color="auto"/>
              <w:right w:val="single" w:sz="4" w:space="0" w:color="auto"/>
            </w:tcBorders>
            <w:vAlign w:val="center"/>
          </w:tcPr>
          <w:p w14:paraId="55ED4334"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l</w:t>
            </w:r>
          </w:p>
        </w:tc>
        <w:tc>
          <w:tcPr>
            <w:tcW w:w="429"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0A37F70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m</w:t>
            </w:r>
          </w:p>
        </w:tc>
        <w:tc>
          <w:tcPr>
            <w:tcW w:w="501"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200BEEC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n</w:t>
            </w:r>
          </w:p>
        </w:tc>
        <w:tc>
          <w:tcPr>
            <w:tcW w:w="396"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04D3329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o</w:t>
            </w:r>
          </w:p>
        </w:tc>
        <w:tc>
          <w:tcPr>
            <w:tcW w:w="489"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3548817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p</w:t>
            </w:r>
          </w:p>
        </w:tc>
        <w:tc>
          <w:tcPr>
            <w:tcW w:w="429"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399C0F1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q</w:t>
            </w:r>
          </w:p>
        </w:tc>
        <w:tc>
          <w:tcPr>
            <w:tcW w:w="495"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32FCDE0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r</w:t>
            </w:r>
          </w:p>
        </w:tc>
        <w:tc>
          <w:tcPr>
            <w:tcW w:w="403"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29DE43C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s</w:t>
            </w:r>
          </w:p>
        </w:tc>
        <w:tc>
          <w:tcPr>
            <w:tcW w:w="492"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4EDAFA9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t</w:t>
            </w:r>
          </w:p>
        </w:tc>
        <w:tc>
          <w:tcPr>
            <w:tcW w:w="461" w:type="dxa"/>
            <w:gridSpan w:val="2"/>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41CC4FC4" w14:textId="77777777" w:rsidR="006561BA" w:rsidRDefault="005B4ED6">
            <w:pPr>
              <w:widowControl w:val="0"/>
              <w:shd w:val="clear" w:color="auto" w:fill="auto"/>
              <w:tabs>
                <w:tab w:val="left" w:pos="211"/>
                <w:tab w:val="left" w:pos="435"/>
              </w:tabs>
              <w:spacing w:after="0" w:line="240" w:lineRule="auto"/>
              <w:jc w:val="center"/>
              <w:rPr>
                <w:rFonts w:ascii="Helvetica" w:eastAsia="Arial Unicode MS" w:hAnsi="Helvetica" w:cs="Helvetica"/>
                <w:color w:val="000000"/>
                <w:sz w:val="6"/>
                <w:szCs w:val="6"/>
              </w:rPr>
            </w:pPr>
            <w:r>
              <w:rPr>
                <w:rFonts w:ascii="Helvetica" w:hAnsi="Helvetica"/>
                <w:color w:val="000000"/>
                <w:sz w:val="6"/>
              </w:rPr>
              <w:t>u</w:t>
            </w:r>
          </w:p>
        </w:tc>
        <w:tc>
          <w:tcPr>
            <w:tcW w:w="462" w:type="dxa"/>
            <w:tcBorders>
              <w:top w:val="single" w:sz="4" w:space="0" w:color="auto"/>
              <w:left w:val="single" w:sz="4" w:space="0" w:color="auto"/>
              <w:bottom w:val="single" w:sz="4" w:space="0" w:color="auto"/>
              <w:right w:val="single" w:sz="4" w:space="0" w:color="auto"/>
            </w:tcBorders>
            <w:vAlign w:val="center"/>
          </w:tcPr>
          <w:p w14:paraId="561CF508" w14:textId="77777777" w:rsidR="006561BA" w:rsidRDefault="005B4ED6">
            <w:pPr>
              <w:widowControl w:val="0"/>
              <w:shd w:val="clear" w:color="auto" w:fill="auto"/>
              <w:tabs>
                <w:tab w:val="left" w:pos="211"/>
                <w:tab w:val="left" w:pos="435"/>
              </w:tabs>
              <w:spacing w:after="0" w:line="240" w:lineRule="auto"/>
              <w:jc w:val="center"/>
              <w:rPr>
                <w:rFonts w:ascii="Helvetica" w:eastAsia="Arial Unicode MS" w:hAnsi="Helvetica" w:cs="Helvetica"/>
                <w:color w:val="000000"/>
                <w:sz w:val="6"/>
                <w:szCs w:val="6"/>
              </w:rPr>
            </w:pPr>
            <w:r>
              <w:rPr>
                <w:rFonts w:ascii="Helvetica" w:hAnsi="Helvetica"/>
                <w:color w:val="000000"/>
                <w:sz w:val="6"/>
              </w:rPr>
              <w:t>v</w:t>
            </w:r>
          </w:p>
        </w:tc>
        <w:tc>
          <w:tcPr>
            <w:tcW w:w="442" w:type="dxa"/>
            <w:gridSpan w:val="2"/>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2FF12426" w14:textId="77777777" w:rsidR="006561BA" w:rsidRDefault="005B4ED6">
            <w:pPr>
              <w:widowControl w:val="0"/>
              <w:shd w:val="clear" w:color="auto" w:fill="auto"/>
              <w:tabs>
                <w:tab w:val="left" w:pos="202"/>
                <w:tab w:val="left" w:pos="426"/>
              </w:tabs>
              <w:spacing w:after="0" w:line="240" w:lineRule="auto"/>
              <w:jc w:val="center"/>
              <w:rPr>
                <w:rFonts w:ascii="Helvetica" w:eastAsia="Arial Unicode MS" w:hAnsi="Helvetica" w:cs="Helvetica"/>
                <w:color w:val="000000"/>
                <w:sz w:val="6"/>
                <w:szCs w:val="6"/>
              </w:rPr>
            </w:pPr>
            <w:r>
              <w:rPr>
                <w:rFonts w:ascii="Helvetica" w:hAnsi="Helvetica"/>
                <w:color w:val="212121"/>
                <w:sz w:val="6"/>
              </w:rPr>
              <w:t>w</w:t>
            </w:r>
          </w:p>
        </w:tc>
        <w:tc>
          <w:tcPr>
            <w:tcW w:w="442" w:type="dxa"/>
            <w:tcBorders>
              <w:top w:val="single" w:sz="4" w:space="0" w:color="auto"/>
              <w:left w:val="single" w:sz="4" w:space="0" w:color="auto"/>
              <w:bottom w:val="single" w:sz="4" w:space="0" w:color="auto"/>
              <w:right w:val="single" w:sz="4" w:space="0" w:color="auto"/>
            </w:tcBorders>
            <w:vAlign w:val="center"/>
          </w:tcPr>
          <w:p w14:paraId="5104A364" w14:textId="77777777" w:rsidR="006561BA" w:rsidRDefault="005B4ED6">
            <w:pPr>
              <w:widowControl w:val="0"/>
              <w:shd w:val="clear" w:color="auto" w:fill="auto"/>
              <w:tabs>
                <w:tab w:val="left" w:pos="202"/>
                <w:tab w:val="left" w:pos="426"/>
              </w:tabs>
              <w:spacing w:after="0" w:line="240" w:lineRule="auto"/>
              <w:jc w:val="center"/>
              <w:rPr>
                <w:rFonts w:ascii="Helvetica" w:eastAsia="Arial Unicode MS" w:hAnsi="Helvetica" w:cs="Helvetica"/>
                <w:color w:val="000000"/>
                <w:sz w:val="6"/>
                <w:szCs w:val="6"/>
              </w:rPr>
            </w:pPr>
            <w:r>
              <w:rPr>
                <w:rFonts w:ascii="Helvetica" w:hAnsi="Helvetica"/>
                <w:color w:val="000000"/>
                <w:sz w:val="6"/>
              </w:rPr>
              <w:t>x</w:t>
            </w:r>
          </w:p>
        </w:tc>
        <w:tc>
          <w:tcPr>
            <w:tcW w:w="429"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39FD082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y</w:t>
            </w:r>
          </w:p>
        </w:tc>
        <w:tc>
          <w:tcPr>
            <w:tcW w:w="467"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3B2E64F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z</w:t>
            </w:r>
          </w:p>
        </w:tc>
        <w:tc>
          <w:tcPr>
            <w:tcW w:w="407"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7DE3EBF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383838"/>
                <w:sz w:val="6"/>
              </w:rPr>
              <w:t>aa</w:t>
            </w:r>
            <w:proofErr w:type="spellEnd"/>
          </w:p>
        </w:tc>
        <w:tc>
          <w:tcPr>
            <w:tcW w:w="491"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2BE017D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ab</w:t>
            </w:r>
          </w:p>
        </w:tc>
      </w:tr>
      <w:tr w:rsidR="006561BA" w:rsidRPr="00980A19" w14:paraId="28387E00" w14:textId="77777777">
        <w:tc>
          <w:tcPr>
            <w:tcW w:w="260" w:type="dxa"/>
            <w:vMerge w:val="restart"/>
            <w:tcMar>
              <w:top w:w="10" w:type="dxa"/>
              <w:bottom w:w="10" w:type="dxa"/>
            </w:tcMar>
          </w:tcPr>
          <w:p w14:paraId="4DC616F4" w14:textId="77777777" w:rsidR="006561BA" w:rsidRDefault="006561BA">
            <w:pPr>
              <w:widowControl w:val="0"/>
              <w:shd w:val="clear" w:color="auto" w:fill="auto"/>
              <w:spacing w:after="0" w:line="240" w:lineRule="auto"/>
              <w:jc w:val="center"/>
              <w:rPr>
                <w:rFonts w:ascii="Helvetica" w:eastAsia="Arial Unicode MS" w:hAnsi="Helvetica" w:cs="Helvetica"/>
                <w:color w:val="000000"/>
                <w:sz w:val="6"/>
                <w:szCs w:val="6"/>
                <w:lang w:val="en-US"/>
              </w:rPr>
            </w:pPr>
          </w:p>
        </w:tc>
        <w:tc>
          <w:tcPr>
            <w:tcW w:w="1151" w:type="dxa"/>
            <w:vMerge w:val="restart"/>
            <w:tcBorders>
              <w:top w:val="single" w:sz="4" w:space="0" w:color="auto"/>
              <w:left w:val="single" w:sz="4" w:space="0" w:color="auto"/>
            </w:tcBorders>
            <w:tcMar>
              <w:top w:w="10" w:type="dxa"/>
              <w:bottom w:w="10" w:type="dxa"/>
            </w:tcMar>
            <w:vAlign w:val="center"/>
          </w:tcPr>
          <w:p w14:paraId="436B60F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Spesifisering etter sektor – firesifret nivå i NACE-klassifiseringen (kode og betegnelse)</w:t>
            </w:r>
          </w:p>
        </w:tc>
        <w:tc>
          <w:tcPr>
            <w:tcW w:w="1807" w:type="dxa"/>
            <w:gridSpan w:val="6"/>
            <w:tcBorders>
              <w:top w:val="single" w:sz="4" w:space="0" w:color="auto"/>
              <w:left w:val="single" w:sz="4" w:space="0" w:color="auto"/>
            </w:tcBorders>
            <w:shd w:val="clear" w:color="auto" w:fill="B5B5B5"/>
            <w:tcMar>
              <w:top w:w="10" w:type="dxa"/>
              <w:bottom w:w="10" w:type="dxa"/>
            </w:tcMar>
            <w:vAlign w:val="center"/>
          </w:tcPr>
          <w:p w14:paraId="0974954B"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Begrensning av klimaendringer (CCM)</w:t>
            </w:r>
          </w:p>
        </w:tc>
        <w:tc>
          <w:tcPr>
            <w:tcW w:w="1788" w:type="dxa"/>
            <w:gridSpan w:val="5"/>
            <w:tcBorders>
              <w:top w:val="single" w:sz="4" w:space="0" w:color="auto"/>
              <w:left w:val="single" w:sz="4" w:space="0" w:color="auto"/>
            </w:tcBorders>
            <w:shd w:val="clear" w:color="auto" w:fill="B5B5B5"/>
            <w:tcMar>
              <w:top w:w="10" w:type="dxa"/>
              <w:bottom w:w="10" w:type="dxa"/>
            </w:tcMar>
            <w:vAlign w:val="center"/>
          </w:tcPr>
          <w:p w14:paraId="58900761"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Tilpasning til klimaendringer (CCA)</w:t>
            </w:r>
          </w:p>
        </w:tc>
        <w:tc>
          <w:tcPr>
            <w:tcW w:w="1817" w:type="dxa"/>
            <w:gridSpan w:val="5"/>
            <w:tcBorders>
              <w:top w:val="single" w:sz="4" w:space="0" w:color="auto"/>
              <w:left w:val="single" w:sz="4" w:space="0" w:color="auto"/>
            </w:tcBorders>
            <w:shd w:val="clear" w:color="auto" w:fill="B5B5B5"/>
            <w:tcMar>
              <w:top w:w="10" w:type="dxa"/>
              <w:bottom w:w="10" w:type="dxa"/>
            </w:tcMar>
            <w:vAlign w:val="center"/>
          </w:tcPr>
          <w:p w14:paraId="287809BA"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Vann- og havressurser (WTR)</w:t>
            </w:r>
          </w:p>
        </w:tc>
        <w:tc>
          <w:tcPr>
            <w:tcW w:w="1815" w:type="dxa"/>
            <w:gridSpan w:val="4"/>
            <w:tcBorders>
              <w:top w:val="single" w:sz="4" w:space="0" w:color="auto"/>
              <w:left w:val="single" w:sz="4" w:space="0" w:color="auto"/>
            </w:tcBorders>
            <w:shd w:val="clear" w:color="auto" w:fill="B5B5B5"/>
            <w:tcMar>
              <w:top w:w="10" w:type="dxa"/>
              <w:bottom w:w="10" w:type="dxa"/>
            </w:tcMar>
            <w:vAlign w:val="center"/>
          </w:tcPr>
          <w:p w14:paraId="2019F738"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Sirkulær økonomi (CE)</w:t>
            </w:r>
          </w:p>
        </w:tc>
        <w:tc>
          <w:tcPr>
            <w:tcW w:w="1819" w:type="dxa"/>
            <w:gridSpan w:val="4"/>
            <w:tcBorders>
              <w:top w:val="single" w:sz="4" w:space="0" w:color="auto"/>
              <w:left w:val="single" w:sz="4" w:space="0" w:color="auto"/>
            </w:tcBorders>
            <w:shd w:val="clear" w:color="auto" w:fill="B5B5B5"/>
            <w:tcMar>
              <w:top w:w="10" w:type="dxa"/>
              <w:bottom w:w="10" w:type="dxa"/>
            </w:tcMar>
            <w:vAlign w:val="center"/>
          </w:tcPr>
          <w:p w14:paraId="1F2DE03C"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Forurensning (PPC)</w:t>
            </w:r>
          </w:p>
        </w:tc>
        <w:tc>
          <w:tcPr>
            <w:tcW w:w="1807" w:type="dxa"/>
            <w:gridSpan w:val="6"/>
            <w:tcBorders>
              <w:top w:val="single" w:sz="4" w:space="0" w:color="auto"/>
              <w:left w:val="single" w:sz="4" w:space="0" w:color="auto"/>
            </w:tcBorders>
            <w:shd w:val="clear" w:color="auto" w:fill="B5B5B5"/>
            <w:tcMar>
              <w:top w:w="10" w:type="dxa"/>
              <w:bottom w:w="10" w:type="dxa"/>
            </w:tcMar>
            <w:vAlign w:val="center"/>
          </w:tcPr>
          <w:p w14:paraId="3E001CD0"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Biologisk mangfold og økosystemer (BIO)</w:t>
            </w:r>
          </w:p>
        </w:tc>
        <w:tc>
          <w:tcPr>
            <w:tcW w:w="1794" w:type="dxa"/>
            <w:gridSpan w:val="4"/>
            <w:tcBorders>
              <w:top w:val="single" w:sz="4" w:space="0" w:color="auto"/>
              <w:left w:val="single" w:sz="4" w:space="0" w:color="auto"/>
              <w:right w:val="single" w:sz="4" w:space="0" w:color="auto"/>
            </w:tcBorders>
            <w:shd w:val="clear" w:color="auto" w:fill="B5B5B5"/>
            <w:tcMar>
              <w:top w:w="10" w:type="dxa"/>
              <w:bottom w:w="10" w:type="dxa"/>
            </w:tcMar>
            <w:vAlign w:val="center"/>
          </w:tcPr>
          <w:p w14:paraId="255E2830" w14:textId="77777777" w:rsidR="006561BA" w:rsidRPr="00770AA2" w:rsidRDefault="005B4ED6">
            <w:pPr>
              <w:widowControl w:val="0"/>
              <w:shd w:val="clear" w:color="auto" w:fill="auto"/>
              <w:spacing w:after="0" w:line="240" w:lineRule="auto"/>
              <w:jc w:val="center"/>
              <w:rPr>
                <w:rFonts w:ascii="Helvetica" w:eastAsia="Arial Unicode MS" w:hAnsi="Helvetica" w:cs="Helvetica"/>
                <w:b/>
                <w:color w:val="000000"/>
                <w:sz w:val="6"/>
                <w:szCs w:val="6"/>
                <w:lang w:val="en-US"/>
              </w:rPr>
            </w:pPr>
            <w:r w:rsidRPr="00770AA2">
              <w:rPr>
                <w:rFonts w:ascii="Helvetica" w:hAnsi="Helvetica"/>
                <w:b/>
                <w:color w:val="000000"/>
                <w:sz w:val="6"/>
                <w:lang w:val="en-US"/>
              </w:rPr>
              <w:t>SUM (CCM + CCA + WTR + CE + PPC + BIO)</w:t>
            </w:r>
          </w:p>
        </w:tc>
      </w:tr>
      <w:tr w:rsidR="006561BA" w14:paraId="6CE22D30" w14:textId="77777777">
        <w:tc>
          <w:tcPr>
            <w:tcW w:w="260" w:type="dxa"/>
            <w:vMerge/>
            <w:tcMar>
              <w:top w:w="10" w:type="dxa"/>
              <w:bottom w:w="10" w:type="dxa"/>
            </w:tcMar>
          </w:tcPr>
          <w:p w14:paraId="1A468132" w14:textId="77777777" w:rsidR="006561BA" w:rsidRDefault="006561BA">
            <w:pPr>
              <w:widowControl w:val="0"/>
              <w:shd w:val="clear" w:color="auto" w:fill="auto"/>
              <w:spacing w:after="0" w:line="240" w:lineRule="auto"/>
              <w:jc w:val="center"/>
              <w:rPr>
                <w:rFonts w:ascii="Helvetica" w:eastAsia="Arial Unicode MS" w:hAnsi="Helvetica" w:cs="Helvetica"/>
                <w:color w:val="000000"/>
                <w:sz w:val="6"/>
                <w:szCs w:val="6"/>
                <w:lang w:val="en-US"/>
              </w:rPr>
            </w:pPr>
          </w:p>
        </w:tc>
        <w:tc>
          <w:tcPr>
            <w:tcW w:w="1151" w:type="dxa"/>
            <w:vMerge/>
            <w:tcBorders>
              <w:left w:val="single" w:sz="4" w:space="0" w:color="auto"/>
            </w:tcBorders>
            <w:tcMar>
              <w:top w:w="10" w:type="dxa"/>
              <w:bottom w:w="10" w:type="dxa"/>
            </w:tcMar>
            <w:vAlign w:val="center"/>
          </w:tcPr>
          <w:p w14:paraId="1DD721A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923" w:type="dxa"/>
            <w:gridSpan w:val="3"/>
            <w:tcBorders>
              <w:top w:val="single" w:sz="4" w:space="0" w:color="auto"/>
              <w:left w:val="single" w:sz="4" w:space="0" w:color="auto"/>
            </w:tcBorders>
            <w:tcMar>
              <w:top w:w="10" w:type="dxa"/>
              <w:bottom w:w="10" w:type="dxa"/>
            </w:tcMar>
            <w:vAlign w:val="center"/>
          </w:tcPr>
          <w:p w14:paraId="61339A6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Ikke-finansielle foretak (omfattet av NFRD)</w:t>
            </w:r>
          </w:p>
        </w:tc>
        <w:tc>
          <w:tcPr>
            <w:tcW w:w="884" w:type="dxa"/>
            <w:gridSpan w:val="3"/>
            <w:tcBorders>
              <w:top w:val="single" w:sz="4" w:space="0" w:color="auto"/>
              <w:left w:val="single" w:sz="4" w:space="0" w:color="auto"/>
            </w:tcBorders>
            <w:tcMar>
              <w:top w:w="10" w:type="dxa"/>
              <w:bottom w:w="10" w:type="dxa"/>
            </w:tcMar>
            <w:vAlign w:val="center"/>
          </w:tcPr>
          <w:p w14:paraId="13B72FD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SMB-er og andre ikke-finansielle foretak (ikke omfattet av NFRD)</w:t>
            </w:r>
          </w:p>
        </w:tc>
        <w:tc>
          <w:tcPr>
            <w:tcW w:w="904" w:type="dxa"/>
            <w:gridSpan w:val="2"/>
            <w:tcBorders>
              <w:top w:val="single" w:sz="4" w:space="0" w:color="auto"/>
              <w:left w:val="single" w:sz="4" w:space="0" w:color="auto"/>
            </w:tcBorders>
            <w:tcMar>
              <w:top w:w="10" w:type="dxa"/>
              <w:bottom w:w="10" w:type="dxa"/>
            </w:tcMar>
            <w:vAlign w:val="center"/>
          </w:tcPr>
          <w:p w14:paraId="75B4384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Ikke-finansielle foretak (omfattet av NFRD)</w:t>
            </w:r>
          </w:p>
        </w:tc>
        <w:tc>
          <w:tcPr>
            <w:tcW w:w="884" w:type="dxa"/>
            <w:gridSpan w:val="3"/>
            <w:tcBorders>
              <w:top w:val="single" w:sz="4" w:space="0" w:color="auto"/>
              <w:left w:val="single" w:sz="4" w:space="0" w:color="auto"/>
            </w:tcBorders>
            <w:tcMar>
              <w:top w:w="10" w:type="dxa"/>
              <w:bottom w:w="10" w:type="dxa"/>
            </w:tcMar>
            <w:vAlign w:val="center"/>
          </w:tcPr>
          <w:p w14:paraId="1DE0EE5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SMB-er og andre ikke-finansielle foretak (ikke omfattet av NFRD)</w:t>
            </w:r>
          </w:p>
        </w:tc>
        <w:tc>
          <w:tcPr>
            <w:tcW w:w="930" w:type="dxa"/>
            <w:gridSpan w:val="2"/>
            <w:tcBorders>
              <w:top w:val="single" w:sz="4" w:space="0" w:color="auto"/>
              <w:left w:val="single" w:sz="4" w:space="0" w:color="auto"/>
            </w:tcBorders>
            <w:tcMar>
              <w:top w:w="10" w:type="dxa"/>
              <w:bottom w:w="10" w:type="dxa"/>
            </w:tcMar>
            <w:vAlign w:val="center"/>
          </w:tcPr>
          <w:p w14:paraId="59235524"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Ikke-finansielle foretak (omfattet av NFRD)</w:t>
            </w:r>
          </w:p>
        </w:tc>
        <w:tc>
          <w:tcPr>
            <w:tcW w:w="887" w:type="dxa"/>
            <w:gridSpan w:val="3"/>
            <w:tcBorders>
              <w:top w:val="single" w:sz="4" w:space="0" w:color="auto"/>
              <w:left w:val="single" w:sz="4" w:space="0" w:color="auto"/>
            </w:tcBorders>
            <w:tcMar>
              <w:top w:w="10" w:type="dxa"/>
              <w:bottom w:w="10" w:type="dxa"/>
            </w:tcMar>
            <w:vAlign w:val="center"/>
          </w:tcPr>
          <w:p w14:paraId="3B863D5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SMB-er og andre ikke-finansielle foretak (ikke omfattet av NFRD)</w:t>
            </w:r>
          </w:p>
        </w:tc>
        <w:tc>
          <w:tcPr>
            <w:tcW w:w="930" w:type="dxa"/>
            <w:gridSpan w:val="2"/>
            <w:tcBorders>
              <w:top w:val="single" w:sz="4" w:space="0" w:color="auto"/>
              <w:left w:val="single" w:sz="4" w:space="0" w:color="auto"/>
            </w:tcBorders>
            <w:tcMar>
              <w:top w:w="10" w:type="dxa"/>
              <w:bottom w:w="10" w:type="dxa"/>
            </w:tcMar>
            <w:vAlign w:val="center"/>
          </w:tcPr>
          <w:p w14:paraId="27ECF93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Ikke-finansielle foretak (omfattet av NFRD)</w:t>
            </w:r>
          </w:p>
        </w:tc>
        <w:tc>
          <w:tcPr>
            <w:tcW w:w="885" w:type="dxa"/>
            <w:gridSpan w:val="2"/>
            <w:tcBorders>
              <w:top w:val="single" w:sz="4" w:space="0" w:color="auto"/>
              <w:left w:val="single" w:sz="4" w:space="0" w:color="auto"/>
            </w:tcBorders>
            <w:tcMar>
              <w:top w:w="10" w:type="dxa"/>
              <w:bottom w:w="10" w:type="dxa"/>
            </w:tcMar>
            <w:vAlign w:val="center"/>
          </w:tcPr>
          <w:p w14:paraId="4921AA6A"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SMB-er og andre ikke-finansielle foretak (ikke omfattet av NFRD)</w:t>
            </w:r>
          </w:p>
        </w:tc>
        <w:tc>
          <w:tcPr>
            <w:tcW w:w="924" w:type="dxa"/>
            <w:gridSpan w:val="2"/>
            <w:tcBorders>
              <w:top w:val="single" w:sz="4" w:space="0" w:color="auto"/>
              <w:left w:val="single" w:sz="4" w:space="0" w:color="auto"/>
            </w:tcBorders>
            <w:tcMar>
              <w:top w:w="10" w:type="dxa"/>
              <w:bottom w:w="10" w:type="dxa"/>
            </w:tcMar>
            <w:vAlign w:val="center"/>
          </w:tcPr>
          <w:p w14:paraId="2B9392E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Ikke-finansielle foretak (omfattet av NFRD)</w:t>
            </w:r>
          </w:p>
        </w:tc>
        <w:tc>
          <w:tcPr>
            <w:tcW w:w="895" w:type="dxa"/>
            <w:gridSpan w:val="2"/>
            <w:tcBorders>
              <w:top w:val="single" w:sz="4" w:space="0" w:color="auto"/>
              <w:left w:val="single" w:sz="4" w:space="0" w:color="auto"/>
            </w:tcBorders>
            <w:tcMar>
              <w:top w:w="10" w:type="dxa"/>
              <w:bottom w:w="10" w:type="dxa"/>
            </w:tcMar>
            <w:vAlign w:val="center"/>
          </w:tcPr>
          <w:p w14:paraId="57768A9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SMB-er og andre ikke-finansielle foretak (ikke omfattet av NFRD)</w:t>
            </w:r>
          </w:p>
        </w:tc>
        <w:tc>
          <w:tcPr>
            <w:tcW w:w="923" w:type="dxa"/>
            <w:gridSpan w:val="3"/>
            <w:tcBorders>
              <w:top w:val="single" w:sz="4" w:space="0" w:color="auto"/>
              <w:left w:val="single" w:sz="4" w:space="0" w:color="auto"/>
            </w:tcBorders>
            <w:tcMar>
              <w:top w:w="10" w:type="dxa"/>
              <w:bottom w:w="10" w:type="dxa"/>
            </w:tcMar>
            <w:vAlign w:val="center"/>
          </w:tcPr>
          <w:p w14:paraId="79AECBC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Ikke-finansielle foretak (omfattet av NFRD)</w:t>
            </w:r>
          </w:p>
        </w:tc>
        <w:tc>
          <w:tcPr>
            <w:tcW w:w="884" w:type="dxa"/>
            <w:gridSpan w:val="3"/>
            <w:tcBorders>
              <w:top w:val="single" w:sz="4" w:space="0" w:color="auto"/>
              <w:left w:val="single" w:sz="4" w:space="0" w:color="auto"/>
            </w:tcBorders>
            <w:tcMar>
              <w:top w:w="10" w:type="dxa"/>
              <w:bottom w:w="10" w:type="dxa"/>
            </w:tcMar>
            <w:vAlign w:val="center"/>
          </w:tcPr>
          <w:p w14:paraId="41CD12E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SMB-er og andre ikke-finansielle foretak (ikke omfattet av NFRD)</w:t>
            </w:r>
          </w:p>
        </w:tc>
        <w:tc>
          <w:tcPr>
            <w:tcW w:w="896" w:type="dxa"/>
            <w:gridSpan w:val="2"/>
            <w:tcBorders>
              <w:top w:val="single" w:sz="4" w:space="0" w:color="auto"/>
              <w:left w:val="single" w:sz="4" w:space="0" w:color="auto"/>
            </w:tcBorders>
            <w:tcMar>
              <w:top w:w="10" w:type="dxa"/>
              <w:bottom w:w="10" w:type="dxa"/>
            </w:tcMar>
            <w:vAlign w:val="center"/>
          </w:tcPr>
          <w:p w14:paraId="735AC79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Ikke-finansielle foretak (omfattet av NFRD)</w:t>
            </w:r>
          </w:p>
        </w:tc>
        <w:tc>
          <w:tcPr>
            <w:tcW w:w="898" w:type="dxa"/>
            <w:gridSpan w:val="2"/>
            <w:tcBorders>
              <w:top w:val="single" w:sz="4" w:space="0" w:color="auto"/>
              <w:left w:val="single" w:sz="4" w:space="0" w:color="auto"/>
              <w:right w:val="single" w:sz="4" w:space="0" w:color="auto"/>
            </w:tcBorders>
            <w:tcMar>
              <w:top w:w="10" w:type="dxa"/>
              <w:bottom w:w="10" w:type="dxa"/>
            </w:tcMar>
            <w:vAlign w:val="center"/>
          </w:tcPr>
          <w:p w14:paraId="7CA8A580"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SMB-er og andre ikke-finansielle foretak (ikke omfattet av NFRD)</w:t>
            </w:r>
          </w:p>
        </w:tc>
      </w:tr>
      <w:tr w:rsidR="006561BA" w14:paraId="4CA76D6F" w14:textId="77777777">
        <w:tc>
          <w:tcPr>
            <w:tcW w:w="260" w:type="dxa"/>
            <w:vMerge/>
            <w:tcMar>
              <w:top w:w="10" w:type="dxa"/>
              <w:bottom w:w="10" w:type="dxa"/>
            </w:tcMar>
          </w:tcPr>
          <w:p w14:paraId="3BEC76DC"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1151" w:type="dxa"/>
            <w:vMerge/>
            <w:tcBorders>
              <w:left w:val="single" w:sz="4" w:space="0" w:color="auto"/>
            </w:tcBorders>
            <w:tcMar>
              <w:top w:w="10" w:type="dxa"/>
              <w:bottom w:w="10" w:type="dxa"/>
            </w:tcMar>
            <w:vAlign w:val="center"/>
          </w:tcPr>
          <w:p w14:paraId="7998A97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923" w:type="dxa"/>
            <w:gridSpan w:val="3"/>
            <w:tcBorders>
              <w:top w:val="single" w:sz="4" w:space="0" w:color="auto"/>
              <w:left w:val="single" w:sz="4" w:space="0" w:color="auto"/>
            </w:tcBorders>
            <w:tcMar>
              <w:top w:w="10" w:type="dxa"/>
              <w:bottom w:w="10" w:type="dxa"/>
            </w:tcMar>
            <w:vAlign w:val="center"/>
          </w:tcPr>
          <w:p w14:paraId="70AA285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[Brutto] balanseført verdi</w:t>
            </w:r>
          </w:p>
        </w:tc>
        <w:tc>
          <w:tcPr>
            <w:tcW w:w="884" w:type="dxa"/>
            <w:gridSpan w:val="3"/>
            <w:tcBorders>
              <w:top w:val="single" w:sz="4" w:space="0" w:color="auto"/>
              <w:left w:val="single" w:sz="4" w:space="0" w:color="auto"/>
            </w:tcBorders>
            <w:tcMar>
              <w:top w:w="10" w:type="dxa"/>
              <w:bottom w:w="10" w:type="dxa"/>
            </w:tcMar>
            <w:vAlign w:val="center"/>
          </w:tcPr>
          <w:p w14:paraId="4ADBC550"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[Brutto] balanseført verdi</w:t>
            </w:r>
          </w:p>
        </w:tc>
        <w:tc>
          <w:tcPr>
            <w:tcW w:w="904" w:type="dxa"/>
            <w:gridSpan w:val="2"/>
            <w:tcBorders>
              <w:top w:val="single" w:sz="4" w:space="0" w:color="auto"/>
              <w:left w:val="single" w:sz="4" w:space="0" w:color="auto"/>
            </w:tcBorders>
            <w:tcMar>
              <w:top w:w="10" w:type="dxa"/>
              <w:bottom w:w="10" w:type="dxa"/>
            </w:tcMar>
            <w:vAlign w:val="center"/>
          </w:tcPr>
          <w:p w14:paraId="6C2D713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[Brutto] balanseført verdi</w:t>
            </w:r>
          </w:p>
        </w:tc>
        <w:tc>
          <w:tcPr>
            <w:tcW w:w="884" w:type="dxa"/>
            <w:gridSpan w:val="3"/>
            <w:tcBorders>
              <w:top w:val="single" w:sz="4" w:space="0" w:color="auto"/>
              <w:left w:val="single" w:sz="4" w:space="0" w:color="auto"/>
            </w:tcBorders>
            <w:tcMar>
              <w:top w:w="10" w:type="dxa"/>
              <w:bottom w:w="10" w:type="dxa"/>
            </w:tcMar>
            <w:vAlign w:val="center"/>
          </w:tcPr>
          <w:p w14:paraId="265C4A8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[Brutto] balanseført verdi</w:t>
            </w:r>
          </w:p>
        </w:tc>
        <w:tc>
          <w:tcPr>
            <w:tcW w:w="930" w:type="dxa"/>
            <w:gridSpan w:val="2"/>
            <w:tcBorders>
              <w:top w:val="single" w:sz="4" w:space="0" w:color="auto"/>
              <w:left w:val="single" w:sz="4" w:space="0" w:color="auto"/>
            </w:tcBorders>
            <w:tcMar>
              <w:top w:w="10" w:type="dxa"/>
              <w:bottom w:w="10" w:type="dxa"/>
            </w:tcMar>
            <w:vAlign w:val="center"/>
          </w:tcPr>
          <w:p w14:paraId="3DA4F6D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[Brutto] balanseført verdi</w:t>
            </w:r>
          </w:p>
        </w:tc>
        <w:tc>
          <w:tcPr>
            <w:tcW w:w="887" w:type="dxa"/>
            <w:gridSpan w:val="3"/>
            <w:tcBorders>
              <w:top w:val="single" w:sz="4" w:space="0" w:color="auto"/>
              <w:left w:val="single" w:sz="4" w:space="0" w:color="auto"/>
            </w:tcBorders>
            <w:tcMar>
              <w:top w:w="10" w:type="dxa"/>
              <w:bottom w:w="10" w:type="dxa"/>
            </w:tcMar>
            <w:vAlign w:val="center"/>
          </w:tcPr>
          <w:p w14:paraId="7C9E53F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[Brutto] balanseført verdi</w:t>
            </w:r>
          </w:p>
        </w:tc>
        <w:tc>
          <w:tcPr>
            <w:tcW w:w="930" w:type="dxa"/>
            <w:gridSpan w:val="2"/>
            <w:tcBorders>
              <w:top w:val="single" w:sz="4" w:space="0" w:color="auto"/>
              <w:left w:val="single" w:sz="4" w:space="0" w:color="auto"/>
            </w:tcBorders>
            <w:tcMar>
              <w:top w:w="10" w:type="dxa"/>
              <w:bottom w:w="10" w:type="dxa"/>
            </w:tcMar>
            <w:vAlign w:val="center"/>
          </w:tcPr>
          <w:p w14:paraId="610938D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[Brutto] balanseført verdi</w:t>
            </w:r>
          </w:p>
        </w:tc>
        <w:tc>
          <w:tcPr>
            <w:tcW w:w="885" w:type="dxa"/>
            <w:gridSpan w:val="2"/>
            <w:tcBorders>
              <w:top w:val="single" w:sz="4" w:space="0" w:color="auto"/>
              <w:left w:val="single" w:sz="4" w:space="0" w:color="auto"/>
            </w:tcBorders>
            <w:tcMar>
              <w:top w:w="10" w:type="dxa"/>
              <w:bottom w:w="10" w:type="dxa"/>
            </w:tcMar>
            <w:vAlign w:val="center"/>
          </w:tcPr>
          <w:p w14:paraId="39D5D2B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[Brutto] balanseført verdi</w:t>
            </w:r>
          </w:p>
        </w:tc>
        <w:tc>
          <w:tcPr>
            <w:tcW w:w="924" w:type="dxa"/>
            <w:gridSpan w:val="2"/>
            <w:tcBorders>
              <w:top w:val="single" w:sz="4" w:space="0" w:color="auto"/>
              <w:left w:val="single" w:sz="4" w:space="0" w:color="auto"/>
            </w:tcBorders>
            <w:tcMar>
              <w:top w:w="10" w:type="dxa"/>
              <w:bottom w:w="10" w:type="dxa"/>
            </w:tcMar>
            <w:vAlign w:val="center"/>
          </w:tcPr>
          <w:p w14:paraId="5B027F90"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[Brutto] balanseført verdi</w:t>
            </w:r>
          </w:p>
        </w:tc>
        <w:tc>
          <w:tcPr>
            <w:tcW w:w="895" w:type="dxa"/>
            <w:gridSpan w:val="2"/>
            <w:tcBorders>
              <w:top w:val="single" w:sz="4" w:space="0" w:color="auto"/>
              <w:left w:val="single" w:sz="4" w:space="0" w:color="auto"/>
            </w:tcBorders>
            <w:tcMar>
              <w:top w:w="10" w:type="dxa"/>
              <w:bottom w:w="10" w:type="dxa"/>
            </w:tcMar>
            <w:vAlign w:val="center"/>
          </w:tcPr>
          <w:p w14:paraId="09E4AE8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[Brutto] balanseført verdi</w:t>
            </w:r>
          </w:p>
        </w:tc>
        <w:tc>
          <w:tcPr>
            <w:tcW w:w="923" w:type="dxa"/>
            <w:gridSpan w:val="3"/>
            <w:tcBorders>
              <w:top w:val="single" w:sz="4" w:space="0" w:color="auto"/>
              <w:left w:val="single" w:sz="4" w:space="0" w:color="auto"/>
            </w:tcBorders>
            <w:tcMar>
              <w:top w:w="10" w:type="dxa"/>
              <w:bottom w:w="10" w:type="dxa"/>
            </w:tcMar>
            <w:vAlign w:val="center"/>
          </w:tcPr>
          <w:p w14:paraId="2508242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[Brutto] balanseført verdi</w:t>
            </w:r>
          </w:p>
        </w:tc>
        <w:tc>
          <w:tcPr>
            <w:tcW w:w="884" w:type="dxa"/>
            <w:gridSpan w:val="3"/>
            <w:tcBorders>
              <w:top w:val="single" w:sz="4" w:space="0" w:color="auto"/>
              <w:left w:val="single" w:sz="4" w:space="0" w:color="auto"/>
            </w:tcBorders>
            <w:tcMar>
              <w:top w:w="10" w:type="dxa"/>
              <w:bottom w:w="10" w:type="dxa"/>
            </w:tcMar>
            <w:vAlign w:val="center"/>
          </w:tcPr>
          <w:p w14:paraId="445F74A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[Brutto] balanseført verdi</w:t>
            </w:r>
          </w:p>
        </w:tc>
        <w:tc>
          <w:tcPr>
            <w:tcW w:w="896" w:type="dxa"/>
            <w:gridSpan w:val="2"/>
            <w:tcBorders>
              <w:top w:val="single" w:sz="4" w:space="0" w:color="auto"/>
              <w:left w:val="single" w:sz="4" w:space="0" w:color="auto"/>
            </w:tcBorders>
            <w:tcMar>
              <w:top w:w="10" w:type="dxa"/>
              <w:bottom w:w="10" w:type="dxa"/>
            </w:tcMar>
            <w:vAlign w:val="center"/>
          </w:tcPr>
          <w:p w14:paraId="1D0A58D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[Brutto] balanseført verdi</w:t>
            </w:r>
          </w:p>
        </w:tc>
        <w:tc>
          <w:tcPr>
            <w:tcW w:w="898" w:type="dxa"/>
            <w:gridSpan w:val="2"/>
            <w:tcBorders>
              <w:top w:val="single" w:sz="4" w:space="0" w:color="auto"/>
              <w:left w:val="single" w:sz="4" w:space="0" w:color="auto"/>
              <w:right w:val="single" w:sz="4" w:space="0" w:color="auto"/>
            </w:tcBorders>
            <w:tcMar>
              <w:top w:w="10" w:type="dxa"/>
              <w:bottom w:w="10" w:type="dxa"/>
            </w:tcMar>
            <w:vAlign w:val="center"/>
          </w:tcPr>
          <w:p w14:paraId="30FF492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[Brutto] balanseført verdi</w:t>
            </w:r>
          </w:p>
        </w:tc>
      </w:tr>
      <w:tr w:rsidR="006561BA" w14:paraId="03E83A78" w14:textId="77777777">
        <w:tc>
          <w:tcPr>
            <w:tcW w:w="260" w:type="dxa"/>
            <w:vMerge/>
            <w:tcBorders>
              <w:bottom w:val="single" w:sz="4" w:space="0" w:color="auto"/>
            </w:tcBorders>
            <w:tcMar>
              <w:top w:w="10" w:type="dxa"/>
              <w:bottom w:w="10" w:type="dxa"/>
            </w:tcMar>
          </w:tcPr>
          <w:p w14:paraId="4E1E219A" w14:textId="77777777" w:rsidR="006561BA" w:rsidRDefault="006561BA">
            <w:pPr>
              <w:widowControl w:val="0"/>
              <w:shd w:val="clear" w:color="auto" w:fill="auto"/>
              <w:spacing w:after="0" w:line="240" w:lineRule="auto"/>
              <w:jc w:val="center"/>
              <w:rPr>
                <w:rFonts w:ascii="Helvetica" w:eastAsia="Arial Unicode MS" w:hAnsi="Helvetica" w:cs="Helvetica"/>
                <w:color w:val="000000"/>
                <w:sz w:val="6"/>
                <w:szCs w:val="6"/>
                <w:lang w:val="en-US"/>
              </w:rPr>
            </w:pPr>
          </w:p>
        </w:tc>
        <w:tc>
          <w:tcPr>
            <w:tcW w:w="1151" w:type="dxa"/>
            <w:vMerge/>
            <w:tcBorders>
              <w:left w:val="single" w:sz="4" w:space="0" w:color="auto"/>
              <w:bottom w:val="single" w:sz="4" w:space="0" w:color="auto"/>
            </w:tcBorders>
            <w:tcMar>
              <w:top w:w="10" w:type="dxa"/>
              <w:bottom w:w="10" w:type="dxa"/>
            </w:tcMar>
            <w:vAlign w:val="center"/>
          </w:tcPr>
          <w:p w14:paraId="74FBE87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2" w:type="dxa"/>
            <w:tcBorders>
              <w:left w:val="single" w:sz="4" w:space="0" w:color="auto"/>
              <w:bottom w:val="single" w:sz="4" w:space="0" w:color="auto"/>
            </w:tcBorders>
            <w:tcMar>
              <w:top w:w="10" w:type="dxa"/>
              <w:bottom w:w="10" w:type="dxa"/>
            </w:tcMar>
            <w:vAlign w:val="center"/>
          </w:tcPr>
          <w:p w14:paraId="7F11D6B2"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Millioner euro</w:t>
            </w:r>
          </w:p>
        </w:tc>
        <w:tc>
          <w:tcPr>
            <w:tcW w:w="501" w:type="dxa"/>
            <w:gridSpan w:val="2"/>
            <w:tcBorders>
              <w:top w:val="single" w:sz="4" w:space="0" w:color="auto"/>
              <w:left w:val="single" w:sz="4" w:space="0" w:color="auto"/>
              <w:bottom w:val="single" w:sz="4" w:space="0" w:color="auto"/>
            </w:tcBorders>
            <w:tcMar>
              <w:top w:w="10" w:type="dxa"/>
              <w:bottom w:w="10" w:type="dxa"/>
            </w:tcMar>
            <w:vAlign w:val="center"/>
          </w:tcPr>
          <w:p w14:paraId="6A66772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Hvorav miljømessig bærekraftige (CCM)</w:t>
            </w:r>
          </w:p>
        </w:tc>
        <w:tc>
          <w:tcPr>
            <w:tcW w:w="396" w:type="dxa"/>
            <w:tcBorders>
              <w:left w:val="single" w:sz="4" w:space="0" w:color="auto"/>
              <w:bottom w:val="single" w:sz="4" w:space="0" w:color="auto"/>
            </w:tcBorders>
            <w:tcMar>
              <w:top w:w="10" w:type="dxa"/>
              <w:bottom w:w="10" w:type="dxa"/>
            </w:tcMar>
            <w:vAlign w:val="center"/>
          </w:tcPr>
          <w:p w14:paraId="77F6032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Millioner euro</w:t>
            </w:r>
          </w:p>
        </w:tc>
        <w:tc>
          <w:tcPr>
            <w:tcW w:w="488" w:type="dxa"/>
            <w:gridSpan w:val="2"/>
            <w:tcBorders>
              <w:top w:val="single" w:sz="4" w:space="0" w:color="auto"/>
              <w:left w:val="single" w:sz="4" w:space="0" w:color="auto"/>
              <w:bottom w:val="single" w:sz="4" w:space="0" w:color="auto"/>
            </w:tcBorders>
            <w:tcMar>
              <w:top w:w="10" w:type="dxa"/>
              <w:bottom w:w="10" w:type="dxa"/>
            </w:tcMar>
            <w:vAlign w:val="center"/>
          </w:tcPr>
          <w:p w14:paraId="33E5111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Hvorav miljømessig bærekraftige (CCM)</w:t>
            </w:r>
          </w:p>
        </w:tc>
        <w:tc>
          <w:tcPr>
            <w:tcW w:w="429" w:type="dxa"/>
            <w:tcBorders>
              <w:left w:val="single" w:sz="4" w:space="0" w:color="auto"/>
              <w:bottom w:val="single" w:sz="4" w:space="0" w:color="auto"/>
            </w:tcBorders>
            <w:tcMar>
              <w:top w:w="10" w:type="dxa"/>
              <w:bottom w:w="10" w:type="dxa"/>
            </w:tcMar>
            <w:vAlign w:val="center"/>
          </w:tcPr>
          <w:p w14:paraId="75CE8D3A"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Millioner euro</w:t>
            </w:r>
          </w:p>
        </w:tc>
        <w:tc>
          <w:tcPr>
            <w:tcW w:w="475" w:type="dxa"/>
            <w:tcBorders>
              <w:top w:val="single" w:sz="4" w:space="0" w:color="auto"/>
              <w:left w:val="single" w:sz="4" w:space="0" w:color="auto"/>
              <w:bottom w:val="single" w:sz="4" w:space="0" w:color="auto"/>
            </w:tcBorders>
            <w:tcMar>
              <w:top w:w="10" w:type="dxa"/>
              <w:bottom w:w="10" w:type="dxa"/>
            </w:tcMar>
            <w:vAlign w:val="center"/>
          </w:tcPr>
          <w:p w14:paraId="100CE86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Hvorav miljømessig bærekraftige (CCA)</w:t>
            </w:r>
          </w:p>
        </w:tc>
        <w:tc>
          <w:tcPr>
            <w:tcW w:w="396" w:type="dxa"/>
            <w:tcBorders>
              <w:left w:val="single" w:sz="4" w:space="0" w:color="auto"/>
              <w:bottom w:val="single" w:sz="4" w:space="0" w:color="auto"/>
            </w:tcBorders>
            <w:tcMar>
              <w:top w:w="10" w:type="dxa"/>
              <w:bottom w:w="10" w:type="dxa"/>
            </w:tcMar>
            <w:vAlign w:val="center"/>
          </w:tcPr>
          <w:p w14:paraId="5A3C747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Millioner euro</w:t>
            </w:r>
          </w:p>
        </w:tc>
        <w:tc>
          <w:tcPr>
            <w:tcW w:w="488" w:type="dxa"/>
            <w:gridSpan w:val="2"/>
            <w:tcBorders>
              <w:top w:val="single" w:sz="4" w:space="0" w:color="auto"/>
              <w:left w:val="single" w:sz="4" w:space="0" w:color="auto"/>
              <w:bottom w:val="single" w:sz="4" w:space="0" w:color="auto"/>
            </w:tcBorders>
            <w:tcMar>
              <w:top w:w="10" w:type="dxa"/>
              <w:bottom w:w="10" w:type="dxa"/>
            </w:tcMar>
            <w:vAlign w:val="center"/>
          </w:tcPr>
          <w:p w14:paraId="5C4D944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Hvorav miljømessig bærekraftige (CCA)</w:t>
            </w:r>
          </w:p>
        </w:tc>
        <w:tc>
          <w:tcPr>
            <w:tcW w:w="429" w:type="dxa"/>
            <w:tcBorders>
              <w:left w:val="single" w:sz="4" w:space="0" w:color="auto"/>
              <w:bottom w:val="single" w:sz="4" w:space="0" w:color="auto"/>
            </w:tcBorders>
            <w:tcMar>
              <w:top w:w="10" w:type="dxa"/>
              <w:bottom w:w="10" w:type="dxa"/>
            </w:tcMar>
            <w:vAlign w:val="center"/>
          </w:tcPr>
          <w:p w14:paraId="273F7DA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Millioner euro</w:t>
            </w:r>
          </w:p>
        </w:tc>
        <w:tc>
          <w:tcPr>
            <w:tcW w:w="501" w:type="dxa"/>
            <w:tcBorders>
              <w:top w:val="single" w:sz="4" w:space="0" w:color="auto"/>
              <w:left w:val="single" w:sz="4" w:space="0" w:color="auto"/>
              <w:bottom w:val="single" w:sz="4" w:space="0" w:color="auto"/>
            </w:tcBorders>
            <w:tcMar>
              <w:top w:w="10" w:type="dxa"/>
              <w:bottom w:w="10" w:type="dxa"/>
            </w:tcMar>
            <w:vAlign w:val="center"/>
          </w:tcPr>
          <w:p w14:paraId="49C5540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Hvorav miljømessig bærekraftige (WTR)</w:t>
            </w:r>
          </w:p>
        </w:tc>
        <w:tc>
          <w:tcPr>
            <w:tcW w:w="396" w:type="dxa"/>
            <w:tcBorders>
              <w:left w:val="single" w:sz="4" w:space="0" w:color="auto"/>
              <w:bottom w:val="single" w:sz="4" w:space="0" w:color="auto"/>
            </w:tcBorders>
            <w:tcMar>
              <w:top w:w="10" w:type="dxa"/>
              <w:bottom w:w="10" w:type="dxa"/>
            </w:tcMar>
            <w:vAlign w:val="center"/>
          </w:tcPr>
          <w:p w14:paraId="323565E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Millioner euro</w:t>
            </w:r>
          </w:p>
        </w:tc>
        <w:tc>
          <w:tcPr>
            <w:tcW w:w="491" w:type="dxa"/>
            <w:gridSpan w:val="2"/>
            <w:tcBorders>
              <w:top w:val="single" w:sz="4" w:space="0" w:color="auto"/>
              <w:left w:val="single" w:sz="4" w:space="0" w:color="auto"/>
              <w:bottom w:val="single" w:sz="4" w:space="0" w:color="auto"/>
            </w:tcBorders>
            <w:tcMar>
              <w:top w:w="10" w:type="dxa"/>
              <w:bottom w:w="10" w:type="dxa"/>
            </w:tcMar>
            <w:vAlign w:val="center"/>
          </w:tcPr>
          <w:p w14:paraId="45928B0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Hvorav miljømessig bærekraftige (WTR)</w:t>
            </w:r>
          </w:p>
        </w:tc>
        <w:tc>
          <w:tcPr>
            <w:tcW w:w="429" w:type="dxa"/>
            <w:tcBorders>
              <w:left w:val="single" w:sz="4" w:space="0" w:color="auto"/>
              <w:bottom w:val="single" w:sz="4" w:space="0" w:color="auto"/>
            </w:tcBorders>
            <w:tcMar>
              <w:top w:w="10" w:type="dxa"/>
              <w:bottom w:w="10" w:type="dxa"/>
            </w:tcMar>
            <w:vAlign w:val="center"/>
          </w:tcPr>
          <w:p w14:paraId="21EC9C62"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Millioner euro</w:t>
            </w:r>
          </w:p>
        </w:tc>
        <w:tc>
          <w:tcPr>
            <w:tcW w:w="501" w:type="dxa"/>
            <w:tcBorders>
              <w:top w:val="single" w:sz="4" w:space="0" w:color="auto"/>
              <w:left w:val="single" w:sz="4" w:space="0" w:color="auto"/>
              <w:bottom w:val="single" w:sz="4" w:space="0" w:color="auto"/>
            </w:tcBorders>
            <w:tcMar>
              <w:top w:w="10" w:type="dxa"/>
              <w:bottom w:w="10" w:type="dxa"/>
            </w:tcMar>
            <w:vAlign w:val="center"/>
          </w:tcPr>
          <w:p w14:paraId="0D38135A"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Hvorav miljømessig bærekraftige (CE)</w:t>
            </w:r>
          </w:p>
        </w:tc>
        <w:tc>
          <w:tcPr>
            <w:tcW w:w="396" w:type="dxa"/>
            <w:tcBorders>
              <w:left w:val="single" w:sz="4" w:space="0" w:color="auto"/>
              <w:bottom w:val="single" w:sz="4" w:space="0" w:color="auto"/>
            </w:tcBorders>
            <w:tcMar>
              <w:top w:w="10" w:type="dxa"/>
              <w:bottom w:w="10" w:type="dxa"/>
            </w:tcMar>
            <w:vAlign w:val="center"/>
          </w:tcPr>
          <w:p w14:paraId="3B4B1C9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Millioner euro</w:t>
            </w:r>
          </w:p>
        </w:tc>
        <w:tc>
          <w:tcPr>
            <w:tcW w:w="489" w:type="dxa"/>
            <w:tcBorders>
              <w:top w:val="single" w:sz="4" w:space="0" w:color="auto"/>
              <w:left w:val="single" w:sz="4" w:space="0" w:color="auto"/>
              <w:bottom w:val="single" w:sz="4" w:space="0" w:color="auto"/>
            </w:tcBorders>
            <w:tcMar>
              <w:top w:w="10" w:type="dxa"/>
              <w:bottom w:w="10" w:type="dxa"/>
            </w:tcMar>
            <w:vAlign w:val="center"/>
          </w:tcPr>
          <w:p w14:paraId="4B93BB5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Hvorav miljømessig bærekraftige (CE)</w:t>
            </w:r>
          </w:p>
        </w:tc>
        <w:tc>
          <w:tcPr>
            <w:tcW w:w="429" w:type="dxa"/>
            <w:tcBorders>
              <w:left w:val="single" w:sz="4" w:space="0" w:color="auto"/>
              <w:bottom w:val="single" w:sz="4" w:space="0" w:color="auto"/>
            </w:tcBorders>
            <w:tcMar>
              <w:top w:w="10" w:type="dxa"/>
              <w:bottom w:w="10" w:type="dxa"/>
            </w:tcMar>
            <w:vAlign w:val="center"/>
          </w:tcPr>
          <w:p w14:paraId="7D87028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Millioner euro</w:t>
            </w:r>
          </w:p>
        </w:tc>
        <w:tc>
          <w:tcPr>
            <w:tcW w:w="495" w:type="dxa"/>
            <w:tcBorders>
              <w:top w:val="single" w:sz="4" w:space="0" w:color="auto"/>
              <w:left w:val="single" w:sz="4" w:space="0" w:color="auto"/>
              <w:bottom w:val="single" w:sz="4" w:space="0" w:color="auto"/>
            </w:tcBorders>
            <w:tcMar>
              <w:top w:w="10" w:type="dxa"/>
              <w:bottom w:w="10" w:type="dxa"/>
            </w:tcMar>
            <w:vAlign w:val="center"/>
          </w:tcPr>
          <w:p w14:paraId="3F799E0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Hvorav miljømessig bærekraftige (PPC)</w:t>
            </w:r>
          </w:p>
        </w:tc>
        <w:tc>
          <w:tcPr>
            <w:tcW w:w="403" w:type="dxa"/>
            <w:tcBorders>
              <w:left w:val="single" w:sz="4" w:space="0" w:color="auto"/>
              <w:bottom w:val="single" w:sz="4" w:space="0" w:color="auto"/>
            </w:tcBorders>
            <w:tcMar>
              <w:top w:w="10" w:type="dxa"/>
              <w:bottom w:w="10" w:type="dxa"/>
            </w:tcMar>
            <w:vAlign w:val="center"/>
          </w:tcPr>
          <w:p w14:paraId="37B18030"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Millioner euro</w:t>
            </w:r>
          </w:p>
        </w:tc>
        <w:tc>
          <w:tcPr>
            <w:tcW w:w="492" w:type="dxa"/>
            <w:tcBorders>
              <w:top w:val="single" w:sz="4" w:space="0" w:color="auto"/>
              <w:left w:val="single" w:sz="4" w:space="0" w:color="auto"/>
              <w:bottom w:val="single" w:sz="4" w:space="0" w:color="auto"/>
            </w:tcBorders>
            <w:tcMar>
              <w:top w:w="10" w:type="dxa"/>
              <w:bottom w:w="10" w:type="dxa"/>
            </w:tcMar>
            <w:vAlign w:val="center"/>
          </w:tcPr>
          <w:p w14:paraId="2F8F8A0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Hvorav miljømessig bærekraftige (PPC)</w:t>
            </w:r>
          </w:p>
        </w:tc>
        <w:tc>
          <w:tcPr>
            <w:tcW w:w="422" w:type="dxa"/>
            <w:tcBorders>
              <w:left w:val="single" w:sz="4" w:space="0" w:color="auto"/>
              <w:bottom w:val="single" w:sz="4" w:space="0" w:color="auto"/>
            </w:tcBorders>
            <w:tcMar>
              <w:top w:w="10" w:type="dxa"/>
              <w:bottom w:w="10" w:type="dxa"/>
            </w:tcMar>
            <w:vAlign w:val="center"/>
          </w:tcPr>
          <w:p w14:paraId="30AE16AA"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Millioner euro</w:t>
            </w:r>
          </w:p>
        </w:tc>
        <w:tc>
          <w:tcPr>
            <w:tcW w:w="501" w:type="dxa"/>
            <w:gridSpan w:val="2"/>
            <w:tcBorders>
              <w:top w:val="single" w:sz="4" w:space="0" w:color="auto"/>
              <w:left w:val="single" w:sz="4" w:space="0" w:color="auto"/>
              <w:bottom w:val="single" w:sz="4" w:space="0" w:color="auto"/>
            </w:tcBorders>
            <w:tcMar>
              <w:top w:w="10" w:type="dxa"/>
              <w:bottom w:w="10" w:type="dxa"/>
            </w:tcMar>
            <w:vAlign w:val="center"/>
          </w:tcPr>
          <w:p w14:paraId="21A84A7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Hvorav miljømessig bærekraftige (BIO)</w:t>
            </w:r>
          </w:p>
        </w:tc>
        <w:tc>
          <w:tcPr>
            <w:tcW w:w="396" w:type="dxa"/>
            <w:tcBorders>
              <w:left w:val="single" w:sz="4" w:space="0" w:color="auto"/>
              <w:bottom w:val="single" w:sz="4" w:space="0" w:color="auto"/>
            </w:tcBorders>
            <w:tcMar>
              <w:top w:w="10" w:type="dxa"/>
              <w:bottom w:w="10" w:type="dxa"/>
            </w:tcMar>
            <w:vAlign w:val="center"/>
          </w:tcPr>
          <w:p w14:paraId="503E188A"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Millioner euro</w:t>
            </w:r>
          </w:p>
        </w:tc>
        <w:tc>
          <w:tcPr>
            <w:tcW w:w="488" w:type="dxa"/>
            <w:gridSpan w:val="2"/>
            <w:tcBorders>
              <w:top w:val="single" w:sz="4" w:space="0" w:color="auto"/>
              <w:left w:val="single" w:sz="4" w:space="0" w:color="auto"/>
              <w:bottom w:val="single" w:sz="4" w:space="0" w:color="auto"/>
            </w:tcBorders>
            <w:tcMar>
              <w:top w:w="10" w:type="dxa"/>
              <w:bottom w:w="10" w:type="dxa"/>
            </w:tcMar>
            <w:vAlign w:val="center"/>
          </w:tcPr>
          <w:p w14:paraId="7940476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Hvorav miljømessig bærekraftige (BIO)</w:t>
            </w:r>
          </w:p>
        </w:tc>
        <w:tc>
          <w:tcPr>
            <w:tcW w:w="429" w:type="dxa"/>
            <w:tcBorders>
              <w:left w:val="single" w:sz="4" w:space="0" w:color="auto"/>
              <w:bottom w:val="single" w:sz="4" w:space="0" w:color="auto"/>
            </w:tcBorders>
            <w:tcMar>
              <w:top w:w="10" w:type="dxa"/>
              <w:bottom w:w="10" w:type="dxa"/>
            </w:tcMar>
            <w:vAlign w:val="center"/>
          </w:tcPr>
          <w:p w14:paraId="31FF9854"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Millioner euro</w:t>
            </w:r>
          </w:p>
        </w:tc>
        <w:tc>
          <w:tcPr>
            <w:tcW w:w="467" w:type="dxa"/>
            <w:tcBorders>
              <w:top w:val="single" w:sz="4" w:space="0" w:color="auto"/>
              <w:left w:val="single" w:sz="4" w:space="0" w:color="auto"/>
              <w:bottom w:val="single" w:sz="4" w:space="0" w:color="auto"/>
            </w:tcBorders>
            <w:tcMar>
              <w:top w:w="10" w:type="dxa"/>
              <w:bottom w:w="10" w:type="dxa"/>
            </w:tcMar>
            <w:vAlign w:val="center"/>
          </w:tcPr>
          <w:p w14:paraId="35838FA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Hvorav miljømessig bærekraftige (CCM + CCA + WTR + CE + PPC + BIO)</w:t>
            </w:r>
          </w:p>
        </w:tc>
        <w:tc>
          <w:tcPr>
            <w:tcW w:w="407" w:type="dxa"/>
            <w:tcBorders>
              <w:left w:val="single" w:sz="4" w:space="0" w:color="auto"/>
              <w:bottom w:val="single" w:sz="4" w:space="0" w:color="auto"/>
            </w:tcBorders>
            <w:tcMar>
              <w:top w:w="10" w:type="dxa"/>
              <w:bottom w:w="10" w:type="dxa"/>
            </w:tcMar>
            <w:vAlign w:val="center"/>
          </w:tcPr>
          <w:p w14:paraId="1329E76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Millioner euro</w:t>
            </w:r>
          </w:p>
        </w:tc>
        <w:tc>
          <w:tcPr>
            <w:tcW w:w="491"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499F6B6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Hvorav miljømessig bærekraftige (CCM + CCA + WTR + CE + PPC + BIO)</w:t>
            </w:r>
          </w:p>
        </w:tc>
      </w:tr>
      <w:tr w:rsidR="006561BA" w14:paraId="0A247038" w14:textId="77777777">
        <w:tc>
          <w:tcPr>
            <w:tcW w:w="260"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7F17BE3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1</w:t>
            </w:r>
          </w:p>
        </w:tc>
        <w:tc>
          <w:tcPr>
            <w:tcW w:w="1151" w:type="dxa"/>
            <w:tcBorders>
              <w:top w:val="single" w:sz="4" w:space="0" w:color="auto"/>
              <w:left w:val="single" w:sz="4" w:space="0" w:color="auto"/>
              <w:bottom w:val="single" w:sz="4" w:space="0" w:color="auto"/>
              <w:right w:val="single" w:sz="4" w:space="0" w:color="auto"/>
            </w:tcBorders>
            <w:tcMar>
              <w:top w:w="10" w:type="dxa"/>
              <w:bottom w:w="10" w:type="dxa"/>
            </w:tcMar>
          </w:tcPr>
          <w:p w14:paraId="4CE9662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2" w:type="dxa"/>
            <w:tcBorders>
              <w:top w:val="single" w:sz="4" w:space="0" w:color="auto"/>
              <w:left w:val="single" w:sz="4" w:space="0" w:color="auto"/>
              <w:bottom w:val="single" w:sz="4" w:space="0" w:color="auto"/>
              <w:right w:val="single" w:sz="4" w:space="0" w:color="auto"/>
            </w:tcBorders>
            <w:tcMar>
              <w:top w:w="10" w:type="dxa"/>
              <w:bottom w:w="10" w:type="dxa"/>
            </w:tcMar>
          </w:tcPr>
          <w:p w14:paraId="30FFB62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01" w:type="dxa"/>
            <w:gridSpan w:val="2"/>
            <w:tcBorders>
              <w:top w:val="single" w:sz="4" w:space="0" w:color="auto"/>
              <w:left w:val="single" w:sz="4" w:space="0" w:color="auto"/>
              <w:bottom w:val="single" w:sz="4" w:space="0" w:color="auto"/>
              <w:right w:val="single" w:sz="4" w:space="0" w:color="auto"/>
            </w:tcBorders>
            <w:tcMar>
              <w:top w:w="10" w:type="dxa"/>
              <w:bottom w:w="10" w:type="dxa"/>
            </w:tcMar>
          </w:tcPr>
          <w:p w14:paraId="5CFC293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84" w:type="dxa"/>
            <w:gridSpan w:val="3"/>
            <w:vMerge w:val="restart"/>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50C7345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9" w:type="dxa"/>
            <w:tcBorders>
              <w:top w:val="single" w:sz="4" w:space="0" w:color="auto"/>
              <w:left w:val="single" w:sz="4" w:space="0" w:color="auto"/>
              <w:bottom w:val="single" w:sz="4" w:space="0" w:color="auto"/>
              <w:right w:val="single" w:sz="4" w:space="0" w:color="auto"/>
            </w:tcBorders>
            <w:tcMar>
              <w:top w:w="10" w:type="dxa"/>
              <w:bottom w:w="10" w:type="dxa"/>
            </w:tcMar>
          </w:tcPr>
          <w:p w14:paraId="0530FC3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5" w:type="dxa"/>
            <w:tcBorders>
              <w:top w:val="single" w:sz="4" w:space="0" w:color="auto"/>
              <w:left w:val="single" w:sz="4" w:space="0" w:color="auto"/>
              <w:bottom w:val="single" w:sz="4" w:space="0" w:color="auto"/>
              <w:right w:val="single" w:sz="4" w:space="0" w:color="auto"/>
            </w:tcBorders>
            <w:tcMar>
              <w:top w:w="10" w:type="dxa"/>
              <w:bottom w:w="10" w:type="dxa"/>
            </w:tcMar>
          </w:tcPr>
          <w:p w14:paraId="4348FD2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84" w:type="dxa"/>
            <w:gridSpan w:val="3"/>
            <w:vMerge w:val="restart"/>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6223E6C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9" w:type="dxa"/>
            <w:tcBorders>
              <w:top w:val="single" w:sz="4" w:space="0" w:color="auto"/>
              <w:left w:val="single" w:sz="4" w:space="0" w:color="auto"/>
              <w:bottom w:val="single" w:sz="4" w:space="0" w:color="auto"/>
              <w:right w:val="single" w:sz="4" w:space="0" w:color="auto"/>
            </w:tcBorders>
            <w:tcMar>
              <w:top w:w="10" w:type="dxa"/>
              <w:bottom w:w="10" w:type="dxa"/>
            </w:tcMar>
          </w:tcPr>
          <w:p w14:paraId="165A446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01" w:type="dxa"/>
            <w:tcBorders>
              <w:top w:val="single" w:sz="4" w:space="0" w:color="auto"/>
              <w:left w:val="single" w:sz="4" w:space="0" w:color="auto"/>
              <w:bottom w:val="single" w:sz="4" w:space="0" w:color="auto"/>
              <w:right w:val="single" w:sz="4" w:space="0" w:color="auto"/>
            </w:tcBorders>
            <w:tcMar>
              <w:top w:w="10" w:type="dxa"/>
              <w:bottom w:w="10" w:type="dxa"/>
            </w:tcMar>
          </w:tcPr>
          <w:p w14:paraId="1FFFF06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87" w:type="dxa"/>
            <w:gridSpan w:val="3"/>
            <w:vMerge w:val="restart"/>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38B65AF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9" w:type="dxa"/>
            <w:tcBorders>
              <w:top w:val="single" w:sz="4" w:space="0" w:color="auto"/>
              <w:left w:val="single" w:sz="4" w:space="0" w:color="auto"/>
              <w:bottom w:val="single" w:sz="4" w:space="0" w:color="auto"/>
              <w:right w:val="single" w:sz="4" w:space="0" w:color="auto"/>
            </w:tcBorders>
            <w:tcMar>
              <w:top w:w="10" w:type="dxa"/>
              <w:bottom w:w="10" w:type="dxa"/>
            </w:tcMar>
          </w:tcPr>
          <w:p w14:paraId="46CD5EE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01" w:type="dxa"/>
            <w:tcBorders>
              <w:top w:val="single" w:sz="4" w:space="0" w:color="auto"/>
              <w:left w:val="single" w:sz="4" w:space="0" w:color="auto"/>
              <w:bottom w:val="single" w:sz="4" w:space="0" w:color="auto"/>
              <w:right w:val="single" w:sz="4" w:space="0" w:color="auto"/>
            </w:tcBorders>
            <w:tcMar>
              <w:top w:w="10" w:type="dxa"/>
              <w:bottom w:w="10" w:type="dxa"/>
            </w:tcMar>
          </w:tcPr>
          <w:p w14:paraId="4FBE5FD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85" w:type="dxa"/>
            <w:gridSpan w:val="2"/>
            <w:vMerge w:val="restart"/>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557097F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9" w:type="dxa"/>
            <w:tcBorders>
              <w:top w:val="single" w:sz="4" w:space="0" w:color="auto"/>
              <w:left w:val="single" w:sz="4" w:space="0" w:color="auto"/>
              <w:bottom w:val="single" w:sz="4" w:space="0" w:color="auto"/>
              <w:right w:val="single" w:sz="4" w:space="0" w:color="auto"/>
            </w:tcBorders>
            <w:tcMar>
              <w:top w:w="10" w:type="dxa"/>
              <w:bottom w:w="10" w:type="dxa"/>
            </w:tcMar>
          </w:tcPr>
          <w:p w14:paraId="5B82FA8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5" w:type="dxa"/>
            <w:tcBorders>
              <w:top w:val="single" w:sz="4" w:space="0" w:color="auto"/>
              <w:left w:val="single" w:sz="4" w:space="0" w:color="auto"/>
              <w:bottom w:val="single" w:sz="4" w:space="0" w:color="auto"/>
              <w:right w:val="single" w:sz="4" w:space="0" w:color="auto"/>
            </w:tcBorders>
            <w:tcMar>
              <w:top w:w="10" w:type="dxa"/>
              <w:bottom w:w="10" w:type="dxa"/>
            </w:tcMar>
          </w:tcPr>
          <w:p w14:paraId="4AD118E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95" w:type="dxa"/>
            <w:gridSpan w:val="2"/>
            <w:vMerge w:val="restart"/>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52B5414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2" w:type="dxa"/>
            <w:tcBorders>
              <w:top w:val="single" w:sz="4" w:space="0" w:color="auto"/>
              <w:left w:val="single" w:sz="4" w:space="0" w:color="auto"/>
              <w:bottom w:val="single" w:sz="4" w:space="0" w:color="auto"/>
              <w:right w:val="single" w:sz="4" w:space="0" w:color="auto"/>
            </w:tcBorders>
            <w:tcMar>
              <w:top w:w="10" w:type="dxa"/>
              <w:bottom w:w="10" w:type="dxa"/>
            </w:tcMar>
          </w:tcPr>
          <w:p w14:paraId="0E9698E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01" w:type="dxa"/>
            <w:gridSpan w:val="2"/>
            <w:tcBorders>
              <w:top w:val="single" w:sz="4" w:space="0" w:color="auto"/>
              <w:left w:val="single" w:sz="4" w:space="0" w:color="auto"/>
              <w:bottom w:val="single" w:sz="4" w:space="0" w:color="auto"/>
              <w:right w:val="single" w:sz="4" w:space="0" w:color="auto"/>
            </w:tcBorders>
            <w:tcMar>
              <w:top w:w="10" w:type="dxa"/>
              <w:bottom w:w="10" w:type="dxa"/>
            </w:tcMar>
          </w:tcPr>
          <w:p w14:paraId="4274109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84" w:type="dxa"/>
            <w:gridSpan w:val="3"/>
            <w:vMerge w:val="restart"/>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79AE09D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9" w:type="dxa"/>
            <w:tcBorders>
              <w:top w:val="single" w:sz="4" w:space="0" w:color="auto"/>
              <w:left w:val="single" w:sz="4" w:space="0" w:color="auto"/>
              <w:bottom w:val="single" w:sz="4" w:space="0" w:color="auto"/>
              <w:right w:val="single" w:sz="4" w:space="0" w:color="auto"/>
            </w:tcBorders>
            <w:tcMar>
              <w:top w:w="10" w:type="dxa"/>
              <w:bottom w:w="10" w:type="dxa"/>
            </w:tcMar>
          </w:tcPr>
          <w:p w14:paraId="24BC366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7" w:type="dxa"/>
            <w:tcBorders>
              <w:top w:val="single" w:sz="4" w:space="0" w:color="auto"/>
              <w:left w:val="single" w:sz="4" w:space="0" w:color="auto"/>
              <w:bottom w:val="single" w:sz="4" w:space="0" w:color="auto"/>
              <w:right w:val="single" w:sz="4" w:space="0" w:color="auto"/>
            </w:tcBorders>
            <w:tcMar>
              <w:top w:w="10" w:type="dxa"/>
              <w:bottom w:w="10" w:type="dxa"/>
            </w:tcMar>
          </w:tcPr>
          <w:p w14:paraId="6380CBC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98" w:type="dxa"/>
            <w:gridSpan w:val="2"/>
            <w:vMerge w:val="restart"/>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5F16D63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242FD88E" w14:textId="77777777">
        <w:tc>
          <w:tcPr>
            <w:tcW w:w="260" w:type="dxa"/>
            <w:tcBorders>
              <w:top w:val="single" w:sz="4" w:space="0" w:color="auto"/>
              <w:left w:val="single" w:sz="4" w:space="0" w:color="auto"/>
              <w:bottom w:val="single" w:sz="4" w:space="0" w:color="auto"/>
              <w:right w:val="single" w:sz="4" w:space="0" w:color="auto"/>
            </w:tcBorders>
            <w:tcMar>
              <w:top w:w="10" w:type="dxa"/>
              <w:bottom w:w="10" w:type="dxa"/>
            </w:tcMar>
            <w:vAlign w:val="bottom"/>
          </w:tcPr>
          <w:p w14:paraId="32F1DA54"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2</w:t>
            </w:r>
          </w:p>
        </w:tc>
        <w:tc>
          <w:tcPr>
            <w:tcW w:w="1151" w:type="dxa"/>
            <w:tcBorders>
              <w:top w:val="single" w:sz="4" w:space="0" w:color="auto"/>
              <w:left w:val="single" w:sz="4" w:space="0" w:color="auto"/>
              <w:bottom w:val="single" w:sz="4" w:space="0" w:color="auto"/>
              <w:right w:val="single" w:sz="4" w:space="0" w:color="auto"/>
            </w:tcBorders>
            <w:tcMar>
              <w:top w:w="10" w:type="dxa"/>
              <w:bottom w:w="10" w:type="dxa"/>
            </w:tcMar>
          </w:tcPr>
          <w:p w14:paraId="0351950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2" w:type="dxa"/>
            <w:tcBorders>
              <w:top w:val="single" w:sz="4" w:space="0" w:color="auto"/>
              <w:left w:val="single" w:sz="4" w:space="0" w:color="auto"/>
              <w:bottom w:val="single" w:sz="4" w:space="0" w:color="auto"/>
              <w:right w:val="single" w:sz="4" w:space="0" w:color="auto"/>
            </w:tcBorders>
            <w:tcMar>
              <w:top w:w="10" w:type="dxa"/>
              <w:bottom w:w="10" w:type="dxa"/>
            </w:tcMar>
          </w:tcPr>
          <w:p w14:paraId="6BCEA5C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01" w:type="dxa"/>
            <w:gridSpan w:val="2"/>
            <w:tcBorders>
              <w:top w:val="single" w:sz="4" w:space="0" w:color="auto"/>
              <w:left w:val="single" w:sz="4" w:space="0" w:color="auto"/>
              <w:bottom w:val="single" w:sz="4" w:space="0" w:color="auto"/>
              <w:right w:val="single" w:sz="4" w:space="0" w:color="auto"/>
            </w:tcBorders>
            <w:tcMar>
              <w:top w:w="10" w:type="dxa"/>
              <w:bottom w:w="10" w:type="dxa"/>
            </w:tcMar>
          </w:tcPr>
          <w:p w14:paraId="71B994C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84" w:type="dxa"/>
            <w:gridSpan w:val="3"/>
            <w:vMerge/>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778DD24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9" w:type="dxa"/>
            <w:tcBorders>
              <w:top w:val="single" w:sz="4" w:space="0" w:color="auto"/>
              <w:left w:val="single" w:sz="4" w:space="0" w:color="auto"/>
              <w:bottom w:val="single" w:sz="4" w:space="0" w:color="auto"/>
              <w:right w:val="single" w:sz="4" w:space="0" w:color="auto"/>
            </w:tcBorders>
            <w:tcMar>
              <w:top w:w="10" w:type="dxa"/>
              <w:bottom w:w="10" w:type="dxa"/>
            </w:tcMar>
          </w:tcPr>
          <w:p w14:paraId="16C930A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5" w:type="dxa"/>
            <w:tcBorders>
              <w:top w:val="single" w:sz="4" w:space="0" w:color="auto"/>
              <w:left w:val="single" w:sz="4" w:space="0" w:color="auto"/>
              <w:bottom w:val="single" w:sz="4" w:space="0" w:color="auto"/>
              <w:right w:val="single" w:sz="4" w:space="0" w:color="auto"/>
            </w:tcBorders>
            <w:tcMar>
              <w:top w:w="10" w:type="dxa"/>
              <w:bottom w:w="10" w:type="dxa"/>
            </w:tcMar>
          </w:tcPr>
          <w:p w14:paraId="3F5D6E4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84" w:type="dxa"/>
            <w:gridSpan w:val="3"/>
            <w:vMerge/>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7E5CAFA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9" w:type="dxa"/>
            <w:tcBorders>
              <w:top w:val="single" w:sz="4" w:space="0" w:color="auto"/>
              <w:left w:val="single" w:sz="4" w:space="0" w:color="auto"/>
              <w:bottom w:val="single" w:sz="4" w:space="0" w:color="auto"/>
              <w:right w:val="single" w:sz="4" w:space="0" w:color="auto"/>
            </w:tcBorders>
            <w:tcMar>
              <w:top w:w="10" w:type="dxa"/>
              <w:bottom w:w="10" w:type="dxa"/>
            </w:tcMar>
          </w:tcPr>
          <w:p w14:paraId="44CB57E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01" w:type="dxa"/>
            <w:tcBorders>
              <w:top w:val="single" w:sz="4" w:space="0" w:color="auto"/>
              <w:left w:val="single" w:sz="4" w:space="0" w:color="auto"/>
              <w:bottom w:val="single" w:sz="4" w:space="0" w:color="auto"/>
              <w:right w:val="single" w:sz="4" w:space="0" w:color="auto"/>
            </w:tcBorders>
            <w:tcMar>
              <w:top w:w="10" w:type="dxa"/>
              <w:bottom w:w="10" w:type="dxa"/>
            </w:tcMar>
          </w:tcPr>
          <w:p w14:paraId="47F9439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87" w:type="dxa"/>
            <w:gridSpan w:val="3"/>
            <w:vMerge/>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40A1E00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9" w:type="dxa"/>
            <w:tcBorders>
              <w:top w:val="single" w:sz="4" w:space="0" w:color="auto"/>
              <w:left w:val="single" w:sz="4" w:space="0" w:color="auto"/>
              <w:bottom w:val="single" w:sz="4" w:space="0" w:color="auto"/>
              <w:right w:val="single" w:sz="4" w:space="0" w:color="auto"/>
            </w:tcBorders>
            <w:tcMar>
              <w:top w:w="10" w:type="dxa"/>
              <w:bottom w:w="10" w:type="dxa"/>
            </w:tcMar>
          </w:tcPr>
          <w:p w14:paraId="1D1D2C6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01" w:type="dxa"/>
            <w:tcBorders>
              <w:top w:val="single" w:sz="4" w:space="0" w:color="auto"/>
              <w:left w:val="single" w:sz="4" w:space="0" w:color="auto"/>
              <w:bottom w:val="single" w:sz="4" w:space="0" w:color="auto"/>
              <w:right w:val="single" w:sz="4" w:space="0" w:color="auto"/>
            </w:tcBorders>
            <w:tcMar>
              <w:top w:w="10" w:type="dxa"/>
              <w:bottom w:w="10" w:type="dxa"/>
            </w:tcMar>
          </w:tcPr>
          <w:p w14:paraId="033DA23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85" w:type="dxa"/>
            <w:gridSpan w:val="2"/>
            <w:vMerge/>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6E86062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9" w:type="dxa"/>
            <w:tcBorders>
              <w:top w:val="single" w:sz="4" w:space="0" w:color="auto"/>
              <w:left w:val="single" w:sz="4" w:space="0" w:color="auto"/>
              <w:bottom w:val="single" w:sz="4" w:space="0" w:color="auto"/>
              <w:right w:val="single" w:sz="4" w:space="0" w:color="auto"/>
            </w:tcBorders>
            <w:tcMar>
              <w:top w:w="10" w:type="dxa"/>
              <w:bottom w:w="10" w:type="dxa"/>
            </w:tcMar>
          </w:tcPr>
          <w:p w14:paraId="26A6FA0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5" w:type="dxa"/>
            <w:tcBorders>
              <w:top w:val="single" w:sz="4" w:space="0" w:color="auto"/>
              <w:left w:val="single" w:sz="4" w:space="0" w:color="auto"/>
              <w:bottom w:val="single" w:sz="4" w:space="0" w:color="auto"/>
              <w:right w:val="single" w:sz="4" w:space="0" w:color="auto"/>
            </w:tcBorders>
            <w:tcMar>
              <w:top w:w="10" w:type="dxa"/>
              <w:bottom w:w="10" w:type="dxa"/>
            </w:tcMar>
          </w:tcPr>
          <w:p w14:paraId="6ED2089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95" w:type="dxa"/>
            <w:gridSpan w:val="2"/>
            <w:vMerge/>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0AA0C8A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2" w:type="dxa"/>
            <w:tcBorders>
              <w:top w:val="single" w:sz="4" w:space="0" w:color="auto"/>
              <w:left w:val="single" w:sz="4" w:space="0" w:color="auto"/>
              <w:bottom w:val="single" w:sz="4" w:space="0" w:color="auto"/>
              <w:right w:val="single" w:sz="4" w:space="0" w:color="auto"/>
            </w:tcBorders>
            <w:tcMar>
              <w:top w:w="10" w:type="dxa"/>
              <w:bottom w:w="10" w:type="dxa"/>
            </w:tcMar>
          </w:tcPr>
          <w:p w14:paraId="553F485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01" w:type="dxa"/>
            <w:gridSpan w:val="2"/>
            <w:tcBorders>
              <w:top w:val="single" w:sz="4" w:space="0" w:color="auto"/>
              <w:left w:val="single" w:sz="4" w:space="0" w:color="auto"/>
              <w:bottom w:val="single" w:sz="4" w:space="0" w:color="auto"/>
              <w:right w:val="single" w:sz="4" w:space="0" w:color="auto"/>
            </w:tcBorders>
            <w:tcMar>
              <w:top w:w="10" w:type="dxa"/>
              <w:bottom w:w="10" w:type="dxa"/>
            </w:tcMar>
          </w:tcPr>
          <w:p w14:paraId="77C669D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84" w:type="dxa"/>
            <w:gridSpan w:val="3"/>
            <w:vMerge/>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11D69D0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9" w:type="dxa"/>
            <w:tcBorders>
              <w:top w:val="single" w:sz="4" w:space="0" w:color="auto"/>
              <w:left w:val="single" w:sz="4" w:space="0" w:color="auto"/>
              <w:bottom w:val="single" w:sz="4" w:space="0" w:color="auto"/>
              <w:right w:val="single" w:sz="4" w:space="0" w:color="auto"/>
            </w:tcBorders>
            <w:tcMar>
              <w:top w:w="10" w:type="dxa"/>
              <w:bottom w:w="10" w:type="dxa"/>
            </w:tcMar>
          </w:tcPr>
          <w:p w14:paraId="71537D4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7" w:type="dxa"/>
            <w:tcBorders>
              <w:top w:val="single" w:sz="4" w:space="0" w:color="auto"/>
              <w:left w:val="single" w:sz="4" w:space="0" w:color="auto"/>
              <w:bottom w:val="single" w:sz="4" w:space="0" w:color="auto"/>
              <w:right w:val="single" w:sz="4" w:space="0" w:color="auto"/>
            </w:tcBorders>
            <w:tcMar>
              <w:top w:w="10" w:type="dxa"/>
              <w:bottom w:w="10" w:type="dxa"/>
            </w:tcMar>
          </w:tcPr>
          <w:p w14:paraId="2AFA9F5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98" w:type="dxa"/>
            <w:gridSpan w:val="2"/>
            <w:vMerge/>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6BBF47B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6E720F81" w14:textId="77777777">
        <w:tc>
          <w:tcPr>
            <w:tcW w:w="260" w:type="dxa"/>
            <w:tcBorders>
              <w:top w:val="single" w:sz="4" w:space="0" w:color="auto"/>
              <w:left w:val="single" w:sz="4" w:space="0" w:color="auto"/>
              <w:bottom w:val="single" w:sz="4" w:space="0" w:color="auto"/>
              <w:right w:val="single" w:sz="4" w:space="0" w:color="auto"/>
            </w:tcBorders>
            <w:tcMar>
              <w:top w:w="10" w:type="dxa"/>
              <w:bottom w:w="10" w:type="dxa"/>
            </w:tcMar>
            <w:vAlign w:val="bottom"/>
          </w:tcPr>
          <w:p w14:paraId="5A9390B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3</w:t>
            </w:r>
          </w:p>
        </w:tc>
        <w:tc>
          <w:tcPr>
            <w:tcW w:w="1151" w:type="dxa"/>
            <w:tcBorders>
              <w:top w:val="single" w:sz="4" w:space="0" w:color="auto"/>
              <w:left w:val="single" w:sz="4" w:space="0" w:color="auto"/>
              <w:bottom w:val="single" w:sz="4" w:space="0" w:color="auto"/>
              <w:right w:val="single" w:sz="4" w:space="0" w:color="auto"/>
            </w:tcBorders>
            <w:tcMar>
              <w:top w:w="10" w:type="dxa"/>
              <w:bottom w:w="10" w:type="dxa"/>
            </w:tcMar>
          </w:tcPr>
          <w:p w14:paraId="6A244B4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2" w:type="dxa"/>
            <w:tcBorders>
              <w:top w:val="single" w:sz="4" w:space="0" w:color="auto"/>
              <w:left w:val="single" w:sz="4" w:space="0" w:color="auto"/>
              <w:bottom w:val="single" w:sz="4" w:space="0" w:color="auto"/>
              <w:right w:val="single" w:sz="4" w:space="0" w:color="auto"/>
            </w:tcBorders>
            <w:tcMar>
              <w:top w:w="10" w:type="dxa"/>
              <w:bottom w:w="10" w:type="dxa"/>
            </w:tcMar>
          </w:tcPr>
          <w:p w14:paraId="0D68812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01" w:type="dxa"/>
            <w:gridSpan w:val="2"/>
            <w:tcBorders>
              <w:top w:val="single" w:sz="4" w:space="0" w:color="auto"/>
              <w:left w:val="single" w:sz="4" w:space="0" w:color="auto"/>
              <w:bottom w:val="single" w:sz="4" w:space="0" w:color="auto"/>
              <w:right w:val="single" w:sz="4" w:space="0" w:color="auto"/>
            </w:tcBorders>
            <w:tcMar>
              <w:top w:w="10" w:type="dxa"/>
              <w:bottom w:w="10" w:type="dxa"/>
            </w:tcMar>
          </w:tcPr>
          <w:p w14:paraId="7D2F0B3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84" w:type="dxa"/>
            <w:gridSpan w:val="3"/>
            <w:vMerge/>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10CDD4E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9" w:type="dxa"/>
            <w:tcBorders>
              <w:top w:val="single" w:sz="4" w:space="0" w:color="auto"/>
              <w:left w:val="single" w:sz="4" w:space="0" w:color="auto"/>
              <w:bottom w:val="single" w:sz="4" w:space="0" w:color="auto"/>
              <w:right w:val="single" w:sz="4" w:space="0" w:color="auto"/>
            </w:tcBorders>
            <w:tcMar>
              <w:top w:w="10" w:type="dxa"/>
              <w:bottom w:w="10" w:type="dxa"/>
            </w:tcMar>
          </w:tcPr>
          <w:p w14:paraId="436CB9D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5" w:type="dxa"/>
            <w:tcBorders>
              <w:top w:val="single" w:sz="4" w:space="0" w:color="auto"/>
              <w:left w:val="single" w:sz="4" w:space="0" w:color="auto"/>
              <w:bottom w:val="single" w:sz="4" w:space="0" w:color="auto"/>
              <w:right w:val="single" w:sz="4" w:space="0" w:color="auto"/>
            </w:tcBorders>
            <w:tcMar>
              <w:top w:w="10" w:type="dxa"/>
              <w:bottom w:w="10" w:type="dxa"/>
            </w:tcMar>
          </w:tcPr>
          <w:p w14:paraId="3D2261D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84" w:type="dxa"/>
            <w:gridSpan w:val="3"/>
            <w:vMerge/>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6B10752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9" w:type="dxa"/>
            <w:tcBorders>
              <w:top w:val="single" w:sz="4" w:space="0" w:color="auto"/>
              <w:left w:val="single" w:sz="4" w:space="0" w:color="auto"/>
              <w:bottom w:val="single" w:sz="4" w:space="0" w:color="auto"/>
              <w:right w:val="single" w:sz="4" w:space="0" w:color="auto"/>
            </w:tcBorders>
            <w:tcMar>
              <w:top w:w="10" w:type="dxa"/>
              <w:bottom w:w="10" w:type="dxa"/>
            </w:tcMar>
          </w:tcPr>
          <w:p w14:paraId="716B69A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01" w:type="dxa"/>
            <w:tcBorders>
              <w:top w:val="single" w:sz="4" w:space="0" w:color="auto"/>
              <w:left w:val="single" w:sz="4" w:space="0" w:color="auto"/>
              <w:bottom w:val="single" w:sz="4" w:space="0" w:color="auto"/>
              <w:right w:val="single" w:sz="4" w:space="0" w:color="auto"/>
            </w:tcBorders>
            <w:tcMar>
              <w:top w:w="10" w:type="dxa"/>
              <w:bottom w:w="10" w:type="dxa"/>
            </w:tcMar>
          </w:tcPr>
          <w:p w14:paraId="40C0271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87" w:type="dxa"/>
            <w:gridSpan w:val="3"/>
            <w:vMerge/>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26A99DD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9" w:type="dxa"/>
            <w:tcBorders>
              <w:top w:val="single" w:sz="4" w:space="0" w:color="auto"/>
              <w:left w:val="single" w:sz="4" w:space="0" w:color="auto"/>
              <w:bottom w:val="single" w:sz="4" w:space="0" w:color="auto"/>
              <w:right w:val="single" w:sz="4" w:space="0" w:color="auto"/>
            </w:tcBorders>
            <w:tcMar>
              <w:top w:w="10" w:type="dxa"/>
              <w:bottom w:w="10" w:type="dxa"/>
            </w:tcMar>
          </w:tcPr>
          <w:p w14:paraId="54180E5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01" w:type="dxa"/>
            <w:tcBorders>
              <w:top w:val="single" w:sz="4" w:space="0" w:color="auto"/>
              <w:left w:val="single" w:sz="4" w:space="0" w:color="auto"/>
              <w:bottom w:val="single" w:sz="4" w:space="0" w:color="auto"/>
              <w:right w:val="single" w:sz="4" w:space="0" w:color="auto"/>
            </w:tcBorders>
            <w:tcMar>
              <w:top w:w="10" w:type="dxa"/>
              <w:bottom w:w="10" w:type="dxa"/>
            </w:tcMar>
          </w:tcPr>
          <w:p w14:paraId="39EA773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85" w:type="dxa"/>
            <w:gridSpan w:val="2"/>
            <w:vMerge/>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72EC7CD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9" w:type="dxa"/>
            <w:tcBorders>
              <w:top w:val="single" w:sz="4" w:space="0" w:color="auto"/>
              <w:left w:val="single" w:sz="4" w:space="0" w:color="auto"/>
              <w:bottom w:val="single" w:sz="4" w:space="0" w:color="auto"/>
              <w:right w:val="single" w:sz="4" w:space="0" w:color="auto"/>
            </w:tcBorders>
            <w:tcMar>
              <w:top w:w="10" w:type="dxa"/>
              <w:bottom w:w="10" w:type="dxa"/>
            </w:tcMar>
          </w:tcPr>
          <w:p w14:paraId="757EAB6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5" w:type="dxa"/>
            <w:tcBorders>
              <w:top w:val="single" w:sz="4" w:space="0" w:color="auto"/>
              <w:left w:val="single" w:sz="4" w:space="0" w:color="auto"/>
              <w:bottom w:val="single" w:sz="4" w:space="0" w:color="auto"/>
              <w:right w:val="single" w:sz="4" w:space="0" w:color="auto"/>
            </w:tcBorders>
            <w:tcMar>
              <w:top w:w="10" w:type="dxa"/>
              <w:bottom w:w="10" w:type="dxa"/>
            </w:tcMar>
          </w:tcPr>
          <w:p w14:paraId="1782AA7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95" w:type="dxa"/>
            <w:gridSpan w:val="2"/>
            <w:vMerge/>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0AD38B6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2" w:type="dxa"/>
            <w:tcBorders>
              <w:top w:val="single" w:sz="4" w:space="0" w:color="auto"/>
              <w:left w:val="single" w:sz="4" w:space="0" w:color="auto"/>
              <w:bottom w:val="single" w:sz="4" w:space="0" w:color="auto"/>
              <w:right w:val="single" w:sz="4" w:space="0" w:color="auto"/>
            </w:tcBorders>
            <w:tcMar>
              <w:top w:w="10" w:type="dxa"/>
              <w:bottom w:w="10" w:type="dxa"/>
            </w:tcMar>
          </w:tcPr>
          <w:p w14:paraId="7097A9E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01" w:type="dxa"/>
            <w:gridSpan w:val="2"/>
            <w:tcBorders>
              <w:top w:val="single" w:sz="4" w:space="0" w:color="auto"/>
              <w:left w:val="single" w:sz="4" w:space="0" w:color="auto"/>
              <w:bottom w:val="single" w:sz="4" w:space="0" w:color="auto"/>
              <w:right w:val="single" w:sz="4" w:space="0" w:color="auto"/>
            </w:tcBorders>
            <w:tcMar>
              <w:top w:w="10" w:type="dxa"/>
              <w:bottom w:w="10" w:type="dxa"/>
            </w:tcMar>
          </w:tcPr>
          <w:p w14:paraId="055E320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84" w:type="dxa"/>
            <w:gridSpan w:val="3"/>
            <w:vMerge/>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09B1FD0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9" w:type="dxa"/>
            <w:tcBorders>
              <w:top w:val="single" w:sz="4" w:space="0" w:color="auto"/>
              <w:left w:val="single" w:sz="4" w:space="0" w:color="auto"/>
              <w:bottom w:val="single" w:sz="4" w:space="0" w:color="auto"/>
              <w:right w:val="single" w:sz="4" w:space="0" w:color="auto"/>
            </w:tcBorders>
            <w:tcMar>
              <w:top w:w="10" w:type="dxa"/>
              <w:bottom w:w="10" w:type="dxa"/>
            </w:tcMar>
          </w:tcPr>
          <w:p w14:paraId="0C45B2A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7" w:type="dxa"/>
            <w:tcBorders>
              <w:top w:val="single" w:sz="4" w:space="0" w:color="auto"/>
              <w:left w:val="single" w:sz="4" w:space="0" w:color="auto"/>
              <w:bottom w:val="single" w:sz="4" w:space="0" w:color="auto"/>
              <w:right w:val="single" w:sz="4" w:space="0" w:color="auto"/>
            </w:tcBorders>
            <w:tcMar>
              <w:top w:w="10" w:type="dxa"/>
              <w:bottom w:w="10" w:type="dxa"/>
            </w:tcMar>
          </w:tcPr>
          <w:p w14:paraId="68E30C0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98" w:type="dxa"/>
            <w:gridSpan w:val="2"/>
            <w:vMerge/>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6951493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03D68017" w14:textId="77777777">
        <w:tc>
          <w:tcPr>
            <w:tcW w:w="260" w:type="dxa"/>
            <w:tcBorders>
              <w:top w:val="single" w:sz="4" w:space="0" w:color="auto"/>
              <w:left w:val="single" w:sz="4" w:space="0" w:color="auto"/>
              <w:bottom w:val="single" w:sz="4" w:space="0" w:color="auto"/>
              <w:right w:val="single" w:sz="4" w:space="0" w:color="auto"/>
            </w:tcBorders>
            <w:tcMar>
              <w:top w:w="10" w:type="dxa"/>
              <w:bottom w:w="10" w:type="dxa"/>
            </w:tcMar>
            <w:vAlign w:val="bottom"/>
          </w:tcPr>
          <w:p w14:paraId="28C9A9D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4</w:t>
            </w:r>
          </w:p>
        </w:tc>
        <w:tc>
          <w:tcPr>
            <w:tcW w:w="1151" w:type="dxa"/>
            <w:tcBorders>
              <w:top w:val="single" w:sz="4" w:space="0" w:color="auto"/>
              <w:left w:val="single" w:sz="4" w:space="0" w:color="auto"/>
              <w:bottom w:val="single" w:sz="4" w:space="0" w:color="auto"/>
              <w:right w:val="single" w:sz="4" w:space="0" w:color="auto"/>
            </w:tcBorders>
            <w:tcMar>
              <w:top w:w="10" w:type="dxa"/>
              <w:bottom w:w="10" w:type="dxa"/>
            </w:tcMar>
          </w:tcPr>
          <w:p w14:paraId="5B8699F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2" w:type="dxa"/>
            <w:tcBorders>
              <w:top w:val="single" w:sz="4" w:space="0" w:color="auto"/>
              <w:left w:val="single" w:sz="4" w:space="0" w:color="auto"/>
              <w:bottom w:val="single" w:sz="4" w:space="0" w:color="auto"/>
              <w:right w:val="single" w:sz="4" w:space="0" w:color="auto"/>
            </w:tcBorders>
            <w:tcMar>
              <w:top w:w="10" w:type="dxa"/>
              <w:bottom w:w="10" w:type="dxa"/>
            </w:tcMar>
          </w:tcPr>
          <w:p w14:paraId="55CD7D4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01" w:type="dxa"/>
            <w:gridSpan w:val="2"/>
            <w:tcBorders>
              <w:top w:val="single" w:sz="4" w:space="0" w:color="auto"/>
              <w:left w:val="single" w:sz="4" w:space="0" w:color="auto"/>
              <w:bottom w:val="single" w:sz="4" w:space="0" w:color="auto"/>
              <w:right w:val="single" w:sz="4" w:space="0" w:color="auto"/>
            </w:tcBorders>
            <w:tcMar>
              <w:top w:w="10" w:type="dxa"/>
              <w:bottom w:w="10" w:type="dxa"/>
            </w:tcMar>
          </w:tcPr>
          <w:p w14:paraId="474C2A3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84" w:type="dxa"/>
            <w:gridSpan w:val="3"/>
            <w:vMerge/>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4FFC71D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9" w:type="dxa"/>
            <w:tcBorders>
              <w:top w:val="single" w:sz="4" w:space="0" w:color="auto"/>
              <w:left w:val="single" w:sz="4" w:space="0" w:color="auto"/>
              <w:bottom w:val="single" w:sz="4" w:space="0" w:color="auto"/>
              <w:right w:val="single" w:sz="4" w:space="0" w:color="auto"/>
            </w:tcBorders>
            <w:tcMar>
              <w:top w:w="10" w:type="dxa"/>
              <w:bottom w:w="10" w:type="dxa"/>
            </w:tcMar>
          </w:tcPr>
          <w:p w14:paraId="22A9557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5" w:type="dxa"/>
            <w:tcBorders>
              <w:top w:val="single" w:sz="4" w:space="0" w:color="auto"/>
              <w:left w:val="single" w:sz="4" w:space="0" w:color="auto"/>
              <w:bottom w:val="single" w:sz="4" w:space="0" w:color="auto"/>
              <w:right w:val="single" w:sz="4" w:space="0" w:color="auto"/>
            </w:tcBorders>
            <w:tcMar>
              <w:top w:w="10" w:type="dxa"/>
              <w:bottom w:w="10" w:type="dxa"/>
            </w:tcMar>
          </w:tcPr>
          <w:p w14:paraId="553FE3A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84" w:type="dxa"/>
            <w:gridSpan w:val="3"/>
            <w:vMerge/>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0F0D9DC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9" w:type="dxa"/>
            <w:tcBorders>
              <w:top w:val="single" w:sz="4" w:space="0" w:color="auto"/>
              <w:left w:val="single" w:sz="4" w:space="0" w:color="auto"/>
              <w:bottom w:val="single" w:sz="4" w:space="0" w:color="auto"/>
              <w:right w:val="single" w:sz="4" w:space="0" w:color="auto"/>
            </w:tcBorders>
            <w:tcMar>
              <w:top w:w="10" w:type="dxa"/>
              <w:bottom w:w="10" w:type="dxa"/>
            </w:tcMar>
          </w:tcPr>
          <w:p w14:paraId="186B2E9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01" w:type="dxa"/>
            <w:tcBorders>
              <w:top w:val="single" w:sz="4" w:space="0" w:color="auto"/>
              <w:left w:val="single" w:sz="4" w:space="0" w:color="auto"/>
              <w:bottom w:val="single" w:sz="4" w:space="0" w:color="auto"/>
              <w:right w:val="single" w:sz="4" w:space="0" w:color="auto"/>
            </w:tcBorders>
            <w:tcMar>
              <w:top w:w="10" w:type="dxa"/>
              <w:bottom w:w="10" w:type="dxa"/>
            </w:tcMar>
          </w:tcPr>
          <w:p w14:paraId="62E7396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87" w:type="dxa"/>
            <w:gridSpan w:val="3"/>
            <w:vMerge/>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5B915F5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9" w:type="dxa"/>
            <w:tcBorders>
              <w:top w:val="single" w:sz="4" w:space="0" w:color="auto"/>
              <w:left w:val="single" w:sz="4" w:space="0" w:color="auto"/>
              <w:bottom w:val="single" w:sz="4" w:space="0" w:color="auto"/>
              <w:right w:val="single" w:sz="4" w:space="0" w:color="auto"/>
            </w:tcBorders>
            <w:tcMar>
              <w:top w:w="10" w:type="dxa"/>
              <w:bottom w:w="10" w:type="dxa"/>
            </w:tcMar>
          </w:tcPr>
          <w:p w14:paraId="73032DF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01" w:type="dxa"/>
            <w:tcBorders>
              <w:top w:val="single" w:sz="4" w:space="0" w:color="auto"/>
              <w:left w:val="single" w:sz="4" w:space="0" w:color="auto"/>
              <w:bottom w:val="single" w:sz="4" w:space="0" w:color="auto"/>
              <w:right w:val="single" w:sz="4" w:space="0" w:color="auto"/>
            </w:tcBorders>
            <w:tcMar>
              <w:top w:w="10" w:type="dxa"/>
              <w:bottom w:w="10" w:type="dxa"/>
            </w:tcMar>
          </w:tcPr>
          <w:p w14:paraId="5C06969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85" w:type="dxa"/>
            <w:gridSpan w:val="2"/>
            <w:vMerge/>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03CC44D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9" w:type="dxa"/>
            <w:tcBorders>
              <w:top w:val="single" w:sz="4" w:space="0" w:color="auto"/>
              <w:left w:val="single" w:sz="4" w:space="0" w:color="auto"/>
              <w:bottom w:val="single" w:sz="4" w:space="0" w:color="auto"/>
              <w:right w:val="single" w:sz="4" w:space="0" w:color="auto"/>
            </w:tcBorders>
            <w:tcMar>
              <w:top w:w="10" w:type="dxa"/>
              <w:bottom w:w="10" w:type="dxa"/>
            </w:tcMar>
          </w:tcPr>
          <w:p w14:paraId="4E7912F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5" w:type="dxa"/>
            <w:tcBorders>
              <w:top w:val="single" w:sz="4" w:space="0" w:color="auto"/>
              <w:left w:val="single" w:sz="4" w:space="0" w:color="auto"/>
              <w:bottom w:val="single" w:sz="4" w:space="0" w:color="auto"/>
              <w:right w:val="single" w:sz="4" w:space="0" w:color="auto"/>
            </w:tcBorders>
            <w:tcMar>
              <w:top w:w="10" w:type="dxa"/>
              <w:bottom w:w="10" w:type="dxa"/>
            </w:tcMar>
          </w:tcPr>
          <w:p w14:paraId="15D87B8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95" w:type="dxa"/>
            <w:gridSpan w:val="2"/>
            <w:vMerge/>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2D08751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2" w:type="dxa"/>
            <w:tcBorders>
              <w:top w:val="single" w:sz="4" w:space="0" w:color="auto"/>
              <w:left w:val="single" w:sz="4" w:space="0" w:color="auto"/>
              <w:bottom w:val="single" w:sz="4" w:space="0" w:color="auto"/>
              <w:right w:val="single" w:sz="4" w:space="0" w:color="auto"/>
            </w:tcBorders>
            <w:tcMar>
              <w:top w:w="10" w:type="dxa"/>
              <w:bottom w:w="10" w:type="dxa"/>
            </w:tcMar>
          </w:tcPr>
          <w:p w14:paraId="3880B4E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01" w:type="dxa"/>
            <w:gridSpan w:val="2"/>
            <w:tcBorders>
              <w:top w:val="single" w:sz="4" w:space="0" w:color="auto"/>
              <w:left w:val="single" w:sz="4" w:space="0" w:color="auto"/>
              <w:bottom w:val="single" w:sz="4" w:space="0" w:color="auto"/>
              <w:right w:val="single" w:sz="4" w:space="0" w:color="auto"/>
            </w:tcBorders>
            <w:tcMar>
              <w:top w:w="10" w:type="dxa"/>
              <w:bottom w:w="10" w:type="dxa"/>
            </w:tcMar>
          </w:tcPr>
          <w:p w14:paraId="3CA972B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84" w:type="dxa"/>
            <w:gridSpan w:val="3"/>
            <w:vMerge/>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4BA38E8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9" w:type="dxa"/>
            <w:tcBorders>
              <w:top w:val="single" w:sz="4" w:space="0" w:color="auto"/>
              <w:left w:val="single" w:sz="4" w:space="0" w:color="auto"/>
              <w:bottom w:val="single" w:sz="4" w:space="0" w:color="auto"/>
              <w:right w:val="single" w:sz="4" w:space="0" w:color="auto"/>
            </w:tcBorders>
            <w:tcMar>
              <w:top w:w="10" w:type="dxa"/>
              <w:bottom w:w="10" w:type="dxa"/>
            </w:tcMar>
          </w:tcPr>
          <w:p w14:paraId="5CA0CBE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7" w:type="dxa"/>
            <w:tcBorders>
              <w:top w:val="single" w:sz="4" w:space="0" w:color="auto"/>
              <w:left w:val="single" w:sz="4" w:space="0" w:color="auto"/>
              <w:bottom w:val="single" w:sz="4" w:space="0" w:color="auto"/>
              <w:right w:val="single" w:sz="4" w:space="0" w:color="auto"/>
            </w:tcBorders>
            <w:tcMar>
              <w:top w:w="10" w:type="dxa"/>
              <w:bottom w:w="10" w:type="dxa"/>
            </w:tcMar>
          </w:tcPr>
          <w:p w14:paraId="1FBA5EF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98" w:type="dxa"/>
            <w:gridSpan w:val="2"/>
            <w:vMerge/>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4BD9F69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28574D66" w14:textId="77777777">
        <w:tc>
          <w:tcPr>
            <w:tcW w:w="260" w:type="dxa"/>
            <w:tcBorders>
              <w:top w:val="single" w:sz="4" w:space="0" w:color="auto"/>
              <w:left w:val="single" w:sz="4" w:space="0" w:color="auto"/>
              <w:bottom w:val="single" w:sz="4" w:space="0" w:color="auto"/>
              <w:right w:val="single" w:sz="4" w:space="0" w:color="auto"/>
            </w:tcBorders>
            <w:tcMar>
              <w:top w:w="10" w:type="dxa"/>
              <w:bottom w:w="10" w:type="dxa"/>
            </w:tcMar>
          </w:tcPr>
          <w:p w14:paraId="56FC956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w:t>
            </w:r>
          </w:p>
        </w:tc>
        <w:tc>
          <w:tcPr>
            <w:tcW w:w="1151" w:type="dxa"/>
            <w:tcBorders>
              <w:top w:val="single" w:sz="4" w:space="0" w:color="auto"/>
              <w:left w:val="single" w:sz="4" w:space="0" w:color="auto"/>
              <w:bottom w:val="single" w:sz="4" w:space="0" w:color="auto"/>
              <w:right w:val="single" w:sz="4" w:space="0" w:color="auto"/>
            </w:tcBorders>
            <w:tcMar>
              <w:top w:w="10" w:type="dxa"/>
              <w:bottom w:w="10" w:type="dxa"/>
            </w:tcMar>
          </w:tcPr>
          <w:p w14:paraId="32FD2A6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2" w:type="dxa"/>
            <w:tcBorders>
              <w:top w:val="single" w:sz="4" w:space="0" w:color="auto"/>
              <w:left w:val="single" w:sz="4" w:space="0" w:color="auto"/>
              <w:bottom w:val="single" w:sz="4" w:space="0" w:color="auto"/>
              <w:right w:val="single" w:sz="4" w:space="0" w:color="auto"/>
            </w:tcBorders>
            <w:tcMar>
              <w:top w:w="10" w:type="dxa"/>
              <w:bottom w:w="10" w:type="dxa"/>
            </w:tcMar>
          </w:tcPr>
          <w:p w14:paraId="354F6C0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01" w:type="dxa"/>
            <w:gridSpan w:val="2"/>
            <w:tcBorders>
              <w:top w:val="single" w:sz="4" w:space="0" w:color="auto"/>
              <w:left w:val="single" w:sz="4" w:space="0" w:color="auto"/>
              <w:bottom w:val="single" w:sz="4" w:space="0" w:color="auto"/>
              <w:right w:val="single" w:sz="4" w:space="0" w:color="auto"/>
            </w:tcBorders>
            <w:tcMar>
              <w:top w:w="10" w:type="dxa"/>
              <w:bottom w:w="10" w:type="dxa"/>
            </w:tcMar>
          </w:tcPr>
          <w:p w14:paraId="42F1445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84" w:type="dxa"/>
            <w:gridSpan w:val="3"/>
            <w:vMerge/>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3CD826C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9" w:type="dxa"/>
            <w:tcBorders>
              <w:top w:val="single" w:sz="4" w:space="0" w:color="auto"/>
              <w:left w:val="single" w:sz="4" w:space="0" w:color="auto"/>
              <w:bottom w:val="single" w:sz="4" w:space="0" w:color="auto"/>
              <w:right w:val="single" w:sz="4" w:space="0" w:color="auto"/>
            </w:tcBorders>
            <w:tcMar>
              <w:top w:w="10" w:type="dxa"/>
              <w:bottom w:w="10" w:type="dxa"/>
            </w:tcMar>
          </w:tcPr>
          <w:p w14:paraId="4B54AAA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75" w:type="dxa"/>
            <w:tcBorders>
              <w:top w:val="single" w:sz="4" w:space="0" w:color="auto"/>
              <w:left w:val="single" w:sz="4" w:space="0" w:color="auto"/>
              <w:bottom w:val="single" w:sz="4" w:space="0" w:color="auto"/>
              <w:right w:val="single" w:sz="4" w:space="0" w:color="auto"/>
            </w:tcBorders>
            <w:tcMar>
              <w:top w:w="10" w:type="dxa"/>
              <w:bottom w:w="10" w:type="dxa"/>
            </w:tcMar>
          </w:tcPr>
          <w:p w14:paraId="0A24E83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84" w:type="dxa"/>
            <w:gridSpan w:val="3"/>
            <w:vMerge/>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44ED94B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9" w:type="dxa"/>
            <w:tcBorders>
              <w:top w:val="single" w:sz="4" w:space="0" w:color="auto"/>
              <w:left w:val="single" w:sz="4" w:space="0" w:color="auto"/>
              <w:bottom w:val="single" w:sz="4" w:space="0" w:color="auto"/>
              <w:right w:val="single" w:sz="4" w:space="0" w:color="auto"/>
            </w:tcBorders>
            <w:tcMar>
              <w:top w:w="10" w:type="dxa"/>
              <w:bottom w:w="10" w:type="dxa"/>
            </w:tcMar>
          </w:tcPr>
          <w:p w14:paraId="696F31A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01" w:type="dxa"/>
            <w:tcBorders>
              <w:top w:val="single" w:sz="4" w:space="0" w:color="auto"/>
              <w:left w:val="single" w:sz="4" w:space="0" w:color="auto"/>
              <w:bottom w:val="single" w:sz="4" w:space="0" w:color="auto"/>
              <w:right w:val="single" w:sz="4" w:space="0" w:color="auto"/>
            </w:tcBorders>
            <w:tcMar>
              <w:top w:w="10" w:type="dxa"/>
              <w:bottom w:w="10" w:type="dxa"/>
            </w:tcMar>
          </w:tcPr>
          <w:p w14:paraId="69D0D99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87" w:type="dxa"/>
            <w:gridSpan w:val="3"/>
            <w:vMerge/>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0C3759D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9" w:type="dxa"/>
            <w:tcBorders>
              <w:top w:val="single" w:sz="4" w:space="0" w:color="auto"/>
              <w:left w:val="single" w:sz="4" w:space="0" w:color="auto"/>
              <w:bottom w:val="single" w:sz="4" w:space="0" w:color="auto"/>
              <w:right w:val="single" w:sz="4" w:space="0" w:color="auto"/>
            </w:tcBorders>
            <w:tcMar>
              <w:top w:w="10" w:type="dxa"/>
              <w:bottom w:w="10" w:type="dxa"/>
            </w:tcMar>
          </w:tcPr>
          <w:p w14:paraId="427EF9A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01" w:type="dxa"/>
            <w:tcBorders>
              <w:top w:val="single" w:sz="4" w:space="0" w:color="auto"/>
              <w:left w:val="single" w:sz="4" w:space="0" w:color="auto"/>
              <w:bottom w:val="single" w:sz="4" w:space="0" w:color="auto"/>
              <w:right w:val="single" w:sz="4" w:space="0" w:color="auto"/>
            </w:tcBorders>
            <w:tcMar>
              <w:top w:w="10" w:type="dxa"/>
              <w:bottom w:w="10" w:type="dxa"/>
            </w:tcMar>
          </w:tcPr>
          <w:p w14:paraId="1C3C665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85" w:type="dxa"/>
            <w:gridSpan w:val="2"/>
            <w:vMerge/>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542FF0C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9" w:type="dxa"/>
            <w:tcBorders>
              <w:top w:val="single" w:sz="4" w:space="0" w:color="auto"/>
              <w:left w:val="single" w:sz="4" w:space="0" w:color="auto"/>
              <w:bottom w:val="single" w:sz="4" w:space="0" w:color="auto"/>
              <w:right w:val="single" w:sz="4" w:space="0" w:color="auto"/>
            </w:tcBorders>
            <w:tcMar>
              <w:top w:w="10" w:type="dxa"/>
              <w:bottom w:w="10" w:type="dxa"/>
            </w:tcMar>
          </w:tcPr>
          <w:p w14:paraId="4E35BB5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5" w:type="dxa"/>
            <w:tcBorders>
              <w:top w:val="single" w:sz="4" w:space="0" w:color="auto"/>
              <w:left w:val="single" w:sz="4" w:space="0" w:color="auto"/>
              <w:bottom w:val="single" w:sz="4" w:space="0" w:color="auto"/>
              <w:right w:val="single" w:sz="4" w:space="0" w:color="auto"/>
            </w:tcBorders>
            <w:tcMar>
              <w:top w:w="10" w:type="dxa"/>
              <w:bottom w:w="10" w:type="dxa"/>
            </w:tcMar>
          </w:tcPr>
          <w:p w14:paraId="7E60F4C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95" w:type="dxa"/>
            <w:gridSpan w:val="2"/>
            <w:vMerge/>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689AB5D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2" w:type="dxa"/>
            <w:tcBorders>
              <w:top w:val="single" w:sz="4" w:space="0" w:color="auto"/>
              <w:left w:val="single" w:sz="4" w:space="0" w:color="auto"/>
              <w:bottom w:val="single" w:sz="4" w:space="0" w:color="auto"/>
              <w:right w:val="single" w:sz="4" w:space="0" w:color="auto"/>
            </w:tcBorders>
            <w:tcMar>
              <w:top w:w="10" w:type="dxa"/>
              <w:bottom w:w="10" w:type="dxa"/>
            </w:tcMar>
          </w:tcPr>
          <w:p w14:paraId="123F644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501" w:type="dxa"/>
            <w:gridSpan w:val="2"/>
            <w:tcBorders>
              <w:top w:val="single" w:sz="4" w:space="0" w:color="auto"/>
              <w:left w:val="single" w:sz="4" w:space="0" w:color="auto"/>
              <w:bottom w:val="single" w:sz="4" w:space="0" w:color="auto"/>
              <w:right w:val="single" w:sz="4" w:space="0" w:color="auto"/>
            </w:tcBorders>
            <w:tcMar>
              <w:top w:w="10" w:type="dxa"/>
              <w:bottom w:w="10" w:type="dxa"/>
            </w:tcMar>
          </w:tcPr>
          <w:p w14:paraId="24F7E4B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84" w:type="dxa"/>
            <w:gridSpan w:val="3"/>
            <w:vMerge/>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550D4AC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9" w:type="dxa"/>
            <w:tcBorders>
              <w:top w:val="single" w:sz="4" w:space="0" w:color="auto"/>
              <w:left w:val="single" w:sz="4" w:space="0" w:color="auto"/>
              <w:bottom w:val="single" w:sz="4" w:space="0" w:color="auto"/>
              <w:right w:val="single" w:sz="4" w:space="0" w:color="auto"/>
            </w:tcBorders>
            <w:tcMar>
              <w:top w:w="10" w:type="dxa"/>
              <w:bottom w:w="10" w:type="dxa"/>
            </w:tcMar>
          </w:tcPr>
          <w:p w14:paraId="79FA33B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7" w:type="dxa"/>
            <w:tcBorders>
              <w:top w:val="single" w:sz="4" w:space="0" w:color="auto"/>
              <w:left w:val="single" w:sz="4" w:space="0" w:color="auto"/>
              <w:bottom w:val="single" w:sz="4" w:space="0" w:color="auto"/>
              <w:right w:val="single" w:sz="4" w:space="0" w:color="auto"/>
            </w:tcBorders>
            <w:tcMar>
              <w:top w:w="10" w:type="dxa"/>
              <w:bottom w:w="10" w:type="dxa"/>
            </w:tcMar>
          </w:tcPr>
          <w:p w14:paraId="0E9DFC2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898" w:type="dxa"/>
            <w:gridSpan w:val="2"/>
            <w:vMerge/>
            <w:tcBorders>
              <w:top w:val="single" w:sz="4" w:space="0" w:color="auto"/>
              <w:left w:val="single" w:sz="4" w:space="0" w:color="auto"/>
              <w:bottom w:val="single" w:sz="4" w:space="0" w:color="auto"/>
              <w:right w:val="single" w:sz="4" w:space="0" w:color="auto"/>
            </w:tcBorders>
            <w:shd w:val="clear" w:color="auto" w:fill="000000" w:themeFill="text1"/>
            <w:tcMar>
              <w:top w:w="10" w:type="dxa"/>
              <w:bottom w:w="10" w:type="dxa"/>
            </w:tcMar>
          </w:tcPr>
          <w:p w14:paraId="5DDDFD9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503B6681" w14:textId="77777777">
        <w:tc>
          <w:tcPr>
            <w:tcW w:w="14058" w:type="dxa"/>
            <w:gridSpan w:val="36"/>
            <w:tcBorders>
              <w:top w:val="single" w:sz="4" w:space="0" w:color="auto"/>
            </w:tcBorders>
            <w:tcMar>
              <w:top w:w="10" w:type="dxa"/>
              <w:bottom w:w="10" w:type="dxa"/>
            </w:tcMar>
          </w:tcPr>
          <w:p w14:paraId="384101F8"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5"/>
                <w:szCs w:val="5"/>
              </w:rPr>
            </w:pPr>
            <w:r>
              <w:rPr>
                <w:rFonts w:ascii="Helvetica" w:hAnsi="Helvetica"/>
                <w:color w:val="000000"/>
                <w:sz w:val="5"/>
              </w:rPr>
              <w:t>1. Kredittinstitusjoner skal i denne malen legge fram opplysninger om eksponeringer i bankporteføljen mot sektorer som er omfattet av taksonomien (NACE-sektorer på firesifret nivå), og da bruke de relevante NACE-kodene på grunnlag av motpartens hovedaktivitet.</w:t>
            </w:r>
          </w:p>
          <w:p w14:paraId="30F55E9C"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5"/>
                <w:szCs w:val="5"/>
              </w:rPr>
            </w:pPr>
            <w:r>
              <w:rPr>
                <w:rFonts w:ascii="Helvetica" w:hAnsi="Helvetica"/>
                <w:color w:val="000000"/>
                <w:sz w:val="5"/>
              </w:rPr>
              <w:t>2. Fordelingen på NACE-sektorer skal utelukkende ta utgangspunkt i den direkte motpartens art. Eksponeringer som er inngått i fellesskap av mer enn én skyldner, skal klassifiseres på grunnlag av egenskapene ved den skyldneren som var mest relevant eller avgjørende for at institusjonen påtok seg eksponeringen. Fordelingen på NACE-koder når det gjelder eksponeringer som er inngått i fellesskap, skal baseres på egenskapene ved den skyldneren som var mest relevant eller avgjørende. Institusjoner skal legge fram opplysninger etter NACE-koder med det detaljnivået som malen krever.</w:t>
            </w:r>
          </w:p>
        </w:tc>
      </w:tr>
    </w:tbl>
    <w:p w14:paraId="11D848EB" w14:textId="77777777" w:rsidR="006561BA" w:rsidRDefault="005B4ED6">
      <w:pPr>
        <w:pStyle w:val="Para"/>
        <w:spacing w:line="240" w:lineRule="auto"/>
        <w:jc w:val="left"/>
      </w:pPr>
      <w:r>
        <w:br w:type="page"/>
      </w:r>
    </w:p>
    <w:p w14:paraId="317221FC" w14:textId="77777777" w:rsidR="006561BA" w:rsidRDefault="005B4ED6">
      <w:pPr>
        <w:pStyle w:val="AnnexNumberedText"/>
        <w:spacing w:after="300"/>
        <w:ind w:left="279" w:hanging="279"/>
      </w:pPr>
      <w:r>
        <w:lastRenderedPageBreak/>
        <w:t>3.</w:t>
      </w:r>
      <w:r>
        <w:rPr>
          <w:b/>
        </w:rPr>
        <w:tab/>
        <w:t>GAR – KPI for beholdninger</w:t>
      </w:r>
    </w:p>
    <w:tbl>
      <w:tblPr>
        <w:tblStyle w:val="EFTATable"/>
        <w:tblW w:w="8961" w:type="dxa"/>
        <w:tblInd w:w="279" w:type="dxa"/>
        <w:tblLayout w:type="fixed"/>
        <w:tblLook w:val="04A0" w:firstRow="1" w:lastRow="0" w:firstColumn="1" w:lastColumn="0" w:noHBand="0" w:noVBand="1"/>
      </w:tblPr>
      <w:tblGrid>
        <w:gridCol w:w="8961"/>
      </w:tblGrid>
      <w:tr w:rsidR="006561BA" w14:paraId="30C61C2B" w14:textId="77777777">
        <w:trPr>
          <w:trHeight w:val="240"/>
        </w:trPr>
        <w:tc>
          <w:tcPr>
            <w:tcW w:w="8961" w:type="dxa"/>
            <w:vMerge w:val="restart"/>
            <w:tcMar>
              <w:top w:w="60" w:type="dxa"/>
              <w:left w:w="0" w:type="dxa"/>
              <w:bottom w:w="60" w:type="dxa"/>
              <w:right w:w="0" w:type="dxa"/>
            </w:tcMar>
          </w:tcPr>
          <w:p w14:paraId="028E8662" w14:textId="77777777" w:rsidR="006561BA" w:rsidRDefault="005B4ED6">
            <w:pPr>
              <w:pStyle w:val="AnnexNumberedText"/>
              <w:spacing w:after="0"/>
              <w:ind w:left="279" w:hanging="279"/>
            </w:pPr>
            <w:r>
              <w:t>1.</w:t>
            </w:r>
            <w:r>
              <w:tab/>
              <w:t>Institusjonen skal i denne malen opplyse om KPI-ene for GAR for lånebeholdningen beregnet på grunnlag av dataene framlagt i mal 1, om dekkede eiendeler, ved anvendelse av formlene i denne malen</w:t>
            </w:r>
          </w:p>
        </w:tc>
      </w:tr>
      <w:tr w:rsidR="006561BA" w14:paraId="3E950866" w14:textId="77777777">
        <w:trPr>
          <w:trHeight w:val="240"/>
        </w:trPr>
        <w:tc>
          <w:tcPr>
            <w:tcW w:w="8961" w:type="dxa"/>
            <w:vMerge w:val="restart"/>
            <w:tcMar>
              <w:top w:w="60" w:type="dxa"/>
              <w:left w:w="0" w:type="dxa"/>
              <w:bottom w:w="60" w:type="dxa"/>
              <w:right w:w="0" w:type="dxa"/>
            </w:tcMar>
          </w:tcPr>
          <w:p w14:paraId="3B336ACD" w14:textId="77777777" w:rsidR="006561BA" w:rsidRDefault="005B4ED6">
            <w:pPr>
              <w:pStyle w:val="AnnexNumberedText"/>
              <w:spacing w:after="0"/>
              <w:ind w:left="279" w:hanging="279"/>
            </w:pPr>
            <w:r>
              <w:t>2.</w:t>
            </w:r>
            <w:r>
              <w:tab/>
              <w:t>Opplysningene om GAR (for aktiviteter som omfattes av taksonomien) skal ledsages av opplysninger om andelen samlede eiendeler som dekkes av GAR</w:t>
            </w:r>
          </w:p>
        </w:tc>
      </w:tr>
      <w:tr w:rsidR="006561BA" w14:paraId="42D4CB12" w14:textId="77777777">
        <w:trPr>
          <w:trHeight w:val="240"/>
        </w:trPr>
        <w:tc>
          <w:tcPr>
            <w:tcW w:w="8961" w:type="dxa"/>
            <w:vMerge w:val="restart"/>
            <w:tcMar>
              <w:top w:w="60" w:type="dxa"/>
              <w:left w:w="0" w:type="dxa"/>
              <w:bottom w:w="60" w:type="dxa"/>
              <w:right w:w="0" w:type="dxa"/>
            </w:tcMar>
          </w:tcPr>
          <w:p w14:paraId="7670074B" w14:textId="77777777" w:rsidR="006561BA" w:rsidRDefault="005B4ED6">
            <w:pPr>
              <w:pStyle w:val="AnnexNumberedText"/>
              <w:spacing w:after="0"/>
              <w:ind w:left="279" w:hanging="279"/>
            </w:pPr>
            <w:r>
              <w:t>3.</w:t>
            </w:r>
            <w:r>
              <w:tab/>
              <w:t>Kredittinstitusjoner kan, i tillegg til opplysningene som skal gis i denne malen, vise hvor stor andel av eiendelene som finansierer taksonomirelevante sektorer som er miljømessig bærekraftige (taksonomiforenlige). Disse opplysningene supplerer opplysningene om KPI-en for miljømessig bærekraftige eiendeler i forhold til samlede dekkede eiendeler</w:t>
            </w:r>
          </w:p>
        </w:tc>
      </w:tr>
      <w:tr w:rsidR="006561BA" w14:paraId="47561015" w14:textId="77777777">
        <w:trPr>
          <w:trHeight w:val="240"/>
        </w:trPr>
        <w:tc>
          <w:tcPr>
            <w:tcW w:w="8961" w:type="dxa"/>
            <w:vMerge w:val="restart"/>
            <w:tcMar>
              <w:top w:w="60" w:type="dxa"/>
              <w:left w:w="0" w:type="dxa"/>
              <w:bottom w:w="60" w:type="dxa"/>
              <w:right w:w="0" w:type="dxa"/>
            </w:tcMar>
          </w:tcPr>
          <w:p w14:paraId="787F5112" w14:textId="77777777" w:rsidR="006561BA" w:rsidRDefault="005B4ED6">
            <w:pPr>
              <w:pStyle w:val="AnnexNumberedText"/>
              <w:spacing w:after="0"/>
              <w:ind w:left="279" w:hanging="279"/>
            </w:pPr>
            <w:r>
              <w:t>4.</w:t>
            </w:r>
            <w:r>
              <w:tab/>
              <w:t>Kredittinstitusjoner skal duplisere denne malen for opplysninger basert på inntekter og investeringsutgifter</w:t>
            </w:r>
          </w:p>
        </w:tc>
      </w:tr>
    </w:tbl>
    <w:p w14:paraId="4BB3C8E0" w14:textId="77777777" w:rsidR="006561BA" w:rsidRDefault="006561BA">
      <w:pPr>
        <w:pStyle w:val="Para"/>
        <w:spacing w:line="240" w:lineRule="auto"/>
        <w:jc w:val="left"/>
      </w:pPr>
    </w:p>
    <w:tbl>
      <w:tblPr>
        <w:tblOverlap w:val="never"/>
        <w:tblW w:w="14052" w:type="dxa"/>
        <w:tblInd w:w="286" w:type="dxa"/>
        <w:tblLayout w:type="fixed"/>
        <w:tblCellMar>
          <w:left w:w="10" w:type="dxa"/>
          <w:right w:w="10" w:type="dxa"/>
        </w:tblCellMar>
        <w:tblLook w:val="04A0" w:firstRow="1" w:lastRow="0" w:firstColumn="1" w:lastColumn="0" w:noHBand="0" w:noVBand="1"/>
      </w:tblPr>
      <w:tblGrid>
        <w:gridCol w:w="233"/>
        <w:gridCol w:w="2256"/>
        <w:gridCol w:w="315"/>
        <w:gridCol w:w="420"/>
        <w:gridCol w:w="420"/>
        <w:gridCol w:w="460"/>
        <w:gridCol w:w="334"/>
        <w:gridCol w:w="312"/>
        <w:gridCol w:w="312"/>
        <w:gridCol w:w="312"/>
        <w:gridCol w:w="312"/>
        <w:gridCol w:w="312"/>
        <w:gridCol w:w="324"/>
        <w:gridCol w:w="408"/>
        <w:gridCol w:w="425"/>
        <w:gridCol w:w="322"/>
        <w:gridCol w:w="312"/>
        <w:gridCol w:w="408"/>
        <w:gridCol w:w="420"/>
        <w:gridCol w:w="327"/>
        <w:gridCol w:w="336"/>
        <w:gridCol w:w="404"/>
        <w:gridCol w:w="406"/>
        <w:gridCol w:w="330"/>
        <w:gridCol w:w="324"/>
        <w:gridCol w:w="360"/>
        <w:gridCol w:w="488"/>
        <w:gridCol w:w="336"/>
        <w:gridCol w:w="468"/>
        <w:gridCol w:w="496"/>
        <w:gridCol w:w="456"/>
        <w:gridCol w:w="284"/>
        <w:gridCol w:w="420"/>
      </w:tblGrid>
      <w:tr w:rsidR="006561BA" w14:paraId="2724D4B8" w14:textId="77777777">
        <w:trPr>
          <w:trHeight w:val="20"/>
        </w:trPr>
        <w:tc>
          <w:tcPr>
            <w:tcW w:w="233" w:type="dxa"/>
            <w:tcMar>
              <w:top w:w="10" w:type="dxa"/>
              <w:bottom w:w="10" w:type="dxa"/>
            </w:tcMar>
            <w:vAlign w:val="center"/>
          </w:tcPr>
          <w:p w14:paraId="4B2E0BA5"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2256" w:type="dxa"/>
            <w:tcMar>
              <w:top w:w="10" w:type="dxa"/>
              <w:bottom w:w="10" w:type="dxa"/>
            </w:tcMar>
            <w:vAlign w:val="center"/>
          </w:tcPr>
          <w:p w14:paraId="4081A3B7"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315"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4872771A"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w:t>
            </w:r>
          </w:p>
        </w:tc>
        <w:tc>
          <w:tcPr>
            <w:tcW w:w="420"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6A4FEF3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b</w:t>
            </w:r>
          </w:p>
        </w:tc>
        <w:tc>
          <w:tcPr>
            <w:tcW w:w="420"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1798275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c</w:t>
            </w:r>
          </w:p>
        </w:tc>
        <w:tc>
          <w:tcPr>
            <w:tcW w:w="460"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4329BD5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d</w:t>
            </w:r>
          </w:p>
        </w:tc>
        <w:tc>
          <w:tcPr>
            <w:tcW w:w="334"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3352C90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e</w:t>
            </w:r>
          </w:p>
        </w:tc>
        <w:tc>
          <w:tcPr>
            <w:tcW w:w="312" w:type="dxa"/>
            <w:tcBorders>
              <w:top w:val="single" w:sz="4" w:space="0" w:color="auto"/>
              <w:left w:val="single" w:sz="4" w:space="0" w:color="auto"/>
              <w:bottom w:val="single" w:sz="4" w:space="0" w:color="auto"/>
              <w:right w:val="single" w:sz="4" w:space="0" w:color="auto"/>
            </w:tcBorders>
            <w:vAlign w:val="center"/>
          </w:tcPr>
          <w:p w14:paraId="09F680B0"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f</w:t>
            </w:r>
          </w:p>
        </w:tc>
        <w:tc>
          <w:tcPr>
            <w:tcW w:w="312" w:type="dxa"/>
            <w:tcBorders>
              <w:top w:val="single" w:sz="4" w:space="0" w:color="auto"/>
              <w:left w:val="single" w:sz="4" w:space="0" w:color="auto"/>
              <w:bottom w:val="single" w:sz="4" w:space="0" w:color="auto"/>
              <w:right w:val="single" w:sz="4" w:space="0" w:color="auto"/>
            </w:tcBorders>
            <w:vAlign w:val="center"/>
          </w:tcPr>
          <w:p w14:paraId="50B3986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g</w:t>
            </w:r>
          </w:p>
        </w:tc>
        <w:tc>
          <w:tcPr>
            <w:tcW w:w="312" w:type="dxa"/>
            <w:tcBorders>
              <w:top w:val="single" w:sz="4" w:space="0" w:color="auto"/>
              <w:left w:val="single" w:sz="4" w:space="0" w:color="auto"/>
              <w:bottom w:val="single" w:sz="4" w:space="0" w:color="auto"/>
              <w:right w:val="single" w:sz="4" w:space="0" w:color="auto"/>
            </w:tcBorders>
            <w:vAlign w:val="center"/>
          </w:tcPr>
          <w:p w14:paraId="14EBB28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h</w:t>
            </w:r>
          </w:p>
        </w:tc>
        <w:tc>
          <w:tcPr>
            <w:tcW w:w="312" w:type="dxa"/>
            <w:tcBorders>
              <w:top w:val="single" w:sz="4" w:space="0" w:color="auto"/>
              <w:left w:val="single" w:sz="4" w:space="0" w:color="auto"/>
              <w:bottom w:val="single" w:sz="4" w:space="0" w:color="auto"/>
              <w:right w:val="single" w:sz="4" w:space="0" w:color="auto"/>
            </w:tcBorders>
            <w:vAlign w:val="center"/>
          </w:tcPr>
          <w:p w14:paraId="312C43C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i</w:t>
            </w:r>
          </w:p>
        </w:tc>
        <w:tc>
          <w:tcPr>
            <w:tcW w:w="312"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0A30EA42"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j</w:t>
            </w:r>
          </w:p>
        </w:tc>
        <w:tc>
          <w:tcPr>
            <w:tcW w:w="324"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1197ABF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k</w:t>
            </w:r>
          </w:p>
        </w:tc>
        <w:tc>
          <w:tcPr>
            <w:tcW w:w="408"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02ACC8D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l</w:t>
            </w:r>
          </w:p>
        </w:tc>
        <w:tc>
          <w:tcPr>
            <w:tcW w:w="425"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39A2D7F2"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m</w:t>
            </w:r>
          </w:p>
        </w:tc>
        <w:tc>
          <w:tcPr>
            <w:tcW w:w="322"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37433CF4"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n</w:t>
            </w:r>
          </w:p>
        </w:tc>
        <w:tc>
          <w:tcPr>
            <w:tcW w:w="312"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2986258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o</w:t>
            </w:r>
          </w:p>
        </w:tc>
        <w:tc>
          <w:tcPr>
            <w:tcW w:w="408"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1A5B3B9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p</w:t>
            </w:r>
          </w:p>
        </w:tc>
        <w:tc>
          <w:tcPr>
            <w:tcW w:w="420"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3909A72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q</w:t>
            </w:r>
          </w:p>
        </w:tc>
        <w:tc>
          <w:tcPr>
            <w:tcW w:w="327"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425E962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r</w:t>
            </w:r>
          </w:p>
        </w:tc>
        <w:tc>
          <w:tcPr>
            <w:tcW w:w="336"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41B424B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s</w:t>
            </w:r>
          </w:p>
        </w:tc>
        <w:tc>
          <w:tcPr>
            <w:tcW w:w="404"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36F1A80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t</w:t>
            </w:r>
          </w:p>
        </w:tc>
        <w:tc>
          <w:tcPr>
            <w:tcW w:w="406"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6FC7A75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u</w:t>
            </w:r>
          </w:p>
        </w:tc>
        <w:tc>
          <w:tcPr>
            <w:tcW w:w="330"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596BF1E0"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v</w:t>
            </w:r>
          </w:p>
        </w:tc>
        <w:tc>
          <w:tcPr>
            <w:tcW w:w="324"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1D2AF19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w</w:t>
            </w:r>
          </w:p>
        </w:tc>
        <w:tc>
          <w:tcPr>
            <w:tcW w:w="360"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1384330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x</w:t>
            </w:r>
          </w:p>
        </w:tc>
        <w:tc>
          <w:tcPr>
            <w:tcW w:w="488"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51A6A4A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z</w:t>
            </w:r>
          </w:p>
        </w:tc>
        <w:tc>
          <w:tcPr>
            <w:tcW w:w="336"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01087AD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aa</w:t>
            </w:r>
            <w:proofErr w:type="spellEnd"/>
          </w:p>
        </w:tc>
        <w:tc>
          <w:tcPr>
            <w:tcW w:w="468"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3D5D0C2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ab</w:t>
            </w:r>
          </w:p>
        </w:tc>
        <w:tc>
          <w:tcPr>
            <w:tcW w:w="496"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35A7242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212121"/>
                <w:sz w:val="6"/>
              </w:rPr>
              <w:t>ac</w:t>
            </w:r>
            <w:proofErr w:type="spellEnd"/>
          </w:p>
        </w:tc>
        <w:tc>
          <w:tcPr>
            <w:tcW w:w="456"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6822F37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ad</w:t>
            </w:r>
          </w:p>
        </w:tc>
        <w:tc>
          <w:tcPr>
            <w:tcW w:w="284"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1FE3DDE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ae</w:t>
            </w:r>
            <w:proofErr w:type="spellEnd"/>
          </w:p>
        </w:tc>
        <w:tc>
          <w:tcPr>
            <w:tcW w:w="420"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03C4921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af</w:t>
            </w:r>
            <w:proofErr w:type="spellEnd"/>
          </w:p>
        </w:tc>
      </w:tr>
      <w:tr w:rsidR="006561BA" w14:paraId="272D91C2" w14:textId="77777777">
        <w:trPr>
          <w:trHeight w:val="20"/>
        </w:trPr>
        <w:tc>
          <w:tcPr>
            <w:tcW w:w="233" w:type="dxa"/>
            <w:tcBorders>
              <w:top w:val="single" w:sz="4" w:space="0" w:color="auto"/>
              <w:left w:val="single" w:sz="4" w:space="0" w:color="auto"/>
            </w:tcBorders>
            <w:tcMar>
              <w:top w:w="10" w:type="dxa"/>
              <w:bottom w:w="10" w:type="dxa"/>
            </w:tcMar>
            <w:vAlign w:val="center"/>
          </w:tcPr>
          <w:p w14:paraId="4B016D5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256" w:type="dxa"/>
            <w:tcBorders>
              <w:top w:val="single" w:sz="4" w:space="0" w:color="auto"/>
            </w:tcBorders>
            <w:tcMar>
              <w:top w:w="10" w:type="dxa"/>
              <w:bottom w:w="10" w:type="dxa"/>
            </w:tcMar>
            <w:vAlign w:val="center"/>
          </w:tcPr>
          <w:p w14:paraId="10CB611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5" w:type="dxa"/>
            <w:tcBorders>
              <w:top w:val="single" w:sz="4" w:space="0" w:color="auto"/>
              <w:left w:val="single" w:sz="4" w:space="0" w:color="auto"/>
            </w:tcBorders>
            <w:shd w:val="clear" w:color="auto" w:fill="B5B5B5"/>
            <w:tcMar>
              <w:top w:w="10" w:type="dxa"/>
              <w:bottom w:w="10" w:type="dxa"/>
            </w:tcMar>
            <w:vAlign w:val="center"/>
          </w:tcPr>
          <w:p w14:paraId="65579C3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tcBorders>
            <w:shd w:val="clear" w:color="auto" w:fill="B5B5B5"/>
            <w:tcMar>
              <w:top w:w="10" w:type="dxa"/>
              <w:bottom w:w="10" w:type="dxa"/>
            </w:tcMar>
            <w:vAlign w:val="center"/>
          </w:tcPr>
          <w:p w14:paraId="6D100DE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IN"/>
              </w:rPr>
            </w:pPr>
          </w:p>
        </w:tc>
        <w:tc>
          <w:tcPr>
            <w:tcW w:w="420" w:type="dxa"/>
            <w:tcBorders>
              <w:top w:val="single" w:sz="4" w:space="0" w:color="auto"/>
            </w:tcBorders>
            <w:shd w:val="clear" w:color="auto" w:fill="B5B5B5"/>
            <w:tcMar>
              <w:top w:w="10" w:type="dxa"/>
              <w:bottom w:w="10" w:type="dxa"/>
            </w:tcMar>
            <w:vAlign w:val="center"/>
          </w:tcPr>
          <w:p w14:paraId="1BF1DAF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tcBorders>
            <w:shd w:val="clear" w:color="auto" w:fill="B5B5B5"/>
            <w:tcMar>
              <w:top w:w="10" w:type="dxa"/>
              <w:bottom w:w="10" w:type="dxa"/>
            </w:tcMar>
            <w:vAlign w:val="center"/>
          </w:tcPr>
          <w:p w14:paraId="286A086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tcBorders>
            <w:shd w:val="clear" w:color="auto" w:fill="B5B5B5"/>
            <w:tcMar>
              <w:top w:w="10" w:type="dxa"/>
              <w:bottom w:w="10" w:type="dxa"/>
            </w:tcMar>
            <w:vAlign w:val="center"/>
          </w:tcPr>
          <w:p w14:paraId="06D0322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tcBorders>
            <w:shd w:val="clear" w:color="auto" w:fill="B5B5B5"/>
          </w:tcPr>
          <w:p w14:paraId="7C1FDB0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tcBorders>
            <w:shd w:val="clear" w:color="auto" w:fill="B5B5B5"/>
          </w:tcPr>
          <w:p w14:paraId="6D2185F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tcBorders>
            <w:shd w:val="clear" w:color="auto" w:fill="B5B5B5"/>
          </w:tcPr>
          <w:p w14:paraId="3A1DFF7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tcBorders>
            <w:shd w:val="clear" w:color="auto" w:fill="B5B5B5"/>
          </w:tcPr>
          <w:p w14:paraId="2BDE803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tcBorders>
            <w:shd w:val="clear" w:color="auto" w:fill="B5B5B5"/>
            <w:tcMar>
              <w:top w:w="10" w:type="dxa"/>
              <w:bottom w:w="10" w:type="dxa"/>
            </w:tcMar>
            <w:vAlign w:val="center"/>
          </w:tcPr>
          <w:p w14:paraId="11E9FE8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tcBorders>
            <w:shd w:val="clear" w:color="auto" w:fill="B5B5B5"/>
            <w:tcMar>
              <w:top w:w="10" w:type="dxa"/>
              <w:bottom w:w="10" w:type="dxa"/>
            </w:tcMar>
            <w:vAlign w:val="center"/>
          </w:tcPr>
          <w:p w14:paraId="58D713A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tcBorders>
            <w:shd w:val="clear" w:color="auto" w:fill="B5B5B5"/>
            <w:tcMar>
              <w:top w:w="10" w:type="dxa"/>
              <w:bottom w:w="10" w:type="dxa"/>
            </w:tcMar>
            <w:vAlign w:val="center"/>
          </w:tcPr>
          <w:p w14:paraId="4E19E2D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tcBorders>
            <w:shd w:val="clear" w:color="auto" w:fill="B5B5B5"/>
            <w:tcMar>
              <w:top w:w="10" w:type="dxa"/>
              <w:bottom w:w="10" w:type="dxa"/>
            </w:tcMar>
            <w:vAlign w:val="center"/>
          </w:tcPr>
          <w:p w14:paraId="5220C8B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tcBorders>
            <w:shd w:val="clear" w:color="auto" w:fill="B5B5B5"/>
            <w:tcMar>
              <w:top w:w="10" w:type="dxa"/>
              <w:bottom w:w="10" w:type="dxa"/>
            </w:tcMar>
            <w:vAlign w:val="center"/>
          </w:tcPr>
          <w:p w14:paraId="4EC02609" w14:textId="77777777" w:rsidR="006561BA" w:rsidRDefault="006561BA">
            <w:pPr>
              <w:widowControl w:val="0"/>
              <w:shd w:val="clear" w:color="auto" w:fill="auto"/>
              <w:spacing w:after="0" w:line="240" w:lineRule="auto"/>
              <w:jc w:val="center"/>
              <w:rPr>
                <w:rFonts w:ascii="Helvetica" w:eastAsia="Arial Unicode MS" w:hAnsi="Helvetica" w:cs="Helvetica"/>
                <w:b/>
                <w:color w:val="000000"/>
                <w:sz w:val="6"/>
                <w:szCs w:val="6"/>
                <w:lang w:val="en-US"/>
              </w:rPr>
            </w:pPr>
          </w:p>
        </w:tc>
        <w:tc>
          <w:tcPr>
            <w:tcW w:w="1140" w:type="dxa"/>
            <w:gridSpan w:val="3"/>
            <w:tcBorders>
              <w:top w:val="single" w:sz="4" w:space="0" w:color="auto"/>
            </w:tcBorders>
            <w:shd w:val="clear" w:color="auto" w:fill="B5B5B5"/>
            <w:tcMar>
              <w:top w:w="10" w:type="dxa"/>
              <w:bottom w:w="10" w:type="dxa"/>
            </w:tcMar>
            <w:vAlign w:val="center"/>
          </w:tcPr>
          <w:p w14:paraId="3C800B2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Referansedato for opplysningene T</w:t>
            </w:r>
          </w:p>
        </w:tc>
        <w:tc>
          <w:tcPr>
            <w:tcW w:w="327" w:type="dxa"/>
            <w:tcBorders>
              <w:top w:val="single" w:sz="4" w:space="0" w:color="auto"/>
            </w:tcBorders>
            <w:shd w:val="clear" w:color="auto" w:fill="B5B5B5"/>
            <w:tcMar>
              <w:top w:w="10" w:type="dxa"/>
              <w:bottom w:w="10" w:type="dxa"/>
            </w:tcMar>
            <w:vAlign w:val="center"/>
          </w:tcPr>
          <w:p w14:paraId="17388F8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tcBorders>
            <w:shd w:val="clear" w:color="auto" w:fill="B5B5B5"/>
            <w:tcMar>
              <w:top w:w="10" w:type="dxa"/>
              <w:bottom w:w="10" w:type="dxa"/>
            </w:tcMar>
            <w:vAlign w:val="center"/>
          </w:tcPr>
          <w:p w14:paraId="6FE6853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tcBorders>
            <w:shd w:val="clear" w:color="auto" w:fill="B5B5B5"/>
            <w:tcMar>
              <w:top w:w="10" w:type="dxa"/>
              <w:bottom w:w="10" w:type="dxa"/>
            </w:tcMar>
            <w:vAlign w:val="center"/>
          </w:tcPr>
          <w:p w14:paraId="79911C5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tcBorders>
            <w:shd w:val="clear" w:color="auto" w:fill="B5B5B5"/>
            <w:tcMar>
              <w:top w:w="10" w:type="dxa"/>
              <w:bottom w:w="10" w:type="dxa"/>
            </w:tcMar>
            <w:vAlign w:val="center"/>
          </w:tcPr>
          <w:p w14:paraId="4EF8362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tcBorders>
            <w:shd w:val="clear" w:color="auto" w:fill="B5B5B5"/>
            <w:tcMar>
              <w:top w:w="10" w:type="dxa"/>
              <w:bottom w:w="10" w:type="dxa"/>
            </w:tcMar>
            <w:vAlign w:val="center"/>
          </w:tcPr>
          <w:p w14:paraId="2342513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tcBorders>
            <w:shd w:val="clear" w:color="auto" w:fill="B5B5B5"/>
            <w:tcMar>
              <w:top w:w="10" w:type="dxa"/>
              <w:bottom w:w="10" w:type="dxa"/>
            </w:tcMar>
            <w:vAlign w:val="center"/>
          </w:tcPr>
          <w:p w14:paraId="42322C5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tcBorders>
            <w:shd w:val="clear" w:color="auto" w:fill="B5B5B5"/>
            <w:tcMar>
              <w:top w:w="10" w:type="dxa"/>
              <w:bottom w:w="10" w:type="dxa"/>
            </w:tcMar>
            <w:vAlign w:val="center"/>
          </w:tcPr>
          <w:p w14:paraId="19DB76B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tcBorders>
            <w:shd w:val="clear" w:color="auto" w:fill="B5B5B5"/>
            <w:tcMar>
              <w:top w:w="10" w:type="dxa"/>
              <w:bottom w:w="10" w:type="dxa"/>
            </w:tcMar>
            <w:vAlign w:val="center"/>
          </w:tcPr>
          <w:p w14:paraId="13655EE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tcBorders>
            <w:shd w:val="clear" w:color="auto" w:fill="B5B5B5"/>
            <w:tcMar>
              <w:top w:w="10" w:type="dxa"/>
              <w:bottom w:w="10" w:type="dxa"/>
            </w:tcMar>
            <w:vAlign w:val="center"/>
          </w:tcPr>
          <w:p w14:paraId="32F5E43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tcBorders>
            <w:shd w:val="clear" w:color="auto" w:fill="B5B5B5"/>
            <w:tcMar>
              <w:top w:w="10" w:type="dxa"/>
              <w:bottom w:w="10" w:type="dxa"/>
            </w:tcMar>
            <w:vAlign w:val="center"/>
          </w:tcPr>
          <w:p w14:paraId="1E41AD5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tcBorders>
            <w:shd w:val="clear" w:color="auto" w:fill="B5B5B5"/>
            <w:tcMar>
              <w:top w:w="10" w:type="dxa"/>
              <w:bottom w:w="10" w:type="dxa"/>
            </w:tcMar>
            <w:vAlign w:val="center"/>
          </w:tcPr>
          <w:p w14:paraId="58A47AE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tcBorders>
            <w:shd w:val="clear" w:color="auto" w:fill="B5B5B5"/>
            <w:tcMar>
              <w:top w:w="10" w:type="dxa"/>
              <w:bottom w:w="10" w:type="dxa"/>
            </w:tcMar>
            <w:vAlign w:val="center"/>
          </w:tcPr>
          <w:p w14:paraId="390C2A5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tcBorders>
            <w:shd w:val="clear" w:color="auto" w:fill="B5B5B5"/>
            <w:tcMar>
              <w:top w:w="10" w:type="dxa"/>
              <w:bottom w:w="10" w:type="dxa"/>
            </w:tcMar>
            <w:vAlign w:val="center"/>
          </w:tcPr>
          <w:p w14:paraId="22C1227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right w:val="single" w:sz="4" w:space="0" w:color="auto"/>
            </w:tcBorders>
            <w:shd w:val="clear" w:color="auto" w:fill="B5B5B5"/>
            <w:tcMar>
              <w:top w:w="10" w:type="dxa"/>
              <w:bottom w:w="10" w:type="dxa"/>
            </w:tcMar>
            <w:vAlign w:val="center"/>
          </w:tcPr>
          <w:p w14:paraId="66535D4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rsidRPr="00980A19" w14:paraId="26676309" w14:textId="77777777">
        <w:trPr>
          <w:trHeight w:val="20"/>
        </w:trPr>
        <w:tc>
          <w:tcPr>
            <w:tcW w:w="233" w:type="dxa"/>
            <w:tcBorders>
              <w:left w:val="single" w:sz="4" w:space="0" w:color="auto"/>
            </w:tcBorders>
            <w:tcMar>
              <w:top w:w="10" w:type="dxa"/>
              <w:bottom w:w="10" w:type="dxa"/>
            </w:tcMar>
            <w:vAlign w:val="center"/>
          </w:tcPr>
          <w:p w14:paraId="1A3D7EB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256" w:type="dxa"/>
            <w:tcMar>
              <w:top w:w="10" w:type="dxa"/>
              <w:bottom w:w="10" w:type="dxa"/>
            </w:tcMar>
            <w:vAlign w:val="center"/>
          </w:tcPr>
          <w:p w14:paraId="4433180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949" w:type="dxa"/>
            <w:gridSpan w:val="5"/>
            <w:tcBorders>
              <w:top w:val="single" w:sz="4" w:space="0" w:color="auto"/>
              <w:left w:val="single" w:sz="4" w:space="0" w:color="auto"/>
            </w:tcBorders>
            <w:shd w:val="clear" w:color="auto" w:fill="B5B5B5"/>
            <w:tcMar>
              <w:top w:w="10" w:type="dxa"/>
              <w:bottom w:w="10" w:type="dxa"/>
            </w:tcMar>
            <w:vAlign w:val="center"/>
          </w:tcPr>
          <w:p w14:paraId="772CE348" w14:textId="77777777" w:rsidR="006561BA" w:rsidRDefault="005B4ED6">
            <w:pPr>
              <w:widowControl w:val="0"/>
              <w:shd w:val="clear" w:color="auto" w:fill="auto"/>
              <w:spacing w:after="0" w:line="240" w:lineRule="auto"/>
              <w:ind w:firstLine="360"/>
              <w:jc w:val="left"/>
              <w:rPr>
                <w:rFonts w:ascii="Helvetica" w:eastAsia="Arial Unicode MS" w:hAnsi="Helvetica" w:cs="Helvetica"/>
                <w:b/>
                <w:color w:val="000000"/>
                <w:sz w:val="6"/>
                <w:szCs w:val="6"/>
              </w:rPr>
            </w:pPr>
            <w:r>
              <w:rPr>
                <w:rFonts w:ascii="Helvetica" w:hAnsi="Helvetica"/>
                <w:b/>
                <w:color w:val="000000"/>
                <w:sz w:val="6"/>
              </w:rPr>
              <w:t>Begrensning av klimaendringer (CCM)</w:t>
            </w:r>
          </w:p>
        </w:tc>
        <w:tc>
          <w:tcPr>
            <w:tcW w:w="1248" w:type="dxa"/>
            <w:gridSpan w:val="4"/>
            <w:tcBorders>
              <w:top w:val="single" w:sz="4" w:space="0" w:color="auto"/>
              <w:left w:val="single" w:sz="4" w:space="0" w:color="auto"/>
            </w:tcBorders>
            <w:shd w:val="clear" w:color="auto" w:fill="B5B5B5"/>
          </w:tcPr>
          <w:p w14:paraId="10184A34"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Tilpasning til klimaendringer (CCA)</w:t>
            </w:r>
          </w:p>
        </w:tc>
        <w:tc>
          <w:tcPr>
            <w:tcW w:w="1469" w:type="dxa"/>
            <w:gridSpan w:val="4"/>
            <w:tcBorders>
              <w:top w:val="single" w:sz="4" w:space="0" w:color="auto"/>
              <w:left w:val="single" w:sz="4" w:space="0" w:color="auto"/>
            </w:tcBorders>
            <w:shd w:val="clear" w:color="auto" w:fill="B5B5B5"/>
            <w:tcMar>
              <w:top w:w="10" w:type="dxa"/>
              <w:bottom w:w="10" w:type="dxa"/>
            </w:tcMar>
            <w:vAlign w:val="center"/>
          </w:tcPr>
          <w:p w14:paraId="0EE368E9"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Vann- og havressurser (WTR)</w:t>
            </w:r>
          </w:p>
        </w:tc>
        <w:tc>
          <w:tcPr>
            <w:tcW w:w="1462" w:type="dxa"/>
            <w:gridSpan w:val="4"/>
            <w:tcBorders>
              <w:top w:val="single" w:sz="4" w:space="0" w:color="auto"/>
              <w:left w:val="single" w:sz="4" w:space="0" w:color="auto"/>
            </w:tcBorders>
            <w:shd w:val="clear" w:color="auto" w:fill="B5B5B5"/>
            <w:tcMar>
              <w:top w:w="10" w:type="dxa"/>
              <w:bottom w:w="10" w:type="dxa"/>
            </w:tcMar>
            <w:vAlign w:val="center"/>
          </w:tcPr>
          <w:p w14:paraId="453C7914"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Sirkulær økonomi (CE)</w:t>
            </w:r>
          </w:p>
        </w:tc>
        <w:tc>
          <w:tcPr>
            <w:tcW w:w="1473" w:type="dxa"/>
            <w:gridSpan w:val="4"/>
            <w:tcBorders>
              <w:top w:val="single" w:sz="4" w:space="0" w:color="auto"/>
              <w:left w:val="single" w:sz="4" w:space="0" w:color="auto"/>
            </w:tcBorders>
            <w:shd w:val="clear" w:color="auto" w:fill="B5B5B5"/>
            <w:tcMar>
              <w:top w:w="10" w:type="dxa"/>
              <w:bottom w:w="10" w:type="dxa"/>
            </w:tcMar>
            <w:vAlign w:val="center"/>
          </w:tcPr>
          <w:p w14:paraId="3BFDC437"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Forurensning (PPC)</w:t>
            </w:r>
          </w:p>
        </w:tc>
        <w:tc>
          <w:tcPr>
            <w:tcW w:w="1502" w:type="dxa"/>
            <w:gridSpan w:val="4"/>
            <w:tcBorders>
              <w:top w:val="single" w:sz="4" w:space="0" w:color="auto"/>
              <w:left w:val="single" w:sz="4" w:space="0" w:color="auto"/>
            </w:tcBorders>
            <w:shd w:val="clear" w:color="auto" w:fill="B5B5B5"/>
            <w:tcMar>
              <w:top w:w="10" w:type="dxa"/>
              <w:bottom w:w="10" w:type="dxa"/>
            </w:tcMar>
            <w:vAlign w:val="center"/>
          </w:tcPr>
          <w:p w14:paraId="115D448E"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Biologisk mangfold og økosystemer (BIO)</w:t>
            </w:r>
          </w:p>
        </w:tc>
        <w:tc>
          <w:tcPr>
            <w:tcW w:w="2040" w:type="dxa"/>
            <w:gridSpan w:val="5"/>
            <w:tcBorders>
              <w:top w:val="single" w:sz="4" w:space="0" w:color="auto"/>
              <w:left w:val="single" w:sz="4" w:space="0" w:color="auto"/>
            </w:tcBorders>
            <w:shd w:val="clear" w:color="auto" w:fill="B5B5B5"/>
            <w:tcMar>
              <w:top w:w="10" w:type="dxa"/>
              <w:bottom w:w="10" w:type="dxa"/>
            </w:tcMar>
            <w:vAlign w:val="center"/>
          </w:tcPr>
          <w:p w14:paraId="421BB581" w14:textId="77777777" w:rsidR="006561BA" w:rsidRPr="00770AA2" w:rsidRDefault="005B4ED6">
            <w:pPr>
              <w:widowControl w:val="0"/>
              <w:shd w:val="clear" w:color="auto" w:fill="auto"/>
              <w:spacing w:after="0" w:line="240" w:lineRule="auto"/>
              <w:jc w:val="center"/>
              <w:rPr>
                <w:rFonts w:ascii="Helvetica" w:eastAsia="Arial Unicode MS" w:hAnsi="Helvetica" w:cs="Helvetica"/>
                <w:b/>
                <w:color w:val="000000"/>
                <w:sz w:val="6"/>
                <w:szCs w:val="6"/>
                <w:lang w:val="en-US"/>
              </w:rPr>
            </w:pPr>
            <w:r w:rsidRPr="00770AA2">
              <w:rPr>
                <w:rFonts w:ascii="Helvetica" w:hAnsi="Helvetica"/>
                <w:b/>
                <w:color w:val="000000"/>
                <w:sz w:val="6"/>
                <w:lang w:val="en-US"/>
              </w:rPr>
              <w:t>SUM (CCM + CCA + WTR + CE + PPC + BIO)</w:t>
            </w:r>
          </w:p>
        </w:tc>
        <w:tc>
          <w:tcPr>
            <w:tcW w:w="420" w:type="dxa"/>
            <w:tcBorders>
              <w:top w:val="single" w:sz="4" w:space="0" w:color="auto"/>
              <w:left w:val="single" w:sz="4" w:space="0" w:color="auto"/>
              <w:right w:val="single" w:sz="4" w:space="0" w:color="auto"/>
            </w:tcBorders>
            <w:shd w:val="clear" w:color="auto" w:fill="B5B5B5"/>
            <w:tcMar>
              <w:top w:w="10" w:type="dxa"/>
              <w:bottom w:w="10" w:type="dxa"/>
            </w:tcMar>
            <w:vAlign w:val="center"/>
          </w:tcPr>
          <w:p w14:paraId="3C0EFF5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1B2ABDDE" w14:textId="77777777">
        <w:trPr>
          <w:trHeight w:val="20"/>
        </w:trPr>
        <w:tc>
          <w:tcPr>
            <w:tcW w:w="233" w:type="dxa"/>
            <w:tcBorders>
              <w:left w:val="single" w:sz="4" w:space="0" w:color="auto"/>
            </w:tcBorders>
            <w:tcMar>
              <w:top w:w="10" w:type="dxa"/>
              <w:bottom w:w="10" w:type="dxa"/>
            </w:tcMar>
            <w:vAlign w:val="center"/>
          </w:tcPr>
          <w:p w14:paraId="674F185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256" w:type="dxa"/>
            <w:tcMar>
              <w:top w:w="10" w:type="dxa"/>
              <w:bottom w:w="10" w:type="dxa"/>
            </w:tcMar>
            <w:vAlign w:val="center"/>
          </w:tcPr>
          <w:p w14:paraId="6066047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949" w:type="dxa"/>
            <w:gridSpan w:val="5"/>
            <w:tcBorders>
              <w:top w:val="single" w:sz="4" w:space="0" w:color="auto"/>
              <w:left w:val="single" w:sz="4" w:space="0" w:color="auto"/>
            </w:tcBorders>
            <w:tcMar>
              <w:top w:w="10" w:type="dxa"/>
              <w:bottom w:w="10" w:type="dxa"/>
            </w:tcMar>
            <w:vAlign w:val="center"/>
          </w:tcPr>
          <w:p w14:paraId="44C740C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(som er omfattet av taksonomien)</w:t>
            </w:r>
          </w:p>
        </w:tc>
        <w:tc>
          <w:tcPr>
            <w:tcW w:w="1248" w:type="dxa"/>
            <w:gridSpan w:val="4"/>
            <w:tcBorders>
              <w:top w:val="single" w:sz="4" w:space="0" w:color="auto"/>
              <w:left w:val="single" w:sz="4" w:space="0" w:color="auto"/>
            </w:tcBorders>
          </w:tcPr>
          <w:p w14:paraId="2B0CAE18" w14:textId="77777777" w:rsidR="006561BA" w:rsidRDefault="005B4ED6">
            <w:pPr>
              <w:widowControl w:val="0"/>
              <w:shd w:val="clear" w:color="auto" w:fill="auto"/>
              <w:spacing w:after="0" w:line="240" w:lineRule="auto"/>
              <w:jc w:val="center"/>
              <w:rPr>
                <w:rFonts w:ascii="Helvetica" w:eastAsia="Arial Unicode MS" w:hAnsi="Helvetica" w:cs="Helvetica"/>
                <w:color w:val="212121"/>
                <w:sz w:val="6"/>
                <w:szCs w:val="6"/>
              </w:rPr>
            </w:pPr>
            <w:r>
              <w:rPr>
                <w:rFonts w:ascii="Helvetica" w:hAnsi="Helvetica"/>
                <w:color w:val="212121"/>
                <w:sz w:val="6"/>
              </w:rPr>
              <w:t>Andel av samlede dekkede eiendeler som finansierer taksonomirelevante sektorer (som er omfattet av taksonomien)</w:t>
            </w:r>
          </w:p>
        </w:tc>
        <w:tc>
          <w:tcPr>
            <w:tcW w:w="1469" w:type="dxa"/>
            <w:gridSpan w:val="4"/>
            <w:tcBorders>
              <w:top w:val="single" w:sz="4" w:space="0" w:color="auto"/>
              <w:left w:val="single" w:sz="4" w:space="0" w:color="auto"/>
            </w:tcBorders>
            <w:tcMar>
              <w:top w:w="10" w:type="dxa"/>
              <w:bottom w:w="10" w:type="dxa"/>
            </w:tcMar>
            <w:vAlign w:val="center"/>
          </w:tcPr>
          <w:p w14:paraId="207F911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(som er omfattet av taksonomien)</w:t>
            </w:r>
          </w:p>
        </w:tc>
        <w:tc>
          <w:tcPr>
            <w:tcW w:w="1462" w:type="dxa"/>
            <w:gridSpan w:val="4"/>
            <w:tcBorders>
              <w:top w:val="single" w:sz="4" w:space="0" w:color="auto"/>
              <w:left w:val="single" w:sz="4" w:space="0" w:color="auto"/>
            </w:tcBorders>
            <w:tcMar>
              <w:top w:w="10" w:type="dxa"/>
              <w:bottom w:w="10" w:type="dxa"/>
            </w:tcMar>
            <w:vAlign w:val="center"/>
          </w:tcPr>
          <w:p w14:paraId="58EE901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(som er omfattet av taksonomien)</w:t>
            </w:r>
          </w:p>
        </w:tc>
        <w:tc>
          <w:tcPr>
            <w:tcW w:w="1473" w:type="dxa"/>
            <w:gridSpan w:val="4"/>
            <w:tcBorders>
              <w:top w:val="single" w:sz="4" w:space="0" w:color="auto"/>
              <w:left w:val="single" w:sz="4" w:space="0" w:color="auto"/>
            </w:tcBorders>
            <w:tcMar>
              <w:top w:w="10" w:type="dxa"/>
              <w:bottom w:w="10" w:type="dxa"/>
            </w:tcMar>
            <w:vAlign w:val="center"/>
          </w:tcPr>
          <w:p w14:paraId="531B005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(som er omfattet av taksonomien)</w:t>
            </w:r>
          </w:p>
        </w:tc>
        <w:tc>
          <w:tcPr>
            <w:tcW w:w="1502" w:type="dxa"/>
            <w:gridSpan w:val="4"/>
            <w:tcBorders>
              <w:top w:val="single" w:sz="4" w:space="0" w:color="auto"/>
              <w:left w:val="single" w:sz="4" w:space="0" w:color="auto"/>
            </w:tcBorders>
            <w:tcMar>
              <w:top w:w="10" w:type="dxa"/>
              <w:bottom w:w="10" w:type="dxa"/>
            </w:tcMar>
            <w:vAlign w:val="center"/>
          </w:tcPr>
          <w:p w14:paraId="4DEA2EE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(som er omfattet av taksonomien)</w:t>
            </w:r>
          </w:p>
        </w:tc>
        <w:tc>
          <w:tcPr>
            <w:tcW w:w="2040" w:type="dxa"/>
            <w:gridSpan w:val="5"/>
            <w:tcBorders>
              <w:top w:val="single" w:sz="4" w:space="0" w:color="auto"/>
              <w:left w:val="single" w:sz="4" w:space="0" w:color="auto"/>
            </w:tcBorders>
            <w:tcMar>
              <w:top w:w="10" w:type="dxa"/>
              <w:bottom w:w="10" w:type="dxa"/>
            </w:tcMar>
            <w:vAlign w:val="center"/>
          </w:tcPr>
          <w:p w14:paraId="2C1721F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(som er omfattet av taksonomien)</w:t>
            </w:r>
          </w:p>
        </w:tc>
        <w:tc>
          <w:tcPr>
            <w:tcW w:w="420" w:type="dxa"/>
            <w:vMerge w:val="restart"/>
            <w:tcBorders>
              <w:top w:val="single" w:sz="4" w:space="0" w:color="auto"/>
              <w:left w:val="single" w:sz="4" w:space="0" w:color="auto"/>
              <w:right w:val="single" w:sz="4" w:space="0" w:color="auto"/>
            </w:tcBorders>
            <w:tcMar>
              <w:top w:w="10" w:type="dxa"/>
              <w:bottom w:w="10" w:type="dxa"/>
            </w:tcMar>
            <w:vAlign w:val="center"/>
          </w:tcPr>
          <w:p w14:paraId="0E7E37A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w:t>
            </w:r>
          </w:p>
        </w:tc>
      </w:tr>
      <w:tr w:rsidR="006561BA" w14:paraId="29D70E8F" w14:textId="77777777">
        <w:trPr>
          <w:trHeight w:val="20"/>
        </w:trPr>
        <w:tc>
          <w:tcPr>
            <w:tcW w:w="233" w:type="dxa"/>
            <w:tcBorders>
              <w:left w:val="single" w:sz="4" w:space="0" w:color="auto"/>
            </w:tcBorders>
            <w:tcMar>
              <w:top w:w="10" w:type="dxa"/>
              <w:bottom w:w="10" w:type="dxa"/>
            </w:tcMar>
            <w:vAlign w:val="center"/>
          </w:tcPr>
          <w:p w14:paraId="51C2B53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256" w:type="dxa"/>
            <w:tcMar>
              <w:top w:w="10" w:type="dxa"/>
              <w:bottom w:w="10" w:type="dxa"/>
            </w:tcMar>
            <w:vAlign w:val="center"/>
          </w:tcPr>
          <w:p w14:paraId="35AE77A3"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212121"/>
                <w:sz w:val="6"/>
              </w:rPr>
              <w:t>% (i forhold til samlede dekkede eiendeler i nevneren)</w:t>
            </w:r>
          </w:p>
        </w:tc>
        <w:tc>
          <w:tcPr>
            <w:tcW w:w="315" w:type="dxa"/>
            <w:tcBorders>
              <w:left w:val="single" w:sz="4" w:space="0" w:color="auto"/>
            </w:tcBorders>
            <w:tcMar>
              <w:top w:w="10" w:type="dxa"/>
              <w:bottom w:w="10" w:type="dxa"/>
            </w:tcMar>
            <w:vAlign w:val="center"/>
          </w:tcPr>
          <w:p w14:paraId="013089B3"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1634" w:type="dxa"/>
            <w:gridSpan w:val="4"/>
            <w:tcBorders>
              <w:top w:val="single" w:sz="4" w:space="0" w:color="auto"/>
              <w:left w:val="single" w:sz="4" w:space="0" w:color="auto"/>
            </w:tcBorders>
            <w:vAlign w:val="center"/>
          </w:tcPr>
          <w:p w14:paraId="3E1F579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(taksonomiforenlige)</w:t>
            </w:r>
          </w:p>
        </w:tc>
        <w:tc>
          <w:tcPr>
            <w:tcW w:w="312" w:type="dxa"/>
            <w:tcBorders>
              <w:left w:val="single" w:sz="4" w:space="0" w:color="auto"/>
              <w:right w:val="single" w:sz="4" w:space="0" w:color="auto"/>
            </w:tcBorders>
          </w:tcPr>
          <w:p w14:paraId="536F30B7"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936" w:type="dxa"/>
            <w:gridSpan w:val="3"/>
            <w:tcBorders>
              <w:top w:val="single" w:sz="4" w:space="0" w:color="auto"/>
              <w:left w:val="single" w:sz="4" w:space="0" w:color="auto"/>
            </w:tcBorders>
          </w:tcPr>
          <w:p w14:paraId="6BACB604"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sidRPr="002C5F94">
              <w:rPr>
                <w:rFonts w:ascii="Helvetica" w:hAnsi="Helvetica"/>
                <w:color w:val="auto"/>
                <w:sz w:val="6"/>
              </w:rPr>
              <w:t>Andel av samlede dekkede eiendeler som finansierer taksonomirelevante sektorer (taksonomiforenlige)</w:t>
            </w:r>
          </w:p>
        </w:tc>
        <w:tc>
          <w:tcPr>
            <w:tcW w:w="312" w:type="dxa"/>
            <w:tcBorders>
              <w:left w:val="single" w:sz="4" w:space="0" w:color="auto"/>
            </w:tcBorders>
            <w:tcMar>
              <w:top w:w="10" w:type="dxa"/>
              <w:bottom w:w="10" w:type="dxa"/>
            </w:tcMar>
            <w:vAlign w:val="center"/>
          </w:tcPr>
          <w:p w14:paraId="5BCFB9FA"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1157" w:type="dxa"/>
            <w:gridSpan w:val="3"/>
            <w:tcBorders>
              <w:top w:val="single" w:sz="4" w:space="0" w:color="auto"/>
              <w:left w:val="single" w:sz="4" w:space="0" w:color="auto"/>
            </w:tcBorders>
            <w:tcMar>
              <w:top w:w="10" w:type="dxa"/>
              <w:bottom w:w="10" w:type="dxa"/>
            </w:tcMar>
            <w:vAlign w:val="center"/>
          </w:tcPr>
          <w:p w14:paraId="4B1E95D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(taksonomiforenlige)</w:t>
            </w:r>
          </w:p>
        </w:tc>
        <w:tc>
          <w:tcPr>
            <w:tcW w:w="322" w:type="dxa"/>
            <w:tcBorders>
              <w:left w:val="single" w:sz="4" w:space="0" w:color="auto"/>
            </w:tcBorders>
            <w:tcMar>
              <w:top w:w="10" w:type="dxa"/>
              <w:bottom w:w="10" w:type="dxa"/>
            </w:tcMar>
            <w:vAlign w:val="center"/>
          </w:tcPr>
          <w:p w14:paraId="6F675A2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1140" w:type="dxa"/>
            <w:gridSpan w:val="3"/>
            <w:tcBorders>
              <w:top w:val="single" w:sz="4" w:space="0" w:color="auto"/>
              <w:left w:val="single" w:sz="4" w:space="0" w:color="auto"/>
            </w:tcBorders>
            <w:tcMar>
              <w:top w:w="10" w:type="dxa"/>
              <w:bottom w:w="10" w:type="dxa"/>
            </w:tcMar>
            <w:vAlign w:val="center"/>
          </w:tcPr>
          <w:p w14:paraId="6AF99BF2"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(taksonomiforenlige)</w:t>
            </w:r>
          </w:p>
        </w:tc>
        <w:tc>
          <w:tcPr>
            <w:tcW w:w="327" w:type="dxa"/>
            <w:tcBorders>
              <w:left w:val="single" w:sz="4" w:space="0" w:color="auto"/>
            </w:tcBorders>
            <w:tcMar>
              <w:top w:w="10" w:type="dxa"/>
              <w:bottom w:w="10" w:type="dxa"/>
            </w:tcMar>
            <w:vAlign w:val="center"/>
          </w:tcPr>
          <w:p w14:paraId="04E08BC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1146" w:type="dxa"/>
            <w:gridSpan w:val="3"/>
            <w:tcBorders>
              <w:top w:val="single" w:sz="4" w:space="0" w:color="auto"/>
              <w:left w:val="single" w:sz="4" w:space="0" w:color="auto"/>
            </w:tcBorders>
            <w:tcMar>
              <w:top w:w="10" w:type="dxa"/>
              <w:bottom w:w="10" w:type="dxa"/>
            </w:tcMar>
            <w:vAlign w:val="center"/>
          </w:tcPr>
          <w:p w14:paraId="355F0452"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(taksonomiforenlige)</w:t>
            </w:r>
          </w:p>
        </w:tc>
        <w:tc>
          <w:tcPr>
            <w:tcW w:w="330" w:type="dxa"/>
            <w:tcBorders>
              <w:left w:val="single" w:sz="4" w:space="0" w:color="auto"/>
            </w:tcBorders>
            <w:tcMar>
              <w:top w:w="10" w:type="dxa"/>
              <w:bottom w:w="10" w:type="dxa"/>
            </w:tcMar>
            <w:vAlign w:val="center"/>
          </w:tcPr>
          <w:p w14:paraId="19358C0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1172" w:type="dxa"/>
            <w:gridSpan w:val="3"/>
            <w:tcBorders>
              <w:top w:val="single" w:sz="4" w:space="0" w:color="auto"/>
              <w:left w:val="single" w:sz="4" w:space="0" w:color="auto"/>
            </w:tcBorders>
            <w:tcMar>
              <w:top w:w="10" w:type="dxa"/>
              <w:bottom w:w="10" w:type="dxa"/>
            </w:tcMar>
            <w:vAlign w:val="center"/>
          </w:tcPr>
          <w:p w14:paraId="3649413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(taksonomiforenlige)</w:t>
            </w:r>
          </w:p>
        </w:tc>
        <w:tc>
          <w:tcPr>
            <w:tcW w:w="336" w:type="dxa"/>
            <w:tcBorders>
              <w:left w:val="single" w:sz="4" w:space="0" w:color="auto"/>
            </w:tcBorders>
            <w:tcMar>
              <w:top w:w="10" w:type="dxa"/>
              <w:bottom w:w="10" w:type="dxa"/>
            </w:tcMar>
            <w:vAlign w:val="center"/>
          </w:tcPr>
          <w:p w14:paraId="33575A3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1704" w:type="dxa"/>
            <w:gridSpan w:val="4"/>
            <w:tcBorders>
              <w:top w:val="single" w:sz="4" w:space="0" w:color="auto"/>
              <w:left w:val="single" w:sz="4" w:space="0" w:color="auto"/>
            </w:tcBorders>
            <w:tcMar>
              <w:top w:w="10" w:type="dxa"/>
              <w:bottom w:w="10" w:type="dxa"/>
            </w:tcMar>
            <w:vAlign w:val="center"/>
          </w:tcPr>
          <w:p w14:paraId="392D6A5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(taksonomiforenlige)</w:t>
            </w:r>
          </w:p>
        </w:tc>
        <w:tc>
          <w:tcPr>
            <w:tcW w:w="420" w:type="dxa"/>
            <w:vMerge/>
            <w:tcBorders>
              <w:left w:val="single" w:sz="4" w:space="0" w:color="auto"/>
              <w:right w:val="single" w:sz="4" w:space="0" w:color="auto"/>
            </w:tcBorders>
            <w:tcMar>
              <w:top w:w="10" w:type="dxa"/>
              <w:bottom w:w="10" w:type="dxa"/>
            </w:tcMar>
            <w:vAlign w:val="center"/>
          </w:tcPr>
          <w:p w14:paraId="1E5479F3" w14:textId="77777777" w:rsidR="006561BA" w:rsidRPr="00770AA2" w:rsidRDefault="006561BA">
            <w:pPr>
              <w:widowControl w:val="0"/>
              <w:spacing w:after="0" w:line="240" w:lineRule="auto"/>
              <w:jc w:val="left"/>
              <w:rPr>
                <w:rFonts w:ascii="Helvetica" w:eastAsia="Arial Unicode MS" w:hAnsi="Helvetica" w:cs="Helvetica"/>
                <w:color w:val="000000"/>
                <w:sz w:val="6"/>
                <w:szCs w:val="6"/>
              </w:rPr>
            </w:pPr>
          </w:p>
        </w:tc>
      </w:tr>
      <w:tr w:rsidR="006561BA" w14:paraId="53C9E934" w14:textId="77777777">
        <w:trPr>
          <w:trHeight w:val="20"/>
        </w:trPr>
        <w:tc>
          <w:tcPr>
            <w:tcW w:w="233" w:type="dxa"/>
            <w:tcBorders>
              <w:left w:val="single" w:sz="4" w:space="0" w:color="auto"/>
            </w:tcBorders>
            <w:tcMar>
              <w:top w:w="10" w:type="dxa"/>
              <w:bottom w:w="10" w:type="dxa"/>
            </w:tcMar>
            <w:vAlign w:val="center"/>
          </w:tcPr>
          <w:p w14:paraId="3A564F0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256" w:type="dxa"/>
            <w:tcMar>
              <w:top w:w="10" w:type="dxa"/>
              <w:bottom w:w="10" w:type="dxa"/>
            </w:tcMar>
            <w:vAlign w:val="center"/>
          </w:tcPr>
          <w:p w14:paraId="1C22998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5" w:type="dxa"/>
            <w:tcBorders>
              <w:left w:val="single" w:sz="4" w:space="0" w:color="auto"/>
            </w:tcBorders>
            <w:tcMar>
              <w:top w:w="10" w:type="dxa"/>
              <w:bottom w:w="10" w:type="dxa"/>
            </w:tcMar>
            <w:vAlign w:val="center"/>
          </w:tcPr>
          <w:p w14:paraId="7668D60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left w:val="single" w:sz="4" w:space="0" w:color="auto"/>
            </w:tcBorders>
            <w:tcMar>
              <w:top w:w="10" w:type="dxa"/>
              <w:bottom w:w="10" w:type="dxa"/>
            </w:tcMar>
            <w:vAlign w:val="center"/>
          </w:tcPr>
          <w:p w14:paraId="2EE7289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750D6AFE"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212121"/>
                <w:sz w:val="6"/>
              </w:rPr>
              <w:t>Hvorav bruk av proveny</w:t>
            </w:r>
          </w:p>
        </w:tc>
        <w:tc>
          <w:tcPr>
            <w:tcW w:w="460" w:type="dxa"/>
            <w:tcBorders>
              <w:top w:val="single" w:sz="4" w:space="0" w:color="auto"/>
              <w:left w:val="single" w:sz="4" w:space="0" w:color="auto"/>
            </w:tcBorders>
            <w:tcMar>
              <w:top w:w="10" w:type="dxa"/>
              <w:bottom w:w="10" w:type="dxa"/>
            </w:tcMar>
            <w:vAlign w:val="center"/>
          </w:tcPr>
          <w:p w14:paraId="1ECE8451"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212121"/>
                <w:sz w:val="6"/>
              </w:rPr>
              <w:t>Hvorav omstilling</w:t>
            </w:r>
          </w:p>
        </w:tc>
        <w:tc>
          <w:tcPr>
            <w:tcW w:w="334"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73B6DC95"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Hvorav muliggjørende</w:t>
            </w:r>
          </w:p>
        </w:tc>
        <w:tc>
          <w:tcPr>
            <w:tcW w:w="312" w:type="dxa"/>
            <w:tcBorders>
              <w:left w:val="single" w:sz="4" w:space="0" w:color="auto"/>
              <w:right w:val="single" w:sz="4" w:space="0" w:color="auto"/>
            </w:tcBorders>
          </w:tcPr>
          <w:p w14:paraId="4939331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right w:val="single" w:sz="4" w:space="0" w:color="auto"/>
            </w:tcBorders>
          </w:tcPr>
          <w:p w14:paraId="3269059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14:paraId="020859B6" w14:textId="76596E54" w:rsidR="006561BA" w:rsidRDefault="005B4ED6">
            <w:pPr>
              <w:widowControl w:val="0"/>
              <w:shd w:val="clear" w:color="auto" w:fill="auto"/>
              <w:spacing w:after="0" w:line="240" w:lineRule="auto"/>
              <w:ind w:firstLine="360"/>
              <w:jc w:val="left"/>
              <w:rPr>
                <w:rFonts w:ascii="Helvetica" w:eastAsia="Arial Unicode MS" w:hAnsi="Helvetica" w:cs="Helvetica"/>
                <w:color w:val="000000"/>
                <w:sz w:val="6"/>
                <w:szCs w:val="6"/>
              </w:rPr>
            </w:pPr>
            <w:proofErr w:type="spellStart"/>
            <w:r>
              <w:rPr>
                <w:rFonts w:ascii="Helvetica" w:hAnsi="Helvetica"/>
                <w:color w:val="212121"/>
                <w:sz w:val="6"/>
              </w:rPr>
              <w:t>H</w:t>
            </w:r>
            <w:r w:rsidR="007870FD">
              <w:rPr>
                <w:rFonts w:ascii="Helvetica" w:hAnsi="Helvetica"/>
                <w:color w:val="212121"/>
                <w:sz w:val="6"/>
              </w:rPr>
              <w:t>H</w:t>
            </w:r>
            <w:r>
              <w:rPr>
                <w:rFonts w:ascii="Helvetica" w:hAnsi="Helvetica"/>
                <w:color w:val="212121"/>
                <w:sz w:val="6"/>
              </w:rPr>
              <w:t>vorav</w:t>
            </w:r>
            <w:proofErr w:type="spellEnd"/>
            <w:r>
              <w:rPr>
                <w:rFonts w:ascii="Helvetica" w:hAnsi="Helvetica"/>
                <w:color w:val="212121"/>
                <w:sz w:val="6"/>
              </w:rPr>
              <w:t xml:space="preserve"> bruk av proveny</w:t>
            </w:r>
          </w:p>
        </w:tc>
        <w:tc>
          <w:tcPr>
            <w:tcW w:w="312" w:type="dxa"/>
            <w:tcBorders>
              <w:top w:val="single" w:sz="4" w:space="0" w:color="auto"/>
              <w:left w:val="single" w:sz="4" w:space="0" w:color="auto"/>
              <w:bottom w:val="single" w:sz="4" w:space="0" w:color="auto"/>
            </w:tcBorders>
            <w:vAlign w:val="center"/>
          </w:tcPr>
          <w:p w14:paraId="15664528"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Hvorav muliggjørende</w:t>
            </w:r>
          </w:p>
        </w:tc>
        <w:tc>
          <w:tcPr>
            <w:tcW w:w="312" w:type="dxa"/>
            <w:tcBorders>
              <w:left w:val="single" w:sz="4" w:space="0" w:color="auto"/>
            </w:tcBorders>
            <w:tcMar>
              <w:top w:w="10" w:type="dxa"/>
              <w:bottom w:w="10" w:type="dxa"/>
            </w:tcMar>
            <w:vAlign w:val="center"/>
          </w:tcPr>
          <w:p w14:paraId="0F77BF3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left w:val="single" w:sz="4" w:space="0" w:color="auto"/>
            </w:tcBorders>
            <w:tcMar>
              <w:top w:w="10" w:type="dxa"/>
              <w:bottom w:w="10" w:type="dxa"/>
            </w:tcMar>
            <w:vAlign w:val="center"/>
          </w:tcPr>
          <w:p w14:paraId="7FEE72F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79BE8350"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212121"/>
                <w:sz w:val="6"/>
              </w:rPr>
              <w:t>Hvorav bruk av proveny</w:t>
            </w:r>
          </w:p>
        </w:tc>
        <w:tc>
          <w:tcPr>
            <w:tcW w:w="425" w:type="dxa"/>
            <w:tcBorders>
              <w:top w:val="single" w:sz="4" w:space="0" w:color="auto"/>
              <w:left w:val="single" w:sz="4" w:space="0" w:color="auto"/>
            </w:tcBorders>
            <w:tcMar>
              <w:top w:w="10" w:type="dxa"/>
              <w:bottom w:w="10" w:type="dxa"/>
            </w:tcMar>
            <w:vAlign w:val="center"/>
          </w:tcPr>
          <w:p w14:paraId="1CC09CCF"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sidRPr="002C5F94">
              <w:rPr>
                <w:rFonts w:ascii="Helvetica" w:hAnsi="Helvetica"/>
                <w:color w:val="auto"/>
                <w:sz w:val="6"/>
              </w:rPr>
              <w:t>Hvorav muliggjørende</w:t>
            </w:r>
          </w:p>
        </w:tc>
        <w:tc>
          <w:tcPr>
            <w:tcW w:w="322" w:type="dxa"/>
            <w:tcBorders>
              <w:left w:val="single" w:sz="4" w:space="0" w:color="auto"/>
            </w:tcBorders>
            <w:tcMar>
              <w:top w:w="10" w:type="dxa"/>
              <w:bottom w:w="10" w:type="dxa"/>
            </w:tcMar>
            <w:vAlign w:val="center"/>
          </w:tcPr>
          <w:p w14:paraId="244C77B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left w:val="single" w:sz="4" w:space="0" w:color="auto"/>
            </w:tcBorders>
            <w:tcMar>
              <w:top w:w="10" w:type="dxa"/>
              <w:bottom w:w="10" w:type="dxa"/>
            </w:tcMar>
            <w:vAlign w:val="center"/>
          </w:tcPr>
          <w:p w14:paraId="249931A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241361F0" w14:textId="77777777" w:rsidR="006561BA" w:rsidRPr="002C5F94" w:rsidRDefault="005B4ED6">
            <w:pPr>
              <w:widowControl w:val="0"/>
              <w:shd w:val="clear" w:color="auto" w:fill="auto"/>
              <w:spacing w:after="0" w:line="240" w:lineRule="auto"/>
              <w:jc w:val="left"/>
              <w:rPr>
                <w:rFonts w:ascii="Helvetica" w:eastAsia="Arial Unicode MS" w:hAnsi="Helvetica" w:cs="Helvetica"/>
                <w:color w:val="auto"/>
                <w:sz w:val="6"/>
                <w:szCs w:val="6"/>
              </w:rPr>
            </w:pPr>
            <w:r w:rsidRPr="002C5F94">
              <w:rPr>
                <w:rFonts w:ascii="Helvetica" w:hAnsi="Helvetica"/>
                <w:color w:val="auto"/>
                <w:sz w:val="6"/>
              </w:rPr>
              <w:t>Hvorav bruk av proveny</w:t>
            </w:r>
          </w:p>
        </w:tc>
        <w:tc>
          <w:tcPr>
            <w:tcW w:w="420" w:type="dxa"/>
            <w:tcBorders>
              <w:top w:val="single" w:sz="4" w:space="0" w:color="auto"/>
              <w:left w:val="single" w:sz="4" w:space="0" w:color="auto"/>
            </w:tcBorders>
            <w:tcMar>
              <w:top w:w="10" w:type="dxa"/>
              <w:bottom w:w="10" w:type="dxa"/>
            </w:tcMar>
            <w:vAlign w:val="center"/>
          </w:tcPr>
          <w:p w14:paraId="16A0EE7C" w14:textId="77777777" w:rsidR="006561BA" w:rsidRPr="002C5F94" w:rsidRDefault="005B4ED6">
            <w:pPr>
              <w:widowControl w:val="0"/>
              <w:shd w:val="clear" w:color="auto" w:fill="auto"/>
              <w:spacing w:after="0" w:line="240" w:lineRule="auto"/>
              <w:jc w:val="left"/>
              <w:rPr>
                <w:rFonts w:ascii="Helvetica" w:eastAsia="Arial Unicode MS" w:hAnsi="Helvetica" w:cs="Helvetica"/>
                <w:color w:val="auto"/>
                <w:sz w:val="6"/>
                <w:szCs w:val="6"/>
              </w:rPr>
            </w:pPr>
            <w:r w:rsidRPr="002C5F94">
              <w:rPr>
                <w:rFonts w:ascii="Helvetica" w:hAnsi="Helvetica"/>
                <w:color w:val="auto"/>
                <w:sz w:val="6"/>
              </w:rPr>
              <w:t>Hvorav muliggjørende</w:t>
            </w:r>
          </w:p>
        </w:tc>
        <w:tc>
          <w:tcPr>
            <w:tcW w:w="327" w:type="dxa"/>
            <w:tcBorders>
              <w:left w:val="single" w:sz="4" w:space="0" w:color="auto"/>
            </w:tcBorders>
            <w:tcMar>
              <w:top w:w="10" w:type="dxa"/>
              <w:bottom w:w="10" w:type="dxa"/>
            </w:tcMar>
            <w:vAlign w:val="center"/>
          </w:tcPr>
          <w:p w14:paraId="36E9CAA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left w:val="single" w:sz="4" w:space="0" w:color="auto"/>
            </w:tcBorders>
            <w:tcMar>
              <w:top w:w="10" w:type="dxa"/>
              <w:bottom w:w="10" w:type="dxa"/>
            </w:tcMar>
            <w:vAlign w:val="center"/>
          </w:tcPr>
          <w:p w14:paraId="4210976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tcBorders>
            <w:tcMar>
              <w:top w:w="10" w:type="dxa"/>
              <w:bottom w:w="10" w:type="dxa"/>
            </w:tcMar>
            <w:vAlign w:val="center"/>
          </w:tcPr>
          <w:p w14:paraId="118D1460"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212121"/>
                <w:sz w:val="6"/>
              </w:rPr>
              <w:t>Hvorav bruk av proveny</w:t>
            </w:r>
          </w:p>
        </w:tc>
        <w:tc>
          <w:tcPr>
            <w:tcW w:w="406" w:type="dxa"/>
            <w:tcBorders>
              <w:top w:val="single" w:sz="4" w:space="0" w:color="auto"/>
              <w:left w:val="single" w:sz="4" w:space="0" w:color="auto"/>
            </w:tcBorders>
            <w:tcMar>
              <w:top w:w="10" w:type="dxa"/>
              <w:bottom w:w="10" w:type="dxa"/>
            </w:tcMar>
            <w:vAlign w:val="center"/>
          </w:tcPr>
          <w:p w14:paraId="6C536510"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212121"/>
                <w:sz w:val="6"/>
              </w:rPr>
              <w:t>Hvorav muliggjørende</w:t>
            </w:r>
          </w:p>
        </w:tc>
        <w:tc>
          <w:tcPr>
            <w:tcW w:w="330" w:type="dxa"/>
            <w:tcBorders>
              <w:left w:val="single" w:sz="4" w:space="0" w:color="auto"/>
            </w:tcBorders>
            <w:tcMar>
              <w:top w:w="10" w:type="dxa"/>
              <w:bottom w:w="10" w:type="dxa"/>
            </w:tcMar>
            <w:vAlign w:val="center"/>
          </w:tcPr>
          <w:p w14:paraId="56590DD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left w:val="single" w:sz="4" w:space="0" w:color="auto"/>
            </w:tcBorders>
            <w:tcMar>
              <w:top w:w="10" w:type="dxa"/>
              <w:bottom w:w="10" w:type="dxa"/>
            </w:tcMar>
            <w:vAlign w:val="center"/>
          </w:tcPr>
          <w:p w14:paraId="317615F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tcBorders>
            <w:tcMar>
              <w:top w:w="10" w:type="dxa"/>
              <w:bottom w:w="10" w:type="dxa"/>
            </w:tcMar>
            <w:vAlign w:val="center"/>
          </w:tcPr>
          <w:p w14:paraId="1A35FC3A"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212121"/>
                <w:sz w:val="6"/>
              </w:rPr>
              <w:t>Hvorav bruk av proveny</w:t>
            </w:r>
          </w:p>
        </w:tc>
        <w:tc>
          <w:tcPr>
            <w:tcW w:w="488" w:type="dxa"/>
            <w:tcBorders>
              <w:top w:val="single" w:sz="4" w:space="0" w:color="auto"/>
              <w:left w:val="single" w:sz="4" w:space="0" w:color="auto"/>
            </w:tcBorders>
            <w:tcMar>
              <w:top w:w="10" w:type="dxa"/>
              <w:bottom w:w="10" w:type="dxa"/>
            </w:tcMar>
            <w:vAlign w:val="center"/>
          </w:tcPr>
          <w:p w14:paraId="2419FFD5"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212121"/>
                <w:sz w:val="6"/>
              </w:rPr>
              <w:t>Hvorav muliggjørende</w:t>
            </w:r>
          </w:p>
        </w:tc>
        <w:tc>
          <w:tcPr>
            <w:tcW w:w="336" w:type="dxa"/>
            <w:tcBorders>
              <w:left w:val="single" w:sz="4" w:space="0" w:color="auto"/>
            </w:tcBorders>
            <w:tcMar>
              <w:top w:w="10" w:type="dxa"/>
              <w:bottom w:w="10" w:type="dxa"/>
            </w:tcMar>
            <w:vAlign w:val="center"/>
          </w:tcPr>
          <w:p w14:paraId="1478622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left w:val="single" w:sz="4" w:space="0" w:color="auto"/>
            </w:tcBorders>
            <w:tcMar>
              <w:top w:w="10" w:type="dxa"/>
              <w:bottom w:w="10" w:type="dxa"/>
            </w:tcMar>
            <w:vAlign w:val="center"/>
          </w:tcPr>
          <w:p w14:paraId="695A287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42D037B3"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212121"/>
                <w:sz w:val="6"/>
              </w:rPr>
              <w:t>Hvorav bruk av proveny</w:t>
            </w:r>
          </w:p>
        </w:tc>
        <w:tc>
          <w:tcPr>
            <w:tcW w:w="456" w:type="dxa"/>
            <w:tcBorders>
              <w:top w:val="single" w:sz="4" w:space="0" w:color="auto"/>
              <w:left w:val="single" w:sz="4" w:space="0" w:color="auto"/>
            </w:tcBorders>
            <w:tcMar>
              <w:top w:w="10" w:type="dxa"/>
              <w:bottom w:w="10" w:type="dxa"/>
            </w:tcMar>
            <w:vAlign w:val="center"/>
          </w:tcPr>
          <w:p w14:paraId="48F5A445"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212121"/>
                <w:sz w:val="6"/>
              </w:rPr>
              <w:t>Hvorav omstilling</w:t>
            </w:r>
          </w:p>
        </w:tc>
        <w:tc>
          <w:tcPr>
            <w:tcW w:w="284" w:type="dxa"/>
            <w:tcBorders>
              <w:top w:val="single" w:sz="4" w:space="0" w:color="auto"/>
              <w:left w:val="single" w:sz="4" w:space="0" w:color="auto"/>
            </w:tcBorders>
            <w:tcMar>
              <w:top w:w="10" w:type="dxa"/>
              <w:bottom w:w="10" w:type="dxa"/>
            </w:tcMar>
            <w:vAlign w:val="center"/>
          </w:tcPr>
          <w:p w14:paraId="12ABC788"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sidRPr="002C5F94">
              <w:rPr>
                <w:rFonts w:ascii="Helvetica" w:hAnsi="Helvetica"/>
                <w:color w:val="auto"/>
                <w:sz w:val="6"/>
              </w:rPr>
              <w:t>Hvorav muliggjørende</w:t>
            </w:r>
          </w:p>
        </w:tc>
        <w:tc>
          <w:tcPr>
            <w:tcW w:w="420" w:type="dxa"/>
            <w:vMerge/>
            <w:tcBorders>
              <w:left w:val="single" w:sz="4" w:space="0" w:color="auto"/>
              <w:right w:val="single" w:sz="4" w:space="0" w:color="auto"/>
            </w:tcBorders>
            <w:tcMar>
              <w:top w:w="10" w:type="dxa"/>
              <w:bottom w:w="10" w:type="dxa"/>
            </w:tcMar>
            <w:vAlign w:val="center"/>
          </w:tcPr>
          <w:p w14:paraId="6312656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1AA18DE7" w14:textId="77777777">
        <w:trPr>
          <w:trHeight w:val="20"/>
        </w:trPr>
        <w:tc>
          <w:tcPr>
            <w:tcW w:w="233" w:type="dxa"/>
            <w:tcBorders>
              <w:top w:val="single" w:sz="4" w:space="0" w:color="auto"/>
              <w:left w:val="single" w:sz="4" w:space="0" w:color="auto"/>
            </w:tcBorders>
            <w:tcMar>
              <w:top w:w="10" w:type="dxa"/>
              <w:bottom w:w="10" w:type="dxa"/>
            </w:tcMar>
            <w:vAlign w:val="center"/>
          </w:tcPr>
          <w:p w14:paraId="04044B3B" w14:textId="77777777" w:rsidR="006561BA" w:rsidRDefault="006561BA">
            <w:pPr>
              <w:widowControl w:val="0"/>
              <w:shd w:val="clear" w:color="auto" w:fill="auto"/>
              <w:spacing w:after="0" w:line="240" w:lineRule="auto"/>
              <w:jc w:val="center"/>
              <w:rPr>
                <w:rFonts w:ascii="Helvetica" w:eastAsia="Arial Unicode MS" w:hAnsi="Helvetica" w:cs="Helvetica"/>
                <w:color w:val="000000"/>
                <w:sz w:val="6"/>
                <w:szCs w:val="6"/>
                <w:lang w:val="en-US"/>
              </w:rPr>
            </w:pPr>
          </w:p>
        </w:tc>
        <w:tc>
          <w:tcPr>
            <w:tcW w:w="2256" w:type="dxa"/>
            <w:tcBorders>
              <w:top w:val="single" w:sz="4" w:space="0" w:color="auto"/>
              <w:left w:val="single" w:sz="4" w:space="0" w:color="auto"/>
            </w:tcBorders>
            <w:tcMar>
              <w:top w:w="10" w:type="dxa"/>
              <w:bottom w:w="10" w:type="dxa"/>
            </w:tcMar>
            <w:vAlign w:val="center"/>
          </w:tcPr>
          <w:p w14:paraId="33C6DA05" w14:textId="77777777" w:rsidR="006561BA" w:rsidRDefault="005B4ED6">
            <w:pPr>
              <w:widowControl w:val="0"/>
              <w:shd w:val="clear" w:color="auto" w:fill="auto"/>
              <w:spacing w:after="0" w:line="240" w:lineRule="auto"/>
              <w:jc w:val="left"/>
              <w:rPr>
                <w:rFonts w:ascii="Helvetica" w:eastAsia="Arial Unicode MS" w:hAnsi="Helvetica" w:cs="Helvetica"/>
                <w:b/>
                <w:color w:val="000000"/>
                <w:sz w:val="6"/>
                <w:szCs w:val="6"/>
                <w:u w:val="single"/>
              </w:rPr>
            </w:pPr>
            <w:r>
              <w:rPr>
                <w:rFonts w:ascii="Helvetica" w:hAnsi="Helvetica"/>
                <w:b/>
                <w:color w:val="000000"/>
                <w:sz w:val="6"/>
                <w:u w:val="single"/>
              </w:rPr>
              <w:t>GAR – dekkede eiendeler i både teller og nevner</w:t>
            </w:r>
          </w:p>
        </w:tc>
        <w:tc>
          <w:tcPr>
            <w:tcW w:w="315" w:type="dxa"/>
            <w:tcBorders>
              <w:top w:val="single" w:sz="4" w:space="0" w:color="auto"/>
            </w:tcBorders>
            <w:shd w:val="clear" w:color="auto" w:fill="000000" w:themeFill="text1"/>
            <w:tcMar>
              <w:top w:w="10" w:type="dxa"/>
              <w:bottom w:w="10" w:type="dxa"/>
            </w:tcMar>
            <w:vAlign w:val="center"/>
          </w:tcPr>
          <w:p w14:paraId="6EA6C58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tcBorders>
            <w:shd w:val="clear" w:color="auto" w:fill="000000" w:themeFill="text1"/>
            <w:tcMar>
              <w:top w:w="10" w:type="dxa"/>
              <w:bottom w:w="10" w:type="dxa"/>
            </w:tcMar>
            <w:vAlign w:val="center"/>
          </w:tcPr>
          <w:p w14:paraId="0EF4085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tcBorders>
            <w:shd w:val="clear" w:color="auto" w:fill="000000" w:themeFill="text1"/>
            <w:tcMar>
              <w:top w:w="10" w:type="dxa"/>
              <w:bottom w:w="10" w:type="dxa"/>
            </w:tcMar>
            <w:vAlign w:val="center"/>
          </w:tcPr>
          <w:p w14:paraId="42EF90B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0" w:type="dxa"/>
            <w:tcBorders>
              <w:top w:val="single" w:sz="4" w:space="0" w:color="auto"/>
            </w:tcBorders>
            <w:shd w:val="clear" w:color="auto" w:fill="000000" w:themeFill="text1"/>
            <w:tcMar>
              <w:top w:w="10" w:type="dxa"/>
              <w:bottom w:w="10" w:type="dxa"/>
            </w:tcMar>
            <w:vAlign w:val="center"/>
          </w:tcPr>
          <w:p w14:paraId="7B90C54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4" w:type="dxa"/>
            <w:tcBorders>
              <w:top w:val="single" w:sz="4" w:space="0" w:color="auto"/>
            </w:tcBorders>
            <w:shd w:val="clear" w:color="auto" w:fill="000000" w:themeFill="text1"/>
            <w:tcMar>
              <w:top w:w="10" w:type="dxa"/>
              <w:bottom w:w="10" w:type="dxa"/>
            </w:tcMar>
            <w:vAlign w:val="center"/>
          </w:tcPr>
          <w:p w14:paraId="7BEC2E9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tcBorders>
            <w:shd w:val="clear" w:color="auto" w:fill="000000" w:themeFill="text1"/>
          </w:tcPr>
          <w:p w14:paraId="2EC4714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tcBorders>
            <w:shd w:val="clear" w:color="auto" w:fill="000000" w:themeFill="text1"/>
          </w:tcPr>
          <w:p w14:paraId="413ABEE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tcBorders>
            <w:shd w:val="clear" w:color="auto" w:fill="000000" w:themeFill="text1"/>
          </w:tcPr>
          <w:p w14:paraId="05BBA04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tcBorders>
            <w:shd w:val="clear" w:color="auto" w:fill="000000" w:themeFill="text1"/>
          </w:tcPr>
          <w:p w14:paraId="09FFB7C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tcBorders>
            <w:shd w:val="clear" w:color="auto" w:fill="000000" w:themeFill="text1"/>
            <w:tcMar>
              <w:top w:w="10" w:type="dxa"/>
              <w:bottom w:w="10" w:type="dxa"/>
            </w:tcMar>
            <w:vAlign w:val="center"/>
          </w:tcPr>
          <w:p w14:paraId="32392E4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tcBorders>
            <w:shd w:val="clear" w:color="auto" w:fill="000000" w:themeFill="text1"/>
            <w:tcMar>
              <w:top w:w="10" w:type="dxa"/>
              <w:bottom w:w="10" w:type="dxa"/>
            </w:tcMar>
            <w:vAlign w:val="center"/>
          </w:tcPr>
          <w:p w14:paraId="56B1E28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tcBorders>
            <w:shd w:val="clear" w:color="auto" w:fill="000000" w:themeFill="text1"/>
            <w:tcMar>
              <w:top w:w="10" w:type="dxa"/>
              <w:bottom w:w="10" w:type="dxa"/>
            </w:tcMar>
            <w:vAlign w:val="center"/>
          </w:tcPr>
          <w:p w14:paraId="014BB1A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5" w:type="dxa"/>
            <w:tcBorders>
              <w:top w:val="single" w:sz="4" w:space="0" w:color="auto"/>
            </w:tcBorders>
            <w:shd w:val="clear" w:color="auto" w:fill="000000" w:themeFill="text1"/>
            <w:tcMar>
              <w:top w:w="10" w:type="dxa"/>
              <w:bottom w:w="10" w:type="dxa"/>
            </w:tcMar>
            <w:vAlign w:val="center"/>
          </w:tcPr>
          <w:p w14:paraId="4FEC1DE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2" w:type="dxa"/>
            <w:tcBorders>
              <w:top w:val="single" w:sz="4" w:space="0" w:color="auto"/>
            </w:tcBorders>
            <w:shd w:val="clear" w:color="auto" w:fill="000000" w:themeFill="text1"/>
            <w:tcMar>
              <w:top w:w="10" w:type="dxa"/>
              <w:bottom w:w="10" w:type="dxa"/>
            </w:tcMar>
            <w:vAlign w:val="center"/>
          </w:tcPr>
          <w:p w14:paraId="3043070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tcBorders>
            <w:shd w:val="clear" w:color="auto" w:fill="000000" w:themeFill="text1"/>
            <w:tcMar>
              <w:top w:w="10" w:type="dxa"/>
              <w:bottom w:w="10" w:type="dxa"/>
            </w:tcMar>
            <w:vAlign w:val="center"/>
          </w:tcPr>
          <w:p w14:paraId="16713EA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tcBorders>
            <w:shd w:val="clear" w:color="auto" w:fill="000000" w:themeFill="text1"/>
            <w:tcMar>
              <w:top w:w="10" w:type="dxa"/>
              <w:bottom w:w="10" w:type="dxa"/>
            </w:tcMar>
            <w:vAlign w:val="center"/>
          </w:tcPr>
          <w:p w14:paraId="117D85D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tcBorders>
            <w:shd w:val="clear" w:color="auto" w:fill="000000" w:themeFill="text1"/>
            <w:tcMar>
              <w:top w:w="10" w:type="dxa"/>
              <w:bottom w:w="10" w:type="dxa"/>
            </w:tcMar>
            <w:vAlign w:val="center"/>
          </w:tcPr>
          <w:p w14:paraId="1783E4D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7" w:type="dxa"/>
            <w:tcBorders>
              <w:top w:val="single" w:sz="4" w:space="0" w:color="auto"/>
            </w:tcBorders>
            <w:shd w:val="clear" w:color="auto" w:fill="000000" w:themeFill="text1"/>
            <w:tcMar>
              <w:top w:w="10" w:type="dxa"/>
              <w:bottom w:w="10" w:type="dxa"/>
            </w:tcMar>
            <w:vAlign w:val="center"/>
          </w:tcPr>
          <w:p w14:paraId="39EEE93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tcBorders>
            <w:shd w:val="clear" w:color="auto" w:fill="000000" w:themeFill="text1"/>
            <w:tcMar>
              <w:top w:w="10" w:type="dxa"/>
              <w:bottom w:w="10" w:type="dxa"/>
            </w:tcMar>
            <w:vAlign w:val="center"/>
          </w:tcPr>
          <w:p w14:paraId="1D76C0E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4" w:type="dxa"/>
            <w:tcBorders>
              <w:top w:val="single" w:sz="4" w:space="0" w:color="auto"/>
            </w:tcBorders>
            <w:shd w:val="clear" w:color="auto" w:fill="000000" w:themeFill="text1"/>
            <w:tcMar>
              <w:top w:w="10" w:type="dxa"/>
              <w:bottom w:w="10" w:type="dxa"/>
            </w:tcMar>
            <w:vAlign w:val="center"/>
          </w:tcPr>
          <w:p w14:paraId="6FD2F51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6" w:type="dxa"/>
            <w:tcBorders>
              <w:top w:val="single" w:sz="4" w:space="0" w:color="auto"/>
            </w:tcBorders>
            <w:shd w:val="clear" w:color="auto" w:fill="000000" w:themeFill="text1"/>
            <w:tcMar>
              <w:top w:w="10" w:type="dxa"/>
              <w:bottom w:w="10" w:type="dxa"/>
            </w:tcMar>
            <w:vAlign w:val="center"/>
          </w:tcPr>
          <w:p w14:paraId="0B10924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0" w:type="dxa"/>
            <w:tcBorders>
              <w:top w:val="single" w:sz="4" w:space="0" w:color="auto"/>
            </w:tcBorders>
            <w:shd w:val="clear" w:color="auto" w:fill="000000" w:themeFill="text1"/>
            <w:tcMar>
              <w:top w:w="10" w:type="dxa"/>
              <w:bottom w:w="10" w:type="dxa"/>
            </w:tcMar>
            <w:vAlign w:val="center"/>
          </w:tcPr>
          <w:p w14:paraId="15C76B8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tcBorders>
            <w:shd w:val="clear" w:color="auto" w:fill="000000" w:themeFill="text1"/>
            <w:tcMar>
              <w:top w:w="10" w:type="dxa"/>
              <w:bottom w:w="10" w:type="dxa"/>
            </w:tcMar>
            <w:vAlign w:val="center"/>
          </w:tcPr>
          <w:p w14:paraId="1E740DE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0" w:type="dxa"/>
            <w:tcBorders>
              <w:top w:val="single" w:sz="4" w:space="0" w:color="auto"/>
            </w:tcBorders>
            <w:shd w:val="clear" w:color="auto" w:fill="000000" w:themeFill="text1"/>
            <w:tcMar>
              <w:top w:w="10" w:type="dxa"/>
              <w:bottom w:w="10" w:type="dxa"/>
            </w:tcMar>
            <w:vAlign w:val="center"/>
          </w:tcPr>
          <w:p w14:paraId="654723A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88" w:type="dxa"/>
            <w:tcBorders>
              <w:top w:val="single" w:sz="4" w:space="0" w:color="auto"/>
            </w:tcBorders>
            <w:shd w:val="clear" w:color="auto" w:fill="000000" w:themeFill="text1"/>
            <w:tcMar>
              <w:top w:w="10" w:type="dxa"/>
              <w:bottom w:w="10" w:type="dxa"/>
            </w:tcMar>
            <w:vAlign w:val="center"/>
          </w:tcPr>
          <w:p w14:paraId="753070D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tcBorders>
            <w:shd w:val="clear" w:color="auto" w:fill="000000" w:themeFill="text1"/>
            <w:tcMar>
              <w:top w:w="10" w:type="dxa"/>
              <w:bottom w:w="10" w:type="dxa"/>
            </w:tcMar>
            <w:vAlign w:val="center"/>
          </w:tcPr>
          <w:p w14:paraId="5E6710B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8" w:type="dxa"/>
            <w:tcBorders>
              <w:top w:val="single" w:sz="4" w:space="0" w:color="auto"/>
            </w:tcBorders>
            <w:shd w:val="clear" w:color="auto" w:fill="000000" w:themeFill="text1"/>
            <w:tcMar>
              <w:top w:w="10" w:type="dxa"/>
              <w:bottom w:w="10" w:type="dxa"/>
            </w:tcMar>
            <w:vAlign w:val="center"/>
          </w:tcPr>
          <w:p w14:paraId="32F970D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96" w:type="dxa"/>
            <w:tcBorders>
              <w:top w:val="single" w:sz="4" w:space="0" w:color="auto"/>
            </w:tcBorders>
            <w:shd w:val="clear" w:color="auto" w:fill="000000" w:themeFill="text1"/>
            <w:tcMar>
              <w:top w:w="10" w:type="dxa"/>
              <w:bottom w:w="10" w:type="dxa"/>
            </w:tcMar>
            <w:vAlign w:val="center"/>
          </w:tcPr>
          <w:p w14:paraId="266A7D3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56" w:type="dxa"/>
            <w:tcBorders>
              <w:top w:val="single" w:sz="4" w:space="0" w:color="auto"/>
            </w:tcBorders>
            <w:shd w:val="clear" w:color="auto" w:fill="000000" w:themeFill="text1"/>
            <w:tcMar>
              <w:top w:w="10" w:type="dxa"/>
              <w:bottom w:w="10" w:type="dxa"/>
            </w:tcMar>
            <w:vAlign w:val="center"/>
          </w:tcPr>
          <w:p w14:paraId="5E53492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 w:type="dxa"/>
            <w:tcBorders>
              <w:top w:val="single" w:sz="4" w:space="0" w:color="auto"/>
            </w:tcBorders>
            <w:shd w:val="clear" w:color="auto" w:fill="000000" w:themeFill="text1"/>
            <w:tcMar>
              <w:top w:w="10" w:type="dxa"/>
              <w:bottom w:w="10" w:type="dxa"/>
            </w:tcMar>
            <w:vAlign w:val="center"/>
          </w:tcPr>
          <w:p w14:paraId="3C2B302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tcBorders>
            <w:shd w:val="clear" w:color="auto" w:fill="000000" w:themeFill="text1"/>
            <w:tcMar>
              <w:top w:w="10" w:type="dxa"/>
              <w:bottom w:w="10" w:type="dxa"/>
            </w:tcMar>
            <w:vAlign w:val="center"/>
          </w:tcPr>
          <w:p w14:paraId="5FE2CB6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224C9670" w14:textId="77777777">
        <w:trPr>
          <w:trHeight w:val="20"/>
        </w:trPr>
        <w:tc>
          <w:tcPr>
            <w:tcW w:w="233" w:type="dxa"/>
            <w:tcBorders>
              <w:top w:val="single" w:sz="4" w:space="0" w:color="auto"/>
              <w:left w:val="single" w:sz="4" w:space="0" w:color="auto"/>
            </w:tcBorders>
            <w:tcMar>
              <w:top w:w="10" w:type="dxa"/>
              <w:bottom w:w="10" w:type="dxa"/>
            </w:tcMar>
            <w:vAlign w:val="center"/>
          </w:tcPr>
          <w:p w14:paraId="42CD90D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1</w:t>
            </w:r>
          </w:p>
        </w:tc>
        <w:tc>
          <w:tcPr>
            <w:tcW w:w="2256" w:type="dxa"/>
            <w:tcBorders>
              <w:top w:val="single" w:sz="4" w:space="0" w:color="auto"/>
              <w:left w:val="single" w:sz="4" w:space="0" w:color="auto"/>
            </w:tcBorders>
            <w:tcMar>
              <w:top w:w="10" w:type="dxa"/>
              <w:bottom w:w="10" w:type="dxa"/>
            </w:tcMar>
            <w:vAlign w:val="center"/>
          </w:tcPr>
          <w:p w14:paraId="633A4B3D" w14:textId="77777777" w:rsidR="006561BA" w:rsidRDefault="005B4ED6">
            <w:pPr>
              <w:widowControl w:val="0"/>
              <w:shd w:val="clear" w:color="auto" w:fill="auto"/>
              <w:spacing w:after="0" w:line="240" w:lineRule="auto"/>
              <w:ind w:right="672"/>
              <w:jc w:val="left"/>
              <w:rPr>
                <w:rFonts w:ascii="Helvetica" w:eastAsia="Arial Unicode MS" w:hAnsi="Helvetica" w:cs="Helvetica"/>
                <w:color w:val="000000"/>
                <w:sz w:val="6"/>
                <w:szCs w:val="6"/>
              </w:rPr>
            </w:pPr>
            <w:r>
              <w:rPr>
                <w:rFonts w:ascii="Helvetica" w:hAnsi="Helvetica"/>
                <w:color w:val="212121"/>
                <w:sz w:val="6"/>
              </w:rPr>
              <w:t>Lån og forskudd, gjeldsinstrumenter og egenkapitalinstrumenter som ikke innehas for handelsformål, og som inngår i beregningen av GAR</w:t>
            </w:r>
          </w:p>
        </w:tc>
        <w:tc>
          <w:tcPr>
            <w:tcW w:w="315" w:type="dxa"/>
            <w:tcBorders>
              <w:top w:val="single" w:sz="4" w:space="0" w:color="auto"/>
              <w:left w:val="single" w:sz="4" w:space="0" w:color="auto"/>
            </w:tcBorders>
            <w:tcMar>
              <w:top w:w="10" w:type="dxa"/>
              <w:bottom w:w="10" w:type="dxa"/>
            </w:tcMar>
            <w:vAlign w:val="center"/>
          </w:tcPr>
          <w:p w14:paraId="4E6559C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2131C90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0DF947E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0" w:type="dxa"/>
            <w:tcBorders>
              <w:top w:val="single" w:sz="4" w:space="0" w:color="auto"/>
              <w:left w:val="single" w:sz="4" w:space="0" w:color="auto"/>
            </w:tcBorders>
            <w:tcMar>
              <w:top w:w="10" w:type="dxa"/>
              <w:bottom w:w="10" w:type="dxa"/>
            </w:tcMar>
            <w:vAlign w:val="center"/>
          </w:tcPr>
          <w:p w14:paraId="2F47BA7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4" w:type="dxa"/>
            <w:tcBorders>
              <w:top w:val="single" w:sz="4" w:space="0" w:color="auto"/>
              <w:left w:val="single" w:sz="4" w:space="0" w:color="auto"/>
            </w:tcBorders>
            <w:tcMar>
              <w:top w:w="10" w:type="dxa"/>
              <w:bottom w:w="10" w:type="dxa"/>
            </w:tcMar>
            <w:vAlign w:val="center"/>
          </w:tcPr>
          <w:p w14:paraId="6DC9296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right w:val="single" w:sz="4" w:space="0" w:color="auto"/>
            </w:tcBorders>
          </w:tcPr>
          <w:p w14:paraId="5945CA1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656638B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1D9A509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4413A79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411074A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2F5780E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4AFA23F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5" w:type="dxa"/>
            <w:tcBorders>
              <w:top w:val="single" w:sz="4" w:space="0" w:color="auto"/>
              <w:left w:val="single" w:sz="4" w:space="0" w:color="auto"/>
            </w:tcBorders>
            <w:tcMar>
              <w:top w:w="10" w:type="dxa"/>
              <w:bottom w:w="10" w:type="dxa"/>
            </w:tcMar>
            <w:vAlign w:val="center"/>
          </w:tcPr>
          <w:p w14:paraId="7943B8F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2" w:type="dxa"/>
            <w:tcBorders>
              <w:top w:val="single" w:sz="4" w:space="0" w:color="auto"/>
              <w:left w:val="single" w:sz="4" w:space="0" w:color="auto"/>
            </w:tcBorders>
            <w:tcMar>
              <w:top w:w="10" w:type="dxa"/>
              <w:bottom w:w="10" w:type="dxa"/>
            </w:tcMar>
            <w:vAlign w:val="center"/>
          </w:tcPr>
          <w:p w14:paraId="361ABE1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3AFAFEE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4A10A9A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7C4909B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7" w:type="dxa"/>
            <w:tcBorders>
              <w:top w:val="single" w:sz="4" w:space="0" w:color="auto"/>
              <w:left w:val="single" w:sz="4" w:space="0" w:color="auto"/>
            </w:tcBorders>
            <w:tcMar>
              <w:top w:w="10" w:type="dxa"/>
              <w:bottom w:w="10" w:type="dxa"/>
            </w:tcMar>
            <w:vAlign w:val="center"/>
          </w:tcPr>
          <w:p w14:paraId="1906851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2A2D053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4" w:type="dxa"/>
            <w:tcBorders>
              <w:top w:val="single" w:sz="4" w:space="0" w:color="auto"/>
              <w:left w:val="single" w:sz="4" w:space="0" w:color="auto"/>
            </w:tcBorders>
            <w:tcMar>
              <w:top w:w="10" w:type="dxa"/>
              <w:bottom w:w="10" w:type="dxa"/>
            </w:tcMar>
            <w:vAlign w:val="center"/>
          </w:tcPr>
          <w:p w14:paraId="1C2D255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6" w:type="dxa"/>
            <w:tcBorders>
              <w:top w:val="single" w:sz="4" w:space="0" w:color="auto"/>
              <w:left w:val="single" w:sz="4" w:space="0" w:color="auto"/>
            </w:tcBorders>
            <w:tcMar>
              <w:top w:w="10" w:type="dxa"/>
              <w:bottom w:w="10" w:type="dxa"/>
            </w:tcMar>
            <w:vAlign w:val="center"/>
          </w:tcPr>
          <w:p w14:paraId="0AFE036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0" w:type="dxa"/>
            <w:tcBorders>
              <w:top w:val="single" w:sz="4" w:space="0" w:color="auto"/>
              <w:left w:val="single" w:sz="4" w:space="0" w:color="auto"/>
            </w:tcBorders>
            <w:tcMar>
              <w:top w:w="10" w:type="dxa"/>
              <w:bottom w:w="10" w:type="dxa"/>
            </w:tcMar>
            <w:vAlign w:val="center"/>
          </w:tcPr>
          <w:p w14:paraId="4DD4370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614F76A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0" w:type="dxa"/>
            <w:tcBorders>
              <w:top w:val="single" w:sz="4" w:space="0" w:color="auto"/>
              <w:left w:val="single" w:sz="4" w:space="0" w:color="auto"/>
            </w:tcBorders>
            <w:tcMar>
              <w:top w:w="10" w:type="dxa"/>
              <w:bottom w:w="10" w:type="dxa"/>
            </w:tcMar>
            <w:vAlign w:val="center"/>
          </w:tcPr>
          <w:p w14:paraId="4088F66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88" w:type="dxa"/>
            <w:tcBorders>
              <w:top w:val="single" w:sz="4" w:space="0" w:color="auto"/>
              <w:left w:val="single" w:sz="4" w:space="0" w:color="auto"/>
            </w:tcBorders>
            <w:tcMar>
              <w:top w:w="10" w:type="dxa"/>
              <w:bottom w:w="10" w:type="dxa"/>
            </w:tcMar>
            <w:vAlign w:val="center"/>
          </w:tcPr>
          <w:p w14:paraId="6162D88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281911C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8" w:type="dxa"/>
            <w:tcBorders>
              <w:top w:val="single" w:sz="4" w:space="0" w:color="auto"/>
              <w:left w:val="single" w:sz="4" w:space="0" w:color="auto"/>
            </w:tcBorders>
            <w:tcMar>
              <w:top w:w="10" w:type="dxa"/>
              <w:bottom w:w="10" w:type="dxa"/>
            </w:tcMar>
            <w:vAlign w:val="center"/>
          </w:tcPr>
          <w:p w14:paraId="64CBC04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96" w:type="dxa"/>
            <w:tcBorders>
              <w:top w:val="single" w:sz="4" w:space="0" w:color="auto"/>
              <w:left w:val="single" w:sz="4" w:space="0" w:color="auto"/>
            </w:tcBorders>
            <w:tcMar>
              <w:top w:w="10" w:type="dxa"/>
              <w:bottom w:w="10" w:type="dxa"/>
            </w:tcMar>
            <w:vAlign w:val="center"/>
          </w:tcPr>
          <w:p w14:paraId="779B69F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56" w:type="dxa"/>
            <w:tcBorders>
              <w:top w:val="single" w:sz="4" w:space="0" w:color="auto"/>
              <w:left w:val="single" w:sz="4" w:space="0" w:color="auto"/>
            </w:tcBorders>
            <w:tcMar>
              <w:top w:w="10" w:type="dxa"/>
              <w:bottom w:w="10" w:type="dxa"/>
            </w:tcMar>
            <w:vAlign w:val="center"/>
          </w:tcPr>
          <w:p w14:paraId="203CCED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 w:type="dxa"/>
            <w:tcBorders>
              <w:top w:val="single" w:sz="4" w:space="0" w:color="auto"/>
              <w:left w:val="single" w:sz="4" w:space="0" w:color="auto"/>
            </w:tcBorders>
            <w:tcMar>
              <w:top w:w="10" w:type="dxa"/>
              <w:bottom w:w="10" w:type="dxa"/>
            </w:tcMar>
            <w:vAlign w:val="center"/>
          </w:tcPr>
          <w:p w14:paraId="57D9060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3BC8D2D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33D88DEE" w14:textId="77777777">
        <w:trPr>
          <w:trHeight w:val="20"/>
        </w:trPr>
        <w:tc>
          <w:tcPr>
            <w:tcW w:w="233" w:type="dxa"/>
            <w:tcBorders>
              <w:top w:val="single" w:sz="4" w:space="0" w:color="auto"/>
              <w:left w:val="single" w:sz="4" w:space="0" w:color="auto"/>
            </w:tcBorders>
            <w:tcMar>
              <w:top w:w="10" w:type="dxa"/>
              <w:bottom w:w="10" w:type="dxa"/>
            </w:tcMar>
            <w:vAlign w:val="center"/>
          </w:tcPr>
          <w:p w14:paraId="6F33F97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2</w:t>
            </w:r>
          </w:p>
        </w:tc>
        <w:tc>
          <w:tcPr>
            <w:tcW w:w="2991" w:type="dxa"/>
            <w:gridSpan w:val="3"/>
            <w:tcBorders>
              <w:top w:val="single" w:sz="4" w:space="0" w:color="auto"/>
              <w:left w:val="single" w:sz="4" w:space="0" w:color="auto"/>
            </w:tcBorders>
            <w:tcMar>
              <w:top w:w="10" w:type="dxa"/>
              <w:bottom w:w="10" w:type="dxa"/>
            </w:tcMar>
            <w:vAlign w:val="center"/>
          </w:tcPr>
          <w:p w14:paraId="37F71018" w14:textId="77777777" w:rsidR="006561BA" w:rsidRDefault="005B4ED6">
            <w:pPr>
              <w:widowControl w:val="0"/>
              <w:shd w:val="clear" w:color="auto" w:fill="auto"/>
              <w:spacing w:after="0" w:line="240" w:lineRule="auto"/>
              <w:ind w:left="80"/>
              <w:jc w:val="left"/>
              <w:rPr>
                <w:rFonts w:ascii="Helvetica" w:eastAsia="Arial Unicode MS" w:hAnsi="Helvetica" w:cs="Helvetica"/>
                <w:b/>
                <w:color w:val="000000"/>
                <w:sz w:val="6"/>
                <w:szCs w:val="6"/>
              </w:rPr>
            </w:pPr>
            <w:r>
              <w:rPr>
                <w:rFonts w:ascii="Helvetica" w:hAnsi="Helvetica"/>
                <w:b/>
                <w:color w:val="000000"/>
                <w:sz w:val="6"/>
              </w:rPr>
              <w:t>Finansforetak</w:t>
            </w:r>
          </w:p>
        </w:tc>
        <w:tc>
          <w:tcPr>
            <w:tcW w:w="420" w:type="dxa"/>
            <w:tcBorders>
              <w:top w:val="single" w:sz="4" w:space="0" w:color="auto"/>
              <w:left w:val="single" w:sz="4" w:space="0" w:color="auto"/>
            </w:tcBorders>
            <w:tcMar>
              <w:top w:w="10" w:type="dxa"/>
              <w:bottom w:w="10" w:type="dxa"/>
            </w:tcMar>
            <w:vAlign w:val="center"/>
          </w:tcPr>
          <w:p w14:paraId="1C3140E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2893FC7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vAlign w:val="center"/>
          </w:tcPr>
          <w:p w14:paraId="5049488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26715BE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65E0AC5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773FD77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673934C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vAlign w:val="center"/>
          </w:tcPr>
          <w:p w14:paraId="18ABE7E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15EC68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297893E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11CFFE8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vAlign w:val="center"/>
          </w:tcPr>
          <w:p w14:paraId="7365796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16EF733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7B24805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425D592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vAlign w:val="center"/>
          </w:tcPr>
          <w:p w14:paraId="1231562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09C3DA9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tcBorders>
            <w:tcMar>
              <w:top w:w="10" w:type="dxa"/>
              <w:bottom w:w="10" w:type="dxa"/>
            </w:tcMar>
            <w:vAlign w:val="center"/>
          </w:tcPr>
          <w:p w14:paraId="39A6597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3DC3901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vAlign w:val="center"/>
          </w:tcPr>
          <w:p w14:paraId="127C668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49751EA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tcBorders>
            <w:tcMar>
              <w:top w:w="10" w:type="dxa"/>
              <w:bottom w:w="10" w:type="dxa"/>
            </w:tcMar>
            <w:vAlign w:val="center"/>
          </w:tcPr>
          <w:p w14:paraId="2D25EAE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22B23C0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2AB669C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3305EEA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05A28A2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479B37E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right w:val="single" w:sz="4" w:space="0" w:color="auto"/>
            </w:tcBorders>
            <w:tcMar>
              <w:top w:w="10" w:type="dxa"/>
              <w:bottom w:w="10" w:type="dxa"/>
            </w:tcMar>
            <w:vAlign w:val="center"/>
          </w:tcPr>
          <w:p w14:paraId="28BBD60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vAlign w:val="center"/>
          </w:tcPr>
          <w:p w14:paraId="490DDCB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735803EA" w14:textId="77777777">
        <w:trPr>
          <w:trHeight w:val="20"/>
        </w:trPr>
        <w:tc>
          <w:tcPr>
            <w:tcW w:w="233" w:type="dxa"/>
            <w:tcBorders>
              <w:top w:val="single" w:sz="4" w:space="0" w:color="auto"/>
              <w:left w:val="single" w:sz="4" w:space="0" w:color="auto"/>
            </w:tcBorders>
            <w:tcMar>
              <w:top w:w="10" w:type="dxa"/>
              <w:bottom w:w="10" w:type="dxa"/>
            </w:tcMar>
            <w:vAlign w:val="center"/>
          </w:tcPr>
          <w:p w14:paraId="15C9A134"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3</w:t>
            </w:r>
          </w:p>
        </w:tc>
        <w:tc>
          <w:tcPr>
            <w:tcW w:w="2256" w:type="dxa"/>
            <w:tcBorders>
              <w:top w:val="single" w:sz="4" w:space="0" w:color="auto"/>
              <w:left w:val="single" w:sz="4" w:space="0" w:color="auto"/>
            </w:tcBorders>
            <w:tcMar>
              <w:top w:w="10" w:type="dxa"/>
              <w:bottom w:w="10" w:type="dxa"/>
            </w:tcMar>
            <w:vAlign w:val="center"/>
          </w:tcPr>
          <w:p w14:paraId="733A1524" w14:textId="77777777" w:rsidR="006561BA" w:rsidRDefault="005B4ED6">
            <w:pPr>
              <w:widowControl w:val="0"/>
              <w:shd w:val="clear" w:color="auto" w:fill="auto"/>
              <w:spacing w:after="0" w:line="240" w:lineRule="auto"/>
              <w:ind w:left="116"/>
              <w:jc w:val="left"/>
              <w:rPr>
                <w:rFonts w:ascii="Helvetica" w:eastAsia="Arial Unicode MS" w:hAnsi="Helvetica" w:cs="Helvetica"/>
                <w:color w:val="000000"/>
                <w:sz w:val="6"/>
                <w:szCs w:val="6"/>
              </w:rPr>
            </w:pPr>
            <w:r w:rsidRPr="002C5F94">
              <w:rPr>
                <w:rFonts w:ascii="Helvetica" w:hAnsi="Helvetica"/>
                <w:color w:val="auto"/>
                <w:sz w:val="6"/>
              </w:rPr>
              <w:t>Kredittinstitusjoner</w:t>
            </w:r>
          </w:p>
        </w:tc>
        <w:tc>
          <w:tcPr>
            <w:tcW w:w="315" w:type="dxa"/>
            <w:tcBorders>
              <w:top w:val="single" w:sz="4" w:space="0" w:color="auto"/>
              <w:left w:val="single" w:sz="4" w:space="0" w:color="auto"/>
            </w:tcBorders>
            <w:tcMar>
              <w:top w:w="10" w:type="dxa"/>
              <w:bottom w:w="10" w:type="dxa"/>
            </w:tcMar>
            <w:vAlign w:val="center"/>
          </w:tcPr>
          <w:p w14:paraId="1649EA5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2CAF9A3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67BC19E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363B932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26893B4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79B2D84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5D20B17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4A45757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65B7BEB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551BD7E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2835C06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3124392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55B1EE1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2608403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2594B05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543CAC3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36A80BA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67D3022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25070DE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tcBorders>
            <w:tcMar>
              <w:top w:w="10" w:type="dxa"/>
              <w:bottom w:w="10" w:type="dxa"/>
            </w:tcMar>
            <w:vAlign w:val="center"/>
          </w:tcPr>
          <w:p w14:paraId="1AAE22E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257EB22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0885EDD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15014EB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tcBorders>
            <w:tcMar>
              <w:top w:w="10" w:type="dxa"/>
              <w:bottom w:w="10" w:type="dxa"/>
            </w:tcMar>
            <w:vAlign w:val="center"/>
          </w:tcPr>
          <w:p w14:paraId="6E3633A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3069423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511E5E8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151DF28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38EE24C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2306745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49A9D2F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13104C9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468AD4A9" w14:textId="77777777">
        <w:trPr>
          <w:trHeight w:val="20"/>
        </w:trPr>
        <w:tc>
          <w:tcPr>
            <w:tcW w:w="233" w:type="dxa"/>
            <w:tcBorders>
              <w:top w:val="single" w:sz="4" w:space="0" w:color="auto"/>
              <w:left w:val="single" w:sz="4" w:space="0" w:color="auto"/>
            </w:tcBorders>
            <w:tcMar>
              <w:top w:w="10" w:type="dxa"/>
              <w:bottom w:w="10" w:type="dxa"/>
            </w:tcMar>
            <w:vAlign w:val="center"/>
          </w:tcPr>
          <w:p w14:paraId="129B22E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4</w:t>
            </w:r>
          </w:p>
        </w:tc>
        <w:tc>
          <w:tcPr>
            <w:tcW w:w="2256" w:type="dxa"/>
            <w:tcBorders>
              <w:top w:val="single" w:sz="4" w:space="0" w:color="auto"/>
              <w:left w:val="single" w:sz="4" w:space="0" w:color="auto"/>
            </w:tcBorders>
            <w:tcMar>
              <w:top w:w="10" w:type="dxa"/>
              <w:bottom w:w="10" w:type="dxa"/>
            </w:tcMar>
            <w:vAlign w:val="center"/>
          </w:tcPr>
          <w:p w14:paraId="64965A78" w14:textId="77777777" w:rsidR="006561BA" w:rsidRDefault="005B4ED6">
            <w:pPr>
              <w:widowControl w:val="0"/>
              <w:shd w:val="clear" w:color="auto" w:fill="auto"/>
              <w:spacing w:after="0" w:line="240" w:lineRule="auto"/>
              <w:ind w:left="164"/>
              <w:jc w:val="left"/>
              <w:rPr>
                <w:rFonts w:ascii="Helvetica" w:eastAsia="Arial Unicode MS" w:hAnsi="Helvetica" w:cs="Helvetica"/>
                <w:color w:val="000000"/>
                <w:sz w:val="6"/>
                <w:szCs w:val="6"/>
              </w:rPr>
            </w:pPr>
            <w:r>
              <w:rPr>
                <w:rFonts w:ascii="Helvetica" w:hAnsi="Helvetica"/>
                <w:color w:val="212121"/>
                <w:sz w:val="6"/>
              </w:rPr>
              <w:t>Lån og forskudd</w:t>
            </w:r>
          </w:p>
        </w:tc>
        <w:tc>
          <w:tcPr>
            <w:tcW w:w="315" w:type="dxa"/>
            <w:tcBorders>
              <w:top w:val="single" w:sz="4" w:space="0" w:color="auto"/>
              <w:left w:val="single" w:sz="4" w:space="0" w:color="auto"/>
            </w:tcBorders>
            <w:tcMar>
              <w:top w:w="10" w:type="dxa"/>
              <w:bottom w:w="10" w:type="dxa"/>
            </w:tcMar>
            <w:vAlign w:val="center"/>
          </w:tcPr>
          <w:p w14:paraId="77199F0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2CF6F64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195221A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7EE2288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4538F47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35067E9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553299F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1149FE1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5EA56BE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0B297BE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5183E20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4B820EF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5784E1F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1FDD781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0E55603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7C586DC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6779332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2FAD402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24830D3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tcBorders>
            <w:tcMar>
              <w:top w:w="10" w:type="dxa"/>
              <w:bottom w:w="10" w:type="dxa"/>
            </w:tcMar>
            <w:vAlign w:val="center"/>
          </w:tcPr>
          <w:p w14:paraId="529E797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24A630C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16A93F3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75EC134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tcBorders>
            <w:tcMar>
              <w:top w:w="10" w:type="dxa"/>
              <w:bottom w:w="10" w:type="dxa"/>
            </w:tcMar>
            <w:vAlign w:val="center"/>
          </w:tcPr>
          <w:p w14:paraId="7CAC57E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7AB4C29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0399B89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3B4BCA2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65963A3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4F433A5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61224C4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7BD5723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019FF4F7" w14:textId="77777777">
        <w:trPr>
          <w:trHeight w:val="20"/>
        </w:trPr>
        <w:tc>
          <w:tcPr>
            <w:tcW w:w="233" w:type="dxa"/>
            <w:tcBorders>
              <w:top w:val="single" w:sz="4" w:space="0" w:color="auto"/>
              <w:left w:val="single" w:sz="4" w:space="0" w:color="auto"/>
            </w:tcBorders>
            <w:tcMar>
              <w:top w:w="10" w:type="dxa"/>
              <w:bottom w:w="10" w:type="dxa"/>
            </w:tcMar>
            <w:vAlign w:val="center"/>
          </w:tcPr>
          <w:p w14:paraId="570D31D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5</w:t>
            </w:r>
          </w:p>
        </w:tc>
        <w:tc>
          <w:tcPr>
            <w:tcW w:w="2256" w:type="dxa"/>
            <w:tcBorders>
              <w:top w:val="single" w:sz="4" w:space="0" w:color="auto"/>
              <w:left w:val="single" w:sz="4" w:space="0" w:color="auto"/>
            </w:tcBorders>
            <w:tcMar>
              <w:top w:w="10" w:type="dxa"/>
              <w:bottom w:w="10" w:type="dxa"/>
            </w:tcMar>
            <w:vAlign w:val="center"/>
          </w:tcPr>
          <w:p w14:paraId="303D9B6F" w14:textId="77777777" w:rsidR="006561BA" w:rsidRDefault="005B4ED6">
            <w:pPr>
              <w:widowControl w:val="0"/>
              <w:shd w:val="clear" w:color="auto" w:fill="auto"/>
              <w:spacing w:after="0" w:line="240" w:lineRule="auto"/>
              <w:ind w:left="164"/>
              <w:jc w:val="left"/>
              <w:rPr>
                <w:rFonts w:ascii="Helvetica" w:eastAsia="Arial Unicode MS" w:hAnsi="Helvetica" w:cs="Helvetica"/>
                <w:color w:val="000000"/>
                <w:sz w:val="6"/>
                <w:szCs w:val="6"/>
              </w:rPr>
            </w:pPr>
            <w:r>
              <w:rPr>
                <w:rFonts w:ascii="Helvetica" w:hAnsi="Helvetica"/>
                <w:color w:val="212121"/>
                <w:sz w:val="6"/>
              </w:rPr>
              <w:t>Gjeldsinstrumenter, herunder bruk av proveny</w:t>
            </w:r>
          </w:p>
        </w:tc>
        <w:tc>
          <w:tcPr>
            <w:tcW w:w="315" w:type="dxa"/>
            <w:tcBorders>
              <w:top w:val="single" w:sz="4" w:space="0" w:color="auto"/>
              <w:left w:val="single" w:sz="4" w:space="0" w:color="auto"/>
            </w:tcBorders>
            <w:tcMar>
              <w:top w:w="10" w:type="dxa"/>
              <w:bottom w:w="10" w:type="dxa"/>
            </w:tcMar>
            <w:vAlign w:val="center"/>
          </w:tcPr>
          <w:p w14:paraId="4680D01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56BC936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1B6F5FA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0" w:type="dxa"/>
            <w:tcBorders>
              <w:top w:val="single" w:sz="4" w:space="0" w:color="auto"/>
              <w:left w:val="single" w:sz="4" w:space="0" w:color="auto"/>
            </w:tcBorders>
            <w:tcMar>
              <w:top w:w="10" w:type="dxa"/>
              <w:bottom w:w="10" w:type="dxa"/>
            </w:tcMar>
            <w:vAlign w:val="center"/>
          </w:tcPr>
          <w:p w14:paraId="1AB4B0C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4" w:type="dxa"/>
            <w:tcBorders>
              <w:top w:val="single" w:sz="4" w:space="0" w:color="auto"/>
              <w:left w:val="single" w:sz="4" w:space="0" w:color="auto"/>
            </w:tcBorders>
            <w:tcMar>
              <w:top w:w="10" w:type="dxa"/>
              <w:bottom w:w="10" w:type="dxa"/>
            </w:tcMar>
            <w:vAlign w:val="center"/>
          </w:tcPr>
          <w:p w14:paraId="20EF985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right w:val="single" w:sz="4" w:space="0" w:color="auto"/>
            </w:tcBorders>
          </w:tcPr>
          <w:p w14:paraId="22B422B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73A4898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0A3D62C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700338A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46A0EF4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2709436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296B858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5" w:type="dxa"/>
            <w:tcBorders>
              <w:top w:val="single" w:sz="4" w:space="0" w:color="auto"/>
              <w:left w:val="single" w:sz="4" w:space="0" w:color="auto"/>
            </w:tcBorders>
            <w:tcMar>
              <w:top w:w="10" w:type="dxa"/>
              <w:bottom w:w="10" w:type="dxa"/>
            </w:tcMar>
            <w:vAlign w:val="center"/>
          </w:tcPr>
          <w:p w14:paraId="1CEDA3D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2" w:type="dxa"/>
            <w:tcBorders>
              <w:top w:val="single" w:sz="4" w:space="0" w:color="auto"/>
              <w:left w:val="single" w:sz="4" w:space="0" w:color="auto"/>
            </w:tcBorders>
            <w:tcMar>
              <w:top w:w="10" w:type="dxa"/>
              <w:bottom w:w="10" w:type="dxa"/>
            </w:tcMar>
            <w:vAlign w:val="center"/>
          </w:tcPr>
          <w:p w14:paraId="63B26FB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4F75148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59A05BD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77F07C8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7" w:type="dxa"/>
            <w:tcBorders>
              <w:top w:val="single" w:sz="4" w:space="0" w:color="auto"/>
              <w:left w:val="single" w:sz="4" w:space="0" w:color="auto"/>
            </w:tcBorders>
            <w:tcMar>
              <w:top w:w="10" w:type="dxa"/>
              <w:bottom w:w="10" w:type="dxa"/>
            </w:tcMar>
            <w:vAlign w:val="center"/>
          </w:tcPr>
          <w:p w14:paraId="5FE5578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7C5C8B4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4" w:type="dxa"/>
            <w:tcBorders>
              <w:top w:val="single" w:sz="4" w:space="0" w:color="auto"/>
              <w:left w:val="single" w:sz="4" w:space="0" w:color="auto"/>
            </w:tcBorders>
            <w:tcMar>
              <w:top w:w="10" w:type="dxa"/>
              <w:bottom w:w="10" w:type="dxa"/>
            </w:tcMar>
            <w:vAlign w:val="center"/>
          </w:tcPr>
          <w:p w14:paraId="0557C81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6" w:type="dxa"/>
            <w:tcBorders>
              <w:top w:val="single" w:sz="4" w:space="0" w:color="auto"/>
              <w:left w:val="single" w:sz="4" w:space="0" w:color="auto"/>
            </w:tcBorders>
            <w:tcMar>
              <w:top w:w="10" w:type="dxa"/>
              <w:bottom w:w="10" w:type="dxa"/>
            </w:tcMar>
            <w:vAlign w:val="center"/>
          </w:tcPr>
          <w:p w14:paraId="13A49F5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0" w:type="dxa"/>
            <w:tcBorders>
              <w:top w:val="single" w:sz="4" w:space="0" w:color="auto"/>
              <w:left w:val="single" w:sz="4" w:space="0" w:color="auto"/>
            </w:tcBorders>
            <w:tcMar>
              <w:top w:w="10" w:type="dxa"/>
              <w:bottom w:w="10" w:type="dxa"/>
            </w:tcMar>
            <w:vAlign w:val="center"/>
          </w:tcPr>
          <w:p w14:paraId="2D814C7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545EF06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0" w:type="dxa"/>
            <w:tcBorders>
              <w:top w:val="single" w:sz="4" w:space="0" w:color="auto"/>
              <w:left w:val="single" w:sz="4" w:space="0" w:color="auto"/>
            </w:tcBorders>
            <w:tcMar>
              <w:top w:w="10" w:type="dxa"/>
              <w:bottom w:w="10" w:type="dxa"/>
            </w:tcMar>
            <w:vAlign w:val="center"/>
          </w:tcPr>
          <w:p w14:paraId="59399FB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88" w:type="dxa"/>
            <w:tcBorders>
              <w:top w:val="single" w:sz="4" w:space="0" w:color="auto"/>
              <w:left w:val="single" w:sz="4" w:space="0" w:color="auto"/>
            </w:tcBorders>
            <w:tcMar>
              <w:top w:w="10" w:type="dxa"/>
              <w:bottom w:w="10" w:type="dxa"/>
            </w:tcMar>
            <w:vAlign w:val="center"/>
          </w:tcPr>
          <w:p w14:paraId="12B0484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0FD2AD9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8" w:type="dxa"/>
            <w:tcBorders>
              <w:top w:val="single" w:sz="4" w:space="0" w:color="auto"/>
              <w:left w:val="single" w:sz="4" w:space="0" w:color="auto"/>
            </w:tcBorders>
            <w:tcMar>
              <w:top w:w="10" w:type="dxa"/>
              <w:bottom w:w="10" w:type="dxa"/>
            </w:tcMar>
            <w:vAlign w:val="center"/>
          </w:tcPr>
          <w:p w14:paraId="205AE1E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96" w:type="dxa"/>
            <w:tcBorders>
              <w:top w:val="single" w:sz="4" w:space="0" w:color="auto"/>
              <w:left w:val="single" w:sz="4" w:space="0" w:color="auto"/>
            </w:tcBorders>
            <w:tcMar>
              <w:top w:w="10" w:type="dxa"/>
              <w:bottom w:w="10" w:type="dxa"/>
            </w:tcMar>
            <w:vAlign w:val="center"/>
          </w:tcPr>
          <w:p w14:paraId="59996FE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56" w:type="dxa"/>
            <w:tcBorders>
              <w:top w:val="single" w:sz="4" w:space="0" w:color="auto"/>
              <w:left w:val="single" w:sz="4" w:space="0" w:color="auto"/>
            </w:tcBorders>
            <w:tcMar>
              <w:top w:w="10" w:type="dxa"/>
              <w:bottom w:w="10" w:type="dxa"/>
            </w:tcMar>
            <w:vAlign w:val="center"/>
          </w:tcPr>
          <w:p w14:paraId="6E65C21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 w:type="dxa"/>
            <w:tcBorders>
              <w:top w:val="single" w:sz="4" w:space="0" w:color="auto"/>
              <w:left w:val="single" w:sz="4" w:space="0" w:color="auto"/>
            </w:tcBorders>
            <w:tcMar>
              <w:top w:w="10" w:type="dxa"/>
              <w:bottom w:w="10" w:type="dxa"/>
            </w:tcMar>
            <w:vAlign w:val="center"/>
          </w:tcPr>
          <w:p w14:paraId="50D48EE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057C038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78C8855C" w14:textId="77777777">
        <w:trPr>
          <w:trHeight w:val="20"/>
        </w:trPr>
        <w:tc>
          <w:tcPr>
            <w:tcW w:w="233" w:type="dxa"/>
            <w:tcBorders>
              <w:top w:val="single" w:sz="4" w:space="0" w:color="auto"/>
              <w:left w:val="single" w:sz="4" w:space="0" w:color="auto"/>
            </w:tcBorders>
            <w:tcMar>
              <w:top w:w="10" w:type="dxa"/>
              <w:bottom w:w="10" w:type="dxa"/>
            </w:tcMar>
            <w:vAlign w:val="center"/>
          </w:tcPr>
          <w:p w14:paraId="70854D9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6</w:t>
            </w:r>
          </w:p>
        </w:tc>
        <w:tc>
          <w:tcPr>
            <w:tcW w:w="2256" w:type="dxa"/>
            <w:tcBorders>
              <w:top w:val="single" w:sz="4" w:space="0" w:color="auto"/>
              <w:left w:val="single" w:sz="4" w:space="0" w:color="auto"/>
            </w:tcBorders>
            <w:tcMar>
              <w:top w:w="10" w:type="dxa"/>
              <w:bottom w:w="10" w:type="dxa"/>
            </w:tcMar>
            <w:vAlign w:val="center"/>
          </w:tcPr>
          <w:p w14:paraId="44FDA977" w14:textId="77777777" w:rsidR="006561BA" w:rsidRDefault="005B4ED6">
            <w:pPr>
              <w:widowControl w:val="0"/>
              <w:shd w:val="clear" w:color="auto" w:fill="auto"/>
              <w:spacing w:after="0" w:line="240" w:lineRule="auto"/>
              <w:ind w:left="164"/>
              <w:jc w:val="left"/>
              <w:rPr>
                <w:rFonts w:ascii="Helvetica" w:eastAsia="Arial Unicode MS" w:hAnsi="Helvetica" w:cs="Helvetica"/>
                <w:color w:val="000000"/>
                <w:sz w:val="6"/>
                <w:szCs w:val="6"/>
              </w:rPr>
            </w:pPr>
            <w:r>
              <w:rPr>
                <w:rFonts w:ascii="Helvetica" w:hAnsi="Helvetica"/>
                <w:color w:val="212121"/>
                <w:sz w:val="6"/>
              </w:rPr>
              <w:t>Egenkapitalinstrumenter</w:t>
            </w:r>
          </w:p>
        </w:tc>
        <w:tc>
          <w:tcPr>
            <w:tcW w:w="315" w:type="dxa"/>
            <w:tcBorders>
              <w:top w:val="single" w:sz="4" w:space="0" w:color="auto"/>
              <w:left w:val="single" w:sz="4" w:space="0" w:color="auto"/>
            </w:tcBorders>
            <w:tcMar>
              <w:top w:w="10" w:type="dxa"/>
              <w:bottom w:w="10" w:type="dxa"/>
            </w:tcMar>
            <w:vAlign w:val="center"/>
          </w:tcPr>
          <w:p w14:paraId="525B0DE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0A3212D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left w:val="single" w:sz="4" w:space="0" w:color="auto"/>
            </w:tcBorders>
            <w:shd w:val="clear" w:color="auto" w:fill="000000" w:themeFill="text1"/>
            <w:tcMar>
              <w:top w:w="10" w:type="dxa"/>
              <w:bottom w:w="10" w:type="dxa"/>
            </w:tcMar>
            <w:vAlign w:val="center"/>
          </w:tcPr>
          <w:p w14:paraId="3E08ADF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6E06FF5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1D7DF32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03E5536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0FBDF13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shd w:val="clear" w:color="auto" w:fill="000000" w:themeFill="text1"/>
          </w:tcPr>
          <w:p w14:paraId="04DB671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700E488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6F0129D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1AAF5CB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shd w:val="clear" w:color="auto" w:fill="000000" w:themeFill="text1"/>
            <w:tcMar>
              <w:top w:w="10" w:type="dxa"/>
              <w:bottom w:w="10" w:type="dxa"/>
            </w:tcMar>
            <w:vAlign w:val="center"/>
          </w:tcPr>
          <w:p w14:paraId="5484040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679BB24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5B12FB9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024A0F9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shd w:val="clear" w:color="auto" w:fill="000000" w:themeFill="text1"/>
            <w:tcMar>
              <w:top w:w="10" w:type="dxa"/>
              <w:bottom w:w="10" w:type="dxa"/>
            </w:tcMar>
            <w:vAlign w:val="center"/>
          </w:tcPr>
          <w:p w14:paraId="6E440D5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43C15A8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6BBB421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09E2492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left w:val="single" w:sz="4" w:space="0" w:color="auto"/>
            </w:tcBorders>
            <w:shd w:val="clear" w:color="auto" w:fill="000000" w:themeFill="text1"/>
            <w:tcMar>
              <w:top w:w="10" w:type="dxa"/>
              <w:bottom w:w="10" w:type="dxa"/>
            </w:tcMar>
            <w:vAlign w:val="center"/>
          </w:tcPr>
          <w:p w14:paraId="491D92B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0E927B1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2489819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4A3E56D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left w:val="single" w:sz="4" w:space="0" w:color="auto"/>
            </w:tcBorders>
            <w:shd w:val="clear" w:color="auto" w:fill="000000" w:themeFill="text1"/>
            <w:tcMar>
              <w:top w:w="10" w:type="dxa"/>
              <w:bottom w:w="10" w:type="dxa"/>
            </w:tcMar>
            <w:vAlign w:val="center"/>
          </w:tcPr>
          <w:p w14:paraId="5495C0F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10193F5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339FC47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1342187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left w:val="single" w:sz="4" w:space="0" w:color="auto"/>
            </w:tcBorders>
            <w:shd w:val="clear" w:color="auto" w:fill="000000" w:themeFill="text1"/>
            <w:tcMar>
              <w:top w:w="10" w:type="dxa"/>
              <w:bottom w:w="10" w:type="dxa"/>
            </w:tcMar>
            <w:vAlign w:val="center"/>
          </w:tcPr>
          <w:p w14:paraId="69B0C53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3D8B068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1987502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771B98F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14C40FE2" w14:textId="77777777">
        <w:trPr>
          <w:trHeight w:val="20"/>
        </w:trPr>
        <w:tc>
          <w:tcPr>
            <w:tcW w:w="233" w:type="dxa"/>
            <w:tcBorders>
              <w:top w:val="single" w:sz="4" w:space="0" w:color="auto"/>
              <w:left w:val="single" w:sz="4" w:space="0" w:color="auto"/>
            </w:tcBorders>
            <w:tcMar>
              <w:top w:w="10" w:type="dxa"/>
              <w:bottom w:w="10" w:type="dxa"/>
            </w:tcMar>
            <w:vAlign w:val="center"/>
          </w:tcPr>
          <w:p w14:paraId="3FB112D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7</w:t>
            </w:r>
          </w:p>
        </w:tc>
        <w:tc>
          <w:tcPr>
            <w:tcW w:w="2256" w:type="dxa"/>
            <w:tcBorders>
              <w:top w:val="single" w:sz="4" w:space="0" w:color="auto"/>
              <w:left w:val="single" w:sz="4" w:space="0" w:color="auto"/>
            </w:tcBorders>
            <w:tcMar>
              <w:top w:w="10" w:type="dxa"/>
              <w:bottom w:w="10" w:type="dxa"/>
            </w:tcMar>
            <w:vAlign w:val="center"/>
          </w:tcPr>
          <w:p w14:paraId="072C4B53" w14:textId="77777777" w:rsidR="006561BA" w:rsidRDefault="005B4ED6">
            <w:pPr>
              <w:widowControl w:val="0"/>
              <w:shd w:val="clear" w:color="auto" w:fill="auto"/>
              <w:spacing w:after="0" w:line="240" w:lineRule="auto"/>
              <w:ind w:left="116"/>
              <w:jc w:val="left"/>
              <w:rPr>
                <w:rFonts w:ascii="Helvetica" w:eastAsia="Arial Unicode MS" w:hAnsi="Helvetica" w:cs="Helvetica"/>
                <w:color w:val="000000"/>
                <w:sz w:val="6"/>
                <w:szCs w:val="6"/>
              </w:rPr>
            </w:pPr>
            <w:r>
              <w:rPr>
                <w:rFonts w:ascii="Helvetica" w:hAnsi="Helvetica"/>
                <w:color w:val="212121"/>
                <w:sz w:val="6"/>
              </w:rPr>
              <w:t>Andre finansielle foretak</w:t>
            </w:r>
          </w:p>
        </w:tc>
        <w:tc>
          <w:tcPr>
            <w:tcW w:w="315" w:type="dxa"/>
            <w:tcBorders>
              <w:top w:val="single" w:sz="4" w:space="0" w:color="auto"/>
              <w:left w:val="single" w:sz="4" w:space="0" w:color="auto"/>
            </w:tcBorders>
            <w:tcMar>
              <w:top w:w="10" w:type="dxa"/>
              <w:bottom w:w="10" w:type="dxa"/>
            </w:tcMar>
            <w:vAlign w:val="center"/>
          </w:tcPr>
          <w:p w14:paraId="49526FB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7A95958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left w:val="single" w:sz="4" w:space="0" w:color="auto"/>
            </w:tcBorders>
            <w:tcMar>
              <w:top w:w="10" w:type="dxa"/>
              <w:bottom w:w="10" w:type="dxa"/>
            </w:tcMar>
            <w:vAlign w:val="center"/>
          </w:tcPr>
          <w:p w14:paraId="57963D2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39B4C43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66D8D4B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27653CA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71D5D4F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3359292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7E8CBA5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77D6BC5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0404D3F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tcMar>
              <w:top w:w="10" w:type="dxa"/>
              <w:bottom w:w="10" w:type="dxa"/>
            </w:tcMar>
            <w:vAlign w:val="center"/>
          </w:tcPr>
          <w:p w14:paraId="48455E2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283A2F2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5B2F9FF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4D19AF4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tcMar>
              <w:top w:w="10" w:type="dxa"/>
              <w:bottom w:w="10" w:type="dxa"/>
            </w:tcMar>
            <w:vAlign w:val="center"/>
          </w:tcPr>
          <w:p w14:paraId="6D665F7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0B68E07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51785B3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114F73D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left w:val="single" w:sz="4" w:space="0" w:color="auto"/>
            </w:tcBorders>
            <w:tcMar>
              <w:top w:w="10" w:type="dxa"/>
              <w:bottom w:w="10" w:type="dxa"/>
            </w:tcMar>
            <w:vAlign w:val="center"/>
          </w:tcPr>
          <w:p w14:paraId="301AECE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13FFE4F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5AFF994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1AA8A99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left w:val="single" w:sz="4" w:space="0" w:color="auto"/>
            </w:tcBorders>
            <w:tcMar>
              <w:top w:w="10" w:type="dxa"/>
              <w:bottom w:w="10" w:type="dxa"/>
            </w:tcMar>
            <w:vAlign w:val="center"/>
          </w:tcPr>
          <w:p w14:paraId="537FBDE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66A641C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1335715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0449E37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left w:val="single" w:sz="4" w:space="0" w:color="auto"/>
            </w:tcBorders>
            <w:tcMar>
              <w:top w:w="10" w:type="dxa"/>
              <w:bottom w:w="10" w:type="dxa"/>
            </w:tcMar>
            <w:vAlign w:val="center"/>
          </w:tcPr>
          <w:p w14:paraId="21A8CD7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63DEF14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7ADBCAB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5CFDEEE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1DEEF183" w14:textId="77777777">
        <w:trPr>
          <w:trHeight w:val="20"/>
        </w:trPr>
        <w:tc>
          <w:tcPr>
            <w:tcW w:w="233" w:type="dxa"/>
            <w:tcBorders>
              <w:top w:val="single" w:sz="4" w:space="0" w:color="auto"/>
              <w:left w:val="single" w:sz="4" w:space="0" w:color="auto"/>
            </w:tcBorders>
            <w:tcMar>
              <w:top w:w="10" w:type="dxa"/>
              <w:bottom w:w="10" w:type="dxa"/>
            </w:tcMar>
            <w:vAlign w:val="center"/>
          </w:tcPr>
          <w:p w14:paraId="40A2086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8</w:t>
            </w:r>
          </w:p>
        </w:tc>
        <w:tc>
          <w:tcPr>
            <w:tcW w:w="2256" w:type="dxa"/>
            <w:tcBorders>
              <w:top w:val="single" w:sz="4" w:space="0" w:color="auto"/>
              <w:left w:val="single" w:sz="4" w:space="0" w:color="auto"/>
            </w:tcBorders>
            <w:tcMar>
              <w:top w:w="10" w:type="dxa"/>
              <w:bottom w:w="10" w:type="dxa"/>
            </w:tcMar>
            <w:vAlign w:val="center"/>
          </w:tcPr>
          <w:p w14:paraId="23290CD8" w14:textId="77777777" w:rsidR="006561BA" w:rsidRDefault="005B4ED6">
            <w:pPr>
              <w:widowControl w:val="0"/>
              <w:shd w:val="clear" w:color="auto" w:fill="auto"/>
              <w:spacing w:after="0" w:line="240" w:lineRule="auto"/>
              <w:ind w:left="164"/>
              <w:jc w:val="left"/>
              <w:rPr>
                <w:rFonts w:ascii="Helvetica" w:eastAsia="Arial Unicode MS" w:hAnsi="Helvetica" w:cs="Helvetica"/>
                <w:color w:val="000000"/>
                <w:sz w:val="6"/>
                <w:szCs w:val="6"/>
              </w:rPr>
            </w:pPr>
            <w:r>
              <w:rPr>
                <w:rFonts w:ascii="Helvetica" w:hAnsi="Helvetica"/>
                <w:color w:val="212121"/>
                <w:sz w:val="6"/>
              </w:rPr>
              <w:t>hvorav verdipapirforetak</w:t>
            </w:r>
          </w:p>
        </w:tc>
        <w:tc>
          <w:tcPr>
            <w:tcW w:w="315" w:type="dxa"/>
            <w:tcBorders>
              <w:top w:val="single" w:sz="4" w:space="0" w:color="auto"/>
              <w:left w:val="single" w:sz="4" w:space="0" w:color="auto"/>
            </w:tcBorders>
            <w:tcMar>
              <w:top w:w="10" w:type="dxa"/>
              <w:bottom w:w="10" w:type="dxa"/>
            </w:tcMar>
            <w:vAlign w:val="center"/>
          </w:tcPr>
          <w:p w14:paraId="78DE817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0B1AECD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22FC7F6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4BB1161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63AA6C7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1C0FFCD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2C63249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727E701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779F230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2F0ED8E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67A49D7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3138CB5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6ADED4C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0194B06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4040339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7A06F47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77DDD77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149FE6D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5567B4A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tcBorders>
            <w:tcMar>
              <w:top w:w="10" w:type="dxa"/>
              <w:bottom w:w="10" w:type="dxa"/>
            </w:tcMar>
            <w:vAlign w:val="center"/>
          </w:tcPr>
          <w:p w14:paraId="068934E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58BEF5B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30E4E34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57F0731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tcBorders>
            <w:tcMar>
              <w:top w:w="10" w:type="dxa"/>
              <w:bottom w:w="10" w:type="dxa"/>
            </w:tcMar>
            <w:vAlign w:val="center"/>
          </w:tcPr>
          <w:p w14:paraId="3E7CE23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57FF718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7DB2690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40744BD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488D912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7A0570A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3DBFDCC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0485D95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288A5068" w14:textId="77777777">
        <w:trPr>
          <w:trHeight w:val="20"/>
        </w:trPr>
        <w:tc>
          <w:tcPr>
            <w:tcW w:w="233" w:type="dxa"/>
            <w:tcBorders>
              <w:top w:val="single" w:sz="4" w:space="0" w:color="auto"/>
              <w:left w:val="single" w:sz="4" w:space="0" w:color="auto"/>
            </w:tcBorders>
            <w:tcMar>
              <w:top w:w="10" w:type="dxa"/>
              <w:bottom w:w="10" w:type="dxa"/>
            </w:tcMar>
            <w:vAlign w:val="center"/>
          </w:tcPr>
          <w:p w14:paraId="72B3F67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9</w:t>
            </w:r>
          </w:p>
        </w:tc>
        <w:tc>
          <w:tcPr>
            <w:tcW w:w="2256" w:type="dxa"/>
            <w:tcBorders>
              <w:top w:val="single" w:sz="4" w:space="0" w:color="auto"/>
              <w:left w:val="single" w:sz="4" w:space="0" w:color="auto"/>
            </w:tcBorders>
            <w:tcMar>
              <w:top w:w="10" w:type="dxa"/>
              <w:bottom w:w="10" w:type="dxa"/>
            </w:tcMar>
            <w:vAlign w:val="center"/>
          </w:tcPr>
          <w:p w14:paraId="7D0254AB" w14:textId="77777777" w:rsidR="006561BA" w:rsidRDefault="005B4ED6">
            <w:pPr>
              <w:widowControl w:val="0"/>
              <w:shd w:val="clear" w:color="auto" w:fill="auto"/>
              <w:spacing w:after="0" w:line="240" w:lineRule="auto"/>
              <w:ind w:left="200"/>
              <w:jc w:val="left"/>
              <w:rPr>
                <w:rFonts w:ascii="Helvetica" w:eastAsia="Arial Unicode MS" w:hAnsi="Helvetica" w:cs="Helvetica"/>
                <w:color w:val="000000"/>
                <w:sz w:val="6"/>
                <w:szCs w:val="6"/>
              </w:rPr>
            </w:pPr>
            <w:r>
              <w:rPr>
                <w:rFonts w:ascii="Helvetica" w:hAnsi="Helvetica"/>
                <w:color w:val="212121"/>
                <w:sz w:val="6"/>
              </w:rPr>
              <w:t>Lån og forskudd</w:t>
            </w:r>
          </w:p>
        </w:tc>
        <w:tc>
          <w:tcPr>
            <w:tcW w:w="315" w:type="dxa"/>
            <w:tcBorders>
              <w:top w:val="single" w:sz="4" w:space="0" w:color="auto"/>
              <w:left w:val="single" w:sz="4" w:space="0" w:color="auto"/>
            </w:tcBorders>
            <w:tcMar>
              <w:top w:w="10" w:type="dxa"/>
              <w:bottom w:w="10" w:type="dxa"/>
            </w:tcMar>
            <w:vAlign w:val="center"/>
          </w:tcPr>
          <w:p w14:paraId="5D771BA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3D6BE4E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6F393D9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01FCDB9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5C8114E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5F0CEFF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0E5DB63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3C24F2C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708304C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6D5C090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7ED2782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6B5855B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36DC6C4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4133895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7128670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36057FF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0C0BDDE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3E4CF4A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2953AA8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tcBorders>
            <w:tcMar>
              <w:top w:w="10" w:type="dxa"/>
              <w:bottom w:w="10" w:type="dxa"/>
            </w:tcMar>
            <w:vAlign w:val="center"/>
          </w:tcPr>
          <w:p w14:paraId="09C1C56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69BFABE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7932BDC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2AA7FEC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tcBorders>
            <w:tcMar>
              <w:top w:w="10" w:type="dxa"/>
              <w:bottom w:w="10" w:type="dxa"/>
            </w:tcMar>
            <w:vAlign w:val="center"/>
          </w:tcPr>
          <w:p w14:paraId="09E5A64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4A29D6E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42262A3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4D2E791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0AE7490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65E9992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4DA5B14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688DF20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7916123E" w14:textId="77777777">
        <w:trPr>
          <w:trHeight w:val="20"/>
        </w:trPr>
        <w:tc>
          <w:tcPr>
            <w:tcW w:w="233" w:type="dxa"/>
            <w:tcBorders>
              <w:top w:val="single" w:sz="4" w:space="0" w:color="auto"/>
              <w:left w:val="single" w:sz="4" w:space="0" w:color="auto"/>
            </w:tcBorders>
            <w:tcMar>
              <w:top w:w="10" w:type="dxa"/>
              <w:bottom w:w="10" w:type="dxa"/>
            </w:tcMar>
            <w:vAlign w:val="center"/>
          </w:tcPr>
          <w:p w14:paraId="5D3B6E2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10</w:t>
            </w:r>
          </w:p>
        </w:tc>
        <w:tc>
          <w:tcPr>
            <w:tcW w:w="2256" w:type="dxa"/>
            <w:tcBorders>
              <w:top w:val="single" w:sz="4" w:space="0" w:color="auto"/>
              <w:left w:val="single" w:sz="4" w:space="0" w:color="auto"/>
            </w:tcBorders>
            <w:tcMar>
              <w:top w:w="10" w:type="dxa"/>
              <w:bottom w:w="10" w:type="dxa"/>
            </w:tcMar>
            <w:vAlign w:val="center"/>
          </w:tcPr>
          <w:p w14:paraId="4BFE0691" w14:textId="77777777" w:rsidR="006561BA" w:rsidRDefault="005B4ED6">
            <w:pPr>
              <w:widowControl w:val="0"/>
              <w:shd w:val="clear" w:color="auto" w:fill="auto"/>
              <w:spacing w:after="0" w:line="240" w:lineRule="auto"/>
              <w:ind w:left="200"/>
              <w:jc w:val="left"/>
              <w:rPr>
                <w:rFonts w:ascii="Helvetica" w:eastAsia="Arial Unicode MS" w:hAnsi="Helvetica" w:cs="Helvetica"/>
                <w:color w:val="000000"/>
                <w:sz w:val="6"/>
                <w:szCs w:val="6"/>
              </w:rPr>
            </w:pPr>
            <w:r>
              <w:rPr>
                <w:rFonts w:ascii="Helvetica" w:hAnsi="Helvetica"/>
                <w:color w:val="212121"/>
                <w:sz w:val="6"/>
              </w:rPr>
              <w:t>Gjeldsinstrumenter, herunder bruk av proveny</w:t>
            </w:r>
          </w:p>
        </w:tc>
        <w:tc>
          <w:tcPr>
            <w:tcW w:w="315" w:type="dxa"/>
            <w:tcBorders>
              <w:top w:val="single" w:sz="4" w:space="0" w:color="auto"/>
              <w:left w:val="single" w:sz="4" w:space="0" w:color="auto"/>
            </w:tcBorders>
            <w:tcMar>
              <w:top w:w="10" w:type="dxa"/>
              <w:bottom w:w="10" w:type="dxa"/>
            </w:tcMar>
            <w:vAlign w:val="center"/>
          </w:tcPr>
          <w:p w14:paraId="6B4EC33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47A2F27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513C739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0" w:type="dxa"/>
            <w:tcBorders>
              <w:top w:val="single" w:sz="4" w:space="0" w:color="auto"/>
              <w:left w:val="single" w:sz="4" w:space="0" w:color="auto"/>
            </w:tcBorders>
            <w:tcMar>
              <w:top w:w="10" w:type="dxa"/>
              <w:bottom w:w="10" w:type="dxa"/>
            </w:tcMar>
            <w:vAlign w:val="center"/>
          </w:tcPr>
          <w:p w14:paraId="172BD9E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4" w:type="dxa"/>
            <w:tcBorders>
              <w:top w:val="single" w:sz="4" w:space="0" w:color="auto"/>
              <w:left w:val="single" w:sz="4" w:space="0" w:color="auto"/>
            </w:tcBorders>
            <w:tcMar>
              <w:top w:w="10" w:type="dxa"/>
              <w:bottom w:w="10" w:type="dxa"/>
            </w:tcMar>
            <w:vAlign w:val="center"/>
          </w:tcPr>
          <w:p w14:paraId="085234A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right w:val="single" w:sz="4" w:space="0" w:color="auto"/>
            </w:tcBorders>
          </w:tcPr>
          <w:p w14:paraId="54BBA39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3D7EDFE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4760357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50EF4DC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07878C5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761F65D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2D9264C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5" w:type="dxa"/>
            <w:tcBorders>
              <w:top w:val="single" w:sz="4" w:space="0" w:color="auto"/>
              <w:left w:val="single" w:sz="4" w:space="0" w:color="auto"/>
            </w:tcBorders>
            <w:tcMar>
              <w:top w:w="10" w:type="dxa"/>
              <w:bottom w:w="10" w:type="dxa"/>
            </w:tcMar>
            <w:vAlign w:val="center"/>
          </w:tcPr>
          <w:p w14:paraId="6430524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2" w:type="dxa"/>
            <w:tcBorders>
              <w:top w:val="single" w:sz="4" w:space="0" w:color="auto"/>
              <w:left w:val="single" w:sz="4" w:space="0" w:color="auto"/>
            </w:tcBorders>
            <w:tcMar>
              <w:top w:w="10" w:type="dxa"/>
              <w:bottom w:w="10" w:type="dxa"/>
            </w:tcMar>
            <w:vAlign w:val="center"/>
          </w:tcPr>
          <w:p w14:paraId="2CD2161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12A51F3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63ABF5D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5703506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7" w:type="dxa"/>
            <w:tcBorders>
              <w:top w:val="single" w:sz="4" w:space="0" w:color="auto"/>
              <w:left w:val="single" w:sz="4" w:space="0" w:color="auto"/>
            </w:tcBorders>
            <w:tcMar>
              <w:top w:w="10" w:type="dxa"/>
              <w:bottom w:w="10" w:type="dxa"/>
            </w:tcMar>
            <w:vAlign w:val="center"/>
          </w:tcPr>
          <w:p w14:paraId="352FB58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0254453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4" w:type="dxa"/>
            <w:tcBorders>
              <w:top w:val="single" w:sz="4" w:space="0" w:color="auto"/>
              <w:left w:val="single" w:sz="4" w:space="0" w:color="auto"/>
            </w:tcBorders>
            <w:tcMar>
              <w:top w:w="10" w:type="dxa"/>
              <w:bottom w:w="10" w:type="dxa"/>
            </w:tcMar>
            <w:vAlign w:val="center"/>
          </w:tcPr>
          <w:p w14:paraId="75F0909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6" w:type="dxa"/>
            <w:tcBorders>
              <w:top w:val="single" w:sz="4" w:space="0" w:color="auto"/>
              <w:left w:val="single" w:sz="4" w:space="0" w:color="auto"/>
            </w:tcBorders>
            <w:tcMar>
              <w:top w:w="10" w:type="dxa"/>
              <w:bottom w:w="10" w:type="dxa"/>
            </w:tcMar>
            <w:vAlign w:val="center"/>
          </w:tcPr>
          <w:p w14:paraId="28E7FED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0" w:type="dxa"/>
            <w:tcBorders>
              <w:top w:val="single" w:sz="4" w:space="0" w:color="auto"/>
              <w:left w:val="single" w:sz="4" w:space="0" w:color="auto"/>
            </w:tcBorders>
            <w:tcMar>
              <w:top w:w="10" w:type="dxa"/>
              <w:bottom w:w="10" w:type="dxa"/>
            </w:tcMar>
            <w:vAlign w:val="center"/>
          </w:tcPr>
          <w:p w14:paraId="67289D5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1C2878D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0" w:type="dxa"/>
            <w:tcBorders>
              <w:top w:val="single" w:sz="4" w:space="0" w:color="auto"/>
              <w:left w:val="single" w:sz="4" w:space="0" w:color="auto"/>
            </w:tcBorders>
            <w:tcMar>
              <w:top w:w="10" w:type="dxa"/>
              <w:bottom w:w="10" w:type="dxa"/>
            </w:tcMar>
            <w:vAlign w:val="center"/>
          </w:tcPr>
          <w:p w14:paraId="57B04AA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88" w:type="dxa"/>
            <w:tcBorders>
              <w:top w:val="single" w:sz="4" w:space="0" w:color="auto"/>
              <w:left w:val="single" w:sz="4" w:space="0" w:color="auto"/>
            </w:tcBorders>
            <w:tcMar>
              <w:top w:w="10" w:type="dxa"/>
              <w:bottom w:w="10" w:type="dxa"/>
            </w:tcMar>
            <w:vAlign w:val="center"/>
          </w:tcPr>
          <w:p w14:paraId="212C1F1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34B180F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8" w:type="dxa"/>
            <w:tcBorders>
              <w:top w:val="single" w:sz="4" w:space="0" w:color="auto"/>
              <w:left w:val="single" w:sz="4" w:space="0" w:color="auto"/>
            </w:tcBorders>
            <w:tcMar>
              <w:top w:w="10" w:type="dxa"/>
              <w:bottom w:w="10" w:type="dxa"/>
            </w:tcMar>
            <w:vAlign w:val="center"/>
          </w:tcPr>
          <w:p w14:paraId="18AD1B6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96" w:type="dxa"/>
            <w:tcBorders>
              <w:top w:val="single" w:sz="4" w:space="0" w:color="auto"/>
              <w:left w:val="single" w:sz="4" w:space="0" w:color="auto"/>
            </w:tcBorders>
            <w:tcMar>
              <w:top w:w="10" w:type="dxa"/>
              <w:bottom w:w="10" w:type="dxa"/>
            </w:tcMar>
            <w:vAlign w:val="center"/>
          </w:tcPr>
          <w:p w14:paraId="44014DE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56" w:type="dxa"/>
            <w:tcBorders>
              <w:top w:val="single" w:sz="4" w:space="0" w:color="auto"/>
              <w:left w:val="single" w:sz="4" w:space="0" w:color="auto"/>
            </w:tcBorders>
            <w:tcMar>
              <w:top w:w="10" w:type="dxa"/>
              <w:bottom w:w="10" w:type="dxa"/>
            </w:tcMar>
            <w:vAlign w:val="center"/>
          </w:tcPr>
          <w:p w14:paraId="0116910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 w:type="dxa"/>
            <w:tcBorders>
              <w:top w:val="single" w:sz="4" w:space="0" w:color="auto"/>
              <w:left w:val="single" w:sz="4" w:space="0" w:color="auto"/>
            </w:tcBorders>
            <w:tcMar>
              <w:top w:w="10" w:type="dxa"/>
              <w:bottom w:w="10" w:type="dxa"/>
            </w:tcMar>
            <w:vAlign w:val="center"/>
          </w:tcPr>
          <w:p w14:paraId="59C77C6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54FC961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49998C4C" w14:textId="77777777">
        <w:trPr>
          <w:trHeight w:val="20"/>
        </w:trPr>
        <w:tc>
          <w:tcPr>
            <w:tcW w:w="233" w:type="dxa"/>
            <w:tcBorders>
              <w:top w:val="single" w:sz="4" w:space="0" w:color="auto"/>
              <w:left w:val="single" w:sz="4" w:space="0" w:color="auto"/>
            </w:tcBorders>
            <w:tcMar>
              <w:top w:w="10" w:type="dxa"/>
              <w:bottom w:w="10" w:type="dxa"/>
            </w:tcMar>
            <w:vAlign w:val="center"/>
          </w:tcPr>
          <w:p w14:paraId="5EC6CF54"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11</w:t>
            </w:r>
          </w:p>
        </w:tc>
        <w:tc>
          <w:tcPr>
            <w:tcW w:w="2256" w:type="dxa"/>
            <w:tcBorders>
              <w:top w:val="single" w:sz="4" w:space="0" w:color="auto"/>
              <w:left w:val="single" w:sz="4" w:space="0" w:color="auto"/>
            </w:tcBorders>
            <w:tcMar>
              <w:top w:w="10" w:type="dxa"/>
              <w:bottom w:w="10" w:type="dxa"/>
            </w:tcMar>
            <w:vAlign w:val="center"/>
          </w:tcPr>
          <w:p w14:paraId="0C0CBEA2" w14:textId="77777777" w:rsidR="006561BA" w:rsidRDefault="005B4ED6">
            <w:pPr>
              <w:widowControl w:val="0"/>
              <w:shd w:val="clear" w:color="auto" w:fill="auto"/>
              <w:spacing w:after="0" w:line="240" w:lineRule="auto"/>
              <w:ind w:left="200"/>
              <w:jc w:val="left"/>
              <w:rPr>
                <w:rFonts w:ascii="Helvetica" w:eastAsia="Arial Unicode MS" w:hAnsi="Helvetica" w:cs="Helvetica"/>
                <w:color w:val="000000"/>
                <w:sz w:val="6"/>
                <w:szCs w:val="6"/>
              </w:rPr>
            </w:pPr>
            <w:r>
              <w:rPr>
                <w:rFonts w:ascii="Helvetica" w:hAnsi="Helvetica"/>
                <w:color w:val="212121"/>
                <w:sz w:val="6"/>
              </w:rPr>
              <w:t>Egenkapitalinstrumenter</w:t>
            </w:r>
          </w:p>
        </w:tc>
        <w:tc>
          <w:tcPr>
            <w:tcW w:w="315" w:type="dxa"/>
            <w:tcBorders>
              <w:top w:val="single" w:sz="4" w:space="0" w:color="auto"/>
              <w:left w:val="single" w:sz="4" w:space="0" w:color="auto"/>
            </w:tcBorders>
            <w:tcMar>
              <w:top w:w="10" w:type="dxa"/>
              <w:bottom w:w="10" w:type="dxa"/>
            </w:tcMar>
            <w:vAlign w:val="center"/>
          </w:tcPr>
          <w:p w14:paraId="5FF9FCA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145E8E8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left w:val="single" w:sz="4" w:space="0" w:color="auto"/>
            </w:tcBorders>
            <w:shd w:val="clear" w:color="auto" w:fill="000000" w:themeFill="text1"/>
            <w:tcMar>
              <w:top w:w="10" w:type="dxa"/>
              <w:bottom w:w="10" w:type="dxa"/>
            </w:tcMar>
            <w:vAlign w:val="center"/>
          </w:tcPr>
          <w:p w14:paraId="0A8E8E3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19F1834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6147263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0191245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382C88E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shd w:val="clear" w:color="auto" w:fill="000000" w:themeFill="text1"/>
          </w:tcPr>
          <w:p w14:paraId="1F8C071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59F7E89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16A4069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2D9E694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shd w:val="clear" w:color="auto" w:fill="000000" w:themeFill="text1"/>
            <w:tcMar>
              <w:top w:w="10" w:type="dxa"/>
              <w:bottom w:w="10" w:type="dxa"/>
            </w:tcMar>
            <w:vAlign w:val="center"/>
          </w:tcPr>
          <w:p w14:paraId="3138F9F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71DA75A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64DFC02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76DCC07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shd w:val="clear" w:color="auto" w:fill="000000" w:themeFill="text1"/>
            <w:tcMar>
              <w:top w:w="10" w:type="dxa"/>
              <w:bottom w:w="10" w:type="dxa"/>
            </w:tcMar>
            <w:vAlign w:val="center"/>
          </w:tcPr>
          <w:p w14:paraId="0DD1471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30A1028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2BEA4E8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56D3834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left w:val="single" w:sz="4" w:space="0" w:color="auto"/>
            </w:tcBorders>
            <w:shd w:val="clear" w:color="auto" w:fill="000000" w:themeFill="text1"/>
            <w:tcMar>
              <w:top w:w="10" w:type="dxa"/>
              <w:bottom w:w="10" w:type="dxa"/>
            </w:tcMar>
            <w:vAlign w:val="center"/>
          </w:tcPr>
          <w:p w14:paraId="0B61479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2E052AA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1743041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0101C18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left w:val="single" w:sz="4" w:space="0" w:color="auto"/>
            </w:tcBorders>
            <w:shd w:val="clear" w:color="auto" w:fill="000000" w:themeFill="text1"/>
            <w:tcMar>
              <w:top w:w="10" w:type="dxa"/>
              <w:bottom w:w="10" w:type="dxa"/>
            </w:tcMar>
            <w:vAlign w:val="center"/>
          </w:tcPr>
          <w:p w14:paraId="3B6913B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4926CAA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7039F05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79C61AD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left w:val="single" w:sz="4" w:space="0" w:color="auto"/>
            </w:tcBorders>
            <w:shd w:val="clear" w:color="auto" w:fill="000000" w:themeFill="text1"/>
            <w:tcMar>
              <w:top w:w="10" w:type="dxa"/>
              <w:bottom w:w="10" w:type="dxa"/>
            </w:tcMar>
            <w:vAlign w:val="center"/>
          </w:tcPr>
          <w:p w14:paraId="4001616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1003AE6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7845648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192F609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78CD11BE" w14:textId="77777777">
        <w:trPr>
          <w:trHeight w:val="20"/>
        </w:trPr>
        <w:tc>
          <w:tcPr>
            <w:tcW w:w="233" w:type="dxa"/>
            <w:tcBorders>
              <w:top w:val="single" w:sz="4" w:space="0" w:color="auto"/>
              <w:left w:val="single" w:sz="4" w:space="0" w:color="auto"/>
            </w:tcBorders>
            <w:tcMar>
              <w:top w:w="10" w:type="dxa"/>
              <w:bottom w:w="10" w:type="dxa"/>
            </w:tcMar>
            <w:vAlign w:val="center"/>
          </w:tcPr>
          <w:p w14:paraId="22A81AB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12</w:t>
            </w:r>
          </w:p>
        </w:tc>
        <w:tc>
          <w:tcPr>
            <w:tcW w:w="2256" w:type="dxa"/>
            <w:tcBorders>
              <w:top w:val="single" w:sz="4" w:space="0" w:color="auto"/>
              <w:left w:val="single" w:sz="4" w:space="0" w:color="auto"/>
            </w:tcBorders>
            <w:tcMar>
              <w:top w:w="10" w:type="dxa"/>
              <w:bottom w:w="10" w:type="dxa"/>
            </w:tcMar>
            <w:vAlign w:val="center"/>
          </w:tcPr>
          <w:p w14:paraId="26160041" w14:textId="77777777" w:rsidR="006561BA" w:rsidRDefault="005B4ED6">
            <w:pPr>
              <w:widowControl w:val="0"/>
              <w:shd w:val="clear" w:color="auto" w:fill="auto"/>
              <w:spacing w:after="0" w:line="240" w:lineRule="auto"/>
              <w:ind w:left="164"/>
              <w:jc w:val="left"/>
              <w:rPr>
                <w:rFonts w:ascii="Helvetica" w:eastAsia="Arial Unicode MS" w:hAnsi="Helvetica" w:cs="Helvetica"/>
                <w:color w:val="000000"/>
                <w:sz w:val="6"/>
                <w:szCs w:val="6"/>
              </w:rPr>
            </w:pPr>
            <w:r>
              <w:rPr>
                <w:rFonts w:ascii="Helvetica" w:hAnsi="Helvetica"/>
                <w:color w:val="212121"/>
                <w:sz w:val="6"/>
              </w:rPr>
              <w:t>hvorav forvaltningsselskaper</w:t>
            </w:r>
          </w:p>
        </w:tc>
        <w:tc>
          <w:tcPr>
            <w:tcW w:w="315" w:type="dxa"/>
            <w:tcBorders>
              <w:top w:val="single" w:sz="4" w:space="0" w:color="auto"/>
              <w:left w:val="single" w:sz="4" w:space="0" w:color="auto"/>
            </w:tcBorders>
            <w:tcMar>
              <w:top w:w="10" w:type="dxa"/>
              <w:bottom w:w="10" w:type="dxa"/>
            </w:tcMar>
            <w:vAlign w:val="center"/>
          </w:tcPr>
          <w:p w14:paraId="3514774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6D31E64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left w:val="single" w:sz="4" w:space="0" w:color="auto"/>
            </w:tcBorders>
            <w:tcMar>
              <w:top w:w="10" w:type="dxa"/>
              <w:bottom w:w="10" w:type="dxa"/>
            </w:tcMar>
            <w:vAlign w:val="center"/>
          </w:tcPr>
          <w:p w14:paraId="2E5CA7D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33A069E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2C0AB71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321F3C8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7362104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14189DE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0F6ECD3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28C2603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43F2C7A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tcMar>
              <w:top w:w="10" w:type="dxa"/>
              <w:bottom w:w="10" w:type="dxa"/>
            </w:tcMar>
            <w:vAlign w:val="center"/>
          </w:tcPr>
          <w:p w14:paraId="53E2DE3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4173977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0A86352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59B2D8B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tcMar>
              <w:top w:w="10" w:type="dxa"/>
              <w:bottom w:w="10" w:type="dxa"/>
            </w:tcMar>
            <w:vAlign w:val="center"/>
          </w:tcPr>
          <w:p w14:paraId="3D3198E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32C3083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7F1F185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66F4E2A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left w:val="single" w:sz="4" w:space="0" w:color="auto"/>
            </w:tcBorders>
            <w:tcMar>
              <w:top w:w="10" w:type="dxa"/>
              <w:bottom w:w="10" w:type="dxa"/>
            </w:tcMar>
            <w:vAlign w:val="center"/>
          </w:tcPr>
          <w:p w14:paraId="5BA8B51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72379CE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5A8A2AB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0194C91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left w:val="single" w:sz="4" w:space="0" w:color="auto"/>
            </w:tcBorders>
            <w:tcMar>
              <w:top w:w="10" w:type="dxa"/>
              <w:bottom w:w="10" w:type="dxa"/>
            </w:tcMar>
            <w:vAlign w:val="center"/>
          </w:tcPr>
          <w:p w14:paraId="43F3CD8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7B1F864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036F7B3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66D66E4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left w:val="single" w:sz="4" w:space="0" w:color="auto"/>
            </w:tcBorders>
            <w:tcMar>
              <w:top w:w="10" w:type="dxa"/>
              <w:bottom w:w="10" w:type="dxa"/>
            </w:tcMar>
            <w:vAlign w:val="center"/>
          </w:tcPr>
          <w:p w14:paraId="4B5090D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6CD0C6F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206EDE0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5848B82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17C8362F" w14:textId="77777777">
        <w:trPr>
          <w:trHeight w:val="20"/>
        </w:trPr>
        <w:tc>
          <w:tcPr>
            <w:tcW w:w="233" w:type="dxa"/>
            <w:tcBorders>
              <w:top w:val="single" w:sz="4" w:space="0" w:color="auto"/>
              <w:left w:val="single" w:sz="4" w:space="0" w:color="auto"/>
            </w:tcBorders>
            <w:tcMar>
              <w:top w:w="10" w:type="dxa"/>
              <w:bottom w:w="10" w:type="dxa"/>
            </w:tcMar>
            <w:vAlign w:val="center"/>
          </w:tcPr>
          <w:p w14:paraId="6E2EAFF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13</w:t>
            </w:r>
          </w:p>
        </w:tc>
        <w:tc>
          <w:tcPr>
            <w:tcW w:w="2256" w:type="dxa"/>
            <w:tcBorders>
              <w:top w:val="single" w:sz="4" w:space="0" w:color="auto"/>
              <w:left w:val="single" w:sz="4" w:space="0" w:color="auto"/>
            </w:tcBorders>
            <w:tcMar>
              <w:top w:w="10" w:type="dxa"/>
              <w:bottom w:w="10" w:type="dxa"/>
            </w:tcMar>
            <w:vAlign w:val="center"/>
          </w:tcPr>
          <w:p w14:paraId="10218002" w14:textId="77777777" w:rsidR="006561BA" w:rsidRDefault="005B4ED6">
            <w:pPr>
              <w:widowControl w:val="0"/>
              <w:shd w:val="clear" w:color="auto" w:fill="auto"/>
              <w:spacing w:after="0" w:line="240" w:lineRule="auto"/>
              <w:ind w:left="200"/>
              <w:jc w:val="left"/>
              <w:rPr>
                <w:rFonts w:ascii="Helvetica" w:eastAsia="Arial Unicode MS" w:hAnsi="Helvetica" w:cs="Helvetica"/>
                <w:color w:val="212121"/>
                <w:sz w:val="6"/>
                <w:szCs w:val="6"/>
              </w:rPr>
            </w:pPr>
            <w:r>
              <w:rPr>
                <w:rFonts w:ascii="Helvetica" w:hAnsi="Helvetica"/>
                <w:color w:val="212121"/>
                <w:sz w:val="6"/>
              </w:rPr>
              <w:t>Lån og forskudd</w:t>
            </w:r>
          </w:p>
        </w:tc>
        <w:tc>
          <w:tcPr>
            <w:tcW w:w="315" w:type="dxa"/>
            <w:tcBorders>
              <w:top w:val="single" w:sz="4" w:space="0" w:color="auto"/>
              <w:left w:val="single" w:sz="4" w:space="0" w:color="auto"/>
            </w:tcBorders>
            <w:tcMar>
              <w:top w:w="10" w:type="dxa"/>
              <w:bottom w:w="10" w:type="dxa"/>
            </w:tcMar>
            <w:vAlign w:val="center"/>
          </w:tcPr>
          <w:p w14:paraId="7038882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43CBCED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7CCB721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23E5921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3923126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118648F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67AA317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0738F7E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2F8C1A7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2CDEFE4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01CD972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472B7C5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6A4E0E0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4F7C9C5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7A85F31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7FCAC7F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216715A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0AB6219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0833CF7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tcBorders>
            <w:tcMar>
              <w:top w:w="10" w:type="dxa"/>
              <w:bottom w:w="10" w:type="dxa"/>
            </w:tcMar>
            <w:vAlign w:val="center"/>
          </w:tcPr>
          <w:p w14:paraId="46A9C1E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79804F9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4A7A7F8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587ACA3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tcBorders>
            <w:tcMar>
              <w:top w:w="10" w:type="dxa"/>
              <w:bottom w:w="10" w:type="dxa"/>
            </w:tcMar>
            <w:vAlign w:val="center"/>
          </w:tcPr>
          <w:p w14:paraId="79AB681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3FC5B76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1F193A3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25DC17D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078C741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324E8B6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0A4670E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4B65B47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6835A36A" w14:textId="77777777">
        <w:trPr>
          <w:trHeight w:val="20"/>
        </w:trPr>
        <w:tc>
          <w:tcPr>
            <w:tcW w:w="233" w:type="dxa"/>
            <w:tcBorders>
              <w:top w:val="single" w:sz="4" w:space="0" w:color="auto"/>
              <w:left w:val="single" w:sz="4" w:space="0" w:color="auto"/>
            </w:tcBorders>
            <w:tcMar>
              <w:top w:w="10" w:type="dxa"/>
              <w:bottom w:w="10" w:type="dxa"/>
            </w:tcMar>
            <w:vAlign w:val="center"/>
          </w:tcPr>
          <w:p w14:paraId="76D3687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14</w:t>
            </w:r>
          </w:p>
        </w:tc>
        <w:tc>
          <w:tcPr>
            <w:tcW w:w="2256" w:type="dxa"/>
            <w:tcBorders>
              <w:top w:val="single" w:sz="4" w:space="0" w:color="auto"/>
              <w:left w:val="single" w:sz="4" w:space="0" w:color="auto"/>
            </w:tcBorders>
            <w:tcMar>
              <w:top w:w="10" w:type="dxa"/>
              <w:bottom w:w="10" w:type="dxa"/>
            </w:tcMar>
            <w:vAlign w:val="center"/>
          </w:tcPr>
          <w:p w14:paraId="275B6A55" w14:textId="77777777" w:rsidR="006561BA" w:rsidRDefault="005B4ED6">
            <w:pPr>
              <w:widowControl w:val="0"/>
              <w:shd w:val="clear" w:color="auto" w:fill="auto"/>
              <w:spacing w:after="0" w:line="240" w:lineRule="auto"/>
              <w:ind w:left="200"/>
              <w:jc w:val="left"/>
              <w:rPr>
                <w:rFonts w:ascii="Helvetica" w:eastAsia="Arial Unicode MS" w:hAnsi="Helvetica" w:cs="Helvetica"/>
                <w:color w:val="212121"/>
                <w:sz w:val="6"/>
                <w:szCs w:val="6"/>
              </w:rPr>
            </w:pPr>
            <w:r>
              <w:rPr>
                <w:rFonts w:ascii="Helvetica" w:hAnsi="Helvetica"/>
                <w:color w:val="212121"/>
                <w:sz w:val="6"/>
              </w:rPr>
              <w:t>Gjeldsinstrumenter, herunder bruk av proveny</w:t>
            </w:r>
          </w:p>
        </w:tc>
        <w:tc>
          <w:tcPr>
            <w:tcW w:w="315" w:type="dxa"/>
            <w:tcBorders>
              <w:top w:val="single" w:sz="4" w:space="0" w:color="auto"/>
              <w:left w:val="single" w:sz="4" w:space="0" w:color="auto"/>
            </w:tcBorders>
            <w:tcMar>
              <w:top w:w="10" w:type="dxa"/>
              <w:bottom w:w="10" w:type="dxa"/>
            </w:tcMar>
            <w:vAlign w:val="center"/>
          </w:tcPr>
          <w:p w14:paraId="790B154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393BE27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496BC65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0" w:type="dxa"/>
            <w:tcBorders>
              <w:top w:val="single" w:sz="4" w:space="0" w:color="auto"/>
              <w:left w:val="single" w:sz="4" w:space="0" w:color="auto"/>
            </w:tcBorders>
            <w:tcMar>
              <w:top w:w="10" w:type="dxa"/>
              <w:bottom w:w="10" w:type="dxa"/>
            </w:tcMar>
            <w:vAlign w:val="center"/>
          </w:tcPr>
          <w:p w14:paraId="46A60DD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4" w:type="dxa"/>
            <w:tcBorders>
              <w:top w:val="single" w:sz="4" w:space="0" w:color="auto"/>
              <w:left w:val="single" w:sz="4" w:space="0" w:color="auto"/>
            </w:tcBorders>
            <w:tcMar>
              <w:top w:w="10" w:type="dxa"/>
              <w:bottom w:w="10" w:type="dxa"/>
            </w:tcMar>
            <w:vAlign w:val="center"/>
          </w:tcPr>
          <w:p w14:paraId="6B6ED1F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right w:val="single" w:sz="4" w:space="0" w:color="auto"/>
            </w:tcBorders>
          </w:tcPr>
          <w:p w14:paraId="1578F1A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5BDB6B1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0BA8EA0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6A27457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7F9FE8A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34AD180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6F7F716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5" w:type="dxa"/>
            <w:tcBorders>
              <w:top w:val="single" w:sz="4" w:space="0" w:color="auto"/>
              <w:left w:val="single" w:sz="4" w:space="0" w:color="auto"/>
            </w:tcBorders>
            <w:tcMar>
              <w:top w:w="10" w:type="dxa"/>
              <w:bottom w:w="10" w:type="dxa"/>
            </w:tcMar>
            <w:vAlign w:val="center"/>
          </w:tcPr>
          <w:p w14:paraId="072F34D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2" w:type="dxa"/>
            <w:tcBorders>
              <w:top w:val="single" w:sz="4" w:space="0" w:color="auto"/>
              <w:left w:val="single" w:sz="4" w:space="0" w:color="auto"/>
            </w:tcBorders>
            <w:tcMar>
              <w:top w:w="10" w:type="dxa"/>
              <w:bottom w:w="10" w:type="dxa"/>
            </w:tcMar>
            <w:vAlign w:val="center"/>
          </w:tcPr>
          <w:p w14:paraId="390C139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1F57A99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0112191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2E595E4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7" w:type="dxa"/>
            <w:tcBorders>
              <w:top w:val="single" w:sz="4" w:space="0" w:color="auto"/>
              <w:left w:val="single" w:sz="4" w:space="0" w:color="auto"/>
            </w:tcBorders>
            <w:tcMar>
              <w:top w:w="10" w:type="dxa"/>
              <w:bottom w:w="10" w:type="dxa"/>
            </w:tcMar>
            <w:vAlign w:val="center"/>
          </w:tcPr>
          <w:p w14:paraId="358271E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6857B0E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4" w:type="dxa"/>
            <w:tcBorders>
              <w:top w:val="single" w:sz="4" w:space="0" w:color="auto"/>
              <w:left w:val="single" w:sz="4" w:space="0" w:color="auto"/>
            </w:tcBorders>
            <w:tcMar>
              <w:top w:w="10" w:type="dxa"/>
              <w:bottom w:w="10" w:type="dxa"/>
            </w:tcMar>
            <w:vAlign w:val="center"/>
          </w:tcPr>
          <w:p w14:paraId="072A35C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6" w:type="dxa"/>
            <w:tcBorders>
              <w:top w:val="single" w:sz="4" w:space="0" w:color="auto"/>
              <w:left w:val="single" w:sz="4" w:space="0" w:color="auto"/>
            </w:tcBorders>
            <w:tcMar>
              <w:top w:w="10" w:type="dxa"/>
              <w:bottom w:w="10" w:type="dxa"/>
            </w:tcMar>
            <w:vAlign w:val="center"/>
          </w:tcPr>
          <w:p w14:paraId="795E056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0" w:type="dxa"/>
            <w:tcBorders>
              <w:top w:val="single" w:sz="4" w:space="0" w:color="auto"/>
              <w:left w:val="single" w:sz="4" w:space="0" w:color="auto"/>
            </w:tcBorders>
            <w:tcMar>
              <w:top w:w="10" w:type="dxa"/>
              <w:bottom w:w="10" w:type="dxa"/>
            </w:tcMar>
            <w:vAlign w:val="center"/>
          </w:tcPr>
          <w:p w14:paraId="2702592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2021DB4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0" w:type="dxa"/>
            <w:tcBorders>
              <w:top w:val="single" w:sz="4" w:space="0" w:color="auto"/>
              <w:left w:val="single" w:sz="4" w:space="0" w:color="auto"/>
            </w:tcBorders>
            <w:tcMar>
              <w:top w:w="10" w:type="dxa"/>
              <w:bottom w:w="10" w:type="dxa"/>
            </w:tcMar>
            <w:vAlign w:val="center"/>
          </w:tcPr>
          <w:p w14:paraId="4DE6AEB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88" w:type="dxa"/>
            <w:tcBorders>
              <w:top w:val="single" w:sz="4" w:space="0" w:color="auto"/>
              <w:left w:val="single" w:sz="4" w:space="0" w:color="auto"/>
            </w:tcBorders>
            <w:tcMar>
              <w:top w:w="10" w:type="dxa"/>
              <w:bottom w:w="10" w:type="dxa"/>
            </w:tcMar>
            <w:vAlign w:val="center"/>
          </w:tcPr>
          <w:p w14:paraId="25C8FCC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2A96C39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8" w:type="dxa"/>
            <w:tcBorders>
              <w:top w:val="single" w:sz="4" w:space="0" w:color="auto"/>
              <w:left w:val="single" w:sz="4" w:space="0" w:color="auto"/>
            </w:tcBorders>
            <w:tcMar>
              <w:top w:w="10" w:type="dxa"/>
              <w:bottom w:w="10" w:type="dxa"/>
            </w:tcMar>
            <w:vAlign w:val="center"/>
          </w:tcPr>
          <w:p w14:paraId="74D9B15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96" w:type="dxa"/>
            <w:tcBorders>
              <w:top w:val="single" w:sz="4" w:space="0" w:color="auto"/>
              <w:left w:val="single" w:sz="4" w:space="0" w:color="auto"/>
            </w:tcBorders>
            <w:tcMar>
              <w:top w:w="10" w:type="dxa"/>
              <w:bottom w:w="10" w:type="dxa"/>
            </w:tcMar>
            <w:vAlign w:val="center"/>
          </w:tcPr>
          <w:p w14:paraId="5E75801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56" w:type="dxa"/>
            <w:tcBorders>
              <w:top w:val="single" w:sz="4" w:space="0" w:color="auto"/>
              <w:left w:val="single" w:sz="4" w:space="0" w:color="auto"/>
            </w:tcBorders>
            <w:tcMar>
              <w:top w:w="10" w:type="dxa"/>
              <w:bottom w:w="10" w:type="dxa"/>
            </w:tcMar>
            <w:vAlign w:val="center"/>
          </w:tcPr>
          <w:p w14:paraId="5CBFEDC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 w:type="dxa"/>
            <w:tcBorders>
              <w:top w:val="single" w:sz="4" w:space="0" w:color="auto"/>
              <w:left w:val="single" w:sz="4" w:space="0" w:color="auto"/>
            </w:tcBorders>
            <w:tcMar>
              <w:top w:w="10" w:type="dxa"/>
              <w:bottom w:w="10" w:type="dxa"/>
            </w:tcMar>
            <w:vAlign w:val="center"/>
          </w:tcPr>
          <w:p w14:paraId="4A1131E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10B4192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410C9B45" w14:textId="77777777">
        <w:trPr>
          <w:trHeight w:val="20"/>
        </w:trPr>
        <w:tc>
          <w:tcPr>
            <w:tcW w:w="233" w:type="dxa"/>
            <w:tcBorders>
              <w:top w:val="single" w:sz="4" w:space="0" w:color="auto"/>
              <w:left w:val="single" w:sz="4" w:space="0" w:color="auto"/>
            </w:tcBorders>
            <w:tcMar>
              <w:top w:w="10" w:type="dxa"/>
              <w:bottom w:w="10" w:type="dxa"/>
            </w:tcMar>
            <w:vAlign w:val="center"/>
          </w:tcPr>
          <w:p w14:paraId="6CCB06D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15</w:t>
            </w:r>
          </w:p>
        </w:tc>
        <w:tc>
          <w:tcPr>
            <w:tcW w:w="2256" w:type="dxa"/>
            <w:tcBorders>
              <w:top w:val="single" w:sz="4" w:space="0" w:color="auto"/>
              <w:left w:val="single" w:sz="4" w:space="0" w:color="auto"/>
            </w:tcBorders>
            <w:tcMar>
              <w:top w:w="10" w:type="dxa"/>
              <w:bottom w:w="10" w:type="dxa"/>
            </w:tcMar>
            <w:vAlign w:val="center"/>
          </w:tcPr>
          <w:p w14:paraId="43D1CD61" w14:textId="77777777" w:rsidR="006561BA" w:rsidRDefault="005B4ED6">
            <w:pPr>
              <w:widowControl w:val="0"/>
              <w:shd w:val="clear" w:color="auto" w:fill="auto"/>
              <w:spacing w:after="0" w:line="240" w:lineRule="auto"/>
              <w:ind w:left="200"/>
              <w:jc w:val="left"/>
              <w:rPr>
                <w:rFonts w:ascii="Helvetica" w:eastAsia="Arial Unicode MS" w:hAnsi="Helvetica" w:cs="Helvetica"/>
                <w:color w:val="212121"/>
                <w:sz w:val="6"/>
                <w:szCs w:val="6"/>
              </w:rPr>
            </w:pPr>
            <w:r>
              <w:rPr>
                <w:rFonts w:ascii="Helvetica" w:hAnsi="Helvetica"/>
                <w:color w:val="212121"/>
                <w:sz w:val="6"/>
              </w:rPr>
              <w:t>Egenkapitalinstrumenter</w:t>
            </w:r>
          </w:p>
        </w:tc>
        <w:tc>
          <w:tcPr>
            <w:tcW w:w="315" w:type="dxa"/>
            <w:tcBorders>
              <w:top w:val="single" w:sz="4" w:space="0" w:color="auto"/>
              <w:left w:val="single" w:sz="4" w:space="0" w:color="auto"/>
            </w:tcBorders>
            <w:tcMar>
              <w:top w:w="10" w:type="dxa"/>
              <w:bottom w:w="10" w:type="dxa"/>
            </w:tcMar>
            <w:vAlign w:val="center"/>
          </w:tcPr>
          <w:p w14:paraId="62C0DE7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1C23B8C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left w:val="single" w:sz="4" w:space="0" w:color="auto"/>
            </w:tcBorders>
            <w:shd w:val="clear" w:color="auto" w:fill="000000" w:themeFill="text1"/>
            <w:tcMar>
              <w:top w:w="10" w:type="dxa"/>
              <w:bottom w:w="10" w:type="dxa"/>
            </w:tcMar>
            <w:vAlign w:val="center"/>
          </w:tcPr>
          <w:p w14:paraId="2175591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2DE72E7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18EEF2D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21E6C08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2C74CB2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shd w:val="clear" w:color="auto" w:fill="000000" w:themeFill="text1"/>
          </w:tcPr>
          <w:p w14:paraId="17A2049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3D96C68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5C4B39A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4CEFAB3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shd w:val="clear" w:color="auto" w:fill="000000" w:themeFill="text1"/>
            <w:tcMar>
              <w:top w:w="10" w:type="dxa"/>
              <w:bottom w:w="10" w:type="dxa"/>
            </w:tcMar>
            <w:vAlign w:val="center"/>
          </w:tcPr>
          <w:p w14:paraId="2189086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2113DE3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124191F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7888A4D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shd w:val="clear" w:color="auto" w:fill="000000" w:themeFill="text1"/>
            <w:tcMar>
              <w:top w:w="10" w:type="dxa"/>
              <w:bottom w:w="10" w:type="dxa"/>
            </w:tcMar>
            <w:vAlign w:val="center"/>
          </w:tcPr>
          <w:p w14:paraId="2D28A13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0ABDEEB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337C72C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484BCC8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left w:val="single" w:sz="4" w:space="0" w:color="auto"/>
            </w:tcBorders>
            <w:shd w:val="clear" w:color="auto" w:fill="000000" w:themeFill="text1"/>
            <w:tcMar>
              <w:top w:w="10" w:type="dxa"/>
              <w:bottom w:w="10" w:type="dxa"/>
            </w:tcMar>
            <w:vAlign w:val="center"/>
          </w:tcPr>
          <w:p w14:paraId="1EF3270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712CD6E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603E932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5B9FEA4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left w:val="single" w:sz="4" w:space="0" w:color="auto"/>
            </w:tcBorders>
            <w:shd w:val="clear" w:color="auto" w:fill="000000" w:themeFill="text1"/>
            <w:tcMar>
              <w:top w:w="10" w:type="dxa"/>
              <w:bottom w:w="10" w:type="dxa"/>
            </w:tcMar>
            <w:vAlign w:val="center"/>
          </w:tcPr>
          <w:p w14:paraId="20EA841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5FDA8DA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5E79CA1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014B911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left w:val="single" w:sz="4" w:space="0" w:color="auto"/>
            </w:tcBorders>
            <w:shd w:val="clear" w:color="auto" w:fill="000000" w:themeFill="text1"/>
            <w:tcMar>
              <w:top w:w="10" w:type="dxa"/>
              <w:bottom w:w="10" w:type="dxa"/>
            </w:tcMar>
            <w:vAlign w:val="center"/>
          </w:tcPr>
          <w:p w14:paraId="4B097E3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463CB91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2294640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31CDD90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59C7E523" w14:textId="77777777">
        <w:trPr>
          <w:trHeight w:val="20"/>
        </w:trPr>
        <w:tc>
          <w:tcPr>
            <w:tcW w:w="233" w:type="dxa"/>
            <w:tcBorders>
              <w:top w:val="single" w:sz="4" w:space="0" w:color="auto"/>
              <w:left w:val="single" w:sz="4" w:space="0" w:color="auto"/>
            </w:tcBorders>
            <w:tcMar>
              <w:top w:w="10" w:type="dxa"/>
              <w:bottom w:w="10" w:type="dxa"/>
            </w:tcMar>
            <w:vAlign w:val="center"/>
          </w:tcPr>
          <w:p w14:paraId="1BAD6DDA"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16</w:t>
            </w:r>
          </w:p>
        </w:tc>
        <w:tc>
          <w:tcPr>
            <w:tcW w:w="2256" w:type="dxa"/>
            <w:tcBorders>
              <w:top w:val="single" w:sz="4" w:space="0" w:color="auto"/>
              <w:left w:val="single" w:sz="4" w:space="0" w:color="auto"/>
            </w:tcBorders>
            <w:tcMar>
              <w:top w:w="10" w:type="dxa"/>
              <w:bottom w:w="10" w:type="dxa"/>
            </w:tcMar>
            <w:vAlign w:val="center"/>
          </w:tcPr>
          <w:p w14:paraId="675BF81E" w14:textId="77777777" w:rsidR="006561BA" w:rsidRDefault="005B4ED6">
            <w:pPr>
              <w:widowControl w:val="0"/>
              <w:shd w:val="clear" w:color="auto" w:fill="auto"/>
              <w:spacing w:after="0" w:line="240" w:lineRule="auto"/>
              <w:ind w:left="164"/>
              <w:jc w:val="left"/>
              <w:rPr>
                <w:rFonts w:ascii="Helvetica" w:eastAsia="Arial Unicode MS" w:hAnsi="Helvetica" w:cs="Helvetica"/>
                <w:color w:val="000000"/>
                <w:sz w:val="6"/>
                <w:szCs w:val="6"/>
              </w:rPr>
            </w:pPr>
            <w:r>
              <w:rPr>
                <w:rFonts w:ascii="Helvetica" w:hAnsi="Helvetica"/>
                <w:color w:val="212121"/>
                <w:sz w:val="6"/>
              </w:rPr>
              <w:t>hvorav forsikringsforetak</w:t>
            </w:r>
          </w:p>
        </w:tc>
        <w:tc>
          <w:tcPr>
            <w:tcW w:w="315" w:type="dxa"/>
            <w:tcBorders>
              <w:top w:val="single" w:sz="4" w:space="0" w:color="auto"/>
              <w:left w:val="single" w:sz="4" w:space="0" w:color="auto"/>
            </w:tcBorders>
            <w:tcMar>
              <w:top w:w="10" w:type="dxa"/>
              <w:bottom w:w="10" w:type="dxa"/>
            </w:tcMar>
            <w:vAlign w:val="center"/>
          </w:tcPr>
          <w:p w14:paraId="4E4A926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1DDE7A4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left w:val="single" w:sz="4" w:space="0" w:color="auto"/>
            </w:tcBorders>
            <w:tcMar>
              <w:top w:w="10" w:type="dxa"/>
              <w:bottom w:w="10" w:type="dxa"/>
            </w:tcMar>
            <w:vAlign w:val="center"/>
          </w:tcPr>
          <w:p w14:paraId="7B05532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1654C25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4CB020C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1BE558D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488E09F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0C205A9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504005E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432E7D5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698ACB4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tcMar>
              <w:top w:w="10" w:type="dxa"/>
              <w:bottom w:w="10" w:type="dxa"/>
            </w:tcMar>
            <w:vAlign w:val="center"/>
          </w:tcPr>
          <w:p w14:paraId="0CA4E20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2C80A0E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5DA8AC4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2AE5359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tcMar>
              <w:top w:w="10" w:type="dxa"/>
              <w:bottom w:w="10" w:type="dxa"/>
            </w:tcMar>
            <w:vAlign w:val="center"/>
          </w:tcPr>
          <w:p w14:paraId="3646DFD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5806151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7C64195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272C7CA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left w:val="single" w:sz="4" w:space="0" w:color="auto"/>
            </w:tcBorders>
            <w:tcMar>
              <w:top w:w="10" w:type="dxa"/>
              <w:bottom w:w="10" w:type="dxa"/>
            </w:tcMar>
            <w:vAlign w:val="center"/>
          </w:tcPr>
          <w:p w14:paraId="70B754C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443D54E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7FEE00E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68A5442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left w:val="single" w:sz="4" w:space="0" w:color="auto"/>
            </w:tcBorders>
            <w:tcMar>
              <w:top w:w="10" w:type="dxa"/>
              <w:bottom w:w="10" w:type="dxa"/>
            </w:tcMar>
            <w:vAlign w:val="center"/>
          </w:tcPr>
          <w:p w14:paraId="2733986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016A8F4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70071A7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5B8F1D3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left w:val="single" w:sz="4" w:space="0" w:color="auto"/>
            </w:tcBorders>
            <w:tcMar>
              <w:top w:w="10" w:type="dxa"/>
              <w:bottom w:w="10" w:type="dxa"/>
            </w:tcMar>
            <w:vAlign w:val="center"/>
          </w:tcPr>
          <w:p w14:paraId="1C61F35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74C161A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39CCA9C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7B99E3D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1047B5E2" w14:textId="77777777">
        <w:trPr>
          <w:trHeight w:val="20"/>
        </w:trPr>
        <w:tc>
          <w:tcPr>
            <w:tcW w:w="233" w:type="dxa"/>
            <w:tcBorders>
              <w:top w:val="single" w:sz="4" w:space="0" w:color="auto"/>
              <w:left w:val="single" w:sz="4" w:space="0" w:color="auto"/>
            </w:tcBorders>
            <w:tcMar>
              <w:top w:w="10" w:type="dxa"/>
              <w:bottom w:w="10" w:type="dxa"/>
            </w:tcMar>
            <w:vAlign w:val="center"/>
          </w:tcPr>
          <w:p w14:paraId="64AE44C2"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17</w:t>
            </w:r>
          </w:p>
        </w:tc>
        <w:tc>
          <w:tcPr>
            <w:tcW w:w="2256" w:type="dxa"/>
            <w:tcBorders>
              <w:top w:val="single" w:sz="4" w:space="0" w:color="auto"/>
              <w:left w:val="single" w:sz="4" w:space="0" w:color="auto"/>
            </w:tcBorders>
            <w:tcMar>
              <w:top w:w="10" w:type="dxa"/>
              <w:bottom w:w="10" w:type="dxa"/>
            </w:tcMar>
            <w:vAlign w:val="center"/>
          </w:tcPr>
          <w:p w14:paraId="0C90A68A" w14:textId="77777777" w:rsidR="006561BA" w:rsidRDefault="005B4ED6">
            <w:pPr>
              <w:widowControl w:val="0"/>
              <w:shd w:val="clear" w:color="auto" w:fill="auto"/>
              <w:spacing w:after="0" w:line="240" w:lineRule="auto"/>
              <w:ind w:left="200"/>
              <w:jc w:val="left"/>
              <w:rPr>
                <w:rFonts w:ascii="Helvetica" w:eastAsia="Arial Unicode MS" w:hAnsi="Helvetica" w:cs="Helvetica"/>
                <w:color w:val="212121"/>
                <w:sz w:val="6"/>
                <w:szCs w:val="6"/>
              </w:rPr>
            </w:pPr>
            <w:r>
              <w:rPr>
                <w:rFonts w:ascii="Helvetica" w:hAnsi="Helvetica"/>
                <w:color w:val="212121"/>
                <w:sz w:val="6"/>
              </w:rPr>
              <w:t>Lån og forskudd</w:t>
            </w:r>
          </w:p>
        </w:tc>
        <w:tc>
          <w:tcPr>
            <w:tcW w:w="315" w:type="dxa"/>
            <w:tcBorders>
              <w:top w:val="single" w:sz="4" w:space="0" w:color="auto"/>
              <w:left w:val="single" w:sz="4" w:space="0" w:color="auto"/>
            </w:tcBorders>
            <w:tcMar>
              <w:top w:w="10" w:type="dxa"/>
              <w:bottom w:w="10" w:type="dxa"/>
            </w:tcMar>
            <w:vAlign w:val="center"/>
          </w:tcPr>
          <w:p w14:paraId="2451AA5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6C018E6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12C0A60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03AD9B8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36346D1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144A36D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7E27B3D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542C47F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41D142A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13F76A9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15C1263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2DE382B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0C19861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4A38CB6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7FE04C7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5AE167F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145E2B3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7BAC0D6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128B2C5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tcBorders>
            <w:tcMar>
              <w:top w:w="10" w:type="dxa"/>
              <w:bottom w:w="10" w:type="dxa"/>
            </w:tcMar>
            <w:vAlign w:val="center"/>
          </w:tcPr>
          <w:p w14:paraId="0031E70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1579631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6CDC52B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5B5EE08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tcBorders>
            <w:tcMar>
              <w:top w:w="10" w:type="dxa"/>
              <w:bottom w:w="10" w:type="dxa"/>
            </w:tcMar>
            <w:vAlign w:val="center"/>
          </w:tcPr>
          <w:p w14:paraId="61D86C3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46BB62C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1DC9310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4A69BC7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5571126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6DDBD11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24F1006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4CA926F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2DA99CD0" w14:textId="77777777">
        <w:trPr>
          <w:trHeight w:val="20"/>
        </w:trPr>
        <w:tc>
          <w:tcPr>
            <w:tcW w:w="233" w:type="dxa"/>
            <w:tcBorders>
              <w:top w:val="single" w:sz="4" w:space="0" w:color="auto"/>
              <w:left w:val="single" w:sz="4" w:space="0" w:color="auto"/>
            </w:tcBorders>
            <w:tcMar>
              <w:top w:w="10" w:type="dxa"/>
              <w:bottom w:w="10" w:type="dxa"/>
            </w:tcMar>
            <w:vAlign w:val="center"/>
          </w:tcPr>
          <w:p w14:paraId="2A1959C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18</w:t>
            </w:r>
          </w:p>
        </w:tc>
        <w:tc>
          <w:tcPr>
            <w:tcW w:w="2256" w:type="dxa"/>
            <w:tcBorders>
              <w:top w:val="single" w:sz="4" w:space="0" w:color="auto"/>
              <w:left w:val="single" w:sz="4" w:space="0" w:color="auto"/>
            </w:tcBorders>
            <w:tcMar>
              <w:top w:w="10" w:type="dxa"/>
              <w:bottom w:w="10" w:type="dxa"/>
            </w:tcMar>
            <w:vAlign w:val="center"/>
          </w:tcPr>
          <w:p w14:paraId="2995BD06" w14:textId="77777777" w:rsidR="006561BA" w:rsidRDefault="005B4ED6">
            <w:pPr>
              <w:widowControl w:val="0"/>
              <w:shd w:val="clear" w:color="auto" w:fill="auto"/>
              <w:spacing w:after="0" w:line="240" w:lineRule="auto"/>
              <w:ind w:left="200"/>
              <w:jc w:val="left"/>
              <w:rPr>
                <w:rFonts w:ascii="Helvetica" w:eastAsia="Arial Unicode MS" w:hAnsi="Helvetica" w:cs="Helvetica"/>
                <w:color w:val="212121"/>
                <w:sz w:val="6"/>
                <w:szCs w:val="6"/>
              </w:rPr>
            </w:pPr>
            <w:r>
              <w:rPr>
                <w:rFonts w:ascii="Helvetica" w:hAnsi="Helvetica"/>
                <w:color w:val="212121"/>
                <w:sz w:val="6"/>
              </w:rPr>
              <w:t>Gjeldsinstrumenter, herunder bruk av proveny</w:t>
            </w:r>
          </w:p>
        </w:tc>
        <w:tc>
          <w:tcPr>
            <w:tcW w:w="315" w:type="dxa"/>
            <w:tcBorders>
              <w:top w:val="single" w:sz="4" w:space="0" w:color="auto"/>
              <w:left w:val="single" w:sz="4" w:space="0" w:color="auto"/>
            </w:tcBorders>
            <w:tcMar>
              <w:top w:w="10" w:type="dxa"/>
              <w:bottom w:w="10" w:type="dxa"/>
            </w:tcMar>
            <w:vAlign w:val="center"/>
          </w:tcPr>
          <w:p w14:paraId="70815C9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2DC98BF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280B08F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0" w:type="dxa"/>
            <w:tcBorders>
              <w:top w:val="single" w:sz="4" w:space="0" w:color="auto"/>
              <w:left w:val="single" w:sz="4" w:space="0" w:color="auto"/>
            </w:tcBorders>
            <w:tcMar>
              <w:top w:w="10" w:type="dxa"/>
              <w:bottom w:w="10" w:type="dxa"/>
            </w:tcMar>
            <w:vAlign w:val="center"/>
          </w:tcPr>
          <w:p w14:paraId="4A632F0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4" w:type="dxa"/>
            <w:tcBorders>
              <w:top w:val="single" w:sz="4" w:space="0" w:color="auto"/>
              <w:left w:val="single" w:sz="4" w:space="0" w:color="auto"/>
            </w:tcBorders>
            <w:tcMar>
              <w:top w:w="10" w:type="dxa"/>
              <w:bottom w:w="10" w:type="dxa"/>
            </w:tcMar>
            <w:vAlign w:val="center"/>
          </w:tcPr>
          <w:p w14:paraId="5A10678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right w:val="single" w:sz="4" w:space="0" w:color="auto"/>
            </w:tcBorders>
          </w:tcPr>
          <w:p w14:paraId="4260782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09EEC01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274C349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318A062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1719FD3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5B1365D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1237D56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5" w:type="dxa"/>
            <w:tcBorders>
              <w:top w:val="single" w:sz="4" w:space="0" w:color="auto"/>
              <w:left w:val="single" w:sz="4" w:space="0" w:color="auto"/>
            </w:tcBorders>
            <w:tcMar>
              <w:top w:w="10" w:type="dxa"/>
              <w:bottom w:w="10" w:type="dxa"/>
            </w:tcMar>
            <w:vAlign w:val="center"/>
          </w:tcPr>
          <w:p w14:paraId="0302D5D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2" w:type="dxa"/>
            <w:tcBorders>
              <w:top w:val="single" w:sz="4" w:space="0" w:color="auto"/>
              <w:left w:val="single" w:sz="4" w:space="0" w:color="auto"/>
            </w:tcBorders>
            <w:tcMar>
              <w:top w:w="10" w:type="dxa"/>
              <w:bottom w:w="10" w:type="dxa"/>
            </w:tcMar>
            <w:vAlign w:val="center"/>
          </w:tcPr>
          <w:p w14:paraId="1ED36C6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2FF1B11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66228BE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565DF5A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7" w:type="dxa"/>
            <w:tcBorders>
              <w:top w:val="single" w:sz="4" w:space="0" w:color="auto"/>
              <w:left w:val="single" w:sz="4" w:space="0" w:color="auto"/>
            </w:tcBorders>
            <w:tcMar>
              <w:top w:w="10" w:type="dxa"/>
              <w:bottom w:w="10" w:type="dxa"/>
            </w:tcMar>
            <w:vAlign w:val="center"/>
          </w:tcPr>
          <w:p w14:paraId="6DA5241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736650D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4" w:type="dxa"/>
            <w:tcBorders>
              <w:top w:val="single" w:sz="4" w:space="0" w:color="auto"/>
              <w:left w:val="single" w:sz="4" w:space="0" w:color="auto"/>
            </w:tcBorders>
            <w:tcMar>
              <w:top w:w="10" w:type="dxa"/>
              <w:bottom w:w="10" w:type="dxa"/>
            </w:tcMar>
            <w:vAlign w:val="center"/>
          </w:tcPr>
          <w:p w14:paraId="3737EA8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6" w:type="dxa"/>
            <w:tcBorders>
              <w:top w:val="single" w:sz="4" w:space="0" w:color="auto"/>
              <w:left w:val="single" w:sz="4" w:space="0" w:color="auto"/>
            </w:tcBorders>
            <w:tcMar>
              <w:top w:w="10" w:type="dxa"/>
              <w:bottom w:w="10" w:type="dxa"/>
            </w:tcMar>
            <w:vAlign w:val="center"/>
          </w:tcPr>
          <w:p w14:paraId="772BF25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0" w:type="dxa"/>
            <w:tcBorders>
              <w:top w:val="single" w:sz="4" w:space="0" w:color="auto"/>
              <w:left w:val="single" w:sz="4" w:space="0" w:color="auto"/>
            </w:tcBorders>
            <w:tcMar>
              <w:top w:w="10" w:type="dxa"/>
              <w:bottom w:w="10" w:type="dxa"/>
            </w:tcMar>
            <w:vAlign w:val="center"/>
          </w:tcPr>
          <w:p w14:paraId="6BFDA6A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7CEF895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0" w:type="dxa"/>
            <w:tcBorders>
              <w:top w:val="single" w:sz="4" w:space="0" w:color="auto"/>
              <w:left w:val="single" w:sz="4" w:space="0" w:color="auto"/>
            </w:tcBorders>
            <w:tcMar>
              <w:top w:w="10" w:type="dxa"/>
              <w:bottom w:w="10" w:type="dxa"/>
            </w:tcMar>
            <w:vAlign w:val="center"/>
          </w:tcPr>
          <w:p w14:paraId="0C73E63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88" w:type="dxa"/>
            <w:tcBorders>
              <w:top w:val="single" w:sz="4" w:space="0" w:color="auto"/>
              <w:left w:val="single" w:sz="4" w:space="0" w:color="auto"/>
            </w:tcBorders>
            <w:tcMar>
              <w:top w:w="10" w:type="dxa"/>
              <w:bottom w:w="10" w:type="dxa"/>
            </w:tcMar>
            <w:vAlign w:val="center"/>
          </w:tcPr>
          <w:p w14:paraId="55543E5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1BE9B3A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8" w:type="dxa"/>
            <w:tcBorders>
              <w:top w:val="single" w:sz="4" w:space="0" w:color="auto"/>
              <w:left w:val="single" w:sz="4" w:space="0" w:color="auto"/>
            </w:tcBorders>
            <w:tcMar>
              <w:top w:w="10" w:type="dxa"/>
              <w:bottom w:w="10" w:type="dxa"/>
            </w:tcMar>
            <w:vAlign w:val="center"/>
          </w:tcPr>
          <w:p w14:paraId="6F9DF22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96" w:type="dxa"/>
            <w:tcBorders>
              <w:top w:val="single" w:sz="4" w:space="0" w:color="auto"/>
              <w:left w:val="single" w:sz="4" w:space="0" w:color="auto"/>
            </w:tcBorders>
            <w:tcMar>
              <w:top w:w="10" w:type="dxa"/>
              <w:bottom w:w="10" w:type="dxa"/>
            </w:tcMar>
            <w:vAlign w:val="center"/>
          </w:tcPr>
          <w:p w14:paraId="195F658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56" w:type="dxa"/>
            <w:tcBorders>
              <w:top w:val="single" w:sz="4" w:space="0" w:color="auto"/>
              <w:left w:val="single" w:sz="4" w:space="0" w:color="auto"/>
            </w:tcBorders>
            <w:tcMar>
              <w:top w:w="10" w:type="dxa"/>
              <w:bottom w:w="10" w:type="dxa"/>
            </w:tcMar>
            <w:vAlign w:val="center"/>
          </w:tcPr>
          <w:p w14:paraId="7BC7086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 w:type="dxa"/>
            <w:tcBorders>
              <w:top w:val="single" w:sz="4" w:space="0" w:color="auto"/>
              <w:left w:val="single" w:sz="4" w:space="0" w:color="auto"/>
            </w:tcBorders>
            <w:tcMar>
              <w:top w:w="10" w:type="dxa"/>
              <w:bottom w:w="10" w:type="dxa"/>
            </w:tcMar>
            <w:vAlign w:val="center"/>
          </w:tcPr>
          <w:p w14:paraId="1D9ACDE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56DB146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031CEA30" w14:textId="77777777">
        <w:trPr>
          <w:trHeight w:val="20"/>
        </w:trPr>
        <w:tc>
          <w:tcPr>
            <w:tcW w:w="233" w:type="dxa"/>
            <w:tcBorders>
              <w:top w:val="single" w:sz="4" w:space="0" w:color="auto"/>
              <w:left w:val="single" w:sz="4" w:space="0" w:color="auto"/>
            </w:tcBorders>
            <w:tcMar>
              <w:top w:w="10" w:type="dxa"/>
              <w:bottom w:w="10" w:type="dxa"/>
            </w:tcMar>
            <w:vAlign w:val="center"/>
          </w:tcPr>
          <w:p w14:paraId="5EF1ADA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19</w:t>
            </w:r>
          </w:p>
        </w:tc>
        <w:tc>
          <w:tcPr>
            <w:tcW w:w="2256" w:type="dxa"/>
            <w:tcBorders>
              <w:top w:val="single" w:sz="4" w:space="0" w:color="auto"/>
              <w:left w:val="single" w:sz="4" w:space="0" w:color="auto"/>
            </w:tcBorders>
            <w:tcMar>
              <w:top w:w="10" w:type="dxa"/>
              <w:bottom w:w="10" w:type="dxa"/>
            </w:tcMar>
            <w:vAlign w:val="center"/>
          </w:tcPr>
          <w:p w14:paraId="789FD48E" w14:textId="77777777" w:rsidR="006561BA" w:rsidRDefault="005B4ED6">
            <w:pPr>
              <w:widowControl w:val="0"/>
              <w:shd w:val="clear" w:color="auto" w:fill="auto"/>
              <w:spacing w:after="0" w:line="240" w:lineRule="auto"/>
              <w:ind w:left="200"/>
              <w:jc w:val="left"/>
              <w:rPr>
                <w:rFonts w:ascii="Helvetica" w:eastAsia="Arial Unicode MS" w:hAnsi="Helvetica" w:cs="Helvetica"/>
                <w:color w:val="212121"/>
                <w:sz w:val="6"/>
                <w:szCs w:val="6"/>
              </w:rPr>
            </w:pPr>
            <w:r>
              <w:rPr>
                <w:rFonts w:ascii="Helvetica" w:hAnsi="Helvetica"/>
                <w:color w:val="212121"/>
                <w:sz w:val="6"/>
              </w:rPr>
              <w:t>Egenkapitalinstrumenter</w:t>
            </w:r>
          </w:p>
        </w:tc>
        <w:tc>
          <w:tcPr>
            <w:tcW w:w="315" w:type="dxa"/>
            <w:tcBorders>
              <w:top w:val="single" w:sz="4" w:space="0" w:color="auto"/>
              <w:left w:val="single" w:sz="4" w:space="0" w:color="auto"/>
            </w:tcBorders>
            <w:tcMar>
              <w:top w:w="10" w:type="dxa"/>
              <w:bottom w:w="10" w:type="dxa"/>
            </w:tcMar>
            <w:vAlign w:val="center"/>
          </w:tcPr>
          <w:p w14:paraId="26AA333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6A7B808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left w:val="single" w:sz="4" w:space="0" w:color="auto"/>
            </w:tcBorders>
            <w:shd w:val="clear" w:color="auto" w:fill="000000" w:themeFill="text1"/>
            <w:tcMar>
              <w:top w:w="10" w:type="dxa"/>
              <w:bottom w:w="10" w:type="dxa"/>
            </w:tcMar>
            <w:vAlign w:val="center"/>
          </w:tcPr>
          <w:p w14:paraId="1EFF643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46B42DE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0952D3C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4993951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3DCA9F3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shd w:val="clear" w:color="auto" w:fill="000000" w:themeFill="text1"/>
          </w:tcPr>
          <w:p w14:paraId="214AEC5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525A1DB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6632302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2E6EE12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shd w:val="clear" w:color="auto" w:fill="000000" w:themeFill="text1"/>
            <w:tcMar>
              <w:top w:w="10" w:type="dxa"/>
              <w:bottom w:w="10" w:type="dxa"/>
            </w:tcMar>
            <w:vAlign w:val="center"/>
          </w:tcPr>
          <w:p w14:paraId="6EC04E7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628FE98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45FEAAE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55EEFEA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shd w:val="clear" w:color="auto" w:fill="000000" w:themeFill="text1"/>
            <w:tcMar>
              <w:top w:w="10" w:type="dxa"/>
              <w:bottom w:w="10" w:type="dxa"/>
            </w:tcMar>
            <w:vAlign w:val="center"/>
          </w:tcPr>
          <w:p w14:paraId="4CAB9F3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6F06C47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71ABBC6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6467BE0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left w:val="single" w:sz="4" w:space="0" w:color="auto"/>
            </w:tcBorders>
            <w:shd w:val="clear" w:color="auto" w:fill="000000" w:themeFill="text1"/>
            <w:tcMar>
              <w:top w:w="10" w:type="dxa"/>
              <w:bottom w:w="10" w:type="dxa"/>
            </w:tcMar>
            <w:vAlign w:val="center"/>
          </w:tcPr>
          <w:p w14:paraId="7AF1905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203C5C1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46A58E3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584E704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left w:val="single" w:sz="4" w:space="0" w:color="auto"/>
            </w:tcBorders>
            <w:shd w:val="clear" w:color="auto" w:fill="000000" w:themeFill="text1"/>
            <w:tcMar>
              <w:top w:w="10" w:type="dxa"/>
              <w:bottom w:w="10" w:type="dxa"/>
            </w:tcMar>
            <w:vAlign w:val="center"/>
          </w:tcPr>
          <w:p w14:paraId="5435735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2197730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4A24AEE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7C55D7A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left w:val="single" w:sz="4" w:space="0" w:color="auto"/>
            </w:tcBorders>
            <w:shd w:val="clear" w:color="auto" w:fill="000000" w:themeFill="text1"/>
            <w:tcMar>
              <w:top w:w="10" w:type="dxa"/>
              <w:bottom w:w="10" w:type="dxa"/>
            </w:tcMar>
            <w:vAlign w:val="center"/>
          </w:tcPr>
          <w:p w14:paraId="04404EA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321572A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7BDBFCF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418414C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47986B61" w14:textId="77777777">
        <w:trPr>
          <w:trHeight w:val="20"/>
        </w:trPr>
        <w:tc>
          <w:tcPr>
            <w:tcW w:w="233" w:type="dxa"/>
            <w:tcBorders>
              <w:top w:val="single" w:sz="4" w:space="0" w:color="auto"/>
              <w:left w:val="single" w:sz="4" w:space="0" w:color="auto"/>
            </w:tcBorders>
            <w:tcMar>
              <w:top w:w="10" w:type="dxa"/>
              <w:bottom w:w="10" w:type="dxa"/>
            </w:tcMar>
            <w:vAlign w:val="center"/>
          </w:tcPr>
          <w:p w14:paraId="0750DE2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20</w:t>
            </w:r>
          </w:p>
        </w:tc>
        <w:tc>
          <w:tcPr>
            <w:tcW w:w="2256" w:type="dxa"/>
            <w:tcBorders>
              <w:top w:val="single" w:sz="4" w:space="0" w:color="auto"/>
              <w:left w:val="single" w:sz="4" w:space="0" w:color="auto"/>
            </w:tcBorders>
            <w:tcMar>
              <w:top w:w="10" w:type="dxa"/>
              <w:bottom w:w="10" w:type="dxa"/>
            </w:tcMar>
            <w:vAlign w:val="center"/>
          </w:tcPr>
          <w:p w14:paraId="44671FD0" w14:textId="77777777" w:rsidR="006561BA" w:rsidRDefault="005B4ED6">
            <w:pPr>
              <w:widowControl w:val="0"/>
              <w:shd w:val="clear" w:color="auto" w:fill="auto"/>
              <w:spacing w:after="0" w:line="240" w:lineRule="auto"/>
              <w:ind w:left="80"/>
              <w:jc w:val="left"/>
              <w:rPr>
                <w:rFonts w:ascii="Helvetica" w:eastAsia="Arial Unicode MS" w:hAnsi="Helvetica" w:cs="Helvetica"/>
                <w:b/>
                <w:color w:val="000000"/>
                <w:sz w:val="6"/>
                <w:szCs w:val="6"/>
              </w:rPr>
            </w:pPr>
            <w:r>
              <w:rPr>
                <w:rFonts w:ascii="Helvetica" w:hAnsi="Helvetica"/>
                <w:b/>
                <w:color w:val="000000"/>
                <w:sz w:val="6"/>
              </w:rPr>
              <w:t>Ikke-finansielle foretak</w:t>
            </w:r>
          </w:p>
        </w:tc>
        <w:tc>
          <w:tcPr>
            <w:tcW w:w="315" w:type="dxa"/>
            <w:tcBorders>
              <w:top w:val="single" w:sz="4" w:space="0" w:color="auto"/>
              <w:left w:val="single" w:sz="4" w:space="0" w:color="auto"/>
            </w:tcBorders>
            <w:tcMar>
              <w:top w:w="10" w:type="dxa"/>
              <w:bottom w:w="10" w:type="dxa"/>
            </w:tcMar>
            <w:vAlign w:val="center"/>
          </w:tcPr>
          <w:p w14:paraId="433C4E6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7B9802B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left w:val="single" w:sz="4" w:space="0" w:color="auto"/>
            </w:tcBorders>
            <w:tcMar>
              <w:top w:w="10" w:type="dxa"/>
              <w:bottom w:w="10" w:type="dxa"/>
            </w:tcMar>
            <w:vAlign w:val="center"/>
          </w:tcPr>
          <w:p w14:paraId="11ADA6D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4DE53C2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6E42502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010AD9A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184C35D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3EB9EA4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7D5D3FC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7D63B9C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75DC2D3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tcMar>
              <w:top w:w="10" w:type="dxa"/>
              <w:bottom w:w="10" w:type="dxa"/>
            </w:tcMar>
            <w:vAlign w:val="center"/>
          </w:tcPr>
          <w:p w14:paraId="1ABF69E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3C4F85E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51D1FDA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7FFE16E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tcMar>
              <w:top w:w="10" w:type="dxa"/>
              <w:bottom w:w="10" w:type="dxa"/>
            </w:tcMar>
            <w:vAlign w:val="center"/>
          </w:tcPr>
          <w:p w14:paraId="51C2D26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3A0E6B6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563AE17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2BE7D7D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left w:val="single" w:sz="4" w:space="0" w:color="auto"/>
            </w:tcBorders>
            <w:tcMar>
              <w:top w:w="10" w:type="dxa"/>
              <w:bottom w:w="10" w:type="dxa"/>
            </w:tcMar>
            <w:vAlign w:val="center"/>
          </w:tcPr>
          <w:p w14:paraId="7851000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567A854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3557B6F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0112976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left w:val="single" w:sz="4" w:space="0" w:color="auto"/>
            </w:tcBorders>
            <w:tcMar>
              <w:top w:w="10" w:type="dxa"/>
              <w:bottom w:w="10" w:type="dxa"/>
            </w:tcMar>
            <w:vAlign w:val="center"/>
          </w:tcPr>
          <w:p w14:paraId="4146AE9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4FA5D4B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27DD61D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72FE6EC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left w:val="single" w:sz="4" w:space="0" w:color="auto"/>
            </w:tcBorders>
            <w:tcMar>
              <w:top w:w="10" w:type="dxa"/>
              <w:bottom w:w="10" w:type="dxa"/>
            </w:tcMar>
            <w:vAlign w:val="center"/>
          </w:tcPr>
          <w:p w14:paraId="25EBEE8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672A9A2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6869376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277ED40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3627FCB3" w14:textId="77777777">
        <w:trPr>
          <w:trHeight w:val="20"/>
        </w:trPr>
        <w:tc>
          <w:tcPr>
            <w:tcW w:w="233" w:type="dxa"/>
            <w:tcBorders>
              <w:top w:val="single" w:sz="4" w:space="0" w:color="auto"/>
              <w:left w:val="single" w:sz="4" w:space="0" w:color="auto"/>
            </w:tcBorders>
            <w:tcMar>
              <w:top w:w="10" w:type="dxa"/>
              <w:bottom w:w="10" w:type="dxa"/>
            </w:tcMar>
            <w:vAlign w:val="center"/>
          </w:tcPr>
          <w:p w14:paraId="3D5C3E7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21</w:t>
            </w:r>
          </w:p>
        </w:tc>
        <w:tc>
          <w:tcPr>
            <w:tcW w:w="2256" w:type="dxa"/>
            <w:tcBorders>
              <w:top w:val="single" w:sz="4" w:space="0" w:color="auto"/>
              <w:left w:val="single" w:sz="4" w:space="0" w:color="auto"/>
            </w:tcBorders>
            <w:tcMar>
              <w:top w:w="10" w:type="dxa"/>
              <w:bottom w:w="10" w:type="dxa"/>
            </w:tcMar>
            <w:vAlign w:val="center"/>
          </w:tcPr>
          <w:p w14:paraId="16D5D126" w14:textId="77777777" w:rsidR="006561BA" w:rsidRDefault="005B4ED6">
            <w:pPr>
              <w:widowControl w:val="0"/>
              <w:shd w:val="clear" w:color="auto" w:fill="auto"/>
              <w:spacing w:after="0" w:line="240" w:lineRule="auto"/>
              <w:ind w:left="164"/>
              <w:jc w:val="left"/>
              <w:rPr>
                <w:rFonts w:ascii="Helvetica" w:eastAsia="Arial Unicode MS" w:hAnsi="Helvetica" w:cs="Helvetica"/>
                <w:color w:val="212121"/>
                <w:sz w:val="6"/>
                <w:szCs w:val="6"/>
              </w:rPr>
            </w:pPr>
            <w:r>
              <w:rPr>
                <w:rFonts w:ascii="Helvetica" w:hAnsi="Helvetica"/>
                <w:color w:val="212121"/>
                <w:sz w:val="6"/>
              </w:rPr>
              <w:t>Lån og forskudd</w:t>
            </w:r>
          </w:p>
        </w:tc>
        <w:tc>
          <w:tcPr>
            <w:tcW w:w="315" w:type="dxa"/>
            <w:tcBorders>
              <w:top w:val="single" w:sz="4" w:space="0" w:color="auto"/>
              <w:left w:val="single" w:sz="4" w:space="0" w:color="auto"/>
            </w:tcBorders>
            <w:tcMar>
              <w:top w:w="10" w:type="dxa"/>
              <w:bottom w:w="10" w:type="dxa"/>
            </w:tcMar>
            <w:vAlign w:val="center"/>
          </w:tcPr>
          <w:p w14:paraId="23C557D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64C71C4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4593EB5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56B7460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5005B4C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05F558B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305A1CB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0C0C21A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4872B0B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72F35D0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7D441CD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3912914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185D68A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5283B5A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21DD180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39F03D4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506CB4F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756793E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21A2619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tcBorders>
            <w:tcMar>
              <w:top w:w="10" w:type="dxa"/>
              <w:bottom w:w="10" w:type="dxa"/>
            </w:tcMar>
            <w:vAlign w:val="center"/>
          </w:tcPr>
          <w:p w14:paraId="6D86686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5860C22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1305915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57A46B8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tcBorders>
            <w:tcMar>
              <w:top w:w="10" w:type="dxa"/>
              <w:bottom w:w="10" w:type="dxa"/>
            </w:tcMar>
            <w:vAlign w:val="center"/>
          </w:tcPr>
          <w:p w14:paraId="59BED09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085639C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6EF3753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0CE4845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35B6C56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3FC0675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5349942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48C484D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05C3C000" w14:textId="77777777">
        <w:trPr>
          <w:trHeight w:val="20"/>
        </w:trPr>
        <w:tc>
          <w:tcPr>
            <w:tcW w:w="233" w:type="dxa"/>
            <w:tcBorders>
              <w:top w:val="single" w:sz="4" w:space="0" w:color="auto"/>
              <w:left w:val="single" w:sz="4" w:space="0" w:color="auto"/>
            </w:tcBorders>
            <w:tcMar>
              <w:top w:w="10" w:type="dxa"/>
              <w:bottom w:w="10" w:type="dxa"/>
            </w:tcMar>
            <w:vAlign w:val="center"/>
          </w:tcPr>
          <w:p w14:paraId="3716306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22</w:t>
            </w:r>
          </w:p>
        </w:tc>
        <w:tc>
          <w:tcPr>
            <w:tcW w:w="2256" w:type="dxa"/>
            <w:tcBorders>
              <w:top w:val="single" w:sz="4" w:space="0" w:color="auto"/>
              <w:left w:val="single" w:sz="4" w:space="0" w:color="auto"/>
            </w:tcBorders>
            <w:tcMar>
              <w:top w:w="10" w:type="dxa"/>
              <w:bottom w:w="10" w:type="dxa"/>
            </w:tcMar>
            <w:vAlign w:val="center"/>
          </w:tcPr>
          <w:p w14:paraId="694B9CEF" w14:textId="77777777" w:rsidR="006561BA" w:rsidRDefault="005B4ED6">
            <w:pPr>
              <w:widowControl w:val="0"/>
              <w:shd w:val="clear" w:color="auto" w:fill="auto"/>
              <w:spacing w:after="0" w:line="240" w:lineRule="auto"/>
              <w:ind w:left="164"/>
              <w:jc w:val="left"/>
              <w:rPr>
                <w:rFonts w:ascii="Helvetica" w:eastAsia="Arial Unicode MS" w:hAnsi="Helvetica" w:cs="Helvetica"/>
                <w:color w:val="212121"/>
                <w:sz w:val="6"/>
                <w:szCs w:val="6"/>
              </w:rPr>
            </w:pPr>
            <w:r>
              <w:rPr>
                <w:rFonts w:ascii="Helvetica" w:hAnsi="Helvetica"/>
                <w:color w:val="212121"/>
                <w:sz w:val="6"/>
              </w:rPr>
              <w:t>Gjeldsinstrumenter, herunder bruk av proveny</w:t>
            </w:r>
          </w:p>
        </w:tc>
        <w:tc>
          <w:tcPr>
            <w:tcW w:w="315" w:type="dxa"/>
            <w:tcBorders>
              <w:top w:val="single" w:sz="4" w:space="0" w:color="auto"/>
              <w:left w:val="single" w:sz="4" w:space="0" w:color="auto"/>
            </w:tcBorders>
            <w:tcMar>
              <w:top w:w="10" w:type="dxa"/>
              <w:bottom w:w="10" w:type="dxa"/>
            </w:tcMar>
            <w:vAlign w:val="center"/>
          </w:tcPr>
          <w:p w14:paraId="14D05B8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1854610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781AFD3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0" w:type="dxa"/>
            <w:tcBorders>
              <w:top w:val="single" w:sz="4" w:space="0" w:color="auto"/>
              <w:left w:val="single" w:sz="4" w:space="0" w:color="auto"/>
            </w:tcBorders>
            <w:tcMar>
              <w:top w:w="10" w:type="dxa"/>
              <w:bottom w:w="10" w:type="dxa"/>
            </w:tcMar>
            <w:vAlign w:val="center"/>
          </w:tcPr>
          <w:p w14:paraId="3E721A1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4" w:type="dxa"/>
            <w:tcBorders>
              <w:top w:val="single" w:sz="4" w:space="0" w:color="auto"/>
              <w:left w:val="single" w:sz="4" w:space="0" w:color="auto"/>
            </w:tcBorders>
            <w:tcMar>
              <w:top w:w="10" w:type="dxa"/>
              <w:bottom w:w="10" w:type="dxa"/>
            </w:tcMar>
            <w:vAlign w:val="center"/>
          </w:tcPr>
          <w:p w14:paraId="3A60248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right w:val="single" w:sz="4" w:space="0" w:color="auto"/>
            </w:tcBorders>
          </w:tcPr>
          <w:p w14:paraId="1566E52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2772D2C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7B0CF78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3B81E59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0150C39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126B6DF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3E67545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5" w:type="dxa"/>
            <w:tcBorders>
              <w:top w:val="single" w:sz="4" w:space="0" w:color="auto"/>
              <w:left w:val="single" w:sz="4" w:space="0" w:color="auto"/>
            </w:tcBorders>
            <w:tcMar>
              <w:top w:w="10" w:type="dxa"/>
              <w:bottom w:w="10" w:type="dxa"/>
            </w:tcMar>
            <w:vAlign w:val="center"/>
          </w:tcPr>
          <w:p w14:paraId="1D1C1D6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2" w:type="dxa"/>
            <w:tcBorders>
              <w:top w:val="single" w:sz="4" w:space="0" w:color="auto"/>
              <w:left w:val="single" w:sz="4" w:space="0" w:color="auto"/>
            </w:tcBorders>
            <w:tcMar>
              <w:top w:w="10" w:type="dxa"/>
              <w:bottom w:w="10" w:type="dxa"/>
            </w:tcMar>
            <w:vAlign w:val="center"/>
          </w:tcPr>
          <w:p w14:paraId="5AA107F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6EBC02E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3DC8F04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60B7886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7" w:type="dxa"/>
            <w:tcBorders>
              <w:top w:val="single" w:sz="4" w:space="0" w:color="auto"/>
              <w:left w:val="single" w:sz="4" w:space="0" w:color="auto"/>
            </w:tcBorders>
            <w:tcMar>
              <w:top w:w="10" w:type="dxa"/>
              <w:bottom w:w="10" w:type="dxa"/>
            </w:tcMar>
            <w:vAlign w:val="center"/>
          </w:tcPr>
          <w:p w14:paraId="7BF977E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2C794BC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4" w:type="dxa"/>
            <w:tcBorders>
              <w:top w:val="single" w:sz="4" w:space="0" w:color="auto"/>
              <w:left w:val="single" w:sz="4" w:space="0" w:color="auto"/>
            </w:tcBorders>
            <w:tcMar>
              <w:top w:w="10" w:type="dxa"/>
              <w:bottom w:w="10" w:type="dxa"/>
            </w:tcMar>
            <w:vAlign w:val="center"/>
          </w:tcPr>
          <w:p w14:paraId="445DFFE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6" w:type="dxa"/>
            <w:tcBorders>
              <w:top w:val="single" w:sz="4" w:space="0" w:color="auto"/>
              <w:left w:val="single" w:sz="4" w:space="0" w:color="auto"/>
            </w:tcBorders>
            <w:tcMar>
              <w:top w:w="10" w:type="dxa"/>
              <w:bottom w:w="10" w:type="dxa"/>
            </w:tcMar>
            <w:vAlign w:val="center"/>
          </w:tcPr>
          <w:p w14:paraId="652FAB4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0" w:type="dxa"/>
            <w:tcBorders>
              <w:top w:val="single" w:sz="4" w:space="0" w:color="auto"/>
              <w:left w:val="single" w:sz="4" w:space="0" w:color="auto"/>
            </w:tcBorders>
            <w:tcMar>
              <w:top w:w="10" w:type="dxa"/>
              <w:bottom w:w="10" w:type="dxa"/>
            </w:tcMar>
            <w:vAlign w:val="center"/>
          </w:tcPr>
          <w:p w14:paraId="70CB3CA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3FE3B04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0" w:type="dxa"/>
            <w:tcBorders>
              <w:top w:val="single" w:sz="4" w:space="0" w:color="auto"/>
              <w:left w:val="single" w:sz="4" w:space="0" w:color="auto"/>
            </w:tcBorders>
            <w:tcMar>
              <w:top w:w="10" w:type="dxa"/>
              <w:bottom w:w="10" w:type="dxa"/>
            </w:tcMar>
            <w:vAlign w:val="center"/>
          </w:tcPr>
          <w:p w14:paraId="1CEEA8A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88" w:type="dxa"/>
            <w:tcBorders>
              <w:top w:val="single" w:sz="4" w:space="0" w:color="auto"/>
              <w:left w:val="single" w:sz="4" w:space="0" w:color="auto"/>
            </w:tcBorders>
            <w:tcMar>
              <w:top w:w="10" w:type="dxa"/>
              <w:bottom w:w="10" w:type="dxa"/>
            </w:tcMar>
            <w:vAlign w:val="center"/>
          </w:tcPr>
          <w:p w14:paraId="0AC9CB9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7A952CE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8" w:type="dxa"/>
            <w:tcBorders>
              <w:top w:val="single" w:sz="4" w:space="0" w:color="auto"/>
              <w:left w:val="single" w:sz="4" w:space="0" w:color="auto"/>
            </w:tcBorders>
            <w:tcMar>
              <w:top w:w="10" w:type="dxa"/>
              <w:bottom w:w="10" w:type="dxa"/>
            </w:tcMar>
            <w:vAlign w:val="center"/>
          </w:tcPr>
          <w:p w14:paraId="47E8CF8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96" w:type="dxa"/>
            <w:tcBorders>
              <w:top w:val="single" w:sz="4" w:space="0" w:color="auto"/>
              <w:left w:val="single" w:sz="4" w:space="0" w:color="auto"/>
            </w:tcBorders>
            <w:tcMar>
              <w:top w:w="10" w:type="dxa"/>
              <w:bottom w:w="10" w:type="dxa"/>
            </w:tcMar>
            <w:vAlign w:val="center"/>
          </w:tcPr>
          <w:p w14:paraId="496EECB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56" w:type="dxa"/>
            <w:tcBorders>
              <w:top w:val="single" w:sz="4" w:space="0" w:color="auto"/>
              <w:left w:val="single" w:sz="4" w:space="0" w:color="auto"/>
            </w:tcBorders>
            <w:tcMar>
              <w:top w:w="10" w:type="dxa"/>
              <w:bottom w:w="10" w:type="dxa"/>
            </w:tcMar>
            <w:vAlign w:val="center"/>
          </w:tcPr>
          <w:p w14:paraId="3F7C5E4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 w:type="dxa"/>
            <w:tcBorders>
              <w:top w:val="single" w:sz="4" w:space="0" w:color="auto"/>
              <w:left w:val="single" w:sz="4" w:space="0" w:color="auto"/>
            </w:tcBorders>
            <w:tcMar>
              <w:top w:w="10" w:type="dxa"/>
              <w:bottom w:w="10" w:type="dxa"/>
            </w:tcMar>
            <w:vAlign w:val="center"/>
          </w:tcPr>
          <w:p w14:paraId="2138D6C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1C94711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004B3C02" w14:textId="77777777">
        <w:trPr>
          <w:trHeight w:val="20"/>
        </w:trPr>
        <w:tc>
          <w:tcPr>
            <w:tcW w:w="233" w:type="dxa"/>
            <w:tcBorders>
              <w:top w:val="single" w:sz="4" w:space="0" w:color="auto"/>
              <w:left w:val="single" w:sz="4" w:space="0" w:color="auto"/>
            </w:tcBorders>
            <w:tcMar>
              <w:top w:w="10" w:type="dxa"/>
              <w:bottom w:w="10" w:type="dxa"/>
            </w:tcMar>
            <w:vAlign w:val="center"/>
          </w:tcPr>
          <w:p w14:paraId="41A9736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23</w:t>
            </w:r>
          </w:p>
        </w:tc>
        <w:tc>
          <w:tcPr>
            <w:tcW w:w="2256" w:type="dxa"/>
            <w:tcBorders>
              <w:top w:val="single" w:sz="4" w:space="0" w:color="auto"/>
              <w:left w:val="single" w:sz="4" w:space="0" w:color="auto"/>
            </w:tcBorders>
            <w:tcMar>
              <w:top w:w="10" w:type="dxa"/>
              <w:bottom w:w="10" w:type="dxa"/>
            </w:tcMar>
            <w:vAlign w:val="center"/>
          </w:tcPr>
          <w:p w14:paraId="1CBD0120" w14:textId="77777777" w:rsidR="006561BA" w:rsidRDefault="005B4ED6">
            <w:pPr>
              <w:widowControl w:val="0"/>
              <w:shd w:val="clear" w:color="auto" w:fill="auto"/>
              <w:spacing w:after="0" w:line="240" w:lineRule="auto"/>
              <w:ind w:left="164"/>
              <w:jc w:val="left"/>
              <w:rPr>
                <w:rFonts w:ascii="Helvetica" w:eastAsia="Arial Unicode MS" w:hAnsi="Helvetica" w:cs="Helvetica"/>
                <w:color w:val="212121"/>
                <w:sz w:val="6"/>
                <w:szCs w:val="6"/>
              </w:rPr>
            </w:pPr>
            <w:r>
              <w:rPr>
                <w:rFonts w:ascii="Helvetica" w:hAnsi="Helvetica"/>
                <w:color w:val="212121"/>
                <w:sz w:val="6"/>
              </w:rPr>
              <w:t>Egenkapitalinstrumenter</w:t>
            </w:r>
          </w:p>
        </w:tc>
        <w:tc>
          <w:tcPr>
            <w:tcW w:w="315" w:type="dxa"/>
            <w:tcBorders>
              <w:top w:val="single" w:sz="4" w:space="0" w:color="auto"/>
              <w:left w:val="single" w:sz="4" w:space="0" w:color="auto"/>
            </w:tcBorders>
            <w:tcMar>
              <w:top w:w="10" w:type="dxa"/>
              <w:bottom w:w="10" w:type="dxa"/>
            </w:tcMar>
            <w:vAlign w:val="center"/>
          </w:tcPr>
          <w:p w14:paraId="19E0DFC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62F57CC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left w:val="single" w:sz="4" w:space="0" w:color="auto"/>
            </w:tcBorders>
            <w:shd w:val="clear" w:color="auto" w:fill="000000" w:themeFill="text1"/>
            <w:tcMar>
              <w:top w:w="10" w:type="dxa"/>
              <w:bottom w:w="10" w:type="dxa"/>
            </w:tcMar>
            <w:vAlign w:val="center"/>
          </w:tcPr>
          <w:p w14:paraId="7EC0D3E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468F320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7E7FAF1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tcPr>
          <w:p w14:paraId="036C7F5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tcBorders>
          </w:tcPr>
          <w:p w14:paraId="745ED83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tcBorders>
            <w:shd w:val="clear" w:color="auto" w:fill="000000" w:themeFill="text1"/>
          </w:tcPr>
          <w:p w14:paraId="759AAAF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tcBorders>
          </w:tcPr>
          <w:p w14:paraId="499DF46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4BB5636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08B2BC9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shd w:val="clear" w:color="auto" w:fill="000000" w:themeFill="text1"/>
            <w:tcMar>
              <w:top w:w="10" w:type="dxa"/>
              <w:bottom w:w="10" w:type="dxa"/>
            </w:tcMar>
            <w:vAlign w:val="center"/>
          </w:tcPr>
          <w:p w14:paraId="4BFA78E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tcBorders>
            <w:tcMar>
              <w:top w:w="10" w:type="dxa"/>
              <w:bottom w:w="10" w:type="dxa"/>
            </w:tcMar>
            <w:vAlign w:val="center"/>
          </w:tcPr>
          <w:p w14:paraId="62FBF8C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778498A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34E02F4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shd w:val="clear" w:color="auto" w:fill="000000" w:themeFill="text1"/>
            <w:tcMar>
              <w:top w:w="10" w:type="dxa"/>
              <w:bottom w:w="10" w:type="dxa"/>
            </w:tcMar>
            <w:vAlign w:val="center"/>
          </w:tcPr>
          <w:p w14:paraId="1781B7A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666EDF0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466FD2B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4AF3538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shd w:val="clear" w:color="auto" w:fill="000000" w:themeFill="text1"/>
            <w:tcMar>
              <w:top w:w="10" w:type="dxa"/>
              <w:bottom w:w="10" w:type="dxa"/>
            </w:tcMar>
            <w:vAlign w:val="center"/>
          </w:tcPr>
          <w:p w14:paraId="73D9345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tcBorders>
            <w:tcMar>
              <w:top w:w="10" w:type="dxa"/>
              <w:bottom w:w="10" w:type="dxa"/>
            </w:tcMar>
            <w:vAlign w:val="center"/>
          </w:tcPr>
          <w:p w14:paraId="6EB9F1E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6E8308E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33F9973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shd w:val="clear" w:color="auto" w:fill="000000" w:themeFill="text1"/>
            <w:tcMar>
              <w:top w:w="10" w:type="dxa"/>
              <w:bottom w:w="10" w:type="dxa"/>
            </w:tcMar>
            <w:vAlign w:val="center"/>
          </w:tcPr>
          <w:p w14:paraId="092A878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tcBorders>
            <w:tcMar>
              <w:top w:w="10" w:type="dxa"/>
              <w:bottom w:w="10" w:type="dxa"/>
            </w:tcMar>
            <w:vAlign w:val="center"/>
          </w:tcPr>
          <w:p w14:paraId="3F9DED2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289FEA5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19ED675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left w:val="single" w:sz="4" w:space="0" w:color="auto"/>
            </w:tcBorders>
            <w:shd w:val="clear" w:color="auto" w:fill="000000" w:themeFill="text1"/>
            <w:tcMar>
              <w:top w:w="10" w:type="dxa"/>
              <w:bottom w:w="10" w:type="dxa"/>
            </w:tcMar>
            <w:vAlign w:val="center"/>
          </w:tcPr>
          <w:p w14:paraId="43A251B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4526B76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7956819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06B59CC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177FB08B" w14:textId="77777777">
        <w:trPr>
          <w:trHeight w:val="20"/>
        </w:trPr>
        <w:tc>
          <w:tcPr>
            <w:tcW w:w="233" w:type="dxa"/>
            <w:tcBorders>
              <w:top w:val="single" w:sz="4" w:space="0" w:color="auto"/>
              <w:left w:val="single" w:sz="4" w:space="0" w:color="auto"/>
            </w:tcBorders>
            <w:tcMar>
              <w:top w:w="10" w:type="dxa"/>
              <w:bottom w:w="10" w:type="dxa"/>
            </w:tcMar>
            <w:vAlign w:val="center"/>
          </w:tcPr>
          <w:p w14:paraId="6149CC6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24</w:t>
            </w:r>
          </w:p>
        </w:tc>
        <w:tc>
          <w:tcPr>
            <w:tcW w:w="2256" w:type="dxa"/>
            <w:tcBorders>
              <w:top w:val="single" w:sz="4" w:space="0" w:color="auto"/>
              <w:left w:val="single" w:sz="4" w:space="0" w:color="auto"/>
            </w:tcBorders>
            <w:tcMar>
              <w:top w:w="10" w:type="dxa"/>
              <w:bottom w:w="10" w:type="dxa"/>
            </w:tcMar>
            <w:vAlign w:val="center"/>
          </w:tcPr>
          <w:p w14:paraId="6734582D" w14:textId="77777777" w:rsidR="006561BA" w:rsidRDefault="005B4ED6">
            <w:pPr>
              <w:widowControl w:val="0"/>
              <w:shd w:val="clear" w:color="auto" w:fill="auto"/>
              <w:spacing w:after="0" w:line="240" w:lineRule="auto"/>
              <w:ind w:left="80"/>
              <w:jc w:val="left"/>
              <w:rPr>
                <w:rFonts w:ascii="Helvetica" w:eastAsia="Arial Unicode MS" w:hAnsi="Helvetica" w:cs="Helvetica"/>
                <w:b/>
                <w:color w:val="000000"/>
                <w:sz w:val="6"/>
                <w:szCs w:val="6"/>
              </w:rPr>
            </w:pPr>
            <w:r>
              <w:rPr>
                <w:rFonts w:ascii="Helvetica" w:hAnsi="Helvetica"/>
                <w:b/>
                <w:color w:val="000000"/>
                <w:sz w:val="6"/>
              </w:rPr>
              <w:t>Husholdninger</w:t>
            </w:r>
          </w:p>
        </w:tc>
        <w:tc>
          <w:tcPr>
            <w:tcW w:w="315" w:type="dxa"/>
            <w:tcBorders>
              <w:top w:val="single" w:sz="4" w:space="0" w:color="auto"/>
              <w:left w:val="single" w:sz="4" w:space="0" w:color="auto"/>
            </w:tcBorders>
            <w:tcMar>
              <w:top w:w="10" w:type="dxa"/>
              <w:bottom w:w="10" w:type="dxa"/>
            </w:tcMar>
            <w:vAlign w:val="center"/>
          </w:tcPr>
          <w:p w14:paraId="5E2791C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2F0FB06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left w:val="single" w:sz="4" w:space="0" w:color="auto"/>
            </w:tcBorders>
            <w:tcMar>
              <w:top w:w="10" w:type="dxa"/>
              <w:bottom w:w="10" w:type="dxa"/>
            </w:tcMar>
            <w:vAlign w:val="center"/>
          </w:tcPr>
          <w:p w14:paraId="07EEE24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726B20C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right w:val="single" w:sz="4" w:space="0" w:color="auto"/>
            </w:tcBorders>
            <w:tcMar>
              <w:top w:w="10" w:type="dxa"/>
              <w:bottom w:w="10" w:type="dxa"/>
            </w:tcMar>
            <w:vAlign w:val="center"/>
          </w:tcPr>
          <w:p w14:paraId="12D600A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tcPr>
          <w:p w14:paraId="36E32E7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tcPr>
          <w:p w14:paraId="447AE02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tcPr>
          <w:p w14:paraId="38F700B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tcPr>
          <w:p w14:paraId="76E3CC5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left w:val="single" w:sz="4" w:space="0" w:color="auto"/>
            </w:tcBorders>
            <w:shd w:val="clear" w:color="auto" w:fill="000000" w:themeFill="text1"/>
            <w:tcMar>
              <w:top w:w="10" w:type="dxa"/>
              <w:bottom w:w="10" w:type="dxa"/>
            </w:tcMar>
            <w:vAlign w:val="center"/>
          </w:tcPr>
          <w:p w14:paraId="1C24021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shd w:val="clear" w:color="auto" w:fill="000000" w:themeFill="text1"/>
            <w:tcMar>
              <w:top w:w="10" w:type="dxa"/>
              <w:bottom w:w="10" w:type="dxa"/>
            </w:tcMar>
            <w:vAlign w:val="center"/>
          </w:tcPr>
          <w:p w14:paraId="2C714BB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shd w:val="clear" w:color="auto" w:fill="000000" w:themeFill="text1"/>
            <w:tcMar>
              <w:top w:w="10" w:type="dxa"/>
              <w:bottom w:w="10" w:type="dxa"/>
            </w:tcMar>
            <w:vAlign w:val="center"/>
          </w:tcPr>
          <w:p w14:paraId="117305D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shd w:val="clear" w:color="auto" w:fill="000000" w:themeFill="text1"/>
            <w:tcMar>
              <w:top w:w="10" w:type="dxa"/>
              <w:bottom w:w="10" w:type="dxa"/>
            </w:tcMar>
            <w:vAlign w:val="center"/>
          </w:tcPr>
          <w:p w14:paraId="04B32EA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tcBorders>
            <w:tcMar>
              <w:top w:w="10" w:type="dxa"/>
              <w:bottom w:w="10" w:type="dxa"/>
            </w:tcMar>
            <w:vAlign w:val="center"/>
          </w:tcPr>
          <w:p w14:paraId="691226B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786531F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tcMar>
              <w:top w:w="10" w:type="dxa"/>
              <w:bottom w:w="10" w:type="dxa"/>
            </w:tcMar>
            <w:vAlign w:val="center"/>
          </w:tcPr>
          <w:p w14:paraId="5D39F27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1317D29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shd w:val="clear" w:color="auto" w:fill="000000" w:themeFill="text1"/>
            <w:tcMar>
              <w:top w:w="10" w:type="dxa"/>
              <w:bottom w:w="10" w:type="dxa"/>
            </w:tcMar>
            <w:vAlign w:val="center"/>
          </w:tcPr>
          <w:p w14:paraId="13F7B5E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shd w:val="clear" w:color="auto" w:fill="000000" w:themeFill="text1"/>
            <w:tcMar>
              <w:top w:w="10" w:type="dxa"/>
              <w:bottom w:w="10" w:type="dxa"/>
            </w:tcMar>
            <w:vAlign w:val="center"/>
          </w:tcPr>
          <w:p w14:paraId="2109B20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shd w:val="clear" w:color="auto" w:fill="000000" w:themeFill="text1"/>
            <w:tcMar>
              <w:top w:w="10" w:type="dxa"/>
              <w:bottom w:w="10" w:type="dxa"/>
            </w:tcMar>
            <w:vAlign w:val="center"/>
          </w:tcPr>
          <w:p w14:paraId="0BFFE4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shd w:val="clear" w:color="auto" w:fill="000000" w:themeFill="text1"/>
            <w:tcMar>
              <w:top w:w="10" w:type="dxa"/>
              <w:bottom w:w="10" w:type="dxa"/>
            </w:tcMar>
            <w:vAlign w:val="center"/>
          </w:tcPr>
          <w:p w14:paraId="72F49FC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shd w:val="clear" w:color="auto" w:fill="000000" w:themeFill="text1"/>
            <w:tcMar>
              <w:top w:w="10" w:type="dxa"/>
              <w:bottom w:w="10" w:type="dxa"/>
            </w:tcMar>
            <w:vAlign w:val="center"/>
          </w:tcPr>
          <w:p w14:paraId="2DA29AD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shd w:val="clear" w:color="auto" w:fill="000000" w:themeFill="text1"/>
            <w:tcMar>
              <w:top w:w="10" w:type="dxa"/>
              <w:bottom w:w="10" w:type="dxa"/>
            </w:tcMar>
            <w:vAlign w:val="center"/>
          </w:tcPr>
          <w:p w14:paraId="521A11C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shd w:val="clear" w:color="auto" w:fill="000000" w:themeFill="text1"/>
            <w:tcMar>
              <w:top w:w="10" w:type="dxa"/>
              <w:bottom w:w="10" w:type="dxa"/>
            </w:tcMar>
            <w:vAlign w:val="center"/>
          </w:tcPr>
          <w:p w14:paraId="4D28CE9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shd w:val="clear" w:color="auto" w:fill="000000" w:themeFill="text1"/>
            <w:tcMar>
              <w:top w:w="10" w:type="dxa"/>
              <w:bottom w:w="10" w:type="dxa"/>
            </w:tcMar>
            <w:vAlign w:val="center"/>
          </w:tcPr>
          <w:p w14:paraId="3189714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tcBorders>
            <w:tcMar>
              <w:top w:w="10" w:type="dxa"/>
              <w:bottom w:w="10" w:type="dxa"/>
            </w:tcMar>
            <w:vAlign w:val="center"/>
          </w:tcPr>
          <w:p w14:paraId="00CACFF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7F99DCA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left w:val="single" w:sz="4" w:space="0" w:color="auto"/>
            </w:tcBorders>
            <w:tcMar>
              <w:top w:w="10" w:type="dxa"/>
              <w:bottom w:w="10" w:type="dxa"/>
            </w:tcMar>
            <w:vAlign w:val="center"/>
          </w:tcPr>
          <w:p w14:paraId="4CB3A26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226B233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0332B2E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4B04F03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11B2BF54" w14:textId="77777777">
        <w:trPr>
          <w:trHeight w:val="20"/>
        </w:trPr>
        <w:tc>
          <w:tcPr>
            <w:tcW w:w="233" w:type="dxa"/>
            <w:tcBorders>
              <w:top w:val="single" w:sz="4" w:space="0" w:color="auto"/>
              <w:left w:val="single" w:sz="4" w:space="0" w:color="auto"/>
            </w:tcBorders>
            <w:tcMar>
              <w:top w:w="10" w:type="dxa"/>
              <w:bottom w:w="10" w:type="dxa"/>
            </w:tcMar>
            <w:vAlign w:val="center"/>
          </w:tcPr>
          <w:p w14:paraId="18A4911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25</w:t>
            </w:r>
          </w:p>
        </w:tc>
        <w:tc>
          <w:tcPr>
            <w:tcW w:w="2256" w:type="dxa"/>
            <w:tcBorders>
              <w:top w:val="single" w:sz="4" w:space="0" w:color="auto"/>
              <w:left w:val="single" w:sz="4" w:space="0" w:color="auto"/>
            </w:tcBorders>
            <w:tcMar>
              <w:top w:w="10" w:type="dxa"/>
              <w:bottom w:w="10" w:type="dxa"/>
            </w:tcMar>
            <w:vAlign w:val="center"/>
          </w:tcPr>
          <w:p w14:paraId="7C5E51CD" w14:textId="77777777" w:rsidR="006561BA" w:rsidRDefault="005B4ED6">
            <w:pPr>
              <w:widowControl w:val="0"/>
              <w:shd w:val="clear" w:color="auto" w:fill="auto"/>
              <w:spacing w:after="0" w:line="240" w:lineRule="auto"/>
              <w:ind w:left="164"/>
              <w:jc w:val="left"/>
              <w:rPr>
                <w:rFonts w:ascii="Helvetica" w:eastAsia="Arial Unicode MS" w:hAnsi="Helvetica" w:cs="Helvetica"/>
                <w:color w:val="212121"/>
                <w:sz w:val="6"/>
                <w:szCs w:val="6"/>
              </w:rPr>
            </w:pPr>
            <w:r>
              <w:rPr>
                <w:rFonts w:ascii="Helvetica" w:hAnsi="Helvetica"/>
                <w:color w:val="212121"/>
                <w:sz w:val="6"/>
              </w:rPr>
              <w:t>hvorav lån med sikkerhet i boligeiendommer</w:t>
            </w:r>
          </w:p>
        </w:tc>
        <w:tc>
          <w:tcPr>
            <w:tcW w:w="315" w:type="dxa"/>
            <w:tcBorders>
              <w:top w:val="single" w:sz="4" w:space="0" w:color="auto"/>
              <w:left w:val="single" w:sz="4" w:space="0" w:color="auto"/>
            </w:tcBorders>
            <w:tcMar>
              <w:top w:w="10" w:type="dxa"/>
              <w:bottom w:w="10" w:type="dxa"/>
            </w:tcMar>
            <w:vAlign w:val="center"/>
          </w:tcPr>
          <w:p w14:paraId="497525C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2E360F6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6AF9449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0" w:type="dxa"/>
            <w:tcBorders>
              <w:top w:val="single" w:sz="4" w:space="0" w:color="auto"/>
              <w:left w:val="single" w:sz="4" w:space="0" w:color="auto"/>
            </w:tcBorders>
            <w:tcMar>
              <w:top w:w="10" w:type="dxa"/>
              <w:bottom w:w="10" w:type="dxa"/>
            </w:tcMar>
            <w:vAlign w:val="center"/>
          </w:tcPr>
          <w:p w14:paraId="77C9702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4" w:type="dxa"/>
            <w:tcBorders>
              <w:top w:val="single" w:sz="4" w:space="0" w:color="auto"/>
              <w:left w:val="single" w:sz="4" w:space="0" w:color="auto"/>
              <w:right w:val="single" w:sz="4" w:space="0" w:color="auto"/>
            </w:tcBorders>
            <w:tcMar>
              <w:top w:w="10" w:type="dxa"/>
              <w:bottom w:w="10" w:type="dxa"/>
            </w:tcMar>
            <w:vAlign w:val="center"/>
          </w:tcPr>
          <w:p w14:paraId="05E1836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bottom w:val="single" w:sz="4" w:space="0" w:color="auto"/>
              <w:right w:val="single" w:sz="4" w:space="0" w:color="auto"/>
            </w:tcBorders>
          </w:tcPr>
          <w:p w14:paraId="377A050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bottom w:val="single" w:sz="4" w:space="0" w:color="auto"/>
              <w:right w:val="single" w:sz="4" w:space="0" w:color="auto"/>
            </w:tcBorders>
          </w:tcPr>
          <w:p w14:paraId="5F1F500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bottom w:val="single" w:sz="4" w:space="0" w:color="auto"/>
              <w:right w:val="single" w:sz="4" w:space="0" w:color="auto"/>
            </w:tcBorders>
          </w:tcPr>
          <w:p w14:paraId="4F4F0E9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bottom w:val="single" w:sz="4" w:space="0" w:color="auto"/>
              <w:right w:val="single" w:sz="4" w:space="0" w:color="auto"/>
            </w:tcBorders>
          </w:tcPr>
          <w:p w14:paraId="26F07B9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left w:val="single" w:sz="4" w:space="0" w:color="auto"/>
            </w:tcBorders>
            <w:shd w:val="clear" w:color="auto" w:fill="000000" w:themeFill="text1"/>
            <w:tcMar>
              <w:top w:w="10" w:type="dxa"/>
              <w:bottom w:w="10" w:type="dxa"/>
            </w:tcMar>
            <w:vAlign w:val="center"/>
          </w:tcPr>
          <w:p w14:paraId="72C258E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shd w:val="clear" w:color="auto" w:fill="000000" w:themeFill="text1"/>
            <w:tcMar>
              <w:top w:w="10" w:type="dxa"/>
              <w:bottom w:w="10" w:type="dxa"/>
            </w:tcMar>
            <w:vAlign w:val="center"/>
          </w:tcPr>
          <w:p w14:paraId="24D951D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shd w:val="clear" w:color="auto" w:fill="000000" w:themeFill="text1"/>
            <w:tcMar>
              <w:top w:w="10" w:type="dxa"/>
              <w:bottom w:w="10" w:type="dxa"/>
            </w:tcMar>
            <w:vAlign w:val="center"/>
          </w:tcPr>
          <w:p w14:paraId="40264AC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5" w:type="dxa"/>
            <w:shd w:val="clear" w:color="auto" w:fill="000000" w:themeFill="text1"/>
            <w:tcMar>
              <w:top w:w="10" w:type="dxa"/>
              <w:bottom w:w="10" w:type="dxa"/>
            </w:tcMar>
            <w:vAlign w:val="center"/>
          </w:tcPr>
          <w:p w14:paraId="180E7BD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2" w:type="dxa"/>
            <w:tcBorders>
              <w:top w:val="single" w:sz="4" w:space="0" w:color="auto"/>
            </w:tcBorders>
            <w:tcMar>
              <w:top w:w="10" w:type="dxa"/>
              <w:bottom w:w="10" w:type="dxa"/>
            </w:tcMar>
            <w:vAlign w:val="center"/>
          </w:tcPr>
          <w:p w14:paraId="7EB0F97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665FEDD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09349BF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424F149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7" w:type="dxa"/>
            <w:shd w:val="clear" w:color="auto" w:fill="000000" w:themeFill="text1"/>
            <w:tcMar>
              <w:top w:w="10" w:type="dxa"/>
              <w:bottom w:w="10" w:type="dxa"/>
            </w:tcMar>
            <w:vAlign w:val="center"/>
          </w:tcPr>
          <w:p w14:paraId="6ED4B20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shd w:val="clear" w:color="auto" w:fill="000000" w:themeFill="text1"/>
            <w:tcMar>
              <w:top w:w="10" w:type="dxa"/>
              <w:bottom w:w="10" w:type="dxa"/>
            </w:tcMar>
            <w:vAlign w:val="center"/>
          </w:tcPr>
          <w:p w14:paraId="70BD941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4" w:type="dxa"/>
            <w:shd w:val="clear" w:color="auto" w:fill="000000" w:themeFill="text1"/>
            <w:tcMar>
              <w:top w:w="10" w:type="dxa"/>
              <w:bottom w:w="10" w:type="dxa"/>
            </w:tcMar>
            <w:vAlign w:val="center"/>
          </w:tcPr>
          <w:p w14:paraId="33E764B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6" w:type="dxa"/>
            <w:shd w:val="clear" w:color="auto" w:fill="000000" w:themeFill="text1"/>
            <w:tcMar>
              <w:top w:w="10" w:type="dxa"/>
              <w:bottom w:w="10" w:type="dxa"/>
            </w:tcMar>
            <w:vAlign w:val="center"/>
          </w:tcPr>
          <w:p w14:paraId="4F0F8E0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0" w:type="dxa"/>
            <w:shd w:val="clear" w:color="auto" w:fill="000000" w:themeFill="text1"/>
            <w:tcMar>
              <w:top w:w="10" w:type="dxa"/>
              <w:bottom w:w="10" w:type="dxa"/>
            </w:tcMar>
            <w:vAlign w:val="center"/>
          </w:tcPr>
          <w:p w14:paraId="22C8A2A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shd w:val="clear" w:color="auto" w:fill="000000" w:themeFill="text1"/>
            <w:tcMar>
              <w:top w:w="10" w:type="dxa"/>
              <w:bottom w:w="10" w:type="dxa"/>
            </w:tcMar>
            <w:vAlign w:val="center"/>
          </w:tcPr>
          <w:p w14:paraId="06156B3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0" w:type="dxa"/>
            <w:shd w:val="clear" w:color="auto" w:fill="000000" w:themeFill="text1"/>
            <w:tcMar>
              <w:top w:w="10" w:type="dxa"/>
              <w:bottom w:w="10" w:type="dxa"/>
            </w:tcMar>
            <w:vAlign w:val="center"/>
          </w:tcPr>
          <w:p w14:paraId="7EBDEDF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88" w:type="dxa"/>
            <w:shd w:val="clear" w:color="auto" w:fill="000000" w:themeFill="text1"/>
            <w:tcMar>
              <w:top w:w="10" w:type="dxa"/>
              <w:bottom w:w="10" w:type="dxa"/>
            </w:tcMar>
            <w:vAlign w:val="center"/>
          </w:tcPr>
          <w:p w14:paraId="575E512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tcBorders>
            <w:tcMar>
              <w:top w:w="10" w:type="dxa"/>
              <w:bottom w:w="10" w:type="dxa"/>
            </w:tcMar>
            <w:vAlign w:val="center"/>
          </w:tcPr>
          <w:p w14:paraId="585B2E5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8" w:type="dxa"/>
            <w:tcBorders>
              <w:top w:val="single" w:sz="4" w:space="0" w:color="auto"/>
              <w:left w:val="single" w:sz="4" w:space="0" w:color="auto"/>
            </w:tcBorders>
            <w:tcMar>
              <w:top w:w="10" w:type="dxa"/>
              <w:bottom w:w="10" w:type="dxa"/>
            </w:tcMar>
            <w:vAlign w:val="center"/>
          </w:tcPr>
          <w:p w14:paraId="3D0D80C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96" w:type="dxa"/>
            <w:tcBorders>
              <w:top w:val="single" w:sz="4" w:space="0" w:color="auto"/>
              <w:left w:val="single" w:sz="4" w:space="0" w:color="auto"/>
            </w:tcBorders>
            <w:tcMar>
              <w:top w:w="10" w:type="dxa"/>
              <w:bottom w:w="10" w:type="dxa"/>
            </w:tcMar>
            <w:vAlign w:val="center"/>
          </w:tcPr>
          <w:p w14:paraId="4A12C6A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56" w:type="dxa"/>
            <w:tcBorders>
              <w:top w:val="single" w:sz="4" w:space="0" w:color="auto"/>
              <w:left w:val="single" w:sz="4" w:space="0" w:color="auto"/>
            </w:tcBorders>
            <w:tcMar>
              <w:top w:w="10" w:type="dxa"/>
              <w:bottom w:w="10" w:type="dxa"/>
            </w:tcMar>
            <w:vAlign w:val="center"/>
          </w:tcPr>
          <w:p w14:paraId="4D5B1B5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 w:type="dxa"/>
            <w:tcBorders>
              <w:top w:val="single" w:sz="4" w:space="0" w:color="auto"/>
              <w:left w:val="single" w:sz="4" w:space="0" w:color="auto"/>
            </w:tcBorders>
            <w:tcMar>
              <w:top w:w="10" w:type="dxa"/>
              <w:bottom w:w="10" w:type="dxa"/>
            </w:tcMar>
            <w:vAlign w:val="center"/>
          </w:tcPr>
          <w:p w14:paraId="3B35381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03B6AA5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278C7CCB" w14:textId="77777777">
        <w:trPr>
          <w:trHeight w:val="20"/>
        </w:trPr>
        <w:tc>
          <w:tcPr>
            <w:tcW w:w="233" w:type="dxa"/>
            <w:tcBorders>
              <w:top w:val="single" w:sz="4" w:space="0" w:color="auto"/>
              <w:left w:val="single" w:sz="4" w:space="0" w:color="auto"/>
            </w:tcBorders>
            <w:tcMar>
              <w:top w:w="10" w:type="dxa"/>
              <w:bottom w:w="10" w:type="dxa"/>
            </w:tcMar>
            <w:vAlign w:val="center"/>
          </w:tcPr>
          <w:p w14:paraId="1162B19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26</w:t>
            </w:r>
          </w:p>
        </w:tc>
        <w:tc>
          <w:tcPr>
            <w:tcW w:w="2256" w:type="dxa"/>
            <w:tcBorders>
              <w:top w:val="single" w:sz="4" w:space="0" w:color="auto"/>
              <w:left w:val="single" w:sz="4" w:space="0" w:color="auto"/>
            </w:tcBorders>
            <w:tcMar>
              <w:top w:w="10" w:type="dxa"/>
              <w:bottom w:w="10" w:type="dxa"/>
            </w:tcMar>
            <w:vAlign w:val="center"/>
          </w:tcPr>
          <w:p w14:paraId="1242B60F" w14:textId="77777777" w:rsidR="006561BA" w:rsidRDefault="005B4ED6">
            <w:pPr>
              <w:widowControl w:val="0"/>
              <w:shd w:val="clear" w:color="auto" w:fill="auto"/>
              <w:spacing w:after="0" w:line="240" w:lineRule="auto"/>
              <w:ind w:left="164"/>
              <w:jc w:val="left"/>
              <w:rPr>
                <w:rFonts w:ascii="Helvetica" w:eastAsia="Arial Unicode MS" w:hAnsi="Helvetica" w:cs="Helvetica"/>
                <w:color w:val="212121"/>
                <w:sz w:val="6"/>
                <w:szCs w:val="6"/>
              </w:rPr>
            </w:pPr>
            <w:r>
              <w:rPr>
                <w:rFonts w:ascii="Helvetica" w:hAnsi="Helvetica"/>
                <w:color w:val="212121"/>
                <w:sz w:val="6"/>
              </w:rPr>
              <w:t xml:space="preserve">hvorav lån til </w:t>
            </w:r>
            <w:proofErr w:type="spellStart"/>
            <w:r>
              <w:rPr>
                <w:rFonts w:ascii="Helvetica" w:hAnsi="Helvetica"/>
                <w:color w:val="212121"/>
                <w:sz w:val="6"/>
              </w:rPr>
              <w:t>byggrenovering</w:t>
            </w:r>
            <w:proofErr w:type="spellEnd"/>
          </w:p>
        </w:tc>
        <w:tc>
          <w:tcPr>
            <w:tcW w:w="315" w:type="dxa"/>
            <w:tcBorders>
              <w:top w:val="single" w:sz="4" w:space="0" w:color="auto"/>
              <w:left w:val="single" w:sz="4" w:space="0" w:color="auto"/>
            </w:tcBorders>
            <w:tcMar>
              <w:top w:w="10" w:type="dxa"/>
              <w:bottom w:w="10" w:type="dxa"/>
            </w:tcMar>
            <w:vAlign w:val="center"/>
          </w:tcPr>
          <w:p w14:paraId="244F21A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0ACA28E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08910D9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3FC2957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right w:val="single" w:sz="4" w:space="0" w:color="auto"/>
            </w:tcBorders>
            <w:tcMar>
              <w:top w:w="10" w:type="dxa"/>
              <w:bottom w:w="10" w:type="dxa"/>
            </w:tcMar>
            <w:vAlign w:val="center"/>
          </w:tcPr>
          <w:p w14:paraId="26EC167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tcPr>
          <w:p w14:paraId="4A26F48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tcPr>
          <w:p w14:paraId="5380A1D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tcPr>
          <w:p w14:paraId="08CD55B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tcPr>
          <w:p w14:paraId="485D8E6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left w:val="single" w:sz="4" w:space="0" w:color="auto"/>
            </w:tcBorders>
            <w:shd w:val="clear" w:color="auto" w:fill="000000" w:themeFill="text1"/>
            <w:tcMar>
              <w:top w:w="10" w:type="dxa"/>
              <w:bottom w:w="10" w:type="dxa"/>
            </w:tcMar>
            <w:vAlign w:val="center"/>
          </w:tcPr>
          <w:p w14:paraId="482C6E6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shd w:val="clear" w:color="auto" w:fill="000000" w:themeFill="text1"/>
            <w:tcMar>
              <w:top w:w="10" w:type="dxa"/>
              <w:bottom w:w="10" w:type="dxa"/>
            </w:tcMar>
            <w:vAlign w:val="center"/>
          </w:tcPr>
          <w:p w14:paraId="6B94BB6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shd w:val="clear" w:color="auto" w:fill="000000" w:themeFill="text1"/>
            <w:tcMar>
              <w:top w:w="10" w:type="dxa"/>
              <w:bottom w:w="10" w:type="dxa"/>
            </w:tcMar>
            <w:vAlign w:val="center"/>
          </w:tcPr>
          <w:p w14:paraId="43E6A25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shd w:val="clear" w:color="auto" w:fill="000000" w:themeFill="text1"/>
            <w:tcMar>
              <w:top w:w="10" w:type="dxa"/>
              <w:bottom w:w="10" w:type="dxa"/>
            </w:tcMar>
            <w:vAlign w:val="center"/>
          </w:tcPr>
          <w:p w14:paraId="01EF569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tcBorders>
            <w:tcMar>
              <w:top w:w="10" w:type="dxa"/>
              <w:bottom w:w="10" w:type="dxa"/>
            </w:tcMar>
            <w:vAlign w:val="center"/>
          </w:tcPr>
          <w:p w14:paraId="55DA07B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2867EDE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361E744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495FE54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shd w:val="clear" w:color="auto" w:fill="000000" w:themeFill="text1"/>
            <w:tcMar>
              <w:top w:w="10" w:type="dxa"/>
              <w:bottom w:w="10" w:type="dxa"/>
            </w:tcMar>
            <w:vAlign w:val="center"/>
          </w:tcPr>
          <w:p w14:paraId="7EEC40B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shd w:val="clear" w:color="auto" w:fill="000000" w:themeFill="text1"/>
            <w:tcMar>
              <w:top w:w="10" w:type="dxa"/>
              <w:bottom w:w="10" w:type="dxa"/>
            </w:tcMar>
            <w:vAlign w:val="center"/>
          </w:tcPr>
          <w:p w14:paraId="487C925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shd w:val="clear" w:color="auto" w:fill="000000" w:themeFill="text1"/>
            <w:tcMar>
              <w:top w:w="10" w:type="dxa"/>
              <w:bottom w:w="10" w:type="dxa"/>
            </w:tcMar>
            <w:vAlign w:val="center"/>
          </w:tcPr>
          <w:p w14:paraId="6E06DAD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shd w:val="clear" w:color="auto" w:fill="000000" w:themeFill="text1"/>
            <w:tcMar>
              <w:top w:w="10" w:type="dxa"/>
              <w:bottom w:w="10" w:type="dxa"/>
            </w:tcMar>
            <w:vAlign w:val="center"/>
          </w:tcPr>
          <w:p w14:paraId="1807202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shd w:val="clear" w:color="auto" w:fill="000000" w:themeFill="text1"/>
            <w:tcMar>
              <w:top w:w="10" w:type="dxa"/>
              <w:bottom w:w="10" w:type="dxa"/>
            </w:tcMar>
            <w:vAlign w:val="center"/>
          </w:tcPr>
          <w:p w14:paraId="646990A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shd w:val="clear" w:color="auto" w:fill="000000" w:themeFill="text1"/>
            <w:tcMar>
              <w:top w:w="10" w:type="dxa"/>
              <w:bottom w:w="10" w:type="dxa"/>
            </w:tcMar>
            <w:vAlign w:val="center"/>
          </w:tcPr>
          <w:p w14:paraId="40DEFC4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shd w:val="clear" w:color="auto" w:fill="000000" w:themeFill="text1"/>
            <w:tcMar>
              <w:top w:w="10" w:type="dxa"/>
              <w:bottom w:w="10" w:type="dxa"/>
            </w:tcMar>
            <w:vAlign w:val="center"/>
          </w:tcPr>
          <w:p w14:paraId="4581370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shd w:val="clear" w:color="auto" w:fill="000000" w:themeFill="text1"/>
            <w:tcMar>
              <w:top w:w="10" w:type="dxa"/>
              <w:bottom w:w="10" w:type="dxa"/>
            </w:tcMar>
            <w:vAlign w:val="center"/>
          </w:tcPr>
          <w:p w14:paraId="09294F2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tcBorders>
            <w:tcMar>
              <w:top w:w="10" w:type="dxa"/>
              <w:bottom w:w="10" w:type="dxa"/>
            </w:tcMar>
            <w:vAlign w:val="center"/>
          </w:tcPr>
          <w:p w14:paraId="10CE60D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5864D6A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2F8B2B9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0913394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418976A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519A4D1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6528A7B6" w14:textId="77777777">
        <w:trPr>
          <w:trHeight w:val="20"/>
        </w:trPr>
        <w:tc>
          <w:tcPr>
            <w:tcW w:w="233" w:type="dxa"/>
            <w:tcBorders>
              <w:top w:val="single" w:sz="4" w:space="0" w:color="auto"/>
              <w:left w:val="single" w:sz="4" w:space="0" w:color="auto"/>
            </w:tcBorders>
            <w:tcMar>
              <w:top w:w="10" w:type="dxa"/>
              <w:bottom w:w="10" w:type="dxa"/>
            </w:tcMar>
            <w:vAlign w:val="center"/>
          </w:tcPr>
          <w:p w14:paraId="539C40E0"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27</w:t>
            </w:r>
          </w:p>
        </w:tc>
        <w:tc>
          <w:tcPr>
            <w:tcW w:w="2256" w:type="dxa"/>
            <w:tcBorders>
              <w:top w:val="single" w:sz="4" w:space="0" w:color="auto"/>
              <w:left w:val="single" w:sz="4" w:space="0" w:color="auto"/>
            </w:tcBorders>
            <w:tcMar>
              <w:top w:w="10" w:type="dxa"/>
              <w:bottom w:w="10" w:type="dxa"/>
            </w:tcMar>
            <w:vAlign w:val="center"/>
          </w:tcPr>
          <w:p w14:paraId="2C71B601" w14:textId="77777777" w:rsidR="006561BA" w:rsidRDefault="005B4ED6">
            <w:pPr>
              <w:widowControl w:val="0"/>
              <w:shd w:val="clear" w:color="auto" w:fill="auto"/>
              <w:spacing w:after="0" w:line="240" w:lineRule="auto"/>
              <w:ind w:left="164"/>
              <w:jc w:val="left"/>
              <w:rPr>
                <w:rFonts w:ascii="Helvetica" w:eastAsia="Arial Unicode MS" w:hAnsi="Helvetica" w:cs="Helvetica"/>
                <w:color w:val="212121"/>
                <w:sz w:val="6"/>
                <w:szCs w:val="6"/>
              </w:rPr>
            </w:pPr>
            <w:r>
              <w:rPr>
                <w:rFonts w:ascii="Helvetica" w:hAnsi="Helvetica"/>
                <w:color w:val="212121"/>
                <w:sz w:val="6"/>
              </w:rPr>
              <w:t>hvorav billån</w:t>
            </w:r>
          </w:p>
        </w:tc>
        <w:tc>
          <w:tcPr>
            <w:tcW w:w="315" w:type="dxa"/>
            <w:tcBorders>
              <w:top w:val="single" w:sz="4" w:space="0" w:color="auto"/>
              <w:left w:val="single" w:sz="4" w:space="0" w:color="auto"/>
            </w:tcBorders>
            <w:tcMar>
              <w:top w:w="10" w:type="dxa"/>
              <w:bottom w:w="10" w:type="dxa"/>
            </w:tcMar>
            <w:vAlign w:val="center"/>
          </w:tcPr>
          <w:p w14:paraId="21601C0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7F20264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0F6AA8E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09DD5CB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0C3B7D7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tcBorders>
            <w:shd w:val="clear" w:color="auto" w:fill="000000" w:themeFill="text1"/>
          </w:tcPr>
          <w:p w14:paraId="614886D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tcBorders>
            <w:shd w:val="clear" w:color="auto" w:fill="000000" w:themeFill="text1"/>
          </w:tcPr>
          <w:p w14:paraId="366A76D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tcBorders>
            <w:shd w:val="clear" w:color="auto" w:fill="000000" w:themeFill="text1"/>
          </w:tcPr>
          <w:p w14:paraId="2D5E1CE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tcBorders>
            <w:shd w:val="clear" w:color="auto" w:fill="000000" w:themeFill="text1"/>
          </w:tcPr>
          <w:p w14:paraId="0E879AF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shd w:val="clear" w:color="auto" w:fill="000000" w:themeFill="text1"/>
            <w:tcMar>
              <w:top w:w="10" w:type="dxa"/>
              <w:bottom w:w="10" w:type="dxa"/>
            </w:tcMar>
            <w:vAlign w:val="center"/>
          </w:tcPr>
          <w:p w14:paraId="0351CA4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shd w:val="clear" w:color="auto" w:fill="000000" w:themeFill="text1"/>
            <w:tcMar>
              <w:top w:w="10" w:type="dxa"/>
              <w:bottom w:w="10" w:type="dxa"/>
            </w:tcMar>
            <w:vAlign w:val="center"/>
          </w:tcPr>
          <w:p w14:paraId="73C9F4F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shd w:val="clear" w:color="auto" w:fill="000000" w:themeFill="text1"/>
            <w:tcMar>
              <w:top w:w="10" w:type="dxa"/>
              <w:bottom w:w="10" w:type="dxa"/>
            </w:tcMar>
            <w:vAlign w:val="center"/>
          </w:tcPr>
          <w:p w14:paraId="25C856A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shd w:val="clear" w:color="auto" w:fill="000000" w:themeFill="text1"/>
            <w:tcMar>
              <w:top w:w="10" w:type="dxa"/>
              <w:bottom w:w="10" w:type="dxa"/>
            </w:tcMar>
            <w:vAlign w:val="center"/>
          </w:tcPr>
          <w:p w14:paraId="11B1B6E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tcBorders>
            <w:shd w:val="clear" w:color="auto" w:fill="000000" w:themeFill="text1"/>
            <w:tcMar>
              <w:top w:w="10" w:type="dxa"/>
              <w:bottom w:w="10" w:type="dxa"/>
            </w:tcMar>
            <w:vAlign w:val="center"/>
          </w:tcPr>
          <w:p w14:paraId="69C2EBD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shd w:val="clear" w:color="auto" w:fill="000000" w:themeFill="text1"/>
            <w:tcMar>
              <w:top w:w="10" w:type="dxa"/>
              <w:bottom w:w="10" w:type="dxa"/>
            </w:tcMar>
            <w:vAlign w:val="center"/>
          </w:tcPr>
          <w:p w14:paraId="75DED08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shd w:val="clear" w:color="auto" w:fill="000000" w:themeFill="text1"/>
            <w:tcMar>
              <w:top w:w="10" w:type="dxa"/>
              <w:bottom w:w="10" w:type="dxa"/>
            </w:tcMar>
            <w:vAlign w:val="center"/>
          </w:tcPr>
          <w:p w14:paraId="7FF3A09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shd w:val="clear" w:color="auto" w:fill="000000" w:themeFill="text1"/>
            <w:tcMar>
              <w:top w:w="10" w:type="dxa"/>
              <w:bottom w:w="10" w:type="dxa"/>
            </w:tcMar>
            <w:vAlign w:val="center"/>
          </w:tcPr>
          <w:p w14:paraId="4063B18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shd w:val="clear" w:color="auto" w:fill="000000" w:themeFill="text1"/>
            <w:tcMar>
              <w:top w:w="10" w:type="dxa"/>
              <w:bottom w:w="10" w:type="dxa"/>
            </w:tcMar>
            <w:vAlign w:val="center"/>
          </w:tcPr>
          <w:p w14:paraId="4B9E02D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shd w:val="clear" w:color="auto" w:fill="000000" w:themeFill="text1"/>
            <w:tcMar>
              <w:top w:w="10" w:type="dxa"/>
              <w:bottom w:w="10" w:type="dxa"/>
            </w:tcMar>
            <w:vAlign w:val="center"/>
          </w:tcPr>
          <w:p w14:paraId="07E110C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shd w:val="clear" w:color="auto" w:fill="000000" w:themeFill="text1"/>
            <w:tcMar>
              <w:top w:w="10" w:type="dxa"/>
              <w:bottom w:w="10" w:type="dxa"/>
            </w:tcMar>
            <w:vAlign w:val="center"/>
          </w:tcPr>
          <w:p w14:paraId="604CC3F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shd w:val="clear" w:color="auto" w:fill="000000" w:themeFill="text1"/>
            <w:tcMar>
              <w:top w:w="10" w:type="dxa"/>
              <w:bottom w:w="10" w:type="dxa"/>
            </w:tcMar>
            <w:vAlign w:val="center"/>
          </w:tcPr>
          <w:p w14:paraId="7C0673E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shd w:val="clear" w:color="auto" w:fill="000000" w:themeFill="text1"/>
            <w:tcMar>
              <w:top w:w="10" w:type="dxa"/>
              <w:bottom w:w="10" w:type="dxa"/>
            </w:tcMar>
            <w:vAlign w:val="center"/>
          </w:tcPr>
          <w:p w14:paraId="1E99665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shd w:val="clear" w:color="auto" w:fill="000000" w:themeFill="text1"/>
            <w:tcMar>
              <w:top w:w="10" w:type="dxa"/>
              <w:bottom w:w="10" w:type="dxa"/>
            </w:tcMar>
            <w:vAlign w:val="center"/>
          </w:tcPr>
          <w:p w14:paraId="7DF725F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shd w:val="clear" w:color="auto" w:fill="000000" w:themeFill="text1"/>
            <w:tcMar>
              <w:top w:w="10" w:type="dxa"/>
              <w:bottom w:w="10" w:type="dxa"/>
            </w:tcMar>
            <w:vAlign w:val="center"/>
          </w:tcPr>
          <w:p w14:paraId="0D77535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shd w:val="clear" w:color="auto" w:fill="000000" w:themeFill="text1"/>
            <w:tcMar>
              <w:top w:w="10" w:type="dxa"/>
              <w:bottom w:w="10" w:type="dxa"/>
            </w:tcMar>
            <w:vAlign w:val="center"/>
          </w:tcPr>
          <w:p w14:paraId="35C4DA7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tcBorders>
            <w:shd w:val="clear" w:color="auto" w:fill="000000" w:themeFill="text1"/>
            <w:tcMar>
              <w:top w:w="10" w:type="dxa"/>
              <w:bottom w:w="10" w:type="dxa"/>
            </w:tcMar>
            <w:vAlign w:val="center"/>
          </w:tcPr>
          <w:p w14:paraId="5BFEDBD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shd w:val="clear" w:color="auto" w:fill="000000" w:themeFill="text1"/>
            <w:tcMar>
              <w:top w:w="10" w:type="dxa"/>
              <w:bottom w:w="10" w:type="dxa"/>
            </w:tcMar>
            <w:vAlign w:val="center"/>
          </w:tcPr>
          <w:p w14:paraId="5B45305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shd w:val="clear" w:color="auto" w:fill="000000" w:themeFill="text1"/>
            <w:tcMar>
              <w:top w:w="10" w:type="dxa"/>
              <w:bottom w:w="10" w:type="dxa"/>
            </w:tcMar>
            <w:vAlign w:val="center"/>
          </w:tcPr>
          <w:p w14:paraId="085CFE0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shd w:val="clear" w:color="auto" w:fill="000000" w:themeFill="text1"/>
            <w:tcMar>
              <w:top w:w="10" w:type="dxa"/>
              <w:bottom w:w="10" w:type="dxa"/>
            </w:tcMar>
            <w:vAlign w:val="center"/>
          </w:tcPr>
          <w:p w14:paraId="728B479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shd w:val="clear" w:color="auto" w:fill="000000" w:themeFill="text1"/>
            <w:tcMar>
              <w:top w:w="10" w:type="dxa"/>
              <w:bottom w:w="10" w:type="dxa"/>
            </w:tcMar>
            <w:vAlign w:val="center"/>
          </w:tcPr>
          <w:p w14:paraId="6447146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shd w:val="clear" w:color="auto" w:fill="000000" w:themeFill="text1"/>
            <w:tcMar>
              <w:top w:w="10" w:type="dxa"/>
              <w:bottom w:w="10" w:type="dxa"/>
            </w:tcMar>
            <w:vAlign w:val="center"/>
          </w:tcPr>
          <w:p w14:paraId="15E74A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42A3C158" w14:textId="77777777">
        <w:trPr>
          <w:trHeight w:val="20"/>
        </w:trPr>
        <w:tc>
          <w:tcPr>
            <w:tcW w:w="233" w:type="dxa"/>
            <w:tcBorders>
              <w:top w:val="single" w:sz="4" w:space="0" w:color="auto"/>
              <w:left w:val="single" w:sz="4" w:space="0" w:color="auto"/>
            </w:tcBorders>
            <w:tcMar>
              <w:top w:w="10" w:type="dxa"/>
              <w:bottom w:w="10" w:type="dxa"/>
            </w:tcMar>
            <w:vAlign w:val="center"/>
          </w:tcPr>
          <w:p w14:paraId="63B6DB4A"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28</w:t>
            </w:r>
          </w:p>
        </w:tc>
        <w:tc>
          <w:tcPr>
            <w:tcW w:w="2256" w:type="dxa"/>
            <w:tcBorders>
              <w:top w:val="single" w:sz="4" w:space="0" w:color="auto"/>
              <w:left w:val="single" w:sz="4" w:space="0" w:color="auto"/>
            </w:tcBorders>
            <w:tcMar>
              <w:top w:w="10" w:type="dxa"/>
              <w:bottom w:w="10" w:type="dxa"/>
            </w:tcMar>
            <w:vAlign w:val="center"/>
          </w:tcPr>
          <w:p w14:paraId="79078E7B" w14:textId="77777777" w:rsidR="006561BA" w:rsidRDefault="005B4ED6">
            <w:pPr>
              <w:widowControl w:val="0"/>
              <w:shd w:val="clear" w:color="auto" w:fill="auto"/>
              <w:spacing w:after="0" w:line="240" w:lineRule="auto"/>
              <w:ind w:left="80"/>
              <w:jc w:val="left"/>
              <w:rPr>
                <w:rFonts w:ascii="Helvetica" w:eastAsia="Arial Unicode MS" w:hAnsi="Helvetica" w:cs="Helvetica"/>
                <w:b/>
                <w:color w:val="000000"/>
                <w:sz w:val="6"/>
                <w:szCs w:val="6"/>
              </w:rPr>
            </w:pPr>
            <w:r>
              <w:rPr>
                <w:rFonts w:ascii="Helvetica" w:hAnsi="Helvetica"/>
                <w:b/>
                <w:color w:val="000000"/>
                <w:sz w:val="6"/>
              </w:rPr>
              <w:t>Finansiering til lokale myndigheter</w:t>
            </w:r>
          </w:p>
        </w:tc>
        <w:tc>
          <w:tcPr>
            <w:tcW w:w="315" w:type="dxa"/>
            <w:tcBorders>
              <w:top w:val="single" w:sz="4" w:space="0" w:color="auto"/>
              <w:left w:val="single" w:sz="4" w:space="0" w:color="auto"/>
            </w:tcBorders>
            <w:tcMar>
              <w:top w:w="10" w:type="dxa"/>
              <w:bottom w:w="10" w:type="dxa"/>
            </w:tcMar>
            <w:vAlign w:val="center"/>
          </w:tcPr>
          <w:p w14:paraId="31F1F46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2A39E6A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0A52DA0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2783295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6DD4DC0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left w:val="single" w:sz="4" w:space="0" w:color="auto"/>
              <w:right w:val="single" w:sz="4" w:space="0" w:color="auto"/>
            </w:tcBorders>
          </w:tcPr>
          <w:p w14:paraId="1A0A871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left w:val="single" w:sz="4" w:space="0" w:color="auto"/>
            </w:tcBorders>
          </w:tcPr>
          <w:p w14:paraId="20EE136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left w:val="single" w:sz="4" w:space="0" w:color="auto"/>
            </w:tcBorders>
          </w:tcPr>
          <w:p w14:paraId="686BA5F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left w:val="single" w:sz="4" w:space="0" w:color="auto"/>
            </w:tcBorders>
          </w:tcPr>
          <w:p w14:paraId="04CAFA7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left w:val="single" w:sz="4" w:space="0" w:color="auto"/>
            </w:tcBorders>
            <w:tcMar>
              <w:top w:w="10" w:type="dxa"/>
              <w:bottom w:w="10" w:type="dxa"/>
            </w:tcMar>
            <w:vAlign w:val="center"/>
          </w:tcPr>
          <w:p w14:paraId="79F7FCE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left w:val="single" w:sz="4" w:space="0" w:color="auto"/>
            </w:tcBorders>
            <w:tcMar>
              <w:top w:w="10" w:type="dxa"/>
              <w:bottom w:w="10" w:type="dxa"/>
            </w:tcMar>
            <w:vAlign w:val="center"/>
          </w:tcPr>
          <w:p w14:paraId="39AEEB7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tcMar>
              <w:top w:w="10" w:type="dxa"/>
              <w:bottom w:w="10" w:type="dxa"/>
            </w:tcMar>
            <w:vAlign w:val="center"/>
          </w:tcPr>
          <w:p w14:paraId="068AEB5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left w:val="single" w:sz="4" w:space="0" w:color="auto"/>
            </w:tcBorders>
            <w:tcMar>
              <w:top w:w="10" w:type="dxa"/>
              <w:bottom w:w="10" w:type="dxa"/>
            </w:tcMar>
            <w:vAlign w:val="center"/>
          </w:tcPr>
          <w:p w14:paraId="1A738FF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5E67FB3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561DFF3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57D4D9B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1BB026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left w:val="single" w:sz="4" w:space="0" w:color="auto"/>
            </w:tcBorders>
            <w:tcMar>
              <w:top w:w="10" w:type="dxa"/>
              <w:bottom w:w="10" w:type="dxa"/>
            </w:tcMar>
            <w:vAlign w:val="center"/>
          </w:tcPr>
          <w:p w14:paraId="4FC8B0B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left w:val="single" w:sz="4" w:space="0" w:color="auto"/>
            </w:tcBorders>
            <w:tcMar>
              <w:top w:w="10" w:type="dxa"/>
              <w:bottom w:w="10" w:type="dxa"/>
            </w:tcMar>
            <w:vAlign w:val="center"/>
          </w:tcPr>
          <w:p w14:paraId="6130053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left w:val="single" w:sz="4" w:space="0" w:color="auto"/>
            </w:tcBorders>
            <w:tcMar>
              <w:top w:w="10" w:type="dxa"/>
              <w:bottom w:w="10" w:type="dxa"/>
            </w:tcMar>
            <w:vAlign w:val="center"/>
          </w:tcPr>
          <w:p w14:paraId="0A45EE2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left w:val="single" w:sz="4" w:space="0" w:color="auto"/>
            </w:tcBorders>
            <w:tcMar>
              <w:top w:w="10" w:type="dxa"/>
              <w:bottom w:w="10" w:type="dxa"/>
            </w:tcMar>
            <w:vAlign w:val="center"/>
          </w:tcPr>
          <w:p w14:paraId="37CECEE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left w:val="single" w:sz="4" w:space="0" w:color="auto"/>
            </w:tcBorders>
            <w:tcMar>
              <w:top w:w="10" w:type="dxa"/>
              <w:bottom w:w="10" w:type="dxa"/>
            </w:tcMar>
            <w:vAlign w:val="center"/>
          </w:tcPr>
          <w:p w14:paraId="13E3266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left w:val="single" w:sz="4" w:space="0" w:color="auto"/>
            </w:tcBorders>
            <w:tcMar>
              <w:top w:w="10" w:type="dxa"/>
              <w:bottom w:w="10" w:type="dxa"/>
            </w:tcMar>
            <w:vAlign w:val="center"/>
          </w:tcPr>
          <w:p w14:paraId="0C449AF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left w:val="single" w:sz="4" w:space="0" w:color="auto"/>
            </w:tcBorders>
            <w:tcMar>
              <w:top w:w="10" w:type="dxa"/>
              <w:bottom w:w="10" w:type="dxa"/>
            </w:tcMar>
            <w:vAlign w:val="center"/>
          </w:tcPr>
          <w:p w14:paraId="3EF9473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left w:val="single" w:sz="4" w:space="0" w:color="auto"/>
            </w:tcBorders>
            <w:tcMar>
              <w:top w:w="10" w:type="dxa"/>
              <w:bottom w:w="10" w:type="dxa"/>
            </w:tcMar>
            <w:vAlign w:val="center"/>
          </w:tcPr>
          <w:p w14:paraId="7C2D511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718C7F7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3604287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58923F4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7D91F73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63C58E7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2CF809F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6AB3380B" w14:textId="77777777">
        <w:trPr>
          <w:trHeight w:val="20"/>
        </w:trPr>
        <w:tc>
          <w:tcPr>
            <w:tcW w:w="233" w:type="dxa"/>
            <w:tcBorders>
              <w:top w:val="single" w:sz="4" w:space="0" w:color="auto"/>
              <w:left w:val="single" w:sz="4" w:space="0" w:color="auto"/>
            </w:tcBorders>
            <w:tcMar>
              <w:top w:w="10" w:type="dxa"/>
              <w:bottom w:w="10" w:type="dxa"/>
            </w:tcMar>
            <w:vAlign w:val="center"/>
          </w:tcPr>
          <w:p w14:paraId="1F3D1AA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29</w:t>
            </w:r>
          </w:p>
        </w:tc>
        <w:tc>
          <w:tcPr>
            <w:tcW w:w="2256" w:type="dxa"/>
            <w:tcBorders>
              <w:top w:val="single" w:sz="4" w:space="0" w:color="auto"/>
              <w:left w:val="single" w:sz="4" w:space="0" w:color="auto"/>
            </w:tcBorders>
            <w:tcMar>
              <w:top w:w="10" w:type="dxa"/>
              <w:bottom w:w="10" w:type="dxa"/>
            </w:tcMar>
            <w:vAlign w:val="center"/>
          </w:tcPr>
          <w:p w14:paraId="0634F9D3" w14:textId="77777777" w:rsidR="006561BA" w:rsidRDefault="005B4ED6">
            <w:pPr>
              <w:widowControl w:val="0"/>
              <w:shd w:val="clear" w:color="auto" w:fill="auto"/>
              <w:spacing w:after="0" w:line="240" w:lineRule="auto"/>
              <w:ind w:left="164"/>
              <w:jc w:val="left"/>
              <w:rPr>
                <w:rFonts w:ascii="Helvetica" w:eastAsia="Arial Unicode MS" w:hAnsi="Helvetica" w:cs="Helvetica"/>
                <w:color w:val="212121"/>
                <w:sz w:val="6"/>
                <w:szCs w:val="6"/>
              </w:rPr>
            </w:pPr>
            <w:r>
              <w:rPr>
                <w:rFonts w:ascii="Helvetica" w:hAnsi="Helvetica"/>
                <w:color w:val="212121"/>
                <w:sz w:val="6"/>
              </w:rPr>
              <w:t>Boligfinansiering</w:t>
            </w:r>
          </w:p>
        </w:tc>
        <w:tc>
          <w:tcPr>
            <w:tcW w:w="315" w:type="dxa"/>
            <w:tcBorders>
              <w:top w:val="single" w:sz="4" w:space="0" w:color="auto"/>
              <w:left w:val="single" w:sz="4" w:space="0" w:color="auto"/>
            </w:tcBorders>
            <w:tcMar>
              <w:top w:w="10" w:type="dxa"/>
              <w:bottom w:w="10" w:type="dxa"/>
            </w:tcMar>
            <w:vAlign w:val="center"/>
          </w:tcPr>
          <w:p w14:paraId="3960D61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5302F4C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3375FCE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50748FC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22BD697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5782CFD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506C695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6A12CAB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6DF85FB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6C7DE6D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350ED3C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14DE456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2E18E29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0BB9D62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735A914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74853B1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3638045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1E0C7A7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5FC30BC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tcBorders>
            <w:tcMar>
              <w:top w:w="10" w:type="dxa"/>
              <w:bottom w:w="10" w:type="dxa"/>
            </w:tcMar>
            <w:vAlign w:val="center"/>
          </w:tcPr>
          <w:p w14:paraId="58A7EEB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3D7DD45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1F491DF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530EBA2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tcBorders>
            <w:tcMar>
              <w:top w:w="10" w:type="dxa"/>
              <w:bottom w:w="10" w:type="dxa"/>
            </w:tcMar>
            <w:vAlign w:val="center"/>
          </w:tcPr>
          <w:p w14:paraId="77088A4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1DAE191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3B0569E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59BBFDD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1C05C27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2401891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69F55D5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0509F97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16060B43" w14:textId="77777777">
        <w:trPr>
          <w:trHeight w:val="20"/>
        </w:trPr>
        <w:tc>
          <w:tcPr>
            <w:tcW w:w="233" w:type="dxa"/>
            <w:tcBorders>
              <w:top w:val="single" w:sz="4" w:space="0" w:color="auto"/>
              <w:left w:val="single" w:sz="4" w:space="0" w:color="auto"/>
            </w:tcBorders>
            <w:tcMar>
              <w:top w:w="10" w:type="dxa"/>
              <w:bottom w:w="10" w:type="dxa"/>
            </w:tcMar>
            <w:vAlign w:val="center"/>
          </w:tcPr>
          <w:p w14:paraId="7879EF9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30</w:t>
            </w:r>
          </w:p>
        </w:tc>
        <w:tc>
          <w:tcPr>
            <w:tcW w:w="2256" w:type="dxa"/>
            <w:tcBorders>
              <w:top w:val="single" w:sz="4" w:space="0" w:color="auto"/>
              <w:left w:val="single" w:sz="4" w:space="0" w:color="auto"/>
            </w:tcBorders>
            <w:tcMar>
              <w:top w:w="10" w:type="dxa"/>
              <w:bottom w:w="10" w:type="dxa"/>
            </w:tcMar>
            <w:vAlign w:val="center"/>
          </w:tcPr>
          <w:p w14:paraId="78E9356A" w14:textId="77777777" w:rsidR="006561BA" w:rsidRDefault="005B4ED6">
            <w:pPr>
              <w:widowControl w:val="0"/>
              <w:shd w:val="clear" w:color="auto" w:fill="auto"/>
              <w:spacing w:after="0" w:line="240" w:lineRule="auto"/>
              <w:ind w:left="164"/>
              <w:jc w:val="left"/>
              <w:rPr>
                <w:rFonts w:ascii="Helvetica" w:eastAsia="Arial Unicode MS" w:hAnsi="Helvetica" w:cs="Helvetica"/>
                <w:color w:val="212121"/>
                <w:sz w:val="6"/>
                <w:szCs w:val="6"/>
              </w:rPr>
            </w:pPr>
            <w:r>
              <w:rPr>
                <w:rFonts w:ascii="Helvetica" w:hAnsi="Helvetica"/>
                <w:color w:val="212121"/>
                <w:sz w:val="6"/>
              </w:rPr>
              <w:t>Annen finansiering av lokale myndigheter</w:t>
            </w:r>
          </w:p>
        </w:tc>
        <w:tc>
          <w:tcPr>
            <w:tcW w:w="315" w:type="dxa"/>
            <w:tcBorders>
              <w:top w:val="single" w:sz="4" w:space="0" w:color="auto"/>
              <w:left w:val="single" w:sz="4" w:space="0" w:color="auto"/>
            </w:tcBorders>
            <w:tcMar>
              <w:top w:w="10" w:type="dxa"/>
              <w:bottom w:w="10" w:type="dxa"/>
            </w:tcMar>
            <w:vAlign w:val="center"/>
          </w:tcPr>
          <w:p w14:paraId="25B3215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6411D30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1AD8982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0" w:type="dxa"/>
            <w:tcBorders>
              <w:top w:val="single" w:sz="4" w:space="0" w:color="auto"/>
              <w:left w:val="single" w:sz="4" w:space="0" w:color="auto"/>
            </w:tcBorders>
            <w:tcMar>
              <w:top w:w="10" w:type="dxa"/>
              <w:bottom w:w="10" w:type="dxa"/>
            </w:tcMar>
            <w:vAlign w:val="center"/>
          </w:tcPr>
          <w:p w14:paraId="0251819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4" w:type="dxa"/>
            <w:tcBorders>
              <w:top w:val="single" w:sz="4" w:space="0" w:color="auto"/>
              <w:left w:val="single" w:sz="4" w:space="0" w:color="auto"/>
            </w:tcBorders>
            <w:tcMar>
              <w:top w:w="10" w:type="dxa"/>
              <w:bottom w:w="10" w:type="dxa"/>
            </w:tcMar>
            <w:vAlign w:val="center"/>
          </w:tcPr>
          <w:p w14:paraId="0BE414A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right w:val="single" w:sz="4" w:space="0" w:color="auto"/>
            </w:tcBorders>
          </w:tcPr>
          <w:p w14:paraId="47FA26D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62B1B9F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5738843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2E35D88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62C067A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0A54EC0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76F070A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5" w:type="dxa"/>
            <w:tcBorders>
              <w:top w:val="single" w:sz="4" w:space="0" w:color="auto"/>
              <w:left w:val="single" w:sz="4" w:space="0" w:color="auto"/>
            </w:tcBorders>
            <w:tcMar>
              <w:top w:w="10" w:type="dxa"/>
              <w:bottom w:w="10" w:type="dxa"/>
            </w:tcMar>
            <w:vAlign w:val="center"/>
          </w:tcPr>
          <w:p w14:paraId="011ED73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2" w:type="dxa"/>
            <w:tcBorders>
              <w:top w:val="single" w:sz="4" w:space="0" w:color="auto"/>
              <w:left w:val="single" w:sz="4" w:space="0" w:color="auto"/>
            </w:tcBorders>
            <w:tcMar>
              <w:top w:w="10" w:type="dxa"/>
              <w:bottom w:w="10" w:type="dxa"/>
            </w:tcMar>
            <w:vAlign w:val="center"/>
          </w:tcPr>
          <w:p w14:paraId="173422E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462B559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077FD2F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4DCC4F8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7" w:type="dxa"/>
            <w:tcBorders>
              <w:top w:val="single" w:sz="4" w:space="0" w:color="auto"/>
              <w:left w:val="single" w:sz="4" w:space="0" w:color="auto"/>
            </w:tcBorders>
            <w:tcMar>
              <w:top w:w="10" w:type="dxa"/>
              <w:bottom w:w="10" w:type="dxa"/>
            </w:tcMar>
            <w:vAlign w:val="center"/>
          </w:tcPr>
          <w:p w14:paraId="3214B28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5F12E5B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4" w:type="dxa"/>
            <w:tcBorders>
              <w:top w:val="single" w:sz="4" w:space="0" w:color="auto"/>
              <w:left w:val="single" w:sz="4" w:space="0" w:color="auto"/>
            </w:tcBorders>
            <w:tcMar>
              <w:top w:w="10" w:type="dxa"/>
              <w:bottom w:w="10" w:type="dxa"/>
            </w:tcMar>
            <w:vAlign w:val="center"/>
          </w:tcPr>
          <w:p w14:paraId="7303D8E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6" w:type="dxa"/>
            <w:tcBorders>
              <w:top w:val="single" w:sz="4" w:space="0" w:color="auto"/>
              <w:left w:val="single" w:sz="4" w:space="0" w:color="auto"/>
            </w:tcBorders>
            <w:tcMar>
              <w:top w:w="10" w:type="dxa"/>
              <w:bottom w:w="10" w:type="dxa"/>
            </w:tcMar>
            <w:vAlign w:val="center"/>
          </w:tcPr>
          <w:p w14:paraId="75A3EE1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0" w:type="dxa"/>
            <w:tcBorders>
              <w:top w:val="single" w:sz="4" w:space="0" w:color="auto"/>
              <w:left w:val="single" w:sz="4" w:space="0" w:color="auto"/>
            </w:tcBorders>
            <w:tcMar>
              <w:top w:w="10" w:type="dxa"/>
              <w:bottom w:w="10" w:type="dxa"/>
            </w:tcMar>
            <w:vAlign w:val="center"/>
          </w:tcPr>
          <w:p w14:paraId="2CF153E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412C884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0" w:type="dxa"/>
            <w:tcBorders>
              <w:top w:val="single" w:sz="4" w:space="0" w:color="auto"/>
              <w:left w:val="single" w:sz="4" w:space="0" w:color="auto"/>
            </w:tcBorders>
            <w:tcMar>
              <w:top w:w="10" w:type="dxa"/>
              <w:bottom w:w="10" w:type="dxa"/>
            </w:tcMar>
            <w:vAlign w:val="center"/>
          </w:tcPr>
          <w:p w14:paraId="6474F0F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88" w:type="dxa"/>
            <w:tcBorders>
              <w:top w:val="single" w:sz="4" w:space="0" w:color="auto"/>
              <w:left w:val="single" w:sz="4" w:space="0" w:color="auto"/>
            </w:tcBorders>
            <w:tcMar>
              <w:top w:w="10" w:type="dxa"/>
              <w:bottom w:w="10" w:type="dxa"/>
            </w:tcMar>
            <w:vAlign w:val="center"/>
          </w:tcPr>
          <w:p w14:paraId="754C55F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0C8BE89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8" w:type="dxa"/>
            <w:tcBorders>
              <w:top w:val="single" w:sz="4" w:space="0" w:color="auto"/>
              <w:left w:val="single" w:sz="4" w:space="0" w:color="auto"/>
            </w:tcBorders>
            <w:tcMar>
              <w:top w:w="10" w:type="dxa"/>
              <w:bottom w:w="10" w:type="dxa"/>
            </w:tcMar>
            <w:vAlign w:val="center"/>
          </w:tcPr>
          <w:p w14:paraId="6E65966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96" w:type="dxa"/>
            <w:tcBorders>
              <w:top w:val="single" w:sz="4" w:space="0" w:color="auto"/>
              <w:left w:val="single" w:sz="4" w:space="0" w:color="auto"/>
            </w:tcBorders>
            <w:tcMar>
              <w:top w:w="10" w:type="dxa"/>
              <w:bottom w:w="10" w:type="dxa"/>
            </w:tcMar>
            <w:vAlign w:val="center"/>
          </w:tcPr>
          <w:p w14:paraId="4A46FEA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56" w:type="dxa"/>
            <w:tcBorders>
              <w:top w:val="single" w:sz="4" w:space="0" w:color="auto"/>
              <w:left w:val="single" w:sz="4" w:space="0" w:color="auto"/>
            </w:tcBorders>
            <w:tcMar>
              <w:top w:w="10" w:type="dxa"/>
              <w:bottom w:w="10" w:type="dxa"/>
            </w:tcMar>
            <w:vAlign w:val="center"/>
          </w:tcPr>
          <w:p w14:paraId="20A4FB0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 w:type="dxa"/>
            <w:tcBorders>
              <w:top w:val="single" w:sz="4" w:space="0" w:color="auto"/>
              <w:left w:val="single" w:sz="4" w:space="0" w:color="auto"/>
            </w:tcBorders>
            <w:tcMar>
              <w:top w:w="10" w:type="dxa"/>
              <w:bottom w:w="10" w:type="dxa"/>
            </w:tcMar>
            <w:vAlign w:val="center"/>
          </w:tcPr>
          <w:p w14:paraId="743E2C2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102FD4D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3564C710" w14:textId="77777777">
        <w:trPr>
          <w:trHeight w:val="20"/>
        </w:trPr>
        <w:tc>
          <w:tcPr>
            <w:tcW w:w="233" w:type="dxa"/>
            <w:tcBorders>
              <w:top w:val="single" w:sz="4" w:space="0" w:color="auto"/>
              <w:left w:val="single" w:sz="4" w:space="0" w:color="auto"/>
            </w:tcBorders>
            <w:tcMar>
              <w:top w:w="10" w:type="dxa"/>
              <w:bottom w:w="10" w:type="dxa"/>
            </w:tcMar>
            <w:vAlign w:val="center"/>
          </w:tcPr>
          <w:p w14:paraId="00EACF2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31</w:t>
            </w:r>
          </w:p>
        </w:tc>
        <w:tc>
          <w:tcPr>
            <w:tcW w:w="2256" w:type="dxa"/>
            <w:tcBorders>
              <w:top w:val="single" w:sz="4" w:space="0" w:color="auto"/>
              <w:left w:val="single" w:sz="4" w:space="0" w:color="auto"/>
            </w:tcBorders>
            <w:tcMar>
              <w:top w:w="10" w:type="dxa"/>
              <w:bottom w:w="10" w:type="dxa"/>
            </w:tcMar>
            <w:vAlign w:val="center"/>
          </w:tcPr>
          <w:p w14:paraId="4B1AAFEA" w14:textId="77777777" w:rsidR="006561BA" w:rsidRDefault="005B4ED6">
            <w:pPr>
              <w:widowControl w:val="0"/>
              <w:shd w:val="clear" w:color="auto" w:fill="auto"/>
              <w:spacing w:after="0" w:line="240" w:lineRule="auto"/>
              <w:ind w:left="80"/>
              <w:jc w:val="left"/>
              <w:rPr>
                <w:rFonts w:ascii="Helvetica" w:eastAsia="Arial Unicode MS" w:hAnsi="Helvetica" w:cs="Helvetica"/>
                <w:b/>
                <w:color w:val="000000"/>
                <w:sz w:val="6"/>
                <w:szCs w:val="6"/>
              </w:rPr>
            </w:pPr>
            <w:r>
              <w:rPr>
                <w:rFonts w:ascii="Helvetica" w:hAnsi="Helvetica"/>
                <w:b/>
                <w:color w:val="000000"/>
                <w:sz w:val="6"/>
              </w:rPr>
              <w:t>Overtatte sikkerheter: bolig- og næringseiendommer</w:t>
            </w:r>
          </w:p>
        </w:tc>
        <w:tc>
          <w:tcPr>
            <w:tcW w:w="315" w:type="dxa"/>
            <w:tcBorders>
              <w:top w:val="single" w:sz="4" w:space="0" w:color="auto"/>
              <w:left w:val="single" w:sz="4" w:space="0" w:color="auto"/>
            </w:tcBorders>
            <w:tcMar>
              <w:top w:w="10" w:type="dxa"/>
              <w:bottom w:w="10" w:type="dxa"/>
            </w:tcMar>
            <w:vAlign w:val="center"/>
          </w:tcPr>
          <w:p w14:paraId="59DB712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529200D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463675F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0" w:type="dxa"/>
            <w:tcBorders>
              <w:top w:val="single" w:sz="4" w:space="0" w:color="auto"/>
              <w:left w:val="single" w:sz="4" w:space="0" w:color="auto"/>
            </w:tcBorders>
            <w:tcMar>
              <w:top w:w="10" w:type="dxa"/>
              <w:bottom w:w="10" w:type="dxa"/>
            </w:tcMar>
            <w:vAlign w:val="center"/>
          </w:tcPr>
          <w:p w14:paraId="32578FD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4" w:type="dxa"/>
            <w:tcBorders>
              <w:top w:val="single" w:sz="4" w:space="0" w:color="auto"/>
              <w:left w:val="single" w:sz="4" w:space="0" w:color="auto"/>
            </w:tcBorders>
            <w:tcMar>
              <w:top w:w="10" w:type="dxa"/>
              <w:bottom w:w="10" w:type="dxa"/>
            </w:tcMar>
            <w:vAlign w:val="center"/>
          </w:tcPr>
          <w:p w14:paraId="64361D8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right w:val="single" w:sz="4" w:space="0" w:color="auto"/>
            </w:tcBorders>
          </w:tcPr>
          <w:p w14:paraId="0B175F2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1AAAC50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245526D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71BFA74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6081FA5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756E56B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250091C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5" w:type="dxa"/>
            <w:tcBorders>
              <w:top w:val="single" w:sz="4" w:space="0" w:color="auto"/>
              <w:left w:val="single" w:sz="4" w:space="0" w:color="auto"/>
            </w:tcBorders>
            <w:tcMar>
              <w:top w:w="10" w:type="dxa"/>
              <w:bottom w:w="10" w:type="dxa"/>
            </w:tcMar>
            <w:vAlign w:val="center"/>
          </w:tcPr>
          <w:p w14:paraId="21E5523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2" w:type="dxa"/>
            <w:tcBorders>
              <w:top w:val="single" w:sz="4" w:space="0" w:color="auto"/>
              <w:left w:val="single" w:sz="4" w:space="0" w:color="auto"/>
            </w:tcBorders>
            <w:tcMar>
              <w:top w:w="10" w:type="dxa"/>
              <w:bottom w:w="10" w:type="dxa"/>
            </w:tcMar>
            <w:vAlign w:val="center"/>
          </w:tcPr>
          <w:p w14:paraId="7590CAE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4EC594A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0CE3B6B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16E43B6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7" w:type="dxa"/>
            <w:tcBorders>
              <w:top w:val="single" w:sz="4" w:space="0" w:color="auto"/>
              <w:left w:val="single" w:sz="4" w:space="0" w:color="auto"/>
            </w:tcBorders>
            <w:tcMar>
              <w:top w:w="10" w:type="dxa"/>
              <w:bottom w:w="10" w:type="dxa"/>
            </w:tcMar>
            <w:vAlign w:val="center"/>
          </w:tcPr>
          <w:p w14:paraId="4CC6CFF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02259E9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4" w:type="dxa"/>
            <w:tcBorders>
              <w:top w:val="single" w:sz="4" w:space="0" w:color="auto"/>
              <w:left w:val="single" w:sz="4" w:space="0" w:color="auto"/>
            </w:tcBorders>
            <w:tcMar>
              <w:top w:w="10" w:type="dxa"/>
              <w:bottom w:w="10" w:type="dxa"/>
            </w:tcMar>
            <w:vAlign w:val="center"/>
          </w:tcPr>
          <w:p w14:paraId="7840ADA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6" w:type="dxa"/>
            <w:tcBorders>
              <w:top w:val="single" w:sz="4" w:space="0" w:color="auto"/>
              <w:left w:val="single" w:sz="4" w:space="0" w:color="auto"/>
            </w:tcBorders>
            <w:tcMar>
              <w:top w:w="10" w:type="dxa"/>
              <w:bottom w:w="10" w:type="dxa"/>
            </w:tcMar>
            <w:vAlign w:val="center"/>
          </w:tcPr>
          <w:p w14:paraId="6452305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0" w:type="dxa"/>
            <w:tcBorders>
              <w:top w:val="single" w:sz="4" w:space="0" w:color="auto"/>
              <w:left w:val="single" w:sz="4" w:space="0" w:color="auto"/>
            </w:tcBorders>
            <w:tcMar>
              <w:top w:w="10" w:type="dxa"/>
              <w:bottom w:w="10" w:type="dxa"/>
            </w:tcMar>
            <w:vAlign w:val="center"/>
          </w:tcPr>
          <w:p w14:paraId="401465C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6991284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0" w:type="dxa"/>
            <w:tcBorders>
              <w:top w:val="single" w:sz="4" w:space="0" w:color="auto"/>
              <w:left w:val="single" w:sz="4" w:space="0" w:color="auto"/>
            </w:tcBorders>
            <w:tcMar>
              <w:top w:w="10" w:type="dxa"/>
              <w:bottom w:w="10" w:type="dxa"/>
            </w:tcMar>
            <w:vAlign w:val="center"/>
          </w:tcPr>
          <w:p w14:paraId="00C42E3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88" w:type="dxa"/>
            <w:tcBorders>
              <w:top w:val="single" w:sz="4" w:space="0" w:color="auto"/>
              <w:left w:val="single" w:sz="4" w:space="0" w:color="auto"/>
            </w:tcBorders>
            <w:tcMar>
              <w:top w:w="10" w:type="dxa"/>
              <w:bottom w:w="10" w:type="dxa"/>
            </w:tcMar>
            <w:vAlign w:val="center"/>
          </w:tcPr>
          <w:p w14:paraId="012D29A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3CA3BE5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8" w:type="dxa"/>
            <w:tcBorders>
              <w:top w:val="single" w:sz="4" w:space="0" w:color="auto"/>
              <w:left w:val="single" w:sz="4" w:space="0" w:color="auto"/>
            </w:tcBorders>
            <w:tcMar>
              <w:top w:w="10" w:type="dxa"/>
              <w:bottom w:w="10" w:type="dxa"/>
            </w:tcMar>
            <w:vAlign w:val="center"/>
          </w:tcPr>
          <w:p w14:paraId="70C8F5C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96" w:type="dxa"/>
            <w:tcBorders>
              <w:top w:val="single" w:sz="4" w:space="0" w:color="auto"/>
              <w:left w:val="single" w:sz="4" w:space="0" w:color="auto"/>
            </w:tcBorders>
            <w:tcMar>
              <w:top w:w="10" w:type="dxa"/>
              <w:bottom w:w="10" w:type="dxa"/>
            </w:tcMar>
            <w:vAlign w:val="center"/>
          </w:tcPr>
          <w:p w14:paraId="688B099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56" w:type="dxa"/>
            <w:tcBorders>
              <w:top w:val="single" w:sz="4" w:space="0" w:color="auto"/>
              <w:left w:val="single" w:sz="4" w:space="0" w:color="auto"/>
            </w:tcBorders>
            <w:tcMar>
              <w:top w:w="10" w:type="dxa"/>
              <w:bottom w:w="10" w:type="dxa"/>
            </w:tcMar>
            <w:vAlign w:val="center"/>
          </w:tcPr>
          <w:p w14:paraId="38FD09A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 w:type="dxa"/>
            <w:tcBorders>
              <w:top w:val="single" w:sz="4" w:space="0" w:color="auto"/>
              <w:left w:val="single" w:sz="4" w:space="0" w:color="auto"/>
            </w:tcBorders>
            <w:tcMar>
              <w:top w:w="10" w:type="dxa"/>
              <w:bottom w:w="10" w:type="dxa"/>
            </w:tcMar>
            <w:vAlign w:val="center"/>
          </w:tcPr>
          <w:p w14:paraId="5E6927C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0328201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2ABA7B11" w14:textId="77777777">
        <w:trPr>
          <w:trHeight w:val="20"/>
        </w:trPr>
        <w:tc>
          <w:tcPr>
            <w:tcW w:w="233"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7635721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32</w:t>
            </w:r>
          </w:p>
        </w:tc>
        <w:tc>
          <w:tcPr>
            <w:tcW w:w="2256"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7B663BC2" w14:textId="77777777" w:rsidR="006561BA" w:rsidRDefault="005B4ED6">
            <w:pPr>
              <w:widowControl w:val="0"/>
              <w:shd w:val="clear" w:color="auto" w:fill="auto"/>
              <w:spacing w:after="0" w:line="240" w:lineRule="auto"/>
              <w:jc w:val="left"/>
              <w:rPr>
                <w:rFonts w:ascii="Helvetica" w:eastAsia="Arial Unicode MS" w:hAnsi="Helvetica" w:cs="Helvetica"/>
                <w:b/>
                <w:color w:val="000000"/>
                <w:sz w:val="6"/>
                <w:szCs w:val="6"/>
              </w:rPr>
            </w:pPr>
            <w:r>
              <w:rPr>
                <w:rFonts w:ascii="Helvetica" w:hAnsi="Helvetica"/>
                <w:b/>
                <w:color w:val="000000"/>
                <w:sz w:val="6"/>
              </w:rPr>
              <w:t>Samlet GAR for eiendeler</w:t>
            </w:r>
          </w:p>
        </w:tc>
        <w:tc>
          <w:tcPr>
            <w:tcW w:w="315"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1C0F813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19DD82B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61ED390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64B13CA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7E7173B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shd w:val="clear" w:color="auto" w:fill="DCEBF7"/>
          </w:tcPr>
          <w:p w14:paraId="6172110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tcBorders>
            <w:shd w:val="clear" w:color="auto" w:fill="DCEBF7"/>
          </w:tcPr>
          <w:p w14:paraId="7003D44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tcBorders>
            <w:shd w:val="clear" w:color="auto" w:fill="DCEBF7"/>
          </w:tcPr>
          <w:p w14:paraId="5DF4152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tcBorders>
            <w:shd w:val="clear" w:color="auto" w:fill="DCEBF7"/>
          </w:tcPr>
          <w:p w14:paraId="77DCD6E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6E2C61C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37B0332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7DA78F5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20323E6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42914BA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5B0F91F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7F5FA43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132AE87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70259A1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6D9625C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3434E63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6C7197F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5CE098F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2F59A78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1D7CD7C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596F098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13CD027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3AE37BB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440D42E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4BCCF06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102ED69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bottom w:val="single" w:sz="4" w:space="0" w:color="auto"/>
              <w:right w:val="single" w:sz="4" w:space="0" w:color="auto"/>
            </w:tcBorders>
            <w:shd w:val="clear" w:color="auto" w:fill="DCEBF7"/>
            <w:tcMar>
              <w:top w:w="10" w:type="dxa"/>
              <w:bottom w:w="10" w:type="dxa"/>
            </w:tcMar>
            <w:vAlign w:val="center"/>
          </w:tcPr>
          <w:p w14:paraId="6FEB236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bl>
    <w:p w14:paraId="4F1001D5" w14:textId="77777777" w:rsidR="006561BA" w:rsidRDefault="005B4ED6">
      <w:pPr>
        <w:pStyle w:val="Para"/>
        <w:spacing w:line="240" w:lineRule="auto"/>
        <w:jc w:val="left"/>
      </w:pPr>
      <w:r>
        <w:br w:type="page"/>
      </w:r>
    </w:p>
    <w:tbl>
      <w:tblPr>
        <w:tblOverlap w:val="never"/>
        <w:tblW w:w="14052" w:type="dxa"/>
        <w:tblInd w:w="286" w:type="dxa"/>
        <w:tblLayout w:type="fixed"/>
        <w:tblCellMar>
          <w:left w:w="10" w:type="dxa"/>
          <w:right w:w="10" w:type="dxa"/>
        </w:tblCellMar>
        <w:tblLook w:val="04A0" w:firstRow="1" w:lastRow="0" w:firstColumn="1" w:lastColumn="0" w:noHBand="0" w:noVBand="1"/>
      </w:tblPr>
      <w:tblGrid>
        <w:gridCol w:w="233"/>
        <w:gridCol w:w="2256"/>
        <w:gridCol w:w="315"/>
        <w:gridCol w:w="420"/>
        <w:gridCol w:w="420"/>
        <w:gridCol w:w="460"/>
        <w:gridCol w:w="334"/>
        <w:gridCol w:w="312"/>
        <w:gridCol w:w="312"/>
        <w:gridCol w:w="312"/>
        <w:gridCol w:w="312"/>
        <w:gridCol w:w="312"/>
        <w:gridCol w:w="324"/>
        <w:gridCol w:w="408"/>
        <w:gridCol w:w="425"/>
        <w:gridCol w:w="322"/>
        <w:gridCol w:w="312"/>
        <w:gridCol w:w="408"/>
        <w:gridCol w:w="420"/>
        <w:gridCol w:w="327"/>
        <w:gridCol w:w="336"/>
        <w:gridCol w:w="404"/>
        <w:gridCol w:w="406"/>
        <w:gridCol w:w="330"/>
        <w:gridCol w:w="324"/>
        <w:gridCol w:w="360"/>
        <w:gridCol w:w="488"/>
        <w:gridCol w:w="336"/>
        <w:gridCol w:w="468"/>
        <w:gridCol w:w="496"/>
        <w:gridCol w:w="456"/>
        <w:gridCol w:w="284"/>
        <w:gridCol w:w="420"/>
      </w:tblGrid>
      <w:tr w:rsidR="006561BA" w14:paraId="63B12848" w14:textId="77777777">
        <w:trPr>
          <w:trHeight w:val="20"/>
        </w:trPr>
        <w:tc>
          <w:tcPr>
            <w:tcW w:w="233" w:type="dxa"/>
            <w:tcMar>
              <w:top w:w="10" w:type="dxa"/>
              <w:bottom w:w="10" w:type="dxa"/>
            </w:tcMar>
            <w:vAlign w:val="center"/>
          </w:tcPr>
          <w:p w14:paraId="34232D3C" w14:textId="77777777" w:rsidR="006561BA" w:rsidRDefault="006561BA">
            <w:pPr>
              <w:widowControl w:val="0"/>
              <w:shd w:val="clear" w:color="auto" w:fill="auto"/>
              <w:spacing w:after="0" w:line="240" w:lineRule="auto"/>
              <w:jc w:val="center"/>
              <w:rPr>
                <w:rFonts w:ascii="Helvetica" w:eastAsia="Arial Unicode MS" w:hAnsi="Helvetica" w:cs="Helvetica"/>
                <w:color w:val="000000"/>
                <w:sz w:val="6"/>
                <w:szCs w:val="6"/>
                <w:lang w:val="en-US"/>
              </w:rPr>
            </w:pPr>
          </w:p>
        </w:tc>
        <w:tc>
          <w:tcPr>
            <w:tcW w:w="2256" w:type="dxa"/>
            <w:tcMar>
              <w:top w:w="10" w:type="dxa"/>
              <w:bottom w:w="10" w:type="dxa"/>
            </w:tcMar>
            <w:vAlign w:val="center"/>
          </w:tcPr>
          <w:p w14:paraId="448B1D01" w14:textId="77777777" w:rsidR="006561BA" w:rsidRDefault="006561BA">
            <w:pPr>
              <w:widowControl w:val="0"/>
              <w:shd w:val="clear" w:color="auto" w:fill="auto"/>
              <w:spacing w:after="0" w:line="240" w:lineRule="auto"/>
              <w:jc w:val="center"/>
              <w:rPr>
                <w:rFonts w:ascii="Helvetica" w:eastAsia="Arial Unicode MS" w:hAnsi="Helvetica" w:cs="Helvetica"/>
                <w:color w:val="000000"/>
                <w:sz w:val="6"/>
                <w:szCs w:val="6"/>
                <w:lang w:val="en-US"/>
              </w:rPr>
            </w:pPr>
          </w:p>
        </w:tc>
        <w:tc>
          <w:tcPr>
            <w:tcW w:w="315"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27E490C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ag</w:t>
            </w:r>
          </w:p>
        </w:tc>
        <w:tc>
          <w:tcPr>
            <w:tcW w:w="420"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0692B48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ah</w:t>
            </w:r>
          </w:p>
        </w:tc>
        <w:tc>
          <w:tcPr>
            <w:tcW w:w="420"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452371A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ai</w:t>
            </w:r>
          </w:p>
        </w:tc>
        <w:tc>
          <w:tcPr>
            <w:tcW w:w="460"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7BCC2E1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aj</w:t>
            </w:r>
            <w:proofErr w:type="spellEnd"/>
          </w:p>
        </w:tc>
        <w:tc>
          <w:tcPr>
            <w:tcW w:w="334"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6311366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ak</w:t>
            </w:r>
          </w:p>
        </w:tc>
        <w:tc>
          <w:tcPr>
            <w:tcW w:w="312" w:type="dxa"/>
            <w:tcBorders>
              <w:top w:val="single" w:sz="4" w:space="0" w:color="auto"/>
              <w:left w:val="single" w:sz="4" w:space="0" w:color="auto"/>
              <w:bottom w:val="single" w:sz="4" w:space="0" w:color="auto"/>
              <w:right w:val="single" w:sz="4" w:space="0" w:color="auto"/>
            </w:tcBorders>
            <w:vAlign w:val="center"/>
          </w:tcPr>
          <w:p w14:paraId="26618FB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al</w:t>
            </w:r>
          </w:p>
        </w:tc>
        <w:tc>
          <w:tcPr>
            <w:tcW w:w="312" w:type="dxa"/>
            <w:tcBorders>
              <w:top w:val="single" w:sz="4" w:space="0" w:color="auto"/>
              <w:left w:val="single" w:sz="4" w:space="0" w:color="auto"/>
              <w:bottom w:val="single" w:sz="4" w:space="0" w:color="auto"/>
              <w:right w:val="single" w:sz="4" w:space="0" w:color="auto"/>
            </w:tcBorders>
            <w:vAlign w:val="center"/>
          </w:tcPr>
          <w:p w14:paraId="07D27DE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am</w:t>
            </w:r>
          </w:p>
        </w:tc>
        <w:tc>
          <w:tcPr>
            <w:tcW w:w="312" w:type="dxa"/>
            <w:tcBorders>
              <w:top w:val="single" w:sz="4" w:space="0" w:color="auto"/>
              <w:left w:val="single" w:sz="4" w:space="0" w:color="auto"/>
              <w:bottom w:val="single" w:sz="4" w:space="0" w:color="auto"/>
              <w:right w:val="single" w:sz="4" w:space="0" w:color="auto"/>
            </w:tcBorders>
            <w:vAlign w:val="center"/>
          </w:tcPr>
          <w:p w14:paraId="3135B3E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an</w:t>
            </w:r>
          </w:p>
        </w:tc>
        <w:tc>
          <w:tcPr>
            <w:tcW w:w="312" w:type="dxa"/>
            <w:tcBorders>
              <w:top w:val="single" w:sz="4" w:space="0" w:color="auto"/>
              <w:left w:val="single" w:sz="4" w:space="0" w:color="auto"/>
              <w:bottom w:val="single" w:sz="4" w:space="0" w:color="auto"/>
              <w:right w:val="single" w:sz="4" w:space="0" w:color="auto"/>
            </w:tcBorders>
            <w:vAlign w:val="center"/>
          </w:tcPr>
          <w:p w14:paraId="744397B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ao</w:t>
            </w:r>
            <w:proofErr w:type="spellEnd"/>
          </w:p>
        </w:tc>
        <w:tc>
          <w:tcPr>
            <w:tcW w:w="312"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601FDF1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ap</w:t>
            </w:r>
          </w:p>
        </w:tc>
        <w:tc>
          <w:tcPr>
            <w:tcW w:w="324"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41BE0AD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aq</w:t>
            </w:r>
            <w:proofErr w:type="spellEnd"/>
          </w:p>
        </w:tc>
        <w:tc>
          <w:tcPr>
            <w:tcW w:w="408"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32B378C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ar</w:t>
            </w:r>
          </w:p>
        </w:tc>
        <w:tc>
          <w:tcPr>
            <w:tcW w:w="425"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2A2D68D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as</w:t>
            </w:r>
          </w:p>
        </w:tc>
        <w:tc>
          <w:tcPr>
            <w:tcW w:w="322"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2B1C1EA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at</w:t>
            </w:r>
          </w:p>
        </w:tc>
        <w:tc>
          <w:tcPr>
            <w:tcW w:w="312"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70D0D3F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au</w:t>
            </w:r>
          </w:p>
        </w:tc>
        <w:tc>
          <w:tcPr>
            <w:tcW w:w="408"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1661A39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av</w:t>
            </w:r>
          </w:p>
        </w:tc>
        <w:tc>
          <w:tcPr>
            <w:tcW w:w="420"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3ACED76A"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aw</w:t>
            </w:r>
            <w:proofErr w:type="spellEnd"/>
          </w:p>
        </w:tc>
        <w:tc>
          <w:tcPr>
            <w:tcW w:w="327"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2C2AD06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ax</w:t>
            </w:r>
            <w:proofErr w:type="spellEnd"/>
          </w:p>
        </w:tc>
        <w:tc>
          <w:tcPr>
            <w:tcW w:w="336"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0188EF0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ay</w:t>
            </w:r>
            <w:proofErr w:type="spellEnd"/>
          </w:p>
        </w:tc>
        <w:tc>
          <w:tcPr>
            <w:tcW w:w="404"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7D46DEE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az</w:t>
            </w:r>
            <w:proofErr w:type="spellEnd"/>
          </w:p>
        </w:tc>
        <w:tc>
          <w:tcPr>
            <w:tcW w:w="406"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22E2D57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ba</w:t>
            </w:r>
          </w:p>
        </w:tc>
        <w:tc>
          <w:tcPr>
            <w:tcW w:w="330"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7324BBA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bb</w:t>
            </w:r>
            <w:proofErr w:type="spellEnd"/>
          </w:p>
        </w:tc>
        <w:tc>
          <w:tcPr>
            <w:tcW w:w="324"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633FEC0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bc</w:t>
            </w:r>
            <w:proofErr w:type="spellEnd"/>
          </w:p>
        </w:tc>
        <w:tc>
          <w:tcPr>
            <w:tcW w:w="360"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264FAEA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bd</w:t>
            </w:r>
            <w:proofErr w:type="spellEnd"/>
          </w:p>
        </w:tc>
        <w:tc>
          <w:tcPr>
            <w:tcW w:w="488"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59EB0C4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be</w:t>
            </w:r>
          </w:p>
        </w:tc>
        <w:tc>
          <w:tcPr>
            <w:tcW w:w="336"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2943366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bf</w:t>
            </w:r>
          </w:p>
        </w:tc>
        <w:tc>
          <w:tcPr>
            <w:tcW w:w="468"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128A8D6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bg</w:t>
            </w:r>
            <w:proofErr w:type="spellEnd"/>
          </w:p>
        </w:tc>
        <w:tc>
          <w:tcPr>
            <w:tcW w:w="496"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68601BB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bh</w:t>
            </w:r>
          </w:p>
        </w:tc>
        <w:tc>
          <w:tcPr>
            <w:tcW w:w="456"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4A13E6CA"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bi</w:t>
            </w:r>
          </w:p>
        </w:tc>
        <w:tc>
          <w:tcPr>
            <w:tcW w:w="284"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7889ACC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bj</w:t>
            </w:r>
            <w:proofErr w:type="spellEnd"/>
          </w:p>
        </w:tc>
        <w:tc>
          <w:tcPr>
            <w:tcW w:w="420"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54B5F62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bk</w:t>
            </w:r>
            <w:proofErr w:type="spellEnd"/>
          </w:p>
        </w:tc>
      </w:tr>
      <w:tr w:rsidR="006561BA" w14:paraId="3DEA0EAB" w14:textId="77777777">
        <w:trPr>
          <w:trHeight w:val="20"/>
        </w:trPr>
        <w:tc>
          <w:tcPr>
            <w:tcW w:w="233" w:type="dxa"/>
            <w:tcBorders>
              <w:top w:val="single" w:sz="4" w:space="0" w:color="auto"/>
              <w:left w:val="single" w:sz="4" w:space="0" w:color="auto"/>
            </w:tcBorders>
            <w:tcMar>
              <w:top w:w="10" w:type="dxa"/>
              <w:bottom w:w="10" w:type="dxa"/>
            </w:tcMar>
            <w:vAlign w:val="center"/>
          </w:tcPr>
          <w:p w14:paraId="1E63448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256" w:type="dxa"/>
            <w:tcBorders>
              <w:top w:val="single" w:sz="4" w:space="0" w:color="auto"/>
            </w:tcBorders>
            <w:tcMar>
              <w:top w:w="10" w:type="dxa"/>
              <w:bottom w:w="10" w:type="dxa"/>
            </w:tcMar>
            <w:vAlign w:val="center"/>
          </w:tcPr>
          <w:p w14:paraId="61479D0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5" w:type="dxa"/>
            <w:tcBorders>
              <w:top w:val="single" w:sz="4" w:space="0" w:color="auto"/>
              <w:left w:val="single" w:sz="4" w:space="0" w:color="auto"/>
            </w:tcBorders>
            <w:shd w:val="clear" w:color="auto" w:fill="B5B5B5"/>
            <w:tcMar>
              <w:top w:w="10" w:type="dxa"/>
              <w:bottom w:w="10" w:type="dxa"/>
            </w:tcMar>
            <w:vAlign w:val="center"/>
          </w:tcPr>
          <w:p w14:paraId="135F9D5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tcBorders>
            <w:shd w:val="clear" w:color="auto" w:fill="B5B5B5"/>
            <w:tcMar>
              <w:top w:w="10" w:type="dxa"/>
              <w:bottom w:w="10" w:type="dxa"/>
            </w:tcMar>
            <w:vAlign w:val="center"/>
          </w:tcPr>
          <w:p w14:paraId="5623C1E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IN"/>
              </w:rPr>
            </w:pPr>
          </w:p>
        </w:tc>
        <w:tc>
          <w:tcPr>
            <w:tcW w:w="420" w:type="dxa"/>
            <w:tcBorders>
              <w:top w:val="single" w:sz="4" w:space="0" w:color="auto"/>
            </w:tcBorders>
            <w:shd w:val="clear" w:color="auto" w:fill="B5B5B5"/>
            <w:tcMar>
              <w:top w:w="10" w:type="dxa"/>
              <w:bottom w:w="10" w:type="dxa"/>
            </w:tcMar>
            <w:vAlign w:val="center"/>
          </w:tcPr>
          <w:p w14:paraId="34D1EC8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tcBorders>
            <w:shd w:val="clear" w:color="auto" w:fill="B5B5B5"/>
            <w:tcMar>
              <w:top w:w="10" w:type="dxa"/>
              <w:bottom w:w="10" w:type="dxa"/>
            </w:tcMar>
            <w:vAlign w:val="center"/>
          </w:tcPr>
          <w:p w14:paraId="746C6A7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tcBorders>
            <w:shd w:val="clear" w:color="auto" w:fill="B5B5B5"/>
            <w:tcMar>
              <w:top w:w="10" w:type="dxa"/>
              <w:bottom w:w="10" w:type="dxa"/>
            </w:tcMar>
            <w:vAlign w:val="center"/>
          </w:tcPr>
          <w:p w14:paraId="7E3DF6A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tcBorders>
            <w:shd w:val="clear" w:color="auto" w:fill="B5B5B5"/>
          </w:tcPr>
          <w:p w14:paraId="2A2C5C2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tcBorders>
            <w:shd w:val="clear" w:color="auto" w:fill="B5B5B5"/>
          </w:tcPr>
          <w:p w14:paraId="02D91FC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tcBorders>
            <w:shd w:val="clear" w:color="auto" w:fill="B5B5B5"/>
          </w:tcPr>
          <w:p w14:paraId="5EA4478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tcBorders>
            <w:shd w:val="clear" w:color="auto" w:fill="B5B5B5"/>
          </w:tcPr>
          <w:p w14:paraId="5F587E5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tcBorders>
            <w:shd w:val="clear" w:color="auto" w:fill="B5B5B5"/>
            <w:tcMar>
              <w:top w:w="10" w:type="dxa"/>
              <w:bottom w:w="10" w:type="dxa"/>
            </w:tcMar>
            <w:vAlign w:val="center"/>
          </w:tcPr>
          <w:p w14:paraId="60F3322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tcBorders>
            <w:shd w:val="clear" w:color="auto" w:fill="B5B5B5"/>
            <w:tcMar>
              <w:top w:w="10" w:type="dxa"/>
              <w:bottom w:w="10" w:type="dxa"/>
            </w:tcMar>
            <w:vAlign w:val="center"/>
          </w:tcPr>
          <w:p w14:paraId="6CD819F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tcBorders>
            <w:shd w:val="clear" w:color="auto" w:fill="B5B5B5"/>
            <w:tcMar>
              <w:top w:w="10" w:type="dxa"/>
              <w:bottom w:w="10" w:type="dxa"/>
            </w:tcMar>
            <w:vAlign w:val="center"/>
          </w:tcPr>
          <w:p w14:paraId="39693F7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tcBorders>
            <w:shd w:val="clear" w:color="auto" w:fill="B5B5B5"/>
            <w:tcMar>
              <w:top w:w="10" w:type="dxa"/>
              <w:bottom w:w="10" w:type="dxa"/>
            </w:tcMar>
            <w:vAlign w:val="center"/>
          </w:tcPr>
          <w:p w14:paraId="15B3D81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tcBorders>
            <w:shd w:val="clear" w:color="auto" w:fill="B5B5B5"/>
            <w:tcMar>
              <w:top w:w="10" w:type="dxa"/>
              <w:bottom w:w="10" w:type="dxa"/>
            </w:tcMar>
            <w:vAlign w:val="center"/>
          </w:tcPr>
          <w:p w14:paraId="2F760F33" w14:textId="77777777" w:rsidR="006561BA" w:rsidRDefault="006561BA">
            <w:pPr>
              <w:widowControl w:val="0"/>
              <w:shd w:val="clear" w:color="auto" w:fill="auto"/>
              <w:spacing w:after="0" w:line="240" w:lineRule="auto"/>
              <w:jc w:val="center"/>
              <w:rPr>
                <w:rFonts w:ascii="Helvetica" w:eastAsia="Arial Unicode MS" w:hAnsi="Helvetica" w:cs="Helvetica"/>
                <w:b/>
                <w:color w:val="000000"/>
                <w:sz w:val="6"/>
                <w:szCs w:val="6"/>
                <w:lang w:val="en-US"/>
              </w:rPr>
            </w:pPr>
          </w:p>
        </w:tc>
        <w:tc>
          <w:tcPr>
            <w:tcW w:w="1140" w:type="dxa"/>
            <w:gridSpan w:val="3"/>
            <w:tcBorders>
              <w:top w:val="single" w:sz="4" w:space="0" w:color="auto"/>
            </w:tcBorders>
            <w:shd w:val="clear" w:color="auto" w:fill="B5B5B5"/>
            <w:tcMar>
              <w:top w:w="10" w:type="dxa"/>
              <w:bottom w:w="10" w:type="dxa"/>
            </w:tcMar>
            <w:vAlign w:val="center"/>
          </w:tcPr>
          <w:p w14:paraId="5F31E26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Referansedato for opplysningene T</w:t>
            </w:r>
          </w:p>
        </w:tc>
        <w:tc>
          <w:tcPr>
            <w:tcW w:w="327" w:type="dxa"/>
            <w:tcBorders>
              <w:top w:val="single" w:sz="4" w:space="0" w:color="auto"/>
            </w:tcBorders>
            <w:shd w:val="clear" w:color="auto" w:fill="B5B5B5"/>
            <w:tcMar>
              <w:top w:w="10" w:type="dxa"/>
              <w:bottom w:w="10" w:type="dxa"/>
            </w:tcMar>
            <w:vAlign w:val="center"/>
          </w:tcPr>
          <w:p w14:paraId="17C68EB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tcBorders>
            <w:shd w:val="clear" w:color="auto" w:fill="B5B5B5"/>
            <w:tcMar>
              <w:top w:w="10" w:type="dxa"/>
              <w:bottom w:w="10" w:type="dxa"/>
            </w:tcMar>
            <w:vAlign w:val="center"/>
          </w:tcPr>
          <w:p w14:paraId="375CBB8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tcBorders>
            <w:shd w:val="clear" w:color="auto" w:fill="B5B5B5"/>
            <w:tcMar>
              <w:top w:w="10" w:type="dxa"/>
              <w:bottom w:w="10" w:type="dxa"/>
            </w:tcMar>
            <w:vAlign w:val="center"/>
          </w:tcPr>
          <w:p w14:paraId="7B93B9E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tcBorders>
            <w:shd w:val="clear" w:color="auto" w:fill="B5B5B5"/>
            <w:tcMar>
              <w:top w:w="10" w:type="dxa"/>
              <w:bottom w:w="10" w:type="dxa"/>
            </w:tcMar>
            <w:vAlign w:val="center"/>
          </w:tcPr>
          <w:p w14:paraId="6D4EECA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tcBorders>
            <w:shd w:val="clear" w:color="auto" w:fill="B5B5B5"/>
            <w:tcMar>
              <w:top w:w="10" w:type="dxa"/>
              <w:bottom w:w="10" w:type="dxa"/>
            </w:tcMar>
            <w:vAlign w:val="center"/>
          </w:tcPr>
          <w:p w14:paraId="07D92BD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tcBorders>
            <w:shd w:val="clear" w:color="auto" w:fill="B5B5B5"/>
            <w:tcMar>
              <w:top w:w="10" w:type="dxa"/>
              <w:bottom w:w="10" w:type="dxa"/>
            </w:tcMar>
            <w:vAlign w:val="center"/>
          </w:tcPr>
          <w:p w14:paraId="3172BB7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tcBorders>
            <w:shd w:val="clear" w:color="auto" w:fill="B5B5B5"/>
            <w:tcMar>
              <w:top w:w="10" w:type="dxa"/>
              <w:bottom w:w="10" w:type="dxa"/>
            </w:tcMar>
            <w:vAlign w:val="center"/>
          </w:tcPr>
          <w:p w14:paraId="198F2D4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tcBorders>
            <w:shd w:val="clear" w:color="auto" w:fill="B5B5B5"/>
            <w:tcMar>
              <w:top w:w="10" w:type="dxa"/>
              <w:bottom w:w="10" w:type="dxa"/>
            </w:tcMar>
            <w:vAlign w:val="center"/>
          </w:tcPr>
          <w:p w14:paraId="24C8131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tcBorders>
            <w:shd w:val="clear" w:color="auto" w:fill="B5B5B5"/>
            <w:tcMar>
              <w:top w:w="10" w:type="dxa"/>
              <w:bottom w:w="10" w:type="dxa"/>
            </w:tcMar>
            <w:vAlign w:val="center"/>
          </w:tcPr>
          <w:p w14:paraId="2A90681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tcBorders>
            <w:shd w:val="clear" w:color="auto" w:fill="B5B5B5"/>
            <w:tcMar>
              <w:top w:w="10" w:type="dxa"/>
              <w:bottom w:w="10" w:type="dxa"/>
            </w:tcMar>
            <w:vAlign w:val="center"/>
          </w:tcPr>
          <w:p w14:paraId="00F5157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tcBorders>
            <w:shd w:val="clear" w:color="auto" w:fill="B5B5B5"/>
            <w:tcMar>
              <w:top w:w="10" w:type="dxa"/>
              <w:bottom w:w="10" w:type="dxa"/>
            </w:tcMar>
            <w:vAlign w:val="center"/>
          </w:tcPr>
          <w:p w14:paraId="55444B8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tcBorders>
            <w:shd w:val="clear" w:color="auto" w:fill="B5B5B5"/>
            <w:tcMar>
              <w:top w:w="10" w:type="dxa"/>
              <w:bottom w:w="10" w:type="dxa"/>
            </w:tcMar>
            <w:vAlign w:val="center"/>
          </w:tcPr>
          <w:p w14:paraId="3812F5E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tcBorders>
            <w:shd w:val="clear" w:color="auto" w:fill="B5B5B5"/>
            <w:tcMar>
              <w:top w:w="10" w:type="dxa"/>
              <w:bottom w:w="10" w:type="dxa"/>
            </w:tcMar>
            <w:vAlign w:val="center"/>
          </w:tcPr>
          <w:p w14:paraId="4A6F8AA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right w:val="single" w:sz="4" w:space="0" w:color="auto"/>
            </w:tcBorders>
            <w:shd w:val="clear" w:color="auto" w:fill="B5B5B5"/>
            <w:tcMar>
              <w:top w:w="10" w:type="dxa"/>
              <w:bottom w:w="10" w:type="dxa"/>
            </w:tcMar>
            <w:vAlign w:val="center"/>
          </w:tcPr>
          <w:p w14:paraId="3426572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rsidRPr="00980A19" w14:paraId="339F72D4" w14:textId="77777777">
        <w:trPr>
          <w:trHeight w:val="20"/>
        </w:trPr>
        <w:tc>
          <w:tcPr>
            <w:tcW w:w="233" w:type="dxa"/>
            <w:tcBorders>
              <w:left w:val="single" w:sz="4" w:space="0" w:color="auto"/>
            </w:tcBorders>
            <w:tcMar>
              <w:top w:w="10" w:type="dxa"/>
              <w:bottom w:w="10" w:type="dxa"/>
            </w:tcMar>
            <w:vAlign w:val="center"/>
          </w:tcPr>
          <w:p w14:paraId="574182F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256" w:type="dxa"/>
            <w:tcMar>
              <w:top w:w="10" w:type="dxa"/>
              <w:bottom w:w="10" w:type="dxa"/>
            </w:tcMar>
            <w:vAlign w:val="center"/>
          </w:tcPr>
          <w:p w14:paraId="074B586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949" w:type="dxa"/>
            <w:gridSpan w:val="5"/>
            <w:tcBorders>
              <w:top w:val="single" w:sz="4" w:space="0" w:color="auto"/>
              <w:left w:val="single" w:sz="4" w:space="0" w:color="auto"/>
            </w:tcBorders>
            <w:shd w:val="clear" w:color="auto" w:fill="B5B5B5"/>
            <w:tcMar>
              <w:top w:w="10" w:type="dxa"/>
              <w:bottom w:w="10" w:type="dxa"/>
            </w:tcMar>
            <w:vAlign w:val="center"/>
          </w:tcPr>
          <w:p w14:paraId="708BA3EF" w14:textId="77777777" w:rsidR="006561BA" w:rsidRDefault="005B4ED6">
            <w:pPr>
              <w:widowControl w:val="0"/>
              <w:shd w:val="clear" w:color="auto" w:fill="auto"/>
              <w:spacing w:after="0" w:line="240" w:lineRule="auto"/>
              <w:ind w:firstLine="360"/>
              <w:jc w:val="left"/>
              <w:rPr>
                <w:rFonts w:ascii="Helvetica" w:eastAsia="Arial Unicode MS" w:hAnsi="Helvetica" w:cs="Helvetica"/>
                <w:b/>
                <w:color w:val="000000"/>
                <w:sz w:val="6"/>
                <w:szCs w:val="6"/>
              </w:rPr>
            </w:pPr>
            <w:r>
              <w:rPr>
                <w:rFonts w:ascii="Helvetica" w:hAnsi="Helvetica"/>
                <w:b/>
                <w:color w:val="000000"/>
                <w:sz w:val="6"/>
              </w:rPr>
              <w:t>Begrensning av klimaendringer (CCM)</w:t>
            </w:r>
          </w:p>
        </w:tc>
        <w:tc>
          <w:tcPr>
            <w:tcW w:w="1248" w:type="dxa"/>
            <w:gridSpan w:val="4"/>
            <w:tcBorders>
              <w:top w:val="single" w:sz="4" w:space="0" w:color="auto"/>
              <w:left w:val="single" w:sz="4" w:space="0" w:color="auto"/>
            </w:tcBorders>
            <w:shd w:val="clear" w:color="auto" w:fill="B5B5B5"/>
          </w:tcPr>
          <w:p w14:paraId="381D0854"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Tilpasning til klimaendringer (CCA)</w:t>
            </w:r>
          </w:p>
        </w:tc>
        <w:tc>
          <w:tcPr>
            <w:tcW w:w="1469" w:type="dxa"/>
            <w:gridSpan w:val="4"/>
            <w:tcBorders>
              <w:top w:val="single" w:sz="4" w:space="0" w:color="auto"/>
              <w:left w:val="single" w:sz="4" w:space="0" w:color="auto"/>
            </w:tcBorders>
            <w:shd w:val="clear" w:color="auto" w:fill="B5B5B5"/>
            <w:tcMar>
              <w:top w:w="10" w:type="dxa"/>
              <w:bottom w:w="10" w:type="dxa"/>
            </w:tcMar>
            <w:vAlign w:val="center"/>
          </w:tcPr>
          <w:p w14:paraId="4CD545C6"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Vann- og havressurser (WTR)</w:t>
            </w:r>
          </w:p>
        </w:tc>
        <w:tc>
          <w:tcPr>
            <w:tcW w:w="1462" w:type="dxa"/>
            <w:gridSpan w:val="4"/>
            <w:tcBorders>
              <w:top w:val="single" w:sz="4" w:space="0" w:color="auto"/>
              <w:left w:val="single" w:sz="4" w:space="0" w:color="auto"/>
            </w:tcBorders>
            <w:shd w:val="clear" w:color="auto" w:fill="B5B5B5"/>
            <w:tcMar>
              <w:top w:w="10" w:type="dxa"/>
              <w:bottom w:w="10" w:type="dxa"/>
            </w:tcMar>
            <w:vAlign w:val="center"/>
          </w:tcPr>
          <w:p w14:paraId="2CE28CCE"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Sirkulær økonomi (CE)</w:t>
            </w:r>
          </w:p>
        </w:tc>
        <w:tc>
          <w:tcPr>
            <w:tcW w:w="1473" w:type="dxa"/>
            <w:gridSpan w:val="4"/>
            <w:tcBorders>
              <w:top w:val="single" w:sz="4" w:space="0" w:color="auto"/>
              <w:left w:val="single" w:sz="4" w:space="0" w:color="auto"/>
            </w:tcBorders>
            <w:shd w:val="clear" w:color="auto" w:fill="B5B5B5"/>
            <w:tcMar>
              <w:top w:w="10" w:type="dxa"/>
              <w:bottom w:w="10" w:type="dxa"/>
            </w:tcMar>
            <w:vAlign w:val="center"/>
          </w:tcPr>
          <w:p w14:paraId="0A408671"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Forurensning (PPC)</w:t>
            </w:r>
          </w:p>
        </w:tc>
        <w:tc>
          <w:tcPr>
            <w:tcW w:w="1502" w:type="dxa"/>
            <w:gridSpan w:val="4"/>
            <w:tcBorders>
              <w:top w:val="single" w:sz="4" w:space="0" w:color="auto"/>
              <w:left w:val="single" w:sz="4" w:space="0" w:color="auto"/>
            </w:tcBorders>
            <w:shd w:val="clear" w:color="auto" w:fill="B5B5B5"/>
            <w:tcMar>
              <w:top w:w="10" w:type="dxa"/>
              <w:bottom w:w="10" w:type="dxa"/>
            </w:tcMar>
            <w:vAlign w:val="center"/>
          </w:tcPr>
          <w:p w14:paraId="68725B17"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Biologisk mangfold og økosystemer (BIO)</w:t>
            </w:r>
          </w:p>
        </w:tc>
        <w:tc>
          <w:tcPr>
            <w:tcW w:w="2040" w:type="dxa"/>
            <w:gridSpan w:val="5"/>
            <w:tcBorders>
              <w:top w:val="single" w:sz="4" w:space="0" w:color="auto"/>
              <w:left w:val="single" w:sz="4" w:space="0" w:color="auto"/>
            </w:tcBorders>
            <w:shd w:val="clear" w:color="auto" w:fill="B5B5B5"/>
            <w:tcMar>
              <w:top w:w="10" w:type="dxa"/>
              <w:bottom w:w="10" w:type="dxa"/>
            </w:tcMar>
            <w:vAlign w:val="center"/>
          </w:tcPr>
          <w:p w14:paraId="061D6A7C" w14:textId="77777777" w:rsidR="006561BA" w:rsidRPr="00770AA2" w:rsidRDefault="005B4ED6">
            <w:pPr>
              <w:widowControl w:val="0"/>
              <w:shd w:val="clear" w:color="auto" w:fill="auto"/>
              <w:spacing w:after="0" w:line="240" w:lineRule="auto"/>
              <w:jc w:val="center"/>
              <w:rPr>
                <w:rFonts w:ascii="Helvetica" w:eastAsia="Arial Unicode MS" w:hAnsi="Helvetica" w:cs="Helvetica"/>
                <w:b/>
                <w:color w:val="000000"/>
                <w:sz w:val="6"/>
                <w:szCs w:val="6"/>
                <w:lang w:val="en-US"/>
              </w:rPr>
            </w:pPr>
            <w:r w:rsidRPr="00770AA2">
              <w:rPr>
                <w:rFonts w:ascii="Helvetica" w:hAnsi="Helvetica"/>
                <w:b/>
                <w:color w:val="000000"/>
                <w:sz w:val="6"/>
                <w:lang w:val="en-US"/>
              </w:rPr>
              <w:t>SUM (CCM + CCA + WTR + CE + PPC + BIO)</w:t>
            </w:r>
          </w:p>
        </w:tc>
        <w:tc>
          <w:tcPr>
            <w:tcW w:w="420" w:type="dxa"/>
            <w:tcBorders>
              <w:top w:val="single" w:sz="4" w:space="0" w:color="auto"/>
              <w:left w:val="single" w:sz="4" w:space="0" w:color="auto"/>
              <w:right w:val="single" w:sz="4" w:space="0" w:color="auto"/>
            </w:tcBorders>
            <w:shd w:val="clear" w:color="auto" w:fill="B5B5B5"/>
            <w:tcMar>
              <w:top w:w="10" w:type="dxa"/>
              <w:bottom w:w="10" w:type="dxa"/>
            </w:tcMar>
            <w:vAlign w:val="center"/>
          </w:tcPr>
          <w:p w14:paraId="318AC47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3EBA88BF" w14:textId="77777777">
        <w:trPr>
          <w:trHeight w:val="20"/>
        </w:trPr>
        <w:tc>
          <w:tcPr>
            <w:tcW w:w="233" w:type="dxa"/>
            <w:tcBorders>
              <w:left w:val="single" w:sz="4" w:space="0" w:color="auto"/>
            </w:tcBorders>
            <w:tcMar>
              <w:top w:w="10" w:type="dxa"/>
              <w:bottom w:w="10" w:type="dxa"/>
            </w:tcMar>
            <w:vAlign w:val="center"/>
          </w:tcPr>
          <w:p w14:paraId="0704FCF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256" w:type="dxa"/>
            <w:tcMar>
              <w:top w:w="10" w:type="dxa"/>
              <w:bottom w:w="10" w:type="dxa"/>
            </w:tcMar>
            <w:vAlign w:val="center"/>
          </w:tcPr>
          <w:p w14:paraId="65687FC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949" w:type="dxa"/>
            <w:gridSpan w:val="5"/>
            <w:tcBorders>
              <w:top w:val="single" w:sz="4" w:space="0" w:color="auto"/>
              <w:left w:val="single" w:sz="4" w:space="0" w:color="auto"/>
            </w:tcBorders>
            <w:tcMar>
              <w:top w:w="10" w:type="dxa"/>
              <w:bottom w:w="10" w:type="dxa"/>
            </w:tcMar>
            <w:vAlign w:val="center"/>
          </w:tcPr>
          <w:p w14:paraId="74FB6B34"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(som er omfattet av taksonomien)</w:t>
            </w:r>
          </w:p>
        </w:tc>
        <w:tc>
          <w:tcPr>
            <w:tcW w:w="1248" w:type="dxa"/>
            <w:gridSpan w:val="4"/>
            <w:tcBorders>
              <w:top w:val="single" w:sz="4" w:space="0" w:color="auto"/>
              <w:left w:val="single" w:sz="4" w:space="0" w:color="auto"/>
            </w:tcBorders>
          </w:tcPr>
          <w:p w14:paraId="6C4CAFA3" w14:textId="77777777" w:rsidR="006561BA" w:rsidRDefault="005B4ED6">
            <w:pPr>
              <w:widowControl w:val="0"/>
              <w:shd w:val="clear" w:color="auto" w:fill="auto"/>
              <w:spacing w:after="0" w:line="240" w:lineRule="auto"/>
              <w:jc w:val="center"/>
              <w:rPr>
                <w:rFonts w:ascii="Helvetica" w:eastAsia="Arial Unicode MS" w:hAnsi="Helvetica" w:cs="Helvetica"/>
                <w:color w:val="212121"/>
                <w:sz w:val="6"/>
                <w:szCs w:val="6"/>
              </w:rPr>
            </w:pPr>
            <w:r>
              <w:rPr>
                <w:rFonts w:ascii="Helvetica" w:hAnsi="Helvetica"/>
                <w:color w:val="212121"/>
                <w:sz w:val="6"/>
              </w:rPr>
              <w:t>Andel av samlede dekkede eiendeler som finansierer taksonomirelevante sektorer (som er omfattet av taksonomien)</w:t>
            </w:r>
          </w:p>
        </w:tc>
        <w:tc>
          <w:tcPr>
            <w:tcW w:w="1469" w:type="dxa"/>
            <w:gridSpan w:val="4"/>
            <w:tcBorders>
              <w:top w:val="single" w:sz="4" w:space="0" w:color="auto"/>
              <w:left w:val="single" w:sz="4" w:space="0" w:color="auto"/>
            </w:tcBorders>
            <w:tcMar>
              <w:top w:w="10" w:type="dxa"/>
              <w:bottom w:w="10" w:type="dxa"/>
            </w:tcMar>
            <w:vAlign w:val="center"/>
          </w:tcPr>
          <w:p w14:paraId="54FAE2E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(som er omfattet av taksonomien)</w:t>
            </w:r>
          </w:p>
        </w:tc>
        <w:tc>
          <w:tcPr>
            <w:tcW w:w="1462" w:type="dxa"/>
            <w:gridSpan w:val="4"/>
            <w:tcBorders>
              <w:top w:val="single" w:sz="4" w:space="0" w:color="auto"/>
              <w:left w:val="single" w:sz="4" w:space="0" w:color="auto"/>
            </w:tcBorders>
            <w:tcMar>
              <w:top w:w="10" w:type="dxa"/>
              <w:bottom w:w="10" w:type="dxa"/>
            </w:tcMar>
            <w:vAlign w:val="center"/>
          </w:tcPr>
          <w:p w14:paraId="37DF4D9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(som er omfattet av taksonomien)</w:t>
            </w:r>
          </w:p>
        </w:tc>
        <w:tc>
          <w:tcPr>
            <w:tcW w:w="1473" w:type="dxa"/>
            <w:gridSpan w:val="4"/>
            <w:tcBorders>
              <w:top w:val="single" w:sz="4" w:space="0" w:color="auto"/>
              <w:left w:val="single" w:sz="4" w:space="0" w:color="auto"/>
            </w:tcBorders>
            <w:tcMar>
              <w:top w:w="10" w:type="dxa"/>
              <w:bottom w:w="10" w:type="dxa"/>
            </w:tcMar>
            <w:vAlign w:val="center"/>
          </w:tcPr>
          <w:p w14:paraId="0CAFC6D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(som er omfattet av taksonomien)</w:t>
            </w:r>
          </w:p>
        </w:tc>
        <w:tc>
          <w:tcPr>
            <w:tcW w:w="1502" w:type="dxa"/>
            <w:gridSpan w:val="4"/>
            <w:tcBorders>
              <w:top w:val="single" w:sz="4" w:space="0" w:color="auto"/>
              <w:left w:val="single" w:sz="4" w:space="0" w:color="auto"/>
            </w:tcBorders>
            <w:tcMar>
              <w:top w:w="10" w:type="dxa"/>
              <w:bottom w:w="10" w:type="dxa"/>
            </w:tcMar>
            <w:vAlign w:val="center"/>
          </w:tcPr>
          <w:p w14:paraId="4E6BCFB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(som er omfattet av taksonomien)</w:t>
            </w:r>
          </w:p>
        </w:tc>
        <w:tc>
          <w:tcPr>
            <w:tcW w:w="2040" w:type="dxa"/>
            <w:gridSpan w:val="5"/>
            <w:tcBorders>
              <w:top w:val="single" w:sz="4" w:space="0" w:color="auto"/>
              <w:left w:val="single" w:sz="4" w:space="0" w:color="auto"/>
            </w:tcBorders>
            <w:tcMar>
              <w:top w:w="10" w:type="dxa"/>
              <w:bottom w:w="10" w:type="dxa"/>
            </w:tcMar>
            <w:vAlign w:val="center"/>
          </w:tcPr>
          <w:p w14:paraId="190B8BE0"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(som er omfattet av taksonomien)</w:t>
            </w:r>
          </w:p>
        </w:tc>
        <w:tc>
          <w:tcPr>
            <w:tcW w:w="420" w:type="dxa"/>
            <w:vMerge w:val="restart"/>
            <w:tcBorders>
              <w:top w:val="single" w:sz="4" w:space="0" w:color="auto"/>
              <w:left w:val="single" w:sz="4" w:space="0" w:color="auto"/>
              <w:right w:val="single" w:sz="4" w:space="0" w:color="auto"/>
            </w:tcBorders>
            <w:tcMar>
              <w:top w:w="10" w:type="dxa"/>
              <w:bottom w:w="10" w:type="dxa"/>
            </w:tcMar>
            <w:vAlign w:val="center"/>
          </w:tcPr>
          <w:p w14:paraId="6B01CA4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w:t>
            </w:r>
          </w:p>
        </w:tc>
      </w:tr>
      <w:tr w:rsidR="006561BA" w14:paraId="7508597B" w14:textId="77777777">
        <w:trPr>
          <w:trHeight w:val="20"/>
        </w:trPr>
        <w:tc>
          <w:tcPr>
            <w:tcW w:w="233" w:type="dxa"/>
            <w:tcBorders>
              <w:left w:val="single" w:sz="4" w:space="0" w:color="auto"/>
            </w:tcBorders>
            <w:tcMar>
              <w:top w:w="10" w:type="dxa"/>
              <w:bottom w:w="10" w:type="dxa"/>
            </w:tcMar>
            <w:vAlign w:val="center"/>
          </w:tcPr>
          <w:p w14:paraId="151CD7A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256" w:type="dxa"/>
            <w:tcMar>
              <w:top w:w="10" w:type="dxa"/>
              <w:bottom w:w="10" w:type="dxa"/>
            </w:tcMar>
            <w:vAlign w:val="center"/>
          </w:tcPr>
          <w:p w14:paraId="0E89504D"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212121"/>
                <w:sz w:val="6"/>
              </w:rPr>
              <w:t>% (i forhold til samlede dekkede eiendeler i nevneren)</w:t>
            </w:r>
          </w:p>
        </w:tc>
        <w:tc>
          <w:tcPr>
            <w:tcW w:w="315" w:type="dxa"/>
            <w:tcBorders>
              <w:top w:val="single" w:sz="4" w:space="0" w:color="auto"/>
              <w:left w:val="single" w:sz="4" w:space="0" w:color="auto"/>
            </w:tcBorders>
            <w:tcMar>
              <w:top w:w="10" w:type="dxa"/>
              <w:bottom w:w="10" w:type="dxa"/>
            </w:tcMar>
            <w:vAlign w:val="center"/>
          </w:tcPr>
          <w:p w14:paraId="44DA4368"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1634" w:type="dxa"/>
            <w:gridSpan w:val="4"/>
            <w:tcBorders>
              <w:top w:val="single" w:sz="4" w:space="0" w:color="auto"/>
              <w:left w:val="single" w:sz="4" w:space="0" w:color="auto"/>
            </w:tcBorders>
            <w:vAlign w:val="center"/>
          </w:tcPr>
          <w:p w14:paraId="0458D7C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(taksonomiforenlige)</w:t>
            </w:r>
          </w:p>
        </w:tc>
        <w:tc>
          <w:tcPr>
            <w:tcW w:w="312" w:type="dxa"/>
            <w:tcBorders>
              <w:left w:val="single" w:sz="4" w:space="0" w:color="auto"/>
              <w:right w:val="single" w:sz="4" w:space="0" w:color="auto"/>
            </w:tcBorders>
          </w:tcPr>
          <w:p w14:paraId="5F5AD5D1" w14:textId="77777777" w:rsidR="006561BA" w:rsidRPr="008B562F" w:rsidRDefault="006561BA">
            <w:pPr>
              <w:widowControl w:val="0"/>
              <w:shd w:val="clear" w:color="auto" w:fill="auto"/>
              <w:spacing w:after="0" w:line="240" w:lineRule="auto"/>
              <w:jc w:val="center"/>
              <w:rPr>
                <w:rFonts w:ascii="Helvetica" w:eastAsia="Arial Unicode MS" w:hAnsi="Helvetica" w:cs="Helvetica"/>
                <w:color w:val="auto"/>
                <w:sz w:val="6"/>
                <w:szCs w:val="6"/>
              </w:rPr>
            </w:pPr>
          </w:p>
        </w:tc>
        <w:tc>
          <w:tcPr>
            <w:tcW w:w="936" w:type="dxa"/>
            <w:gridSpan w:val="3"/>
            <w:tcBorders>
              <w:top w:val="single" w:sz="4" w:space="0" w:color="auto"/>
              <w:left w:val="single" w:sz="4" w:space="0" w:color="auto"/>
            </w:tcBorders>
          </w:tcPr>
          <w:p w14:paraId="3AC99BAD" w14:textId="77777777" w:rsidR="006561BA" w:rsidRPr="008B562F" w:rsidRDefault="005B4ED6">
            <w:pPr>
              <w:widowControl w:val="0"/>
              <w:shd w:val="clear" w:color="auto" w:fill="auto"/>
              <w:spacing w:after="0" w:line="240" w:lineRule="auto"/>
              <w:jc w:val="center"/>
              <w:rPr>
                <w:rFonts w:ascii="Helvetica" w:eastAsia="Arial Unicode MS" w:hAnsi="Helvetica" w:cs="Helvetica"/>
                <w:color w:val="auto"/>
                <w:sz w:val="6"/>
                <w:szCs w:val="6"/>
              </w:rPr>
            </w:pPr>
            <w:r w:rsidRPr="008B562F">
              <w:rPr>
                <w:rFonts w:ascii="Helvetica" w:hAnsi="Helvetica"/>
                <w:color w:val="auto"/>
                <w:sz w:val="6"/>
              </w:rPr>
              <w:t>Andel av samlede dekkede eiendeler som finansierer taksonomirelevante sektorer (taksonomiforenlige)</w:t>
            </w:r>
          </w:p>
        </w:tc>
        <w:tc>
          <w:tcPr>
            <w:tcW w:w="312" w:type="dxa"/>
            <w:tcBorders>
              <w:left w:val="single" w:sz="4" w:space="0" w:color="auto"/>
            </w:tcBorders>
            <w:tcMar>
              <w:top w:w="10" w:type="dxa"/>
              <w:bottom w:w="10" w:type="dxa"/>
            </w:tcMar>
            <w:vAlign w:val="center"/>
          </w:tcPr>
          <w:p w14:paraId="63661323"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1157" w:type="dxa"/>
            <w:gridSpan w:val="3"/>
            <w:tcBorders>
              <w:top w:val="single" w:sz="4" w:space="0" w:color="auto"/>
              <w:left w:val="single" w:sz="4" w:space="0" w:color="auto"/>
            </w:tcBorders>
            <w:tcMar>
              <w:top w:w="10" w:type="dxa"/>
              <w:bottom w:w="10" w:type="dxa"/>
            </w:tcMar>
            <w:vAlign w:val="center"/>
          </w:tcPr>
          <w:p w14:paraId="5DF9170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(taksonomiforenlige)</w:t>
            </w:r>
          </w:p>
        </w:tc>
        <w:tc>
          <w:tcPr>
            <w:tcW w:w="322" w:type="dxa"/>
            <w:tcBorders>
              <w:left w:val="single" w:sz="4" w:space="0" w:color="auto"/>
            </w:tcBorders>
            <w:tcMar>
              <w:top w:w="10" w:type="dxa"/>
              <w:bottom w:w="10" w:type="dxa"/>
            </w:tcMar>
            <w:vAlign w:val="center"/>
          </w:tcPr>
          <w:p w14:paraId="37F473C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1140" w:type="dxa"/>
            <w:gridSpan w:val="3"/>
            <w:tcBorders>
              <w:top w:val="single" w:sz="4" w:space="0" w:color="auto"/>
              <w:left w:val="single" w:sz="4" w:space="0" w:color="auto"/>
            </w:tcBorders>
            <w:tcMar>
              <w:top w:w="10" w:type="dxa"/>
              <w:bottom w:w="10" w:type="dxa"/>
            </w:tcMar>
            <w:vAlign w:val="center"/>
          </w:tcPr>
          <w:p w14:paraId="380A812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(taksonomiforenlige)</w:t>
            </w:r>
          </w:p>
        </w:tc>
        <w:tc>
          <w:tcPr>
            <w:tcW w:w="327" w:type="dxa"/>
            <w:tcBorders>
              <w:left w:val="single" w:sz="4" w:space="0" w:color="auto"/>
            </w:tcBorders>
            <w:tcMar>
              <w:top w:w="10" w:type="dxa"/>
              <w:bottom w:w="10" w:type="dxa"/>
            </w:tcMar>
            <w:vAlign w:val="center"/>
          </w:tcPr>
          <w:p w14:paraId="060938D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1146" w:type="dxa"/>
            <w:gridSpan w:val="3"/>
            <w:tcBorders>
              <w:top w:val="single" w:sz="4" w:space="0" w:color="auto"/>
              <w:left w:val="single" w:sz="4" w:space="0" w:color="auto"/>
            </w:tcBorders>
            <w:tcMar>
              <w:top w:w="10" w:type="dxa"/>
              <w:bottom w:w="10" w:type="dxa"/>
            </w:tcMar>
            <w:vAlign w:val="center"/>
          </w:tcPr>
          <w:p w14:paraId="2AD66620"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(taksonomiforenlige)</w:t>
            </w:r>
          </w:p>
        </w:tc>
        <w:tc>
          <w:tcPr>
            <w:tcW w:w="330" w:type="dxa"/>
            <w:tcBorders>
              <w:left w:val="single" w:sz="4" w:space="0" w:color="auto"/>
            </w:tcBorders>
            <w:tcMar>
              <w:top w:w="10" w:type="dxa"/>
              <w:bottom w:w="10" w:type="dxa"/>
            </w:tcMar>
            <w:vAlign w:val="center"/>
          </w:tcPr>
          <w:p w14:paraId="7E18A12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1172" w:type="dxa"/>
            <w:gridSpan w:val="3"/>
            <w:tcBorders>
              <w:top w:val="single" w:sz="4" w:space="0" w:color="auto"/>
              <w:left w:val="single" w:sz="4" w:space="0" w:color="auto"/>
            </w:tcBorders>
            <w:tcMar>
              <w:top w:w="10" w:type="dxa"/>
              <w:bottom w:w="10" w:type="dxa"/>
            </w:tcMar>
            <w:vAlign w:val="center"/>
          </w:tcPr>
          <w:p w14:paraId="11EC4D7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(taksonomiforenlige)</w:t>
            </w:r>
          </w:p>
        </w:tc>
        <w:tc>
          <w:tcPr>
            <w:tcW w:w="336" w:type="dxa"/>
            <w:tcBorders>
              <w:left w:val="single" w:sz="4" w:space="0" w:color="auto"/>
            </w:tcBorders>
            <w:tcMar>
              <w:top w:w="10" w:type="dxa"/>
              <w:bottom w:w="10" w:type="dxa"/>
            </w:tcMar>
            <w:vAlign w:val="center"/>
          </w:tcPr>
          <w:p w14:paraId="3164632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1704" w:type="dxa"/>
            <w:gridSpan w:val="4"/>
            <w:tcBorders>
              <w:top w:val="single" w:sz="4" w:space="0" w:color="auto"/>
              <w:left w:val="single" w:sz="4" w:space="0" w:color="auto"/>
            </w:tcBorders>
            <w:tcMar>
              <w:top w:w="10" w:type="dxa"/>
              <w:bottom w:w="10" w:type="dxa"/>
            </w:tcMar>
            <w:vAlign w:val="center"/>
          </w:tcPr>
          <w:p w14:paraId="733C0330"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(taksonomiforenlige)</w:t>
            </w:r>
          </w:p>
        </w:tc>
        <w:tc>
          <w:tcPr>
            <w:tcW w:w="420" w:type="dxa"/>
            <w:vMerge/>
            <w:tcBorders>
              <w:left w:val="single" w:sz="4" w:space="0" w:color="auto"/>
              <w:right w:val="single" w:sz="4" w:space="0" w:color="auto"/>
            </w:tcBorders>
            <w:tcMar>
              <w:top w:w="10" w:type="dxa"/>
              <w:bottom w:w="10" w:type="dxa"/>
            </w:tcMar>
            <w:vAlign w:val="center"/>
          </w:tcPr>
          <w:p w14:paraId="60534198" w14:textId="77777777" w:rsidR="006561BA" w:rsidRPr="00770AA2" w:rsidRDefault="006561BA">
            <w:pPr>
              <w:widowControl w:val="0"/>
              <w:spacing w:after="0" w:line="240" w:lineRule="auto"/>
              <w:jc w:val="left"/>
              <w:rPr>
                <w:rFonts w:ascii="Helvetica" w:eastAsia="Arial Unicode MS" w:hAnsi="Helvetica" w:cs="Helvetica"/>
                <w:color w:val="000000"/>
                <w:sz w:val="6"/>
                <w:szCs w:val="6"/>
              </w:rPr>
            </w:pPr>
          </w:p>
        </w:tc>
      </w:tr>
      <w:tr w:rsidR="006561BA" w14:paraId="37748123" w14:textId="77777777">
        <w:trPr>
          <w:trHeight w:val="20"/>
        </w:trPr>
        <w:tc>
          <w:tcPr>
            <w:tcW w:w="233" w:type="dxa"/>
            <w:tcBorders>
              <w:left w:val="single" w:sz="4" w:space="0" w:color="auto"/>
            </w:tcBorders>
            <w:tcMar>
              <w:top w:w="10" w:type="dxa"/>
              <w:bottom w:w="10" w:type="dxa"/>
            </w:tcMar>
            <w:vAlign w:val="center"/>
          </w:tcPr>
          <w:p w14:paraId="5C5DA7C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256" w:type="dxa"/>
            <w:tcMar>
              <w:top w:w="10" w:type="dxa"/>
              <w:bottom w:w="10" w:type="dxa"/>
            </w:tcMar>
            <w:vAlign w:val="center"/>
          </w:tcPr>
          <w:p w14:paraId="0FFABDA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5" w:type="dxa"/>
            <w:tcBorders>
              <w:left w:val="single" w:sz="4" w:space="0" w:color="auto"/>
            </w:tcBorders>
            <w:tcMar>
              <w:top w:w="10" w:type="dxa"/>
              <w:bottom w:w="10" w:type="dxa"/>
            </w:tcMar>
            <w:vAlign w:val="center"/>
          </w:tcPr>
          <w:p w14:paraId="2149D41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left w:val="single" w:sz="4" w:space="0" w:color="auto"/>
            </w:tcBorders>
            <w:tcMar>
              <w:top w:w="10" w:type="dxa"/>
              <w:bottom w:w="10" w:type="dxa"/>
            </w:tcMar>
            <w:vAlign w:val="center"/>
          </w:tcPr>
          <w:p w14:paraId="285AEB0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42F614A6"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212121"/>
                <w:sz w:val="6"/>
              </w:rPr>
              <w:t>Hvorav bruk av proveny</w:t>
            </w:r>
          </w:p>
        </w:tc>
        <w:tc>
          <w:tcPr>
            <w:tcW w:w="460" w:type="dxa"/>
            <w:tcBorders>
              <w:top w:val="single" w:sz="4" w:space="0" w:color="auto"/>
              <w:left w:val="single" w:sz="4" w:space="0" w:color="auto"/>
            </w:tcBorders>
            <w:tcMar>
              <w:top w:w="10" w:type="dxa"/>
              <w:bottom w:w="10" w:type="dxa"/>
            </w:tcMar>
            <w:vAlign w:val="center"/>
          </w:tcPr>
          <w:p w14:paraId="7583003D"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212121"/>
                <w:sz w:val="6"/>
              </w:rPr>
              <w:t>Hvorav omstilling</w:t>
            </w:r>
          </w:p>
        </w:tc>
        <w:tc>
          <w:tcPr>
            <w:tcW w:w="334"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3DAD1F7E"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Hvorav muliggjørende</w:t>
            </w:r>
          </w:p>
        </w:tc>
        <w:tc>
          <w:tcPr>
            <w:tcW w:w="312" w:type="dxa"/>
            <w:tcBorders>
              <w:left w:val="single" w:sz="4" w:space="0" w:color="auto"/>
              <w:right w:val="single" w:sz="4" w:space="0" w:color="auto"/>
            </w:tcBorders>
          </w:tcPr>
          <w:p w14:paraId="359DFE0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right w:val="single" w:sz="4" w:space="0" w:color="auto"/>
            </w:tcBorders>
          </w:tcPr>
          <w:p w14:paraId="09269FB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14:paraId="29CB1005" w14:textId="5D7C6F88" w:rsidR="006561BA" w:rsidRDefault="005B4ED6">
            <w:pPr>
              <w:widowControl w:val="0"/>
              <w:shd w:val="clear" w:color="auto" w:fill="auto"/>
              <w:spacing w:after="0" w:line="240" w:lineRule="auto"/>
              <w:ind w:firstLine="360"/>
              <w:jc w:val="left"/>
              <w:rPr>
                <w:rFonts w:ascii="Helvetica" w:eastAsia="Arial Unicode MS" w:hAnsi="Helvetica" w:cs="Helvetica"/>
                <w:color w:val="000000"/>
                <w:sz w:val="6"/>
                <w:szCs w:val="6"/>
              </w:rPr>
            </w:pPr>
            <w:proofErr w:type="spellStart"/>
            <w:r>
              <w:rPr>
                <w:rFonts w:ascii="Helvetica" w:hAnsi="Helvetica"/>
                <w:color w:val="212121"/>
                <w:sz w:val="6"/>
              </w:rPr>
              <w:t>H</w:t>
            </w:r>
            <w:r w:rsidR="00A34D07">
              <w:rPr>
                <w:rFonts w:ascii="Helvetica" w:hAnsi="Helvetica"/>
                <w:color w:val="212121"/>
                <w:sz w:val="6"/>
              </w:rPr>
              <w:t>H</w:t>
            </w:r>
            <w:r>
              <w:rPr>
                <w:rFonts w:ascii="Helvetica" w:hAnsi="Helvetica"/>
                <w:color w:val="212121"/>
                <w:sz w:val="6"/>
              </w:rPr>
              <w:t>vorav</w:t>
            </w:r>
            <w:proofErr w:type="spellEnd"/>
            <w:r>
              <w:rPr>
                <w:rFonts w:ascii="Helvetica" w:hAnsi="Helvetica"/>
                <w:color w:val="212121"/>
                <w:sz w:val="6"/>
              </w:rPr>
              <w:t xml:space="preserve"> bruk av proveny</w:t>
            </w:r>
          </w:p>
        </w:tc>
        <w:tc>
          <w:tcPr>
            <w:tcW w:w="312" w:type="dxa"/>
            <w:tcBorders>
              <w:top w:val="single" w:sz="4" w:space="0" w:color="auto"/>
              <w:left w:val="single" w:sz="4" w:space="0" w:color="auto"/>
              <w:bottom w:val="single" w:sz="4" w:space="0" w:color="auto"/>
            </w:tcBorders>
            <w:vAlign w:val="center"/>
          </w:tcPr>
          <w:p w14:paraId="6E325B0B"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Hvorav muliggjørende</w:t>
            </w:r>
          </w:p>
        </w:tc>
        <w:tc>
          <w:tcPr>
            <w:tcW w:w="312" w:type="dxa"/>
            <w:tcBorders>
              <w:left w:val="single" w:sz="4" w:space="0" w:color="auto"/>
            </w:tcBorders>
            <w:tcMar>
              <w:top w:w="10" w:type="dxa"/>
              <w:bottom w:w="10" w:type="dxa"/>
            </w:tcMar>
            <w:vAlign w:val="center"/>
          </w:tcPr>
          <w:p w14:paraId="1CDB9CE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left w:val="single" w:sz="4" w:space="0" w:color="auto"/>
            </w:tcBorders>
            <w:tcMar>
              <w:top w:w="10" w:type="dxa"/>
              <w:bottom w:w="10" w:type="dxa"/>
            </w:tcMar>
            <w:vAlign w:val="center"/>
          </w:tcPr>
          <w:p w14:paraId="301FE12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520E5436" w14:textId="77777777" w:rsidR="006561BA" w:rsidRPr="008B562F" w:rsidRDefault="005B4ED6">
            <w:pPr>
              <w:widowControl w:val="0"/>
              <w:shd w:val="clear" w:color="auto" w:fill="auto"/>
              <w:spacing w:after="0" w:line="240" w:lineRule="auto"/>
              <w:jc w:val="left"/>
              <w:rPr>
                <w:rFonts w:ascii="Helvetica" w:eastAsia="Arial Unicode MS" w:hAnsi="Helvetica" w:cs="Helvetica"/>
                <w:color w:val="auto"/>
                <w:sz w:val="6"/>
                <w:szCs w:val="6"/>
              </w:rPr>
            </w:pPr>
            <w:r w:rsidRPr="008B562F">
              <w:rPr>
                <w:rFonts w:ascii="Helvetica" w:hAnsi="Helvetica"/>
                <w:color w:val="auto"/>
                <w:sz w:val="6"/>
              </w:rPr>
              <w:t>Hvorav bruk av proveny</w:t>
            </w:r>
          </w:p>
        </w:tc>
        <w:tc>
          <w:tcPr>
            <w:tcW w:w="425" w:type="dxa"/>
            <w:tcBorders>
              <w:top w:val="single" w:sz="4" w:space="0" w:color="auto"/>
              <w:left w:val="single" w:sz="4" w:space="0" w:color="auto"/>
            </w:tcBorders>
            <w:tcMar>
              <w:top w:w="10" w:type="dxa"/>
              <w:bottom w:w="10" w:type="dxa"/>
            </w:tcMar>
            <w:vAlign w:val="center"/>
          </w:tcPr>
          <w:p w14:paraId="0AC185CB" w14:textId="77777777" w:rsidR="006561BA" w:rsidRPr="008B562F" w:rsidRDefault="005B4ED6">
            <w:pPr>
              <w:widowControl w:val="0"/>
              <w:shd w:val="clear" w:color="auto" w:fill="auto"/>
              <w:spacing w:after="0" w:line="240" w:lineRule="auto"/>
              <w:jc w:val="left"/>
              <w:rPr>
                <w:rFonts w:ascii="Helvetica" w:eastAsia="Arial Unicode MS" w:hAnsi="Helvetica" w:cs="Helvetica"/>
                <w:color w:val="auto"/>
                <w:sz w:val="6"/>
                <w:szCs w:val="6"/>
              </w:rPr>
            </w:pPr>
            <w:r w:rsidRPr="008B562F">
              <w:rPr>
                <w:rFonts w:ascii="Helvetica" w:hAnsi="Helvetica"/>
                <w:color w:val="auto"/>
                <w:sz w:val="6"/>
              </w:rPr>
              <w:t>Hvorav muliggjørende</w:t>
            </w:r>
          </w:p>
        </w:tc>
        <w:tc>
          <w:tcPr>
            <w:tcW w:w="322" w:type="dxa"/>
            <w:tcBorders>
              <w:left w:val="single" w:sz="4" w:space="0" w:color="auto"/>
            </w:tcBorders>
            <w:tcMar>
              <w:top w:w="10" w:type="dxa"/>
              <w:bottom w:w="10" w:type="dxa"/>
            </w:tcMar>
            <w:vAlign w:val="center"/>
          </w:tcPr>
          <w:p w14:paraId="3D367EFC" w14:textId="77777777" w:rsidR="006561BA" w:rsidRPr="008B562F" w:rsidRDefault="006561BA">
            <w:pPr>
              <w:widowControl w:val="0"/>
              <w:shd w:val="clear" w:color="auto" w:fill="auto"/>
              <w:spacing w:after="0" w:line="240" w:lineRule="auto"/>
              <w:jc w:val="left"/>
              <w:rPr>
                <w:rFonts w:ascii="Helvetica" w:eastAsia="Arial Unicode MS" w:hAnsi="Helvetica" w:cs="Helvetica"/>
                <w:color w:val="auto"/>
                <w:sz w:val="6"/>
                <w:szCs w:val="6"/>
                <w:lang w:val="en-US"/>
              </w:rPr>
            </w:pPr>
          </w:p>
        </w:tc>
        <w:tc>
          <w:tcPr>
            <w:tcW w:w="312" w:type="dxa"/>
            <w:tcBorders>
              <w:left w:val="single" w:sz="4" w:space="0" w:color="auto"/>
            </w:tcBorders>
            <w:tcMar>
              <w:top w:w="10" w:type="dxa"/>
              <w:bottom w:w="10" w:type="dxa"/>
            </w:tcMar>
            <w:vAlign w:val="center"/>
          </w:tcPr>
          <w:p w14:paraId="6EB252E6" w14:textId="77777777" w:rsidR="006561BA" w:rsidRPr="008B562F" w:rsidRDefault="006561BA">
            <w:pPr>
              <w:widowControl w:val="0"/>
              <w:shd w:val="clear" w:color="auto" w:fill="auto"/>
              <w:spacing w:after="0" w:line="240" w:lineRule="auto"/>
              <w:jc w:val="left"/>
              <w:rPr>
                <w:rFonts w:ascii="Helvetica" w:eastAsia="Arial Unicode MS" w:hAnsi="Helvetica" w:cs="Helvetica"/>
                <w:color w:val="auto"/>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4A233B17" w14:textId="77777777" w:rsidR="006561BA" w:rsidRPr="008B562F" w:rsidRDefault="005B4ED6">
            <w:pPr>
              <w:widowControl w:val="0"/>
              <w:shd w:val="clear" w:color="auto" w:fill="auto"/>
              <w:spacing w:after="0" w:line="240" w:lineRule="auto"/>
              <w:jc w:val="left"/>
              <w:rPr>
                <w:rFonts w:ascii="Helvetica" w:eastAsia="Arial Unicode MS" w:hAnsi="Helvetica" w:cs="Helvetica"/>
                <w:color w:val="auto"/>
                <w:sz w:val="6"/>
                <w:szCs w:val="6"/>
              </w:rPr>
            </w:pPr>
            <w:r w:rsidRPr="008B562F">
              <w:rPr>
                <w:rFonts w:ascii="Helvetica" w:hAnsi="Helvetica"/>
                <w:color w:val="auto"/>
                <w:sz w:val="6"/>
              </w:rPr>
              <w:t>Hvorav bruk av proveny</w:t>
            </w:r>
          </w:p>
        </w:tc>
        <w:tc>
          <w:tcPr>
            <w:tcW w:w="420" w:type="dxa"/>
            <w:tcBorders>
              <w:top w:val="single" w:sz="4" w:space="0" w:color="auto"/>
              <w:left w:val="single" w:sz="4" w:space="0" w:color="auto"/>
            </w:tcBorders>
            <w:tcMar>
              <w:top w:w="10" w:type="dxa"/>
              <w:bottom w:w="10" w:type="dxa"/>
            </w:tcMar>
            <w:vAlign w:val="center"/>
          </w:tcPr>
          <w:p w14:paraId="449EACCF" w14:textId="77777777" w:rsidR="006561BA" w:rsidRPr="008B562F" w:rsidRDefault="005B4ED6">
            <w:pPr>
              <w:widowControl w:val="0"/>
              <w:shd w:val="clear" w:color="auto" w:fill="auto"/>
              <w:spacing w:after="0" w:line="240" w:lineRule="auto"/>
              <w:jc w:val="left"/>
              <w:rPr>
                <w:rFonts w:ascii="Helvetica" w:eastAsia="Arial Unicode MS" w:hAnsi="Helvetica" w:cs="Helvetica"/>
                <w:color w:val="auto"/>
                <w:sz w:val="6"/>
                <w:szCs w:val="6"/>
              </w:rPr>
            </w:pPr>
            <w:r w:rsidRPr="008B562F">
              <w:rPr>
                <w:rFonts w:ascii="Helvetica" w:hAnsi="Helvetica"/>
                <w:color w:val="auto"/>
                <w:sz w:val="6"/>
              </w:rPr>
              <w:t>Hvorav muliggjørende</w:t>
            </w:r>
          </w:p>
        </w:tc>
        <w:tc>
          <w:tcPr>
            <w:tcW w:w="327" w:type="dxa"/>
            <w:tcBorders>
              <w:left w:val="single" w:sz="4" w:space="0" w:color="auto"/>
            </w:tcBorders>
            <w:tcMar>
              <w:top w:w="10" w:type="dxa"/>
              <w:bottom w:w="10" w:type="dxa"/>
            </w:tcMar>
            <w:vAlign w:val="center"/>
          </w:tcPr>
          <w:p w14:paraId="165857AB" w14:textId="77777777" w:rsidR="006561BA" w:rsidRPr="008B562F" w:rsidRDefault="006561BA">
            <w:pPr>
              <w:widowControl w:val="0"/>
              <w:shd w:val="clear" w:color="auto" w:fill="auto"/>
              <w:spacing w:after="0" w:line="240" w:lineRule="auto"/>
              <w:jc w:val="left"/>
              <w:rPr>
                <w:rFonts w:ascii="Helvetica" w:eastAsia="Arial Unicode MS" w:hAnsi="Helvetica" w:cs="Helvetica"/>
                <w:color w:val="auto"/>
                <w:sz w:val="6"/>
                <w:szCs w:val="6"/>
                <w:lang w:val="en-US"/>
              </w:rPr>
            </w:pPr>
          </w:p>
        </w:tc>
        <w:tc>
          <w:tcPr>
            <w:tcW w:w="336" w:type="dxa"/>
            <w:tcBorders>
              <w:left w:val="single" w:sz="4" w:space="0" w:color="auto"/>
            </w:tcBorders>
            <w:tcMar>
              <w:top w:w="10" w:type="dxa"/>
              <w:bottom w:w="10" w:type="dxa"/>
            </w:tcMar>
            <w:vAlign w:val="center"/>
          </w:tcPr>
          <w:p w14:paraId="56280620" w14:textId="77777777" w:rsidR="006561BA" w:rsidRPr="008B562F" w:rsidRDefault="006561BA">
            <w:pPr>
              <w:widowControl w:val="0"/>
              <w:shd w:val="clear" w:color="auto" w:fill="auto"/>
              <w:spacing w:after="0" w:line="240" w:lineRule="auto"/>
              <w:jc w:val="left"/>
              <w:rPr>
                <w:rFonts w:ascii="Helvetica" w:eastAsia="Arial Unicode MS" w:hAnsi="Helvetica" w:cs="Helvetica"/>
                <w:color w:val="auto"/>
                <w:sz w:val="6"/>
                <w:szCs w:val="6"/>
                <w:lang w:val="en-US"/>
              </w:rPr>
            </w:pPr>
          </w:p>
        </w:tc>
        <w:tc>
          <w:tcPr>
            <w:tcW w:w="404" w:type="dxa"/>
            <w:tcBorders>
              <w:top w:val="single" w:sz="4" w:space="0" w:color="auto"/>
              <w:left w:val="single" w:sz="4" w:space="0" w:color="auto"/>
            </w:tcBorders>
            <w:tcMar>
              <w:top w:w="10" w:type="dxa"/>
              <w:bottom w:w="10" w:type="dxa"/>
            </w:tcMar>
            <w:vAlign w:val="center"/>
          </w:tcPr>
          <w:p w14:paraId="587FCCA5" w14:textId="77777777" w:rsidR="006561BA" w:rsidRPr="008B562F" w:rsidRDefault="005B4ED6">
            <w:pPr>
              <w:widowControl w:val="0"/>
              <w:shd w:val="clear" w:color="auto" w:fill="auto"/>
              <w:spacing w:after="0" w:line="240" w:lineRule="auto"/>
              <w:jc w:val="left"/>
              <w:rPr>
                <w:rFonts w:ascii="Helvetica" w:eastAsia="Arial Unicode MS" w:hAnsi="Helvetica" w:cs="Helvetica"/>
                <w:color w:val="auto"/>
                <w:sz w:val="6"/>
                <w:szCs w:val="6"/>
              </w:rPr>
            </w:pPr>
            <w:r w:rsidRPr="008B562F">
              <w:rPr>
                <w:rFonts w:ascii="Helvetica" w:hAnsi="Helvetica"/>
                <w:color w:val="auto"/>
                <w:sz w:val="6"/>
              </w:rPr>
              <w:t>Hvorav bruk av proveny</w:t>
            </w:r>
          </w:p>
        </w:tc>
        <w:tc>
          <w:tcPr>
            <w:tcW w:w="406" w:type="dxa"/>
            <w:tcBorders>
              <w:top w:val="single" w:sz="4" w:space="0" w:color="auto"/>
              <w:left w:val="single" w:sz="4" w:space="0" w:color="auto"/>
            </w:tcBorders>
            <w:tcMar>
              <w:top w:w="10" w:type="dxa"/>
              <w:bottom w:w="10" w:type="dxa"/>
            </w:tcMar>
            <w:vAlign w:val="center"/>
          </w:tcPr>
          <w:p w14:paraId="39DAB9AC" w14:textId="77777777" w:rsidR="006561BA" w:rsidRPr="008B562F" w:rsidRDefault="005B4ED6">
            <w:pPr>
              <w:widowControl w:val="0"/>
              <w:shd w:val="clear" w:color="auto" w:fill="auto"/>
              <w:spacing w:after="0" w:line="240" w:lineRule="auto"/>
              <w:jc w:val="left"/>
              <w:rPr>
                <w:rFonts w:ascii="Helvetica" w:eastAsia="Arial Unicode MS" w:hAnsi="Helvetica" w:cs="Helvetica"/>
                <w:color w:val="auto"/>
                <w:sz w:val="6"/>
                <w:szCs w:val="6"/>
              </w:rPr>
            </w:pPr>
            <w:r w:rsidRPr="008B562F">
              <w:rPr>
                <w:rFonts w:ascii="Helvetica" w:hAnsi="Helvetica"/>
                <w:color w:val="auto"/>
                <w:sz w:val="6"/>
              </w:rPr>
              <w:t>Hvorav muliggjørende</w:t>
            </w:r>
          </w:p>
        </w:tc>
        <w:tc>
          <w:tcPr>
            <w:tcW w:w="330" w:type="dxa"/>
            <w:tcBorders>
              <w:left w:val="single" w:sz="4" w:space="0" w:color="auto"/>
            </w:tcBorders>
            <w:tcMar>
              <w:top w:w="10" w:type="dxa"/>
              <w:bottom w:w="10" w:type="dxa"/>
            </w:tcMar>
            <w:vAlign w:val="center"/>
          </w:tcPr>
          <w:p w14:paraId="1711CC43" w14:textId="77777777" w:rsidR="006561BA" w:rsidRPr="008B562F" w:rsidRDefault="006561BA">
            <w:pPr>
              <w:widowControl w:val="0"/>
              <w:shd w:val="clear" w:color="auto" w:fill="auto"/>
              <w:spacing w:after="0" w:line="240" w:lineRule="auto"/>
              <w:jc w:val="left"/>
              <w:rPr>
                <w:rFonts w:ascii="Helvetica" w:eastAsia="Arial Unicode MS" w:hAnsi="Helvetica" w:cs="Helvetica"/>
                <w:color w:val="auto"/>
                <w:sz w:val="6"/>
                <w:szCs w:val="6"/>
                <w:lang w:val="en-US"/>
              </w:rPr>
            </w:pPr>
          </w:p>
        </w:tc>
        <w:tc>
          <w:tcPr>
            <w:tcW w:w="324" w:type="dxa"/>
            <w:tcBorders>
              <w:left w:val="single" w:sz="4" w:space="0" w:color="auto"/>
            </w:tcBorders>
            <w:tcMar>
              <w:top w:w="10" w:type="dxa"/>
              <w:bottom w:w="10" w:type="dxa"/>
            </w:tcMar>
            <w:vAlign w:val="center"/>
          </w:tcPr>
          <w:p w14:paraId="20D5D27A" w14:textId="77777777" w:rsidR="006561BA" w:rsidRPr="008B562F" w:rsidRDefault="006561BA">
            <w:pPr>
              <w:widowControl w:val="0"/>
              <w:shd w:val="clear" w:color="auto" w:fill="auto"/>
              <w:spacing w:after="0" w:line="240" w:lineRule="auto"/>
              <w:jc w:val="left"/>
              <w:rPr>
                <w:rFonts w:ascii="Helvetica" w:eastAsia="Arial Unicode MS" w:hAnsi="Helvetica" w:cs="Helvetica"/>
                <w:color w:val="auto"/>
                <w:sz w:val="6"/>
                <w:szCs w:val="6"/>
                <w:lang w:val="en-US"/>
              </w:rPr>
            </w:pPr>
          </w:p>
        </w:tc>
        <w:tc>
          <w:tcPr>
            <w:tcW w:w="360" w:type="dxa"/>
            <w:tcBorders>
              <w:top w:val="single" w:sz="4" w:space="0" w:color="auto"/>
              <w:left w:val="single" w:sz="4" w:space="0" w:color="auto"/>
            </w:tcBorders>
            <w:tcMar>
              <w:top w:w="10" w:type="dxa"/>
              <w:bottom w:w="10" w:type="dxa"/>
            </w:tcMar>
            <w:vAlign w:val="center"/>
          </w:tcPr>
          <w:p w14:paraId="45F84546" w14:textId="77777777" w:rsidR="006561BA" w:rsidRPr="008B562F" w:rsidRDefault="005B4ED6">
            <w:pPr>
              <w:widowControl w:val="0"/>
              <w:shd w:val="clear" w:color="auto" w:fill="auto"/>
              <w:spacing w:after="0" w:line="240" w:lineRule="auto"/>
              <w:jc w:val="left"/>
              <w:rPr>
                <w:rFonts w:ascii="Helvetica" w:eastAsia="Arial Unicode MS" w:hAnsi="Helvetica" w:cs="Helvetica"/>
                <w:color w:val="auto"/>
                <w:sz w:val="6"/>
                <w:szCs w:val="6"/>
              </w:rPr>
            </w:pPr>
            <w:r w:rsidRPr="008B562F">
              <w:rPr>
                <w:rFonts w:ascii="Helvetica" w:hAnsi="Helvetica"/>
                <w:color w:val="auto"/>
                <w:sz w:val="6"/>
              </w:rPr>
              <w:t>Hvorav bruk av proveny</w:t>
            </w:r>
          </w:p>
        </w:tc>
        <w:tc>
          <w:tcPr>
            <w:tcW w:w="488" w:type="dxa"/>
            <w:tcBorders>
              <w:top w:val="single" w:sz="4" w:space="0" w:color="auto"/>
              <w:left w:val="single" w:sz="4" w:space="0" w:color="auto"/>
            </w:tcBorders>
            <w:tcMar>
              <w:top w:w="10" w:type="dxa"/>
              <w:bottom w:w="10" w:type="dxa"/>
            </w:tcMar>
            <w:vAlign w:val="center"/>
          </w:tcPr>
          <w:p w14:paraId="608655AF" w14:textId="77777777" w:rsidR="006561BA" w:rsidRPr="008B562F" w:rsidRDefault="005B4ED6">
            <w:pPr>
              <w:widowControl w:val="0"/>
              <w:shd w:val="clear" w:color="auto" w:fill="auto"/>
              <w:spacing w:after="0" w:line="240" w:lineRule="auto"/>
              <w:jc w:val="left"/>
              <w:rPr>
                <w:rFonts w:ascii="Helvetica" w:eastAsia="Arial Unicode MS" w:hAnsi="Helvetica" w:cs="Helvetica"/>
                <w:color w:val="auto"/>
                <w:sz w:val="6"/>
                <w:szCs w:val="6"/>
              </w:rPr>
            </w:pPr>
            <w:r w:rsidRPr="008B562F">
              <w:rPr>
                <w:rFonts w:ascii="Helvetica" w:hAnsi="Helvetica"/>
                <w:color w:val="auto"/>
                <w:sz w:val="6"/>
              </w:rPr>
              <w:t>Hvorav muliggjørende</w:t>
            </w:r>
          </w:p>
        </w:tc>
        <w:tc>
          <w:tcPr>
            <w:tcW w:w="336" w:type="dxa"/>
            <w:tcBorders>
              <w:left w:val="single" w:sz="4" w:space="0" w:color="auto"/>
            </w:tcBorders>
            <w:tcMar>
              <w:top w:w="10" w:type="dxa"/>
              <w:bottom w:w="10" w:type="dxa"/>
            </w:tcMar>
            <w:vAlign w:val="center"/>
          </w:tcPr>
          <w:p w14:paraId="1C9210D0" w14:textId="77777777" w:rsidR="006561BA" w:rsidRPr="008B562F" w:rsidRDefault="006561BA">
            <w:pPr>
              <w:widowControl w:val="0"/>
              <w:shd w:val="clear" w:color="auto" w:fill="auto"/>
              <w:spacing w:after="0" w:line="240" w:lineRule="auto"/>
              <w:jc w:val="left"/>
              <w:rPr>
                <w:rFonts w:ascii="Helvetica" w:eastAsia="Arial Unicode MS" w:hAnsi="Helvetica" w:cs="Helvetica"/>
                <w:color w:val="auto"/>
                <w:sz w:val="6"/>
                <w:szCs w:val="6"/>
                <w:lang w:val="en-US"/>
              </w:rPr>
            </w:pPr>
          </w:p>
        </w:tc>
        <w:tc>
          <w:tcPr>
            <w:tcW w:w="468" w:type="dxa"/>
            <w:tcBorders>
              <w:left w:val="single" w:sz="4" w:space="0" w:color="auto"/>
            </w:tcBorders>
            <w:tcMar>
              <w:top w:w="10" w:type="dxa"/>
              <w:bottom w:w="10" w:type="dxa"/>
            </w:tcMar>
            <w:vAlign w:val="center"/>
          </w:tcPr>
          <w:p w14:paraId="2A9BC72B" w14:textId="77777777" w:rsidR="006561BA" w:rsidRPr="008B562F" w:rsidRDefault="006561BA">
            <w:pPr>
              <w:widowControl w:val="0"/>
              <w:shd w:val="clear" w:color="auto" w:fill="auto"/>
              <w:spacing w:after="0" w:line="240" w:lineRule="auto"/>
              <w:jc w:val="left"/>
              <w:rPr>
                <w:rFonts w:ascii="Helvetica" w:eastAsia="Arial Unicode MS" w:hAnsi="Helvetica" w:cs="Helvetica"/>
                <w:color w:val="auto"/>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35347AAA" w14:textId="77777777" w:rsidR="006561BA" w:rsidRPr="008B562F" w:rsidRDefault="005B4ED6">
            <w:pPr>
              <w:widowControl w:val="0"/>
              <w:shd w:val="clear" w:color="auto" w:fill="auto"/>
              <w:spacing w:after="0" w:line="240" w:lineRule="auto"/>
              <w:jc w:val="left"/>
              <w:rPr>
                <w:rFonts w:ascii="Helvetica" w:eastAsia="Arial Unicode MS" w:hAnsi="Helvetica" w:cs="Helvetica"/>
                <w:color w:val="auto"/>
                <w:sz w:val="6"/>
                <w:szCs w:val="6"/>
              </w:rPr>
            </w:pPr>
            <w:r w:rsidRPr="008B562F">
              <w:rPr>
                <w:rFonts w:ascii="Helvetica" w:hAnsi="Helvetica"/>
                <w:color w:val="auto"/>
                <w:sz w:val="6"/>
              </w:rPr>
              <w:t>Hvorav bruk av proveny</w:t>
            </w:r>
          </w:p>
        </w:tc>
        <w:tc>
          <w:tcPr>
            <w:tcW w:w="456" w:type="dxa"/>
            <w:tcBorders>
              <w:top w:val="single" w:sz="4" w:space="0" w:color="auto"/>
              <w:left w:val="single" w:sz="4" w:space="0" w:color="auto"/>
            </w:tcBorders>
            <w:tcMar>
              <w:top w:w="10" w:type="dxa"/>
              <w:bottom w:w="10" w:type="dxa"/>
            </w:tcMar>
            <w:vAlign w:val="center"/>
          </w:tcPr>
          <w:p w14:paraId="39528E85" w14:textId="77777777" w:rsidR="006561BA" w:rsidRPr="008B562F" w:rsidRDefault="005B4ED6">
            <w:pPr>
              <w:widowControl w:val="0"/>
              <w:shd w:val="clear" w:color="auto" w:fill="auto"/>
              <w:spacing w:after="0" w:line="240" w:lineRule="auto"/>
              <w:jc w:val="left"/>
              <w:rPr>
                <w:rFonts w:ascii="Helvetica" w:eastAsia="Arial Unicode MS" w:hAnsi="Helvetica" w:cs="Helvetica"/>
                <w:color w:val="auto"/>
                <w:sz w:val="6"/>
                <w:szCs w:val="6"/>
              </w:rPr>
            </w:pPr>
            <w:r w:rsidRPr="008B562F">
              <w:rPr>
                <w:rFonts w:ascii="Helvetica" w:hAnsi="Helvetica"/>
                <w:color w:val="auto"/>
                <w:sz w:val="6"/>
              </w:rPr>
              <w:t>Hvorav omstilling</w:t>
            </w:r>
          </w:p>
        </w:tc>
        <w:tc>
          <w:tcPr>
            <w:tcW w:w="284" w:type="dxa"/>
            <w:tcBorders>
              <w:top w:val="single" w:sz="4" w:space="0" w:color="auto"/>
              <w:left w:val="single" w:sz="4" w:space="0" w:color="auto"/>
            </w:tcBorders>
            <w:tcMar>
              <w:top w:w="10" w:type="dxa"/>
              <w:bottom w:w="10" w:type="dxa"/>
            </w:tcMar>
            <w:vAlign w:val="center"/>
          </w:tcPr>
          <w:p w14:paraId="2F325816" w14:textId="77777777" w:rsidR="006561BA" w:rsidRPr="008B562F" w:rsidRDefault="005B4ED6">
            <w:pPr>
              <w:widowControl w:val="0"/>
              <w:shd w:val="clear" w:color="auto" w:fill="auto"/>
              <w:spacing w:after="0" w:line="240" w:lineRule="auto"/>
              <w:jc w:val="left"/>
              <w:rPr>
                <w:rFonts w:ascii="Helvetica" w:eastAsia="Arial Unicode MS" w:hAnsi="Helvetica" w:cs="Helvetica"/>
                <w:color w:val="auto"/>
                <w:sz w:val="6"/>
                <w:szCs w:val="6"/>
              </w:rPr>
            </w:pPr>
            <w:r w:rsidRPr="008B562F">
              <w:rPr>
                <w:rFonts w:ascii="Helvetica" w:hAnsi="Helvetica"/>
                <w:color w:val="auto"/>
                <w:sz w:val="6"/>
              </w:rPr>
              <w:t>Hvorav muliggjørende</w:t>
            </w:r>
          </w:p>
        </w:tc>
        <w:tc>
          <w:tcPr>
            <w:tcW w:w="420" w:type="dxa"/>
            <w:vMerge/>
            <w:tcBorders>
              <w:left w:val="single" w:sz="4" w:space="0" w:color="auto"/>
              <w:right w:val="single" w:sz="4" w:space="0" w:color="auto"/>
            </w:tcBorders>
            <w:tcMar>
              <w:top w:w="10" w:type="dxa"/>
              <w:bottom w:w="10" w:type="dxa"/>
            </w:tcMar>
            <w:vAlign w:val="center"/>
          </w:tcPr>
          <w:p w14:paraId="396A20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32B61E1B" w14:textId="77777777">
        <w:trPr>
          <w:trHeight w:val="20"/>
        </w:trPr>
        <w:tc>
          <w:tcPr>
            <w:tcW w:w="233" w:type="dxa"/>
            <w:tcBorders>
              <w:top w:val="single" w:sz="4" w:space="0" w:color="auto"/>
              <w:left w:val="single" w:sz="4" w:space="0" w:color="auto"/>
            </w:tcBorders>
            <w:tcMar>
              <w:top w:w="10" w:type="dxa"/>
              <w:bottom w:w="10" w:type="dxa"/>
            </w:tcMar>
            <w:vAlign w:val="center"/>
          </w:tcPr>
          <w:p w14:paraId="0B8AF1F6" w14:textId="77777777" w:rsidR="006561BA" w:rsidRDefault="006561BA">
            <w:pPr>
              <w:widowControl w:val="0"/>
              <w:shd w:val="clear" w:color="auto" w:fill="auto"/>
              <w:spacing w:after="0" w:line="240" w:lineRule="auto"/>
              <w:jc w:val="center"/>
              <w:rPr>
                <w:rFonts w:ascii="Helvetica" w:eastAsia="Arial Unicode MS" w:hAnsi="Helvetica" w:cs="Helvetica"/>
                <w:color w:val="000000"/>
                <w:sz w:val="6"/>
                <w:szCs w:val="6"/>
                <w:lang w:val="en-US"/>
              </w:rPr>
            </w:pPr>
          </w:p>
        </w:tc>
        <w:tc>
          <w:tcPr>
            <w:tcW w:w="2256" w:type="dxa"/>
            <w:tcBorders>
              <w:top w:val="single" w:sz="4" w:space="0" w:color="auto"/>
              <w:left w:val="single" w:sz="4" w:space="0" w:color="auto"/>
            </w:tcBorders>
            <w:tcMar>
              <w:top w:w="10" w:type="dxa"/>
              <w:bottom w:w="10" w:type="dxa"/>
            </w:tcMar>
            <w:vAlign w:val="center"/>
          </w:tcPr>
          <w:p w14:paraId="6C712077" w14:textId="77777777" w:rsidR="006561BA" w:rsidRDefault="005B4ED6">
            <w:pPr>
              <w:widowControl w:val="0"/>
              <w:shd w:val="clear" w:color="auto" w:fill="auto"/>
              <w:spacing w:after="0" w:line="240" w:lineRule="auto"/>
              <w:jc w:val="left"/>
              <w:rPr>
                <w:rFonts w:ascii="Helvetica" w:eastAsia="Arial Unicode MS" w:hAnsi="Helvetica" w:cs="Helvetica"/>
                <w:b/>
                <w:color w:val="000000"/>
                <w:sz w:val="6"/>
                <w:szCs w:val="6"/>
                <w:u w:val="single"/>
              </w:rPr>
            </w:pPr>
            <w:r>
              <w:rPr>
                <w:rFonts w:ascii="Helvetica" w:hAnsi="Helvetica"/>
                <w:b/>
                <w:color w:val="000000"/>
                <w:sz w:val="6"/>
                <w:u w:val="single"/>
              </w:rPr>
              <w:t>GAR – dekkede eiendeler i både teller og nevner</w:t>
            </w:r>
          </w:p>
        </w:tc>
        <w:tc>
          <w:tcPr>
            <w:tcW w:w="315" w:type="dxa"/>
            <w:tcBorders>
              <w:top w:val="single" w:sz="4" w:space="0" w:color="auto"/>
            </w:tcBorders>
            <w:shd w:val="clear" w:color="auto" w:fill="000000" w:themeFill="text1"/>
            <w:tcMar>
              <w:top w:w="10" w:type="dxa"/>
              <w:bottom w:w="10" w:type="dxa"/>
            </w:tcMar>
            <w:vAlign w:val="center"/>
          </w:tcPr>
          <w:p w14:paraId="4AF7549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tcBorders>
            <w:shd w:val="clear" w:color="auto" w:fill="000000" w:themeFill="text1"/>
            <w:tcMar>
              <w:top w:w="10" w:type="dxa"/>
              <w:bottom w:w="10" w:type="dxa"/>
            </w:tcMar>
            <w:vAlign w:val="center"/>
          </w:tcPr>
          <w:p w14:paraId="0D75EDB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tcBorders>
            <w:shd w:val="clear" w:color="auto" w:fill="000000" w:themeFill="text1"/>
            <w:tcMar>
              <w:top w:w="10" w:type="dxa"/>
              <w:bottom w:w="10" w:type="dxa"/>
            </w:tcMar>
            <w:vAlign w:val="center"/>
          </w:tcPr>
          <w:p w14:paraId="002D67C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0" w:type="dxa"/>
            <w:tcBorders>
              <w:top w:val="single" w:sz="4" w:space="0" w:color="auto"/>
            </w:tcBorders>
            <w:shd w:val="clear" w:color="auto" w:fill="000000" w:themeFill="text1"/>
            <w:tcMar>
              <w:top w:w="10" w:type="dxa"/>
              <w:bottom w:w="10" w:type="dxa"/>
            </w:tcMar>
            <w:vAlign w:val="center"/>
          </w:tcPr>
          <w:p w14:paraId="68F36FD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4" w:type="dxa"/>
            <w:tcBorders>
              <w:top w:val="single" w:sz="4" w:space="0" w:color="auto"/>
            </w:tcBorders>
            <w:shd w:val="clear" w:color="auto" w:fill="000000" w:themeFill="text1"/>
            <w:tcMar>
              <w:top w:w="10" w:type="dxa"/>
              <w:bottom w:w="10" w:type="dxa"/>
            </w:tcMar>
            <w:vAlign w:val="center"/>
          </w:tcPr>
          <w:p w14:paraId="5E16ABE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tcBorders>
            <w:shd w:val="clear" w:color="auto" w:fill="000000" w:themeFill="text1"/>
          </w:tcPr>
          <w:p w14:paraId="26CD9D8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tcBorders>
            <w:shd w:val="clear" w:color="auto" w:fill="000000" w:themeFill="text1"/>
          </w:tcPr>
          <w:p w14:paraId="3920168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tcBorders>
            <w:shd w:val="clear" w:color="auto" w:fill="000000" w:themeFill="text1"/>
          </w:tcPr>
          <w:p w14:paraId="1F0C5F5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tcBorders>
            <w:shd w:val="clear" w:color="auto" w:fill="000000" w:themeFill="text1"/>
          </w:tcPr>
          <w:p w14:paraId="38B2EFA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tcBorders>
            <w:shd w:val="clear" w:color="auto" w:fill="000000" w:themeFill="text1"/>
            <w:tcMar>
              <w:top w:w="10" w:type="dxa"/>
              <w:bottom w:w="10" w:type="dxa"/>
            </w:tcMar>
            <w:vAlign w:val="center"/>
          </w:tcPr>
          <w:p w14:paraId="43A0284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tcBorders>
            <w:shd w:val="clear" w:color="auto" w:fill="000000" w:themeFill="text1"/>
            <w:tcMar>
              <w:top w:w="10" w:type="dxa"/>
              <w:bottom w:w="10" w:type="dxa"/>
            </w:tcMar>
            <w:vAlign w:val="center"/>
          </w:tcPr>
          <w:p w14:paraId="7236842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tcBorders>
            <w:shd w:val="clear" w:color="auto" w:fill="000000" w:themeFill="text1"/>
            <w:tcMar>
              <w:top w:w="10" w:type="dxa"/>
              <w:bottom w:w="10" w:type="dxa"/>
            </w:tcMar>
            <w:vAlign w:val="center"/>
          </w:tcPr>
          <w:p w14:paraId="3079EF1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5" w:type="dxa"/>
            <w:tcBorders>
              <w:top w:val="single" w:sz="4" w:space="0" w:color="auto"/>
            </w:tcBorders>
            <w:shd w:val="clear" w:color="auto" w:fill="000000" w:themeFill="text1"/>
            <w:tcMar>
              <w:top w:w="10" w:type="dxa"/>
              <w:bottom w:w="10" w:type="dxa"/>
            </w:tcMar>
            <w:vAlign w:val="center"/>
          </w:tcPr>
          <w:p w14:paraId="50D6347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2" w:type="dxa"/>
            <w:tcBorders>
              <w:top w:val="single" w:sz="4" w:space="0" w:color="auto"/>
            </w:tcBorders>
            <w:shd w:val="clear" w:color="auto" w:fill="000000" w:themeFill="text1"/>
            <w:tcMar>
              <w:top w:w="10" w:type="dxa"/>
              <w:bottom w:w="10" w:type="dxa"/>
            </w:tcMar>
            <w:vAlign w:val="center"/>
          </w:tcPr>
          <w:p w14:paraId="44A7EE1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tcBorders>
            <w:shd w:val="clear" w:color="auto" w:fill="000000" w:themeFill="text1"/>
            <w:tcMar>
              <w:top w:w="10" w:type="dxa"/>
              <w:bottom w:w="10" w:type="dxa"/>
            </w:tcMar>
            <w:vAlign w:val="center"/>
          </w:tcPr>
          <w:p w14:paraId="79666E1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tcBorders>
            <w:shd w:val="clear" w:color="auto" w:fill="000000" w:themeFill="text1"/>
            <w:tcMar>
              <w:top w:w="10" w:type="dxa"/>
              <w:bottom w:w="10" w:type="dxa"/>
            </w:tcMar>
            <w:vAlign w:val="center"/>
          </w:tcPr>
          <w:p w14:paraId="6999E12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tcBorders>
            <w:shd w:val="clear" w:color="auto" w:fill="000000" w:themeFill="text1"/>
            <w:tcMar>
              <w:top w:w="10" w:type="dxa"/>
              <w:bottom w:w="10" w:type="dxa"/>
            </w:tcMar>
            <w:vAlign w:val="center"/>
          </w:tcPr>
          <w:p w14:paraId="4F5FD15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7" w:type="dxa"/>
            <w:tcBorders>
              <w:top w:val="single" w:sz="4" w:space="0" w:color="auto"/>
            </w:tcBorders>
            <w:shd w:val="clear" w:color="auto" w:fill="000000" w:themeFill="text1"/>
            <w:tcMar>
              <w:top w:w="10" w:type="dxa"/>
              <w:bottom w:w="10" w:type="dxa"/>
            </w:tcMar>
            <w:vAlign w:val="center"/>
          </w:tcPr>
          <w:p w14:paraId="29EDC7B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tcBorders>
            <w:shd w:val="clear" w:color="auto" w:fill="000000" w:themeFill="text1"/>
            <w:tcMar>
              <w:top w:w="10" w:type="dxa"/>
              <w:bottom w:w="10" w:type="dxa"/>
            </w:tcMar>
            <w:vAlign w:val="center"/>
          </w:tcPr>
          <w:p w14:paraId="2213DFF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4" w:type="dxa"/>
            <w:tcBorders>
              <w:top w:val="single" w:sz="4" w:space="0" w:color="auto"/>
            </w:tcBorders>
            <w:shd w:val="clear" w:color="auto" w:fill="000000" w:themeFill="text1"/>
            <w:tcMar>
              <w:top w:w="10" w:type="dxa"/>
              <w:bottom w:w="10" w:type="dxa"/>
            </w:tcMar>
            <w:vAlign w:val="center"/>
          </w:tcPr>
          <w:p w14:paraId="6F8500A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6" w:type="dxa"/>
            <w:tcBorders>
              <w:top w:val="single" w:sz="4" w:space="0" w:color="auto"/>
            </w:tcBorders>
            <w:shd w:val="clear" w:color="auto" w:fill="000000" w:themeFill="text1"/>
            <w:tcMar>
              <w:top w:w="10" w:type="dxa"/>
              <w:bottom w:w="10" w:type="dxa"/>
            </w:tcMar>
            <w:vAlign w:val="center"/>
          </w:tcPr>
          <w:p w14:paraId="5C77817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0" w:type="dxa"/>
            <w:tcBorders>
              <w:top w:val="single" w:sz="4" w:space="0" w:color="auto"/>
            </w:tcBorders>
            <w:shd w:val="clear" w:color="auto" w:fill="000000" w:themeFill="text1"/>
            <w:tcMar>
              <w:top w:w="10" w:type="dxa"/>
              <w:bottom w:w="10" w:type="dxa"/>
            </w:tcMar>
            <w:vAlign w:val="center"/>
          </w:tcPr>
          <w:p w14:paraId="6FAE172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tcBorders>
            <w:shd w:val="clear" w:color="auto" w:fill="000000" w:themeFill="text1"/>
            <w:tcMar>
              <w:top w:w="10" w:type="dxa"/>
              <w:bottom w:w="10" w:type="dxa"/>
            </w:tcMar>
            <w:vAlign w:val="center"/>
          </w:tcPr>
          <w:p w14:paraId="04BC29F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0" w:type="dxa"/>
            <w:tcBorders>
              <w:top w:val="single" w:sz="4" w:space="0" w:color="auto"/>
            </w:tcBorders>
            <w:shd w:val="clear" w:color="auto" w:fill="000000" w:themeFill="text1"/>
            <w:tcMar>
              <w:top w:w="10" w:type="dxa"/>
              <w:bottom w:w="10" w:type="dxa"/>
            </w:tcMar>
            <w:vAlign w:val="center"/>
          </w:tcPr>
          <w:p w14:paraId="41A28BB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88" w:type="dxa"/>
            <w:tcBorders>
              <w:top w:val="single" w:sz="4" w:space="0" w:color="auto"/>
            </w:tcBorders>
            <w:shd w:val="clear" w:color="auto" w:fill="000000" w:themeFill="text1"/>
            <w:tcMar>
              <w:top w:w="10" w:type="dxa"/>
              <w:bottom w:w="10" w:type="dxa"/>
            </w:tcMar>
            <w:vAlign w:val="center"/>
          </w:tcPr>
          <w:p w14:paraId="13D70B6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tcBorders>
            <w:shd w:val="clear" w:color="auto" w:fill="000000" w:themeFill="text1"/>
            <w:tcMar>
              <w:top w:w="10" w:type="dxa"/>
              <w:bottom w:w="10" w:type="dxa"/>
            </w:tcMar>
            <w:vAlign w:val="center"/>
          </w:tcPr>
          <w:p w14:paraId="3BDC538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8" w:type="dxa"/>
            <w:tcBorders>
              <w:top w:val="single" w:sz="4" w:space="0" w:color="auto"/>
            </w:tcBorders>
            <w:shd w:val="clear" w:color="auto" w:fill="000000" w:themeFill="text1"/>
            <w:tcMar>
              <w:top w:w="10" w:type="dxa"/>
              <w:bottom w:w="10" w:type="dxa"/>
            </w:tcMar>
            <w:vAlign w:val="center"/>
          </w:tcPr>
          <w:p w14:paraId="0E7DC40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96" w:type="dxa"/>
            <w:tcBorders>
              <w:top w:val="single" w:sz="4" w:space="0" w:color="auto"/>
            </w:tcBorders>
            <w:shd w:val="clear" w:color="auto" w:fill="000000" w:themeFill="text1"/>
            <w:tcMar>
              <w:top w:w="10" w:type="dxa"/>
              <w:bottom w:w="10" w:type="dxa"/>
            </w:tcMar>
            <w:vAlign w:val="center"/>
          </w:tcPr>
          <w:p w14:paraId="09D613C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56" w:type="dxa"/>
            <w:tcBorders>
              <w:top w:val="single" w:sz="4" w:space="0" w:color="auto"/>
            </w:tcBorders>
            <w:shd w:val="clear" w:color="auto" w:fill="000000" w:themeFill="text1"/>
            <w:tcMar>
              <w:top w:w="10" w:type="dxa"/>
              <w:bottom w:w="10" w:type="dxa"/>
            </w:tcMar>
            <w:vAlign w:val="center"/>
          </w:tcPr>
          <w:p w14:paraId="74C1FEA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 w:type="dxa"/>
            <w:tcBorders>
              <w:top w:val="single" w:sz="4" w:space="0" w:color="auto"/>
            </w:tcBorders>
            <w:shd w:val="clear" w:color="auto" w:fill="000000" w:themeFill="text1"/>
            <w:tcMar>
              <w:top w:w="10" w:type="dxa"/>
              <w:bottom w:w="10" w:type="dxa"/>
            </w:tcMar>
            <w:vAlign w:val="center"/>
          </w:tcPr>
          <w:p w14:paraId="5153377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tcBorders>
            <w:shd w:val="clear" w:color="auto" w:fill="000000" w:themeFill="text1"/>
            <w:tcMar>
              <w:top w:w="10" w:type="dxa"/>
              <w:bottom w:w="10" w:type="dxa"/>
            </w:tcMar>
            <w:vAlign w:val="center"/>
          </w:tcPr>
          <w:p w14:paraId="0082BDC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07CB781A" w14:textId="77777777">
        <w:trPr>
          <w:trHeight w:val="20"/>
        </w:trPr>
        <w:tc>
          <w:tcPr>
            <w:tcW w:w="233" w:type="dxa"/>
            <w:tcBorders>
              <w:top w:val="single" w:sz="4" w:space="0" w:color="auto"/>
              <w:left w:val="single" w:sz="4" w:space="0" w:color="auto"/>
            </w:tcBorders>
            <w:tcMar>
              <w:top w:w="10" w:type="dxa"/>
              <w:bottom w:w="10" w:type="dxa"/>
            </w:tcMar>
            <w:vAlign w:val="center"/>
          </w:tcPr>
          <w:p w14:paraId="0FADC3D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1</w:t>
            </w:r>
          </w:p>
        </w:tc>
        <w:tc>
          <w:tcPr>
            <w:tcW w:w="2256" w:type="dxa"/>
            <w:tcBorders>
              <w:top w:val="single" w:sz="4" w:space="0" w:color="auto"/>
              <w:left w:val="single" w:sz="4" w:space="0" w:color="auto"/>
            </w:tcBorders>
            <w:tcMar>
              <w:top w:w="10" w:type="dxa"/>
              <w:bottom w:w="10" w:type="dxa"/>
            </w:tcMar>
            <w:vAlign w:val="center"/>
          </w:tcPr>
          <w:p w14:paraId="183F89EE" w14:textId="77777777" w:rsidR="006561BA" w:rsidRDefault="005B4ED6">
            <w:pPr>
              <w:widowControl w:val="0"/>
              <w:shd w:val="clear" w:color="auto" w:fill="auto"/>
              <w:spacing w:after="0" w:line="240" w:lineRule="auto"/>
              <w:ind w:right="672"/>
              <w:jc w:val="left"/>
              <w:rPr>
                <w:rFonts w:ascii="Helvetica" w:eastAsia="Arial Unicode MS" w:hAnsi="Helvetica" w:cs="Helvetica"/>
                <w:color w:val="000000"/>
                <w:sz w:val="6"/>
                <w:szCs w:val="6"/>
              </w:rPr>
            </w:pPr>
            <w:r>
              <w:rPr>
                <w:rFonts w:ascii="Helvetica" w:hAnsi="Helvetica"/>
                <w:color w:val="212121"/>
                <w:sz w:val="6"/>
              </w:rPr>
              <w:t>Lån og forskudd, gjeldsinstrumenter og egenkapitalinstrumenter som ikke innehas for handelsformål, og som inngår i beregningen av GAR</w:t>
            </w:r>
          </w:p>
        </w:tc>
        <w:tc>
          <w:tcPr>
            <w:tcW w:w="315" w:type="dxa"/>
            <w:tcBorders>
              <w:top w:val="single" w:sz="4" w:space="0" w:color="auto"/>
              <w:left w:val="single" w:sz="4" w:space="0" w:color="auto"/>
            </w:tcBorders>
            <w:tcMar>
              <w:top w:w="10" w:type="dxa"/>
              <w:bottom w:w="10" w:type="dxa"/>
            </w:tcMar>
            <w:vAlign w:val="center"/>
          </w:tcPr>
          <w:p w14:paraId="589B37B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55B5CEF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3AD1F3E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0" w:type="dxa"/>
            <w:tcBorders>
              <w:top w:val="single" w:sz="4" w:space="0" w:color="auto"/>
              <w:left w:val="single" w:sz="4" w:space="0" w:color="auto"/>
            </w:tcBorders>
            <w:tcMar>
              <w:top w:w="10" w:type="dxa"/>
              <w:bottom w:w="10" w:type="dxa"/>
            </w:tcMar>
            <w:vAlign w:val="center"/>
          </w:tcPr>
          <w:p w14:paraId="2387EA9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4" w:type="dxa"/>
            <w:tcBorders>
              <w:top w:val="single" w:sz="4" w:space="0" w:color="auto"/>
              <w:left w:val="single" w:sz="4" w:space="0" w:color="auto"/>
            </w:tcBorders>
            <w:tcMar>
              <w:top w:w="10" w:type="dxa"/>
              <w:bottom w:w="10" w:type="dxa"/>
            </w:tcMar>
            <w:vAlign w:val="center"/>
          </w:tcPr>
          <w:p w14:paraId="3040A49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right w:val="single" w:sz="4" w:space="0" w:color="auto"/>
            </w:tcBorders>
          </w:tcPr>
          <w:p w14:paraId="3AF6EBA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2DBA50D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5FBCEBC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6DAEF62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6C27335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36E8F7A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2271AF4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5" w:type="dxa"/>
            <w:tcBorders>
              <w:top w:val="single" w:sz="4" w:space="0" w:color="auto"/>
              <w:left w:val="single" w:sz="4" w:space="0" w:color="auto"/>
            </w:tcBorders>
            <w:tcMar>
              <w:top w:w="10" w:type="dxa"/>
              <w:bottom w:w="10" w:type="dxa"/>
            </w:tcMar>
            <w:vAlign w:val="center"/>
          </w:tcPr>
          <w:p w14:paraId="7E5E79C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2" w:type="dxa"/>
            <w:tcBorders>
              <w:top w:val="single" w:sz="4" w:space="0" w:color="auto"/>
              <w:left w:val="single" w:sz="4" w:space="0" w:color="auto"/>
            </w:tcBorders>
            <w:tcMar>
              <w:top w:w="10" w:type="dxa"/>
              <w:bottom w:w="10" w:type="dxa"/>
            </w:tcMar>
            <w:vAlign w:val="center"/>
          </w:tcPr>
          <w:p w14:paraId="0971D31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6EBB8AB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2BC68B1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7AD3CD8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7" w:type="dxa"/>
            <w:tcBorders>
              <w:top w:val="single" w:sz="4" w:space="0" w:color="auto"/>
              <w:left w:val="single" w:sz="4" w:space="0" w:color="auto"/>
            </w:tcBorders>
            <w:tcMar>
              <w:top w:w="10" w:type="dxa"/>
              <w:bottom w:w="10" w:type="dxa"/>
            </w:tcMar>
            <w:vAlign w:val="center"/>
          </w:tcPr>
          <w:p w14:paraId="2A8150E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3E0A384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4" w:type="dxa"/>
            <w:tcBorders>
              <w:top w:val="single" w:sz="4" w:space="0" w:color="auto"/>
              <w:left w:val="single" w:sz="4" w:space="0" w:color="auto"/>
            </w:tcBorders>
            <w:tcMar>
              <w:top w:w="10" w:type="dxa"/>
              <w:bottom w:w="10" w:type="dxa"/>
            </w:tcMar>
            <w:vAlign w:val="center"/>
          </w:tcPr>
          <w:p w14:paraId="291E3E7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6" w:type="dxa"/>
            <w:tcBorders>
              <w:top w:val="single" w:sz="4" w:space="0" w:color="auto"/>
              <w:left w:val="single" w:sz="4" w:space="0" w:color="auto"/>
            </w:tcBorders>
            <w:tcMar>
              <w:top w:w="10" w:type="dxa"/>
              <w:bottom w:w="10" w:type="dxa"/>
            </w:tcMar>
            <w:vAlign w:val="center"/>
          </w:tcPr>
          <w:p w14:paraId="084EE49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0" w:type="dxa"/>
            <w:tcBorders>
              <w:top w:val="single" w:sz="4" w:space="0" w:color="auto"/>
              <w:left w:val="single" w:sz="4" w:space="0" w:color="auto"/>
            </w:tcBorders>
            <w:tcMar>
              <w:top w:w="10" w:type="dxa"/>
              <w:bottom w:w="10" w:type="dxa"/>
            </w:tcMar>
            <w:vAlign w:val="center"/>
          </w:tcPr>
          <w:p w14:paraId="55A4901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2539437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0" w:type="dxa"/>
            <w:tcBorders>
              <w:top w:val="single" w:sz="4" w:space="0" w:color="auto"/>
              <w:left w:val="single" w:sz="4" w:space="0" w:color="auto"/>
            </w:tcBorders>
            <w:tcMar>
              <w:top w:w="10" w:type="dxa"/>
              <w:bottom w:w="10" w:type="dxa"/>
            </w:tcMar>
            <w:vAlign w:val="center"/>
          </w:tcPr>
          <w:p w14:paraId="20DCDB2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88" w:type="dxa"/>
            <w:tcBorders>
              <w:top w:val="single" w:sz="4" w:space="0" w:color="auto"/>
              <w:left w:val="single" w:sz="4" w:space="0" w:color="auto"/>
            </w:tcBorders>
            <w:tcMar>
              <w:top w:w="10" w:type="dxa"/>
              <w:bottom w:w="10" w:type="dxa"/>
            </w:tcMar>
            <w:vAlign w:val="center"/>
          </w:tcPr>
          <w:p w14:paraId="53D1561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20E09D2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8" w:type="dxa"/>
            <w:tcBorders>
              <w:top w:val="single" w:sz="4" w:space="0" w:color="auto"/>
              <w:left w:val="single" w:sz="4" w:space="0" w:color="auto"/>
            </w:tcBorders>
            <w:tcMar>
              <w:top w:w="10" w:type="dxa"/>
              <w:bottom w:w="10" w:type="dxa"/>
            </w:tcMar>
            <w:vAlign w:val="center"/>
          </w:tcPr>
          <w:p w14:paraId="63F9B11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96" w:type="dxa"/>
            <w:tcBorders>
              <w:top w:val="single" w:sz="4" w:space="0" w:color="auto"/>
              <w:left w:val="single" w:sz="4" w:space="0" w:color="auto"/>
            </w:tcBorders>
            <w:tcMar>
              <w:top w:w="10" w:type="dxa"/>
              <w:bottom w:w="10" w:type="dxa"/>
            </w:tcMar>
            <w:vAlign w:val="center"/>
          </w:tcPr>
          <w:p w14:paraId="7D0C9E7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56" w:type="dxa"/>
            <w:tcBorders>
              <w:top w:val="single" w:sz="4" w:space="0" w:color="auto"/>
              <w:left w:val="single" w:sz="4" w:space="0" w:color="auto"/>
            </w:tcBorders>
            <w:tcMar>
              <w:top w:w="10" w:type="dxa"/>
              <w:bottom w:w="10" w:type="dxa"/>
            </w:tcMar>
            <w:vAlign w:val="center"/>
          </w:tcPr>
          <w:p w14:paraId="682841E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 w:type="dxa"/>
            <w:tcBorders>
              <w:top w:val="single" w:sz="4" w:space="0" w:color="auto"/>
              <w:left w:val="single" w:sz="4" w:space="0" w:color="auto"/>
            </w:tcBorders>
            <w:tcMar>
              <w:top w:w="10" w:type="dxa"/>
              <w:bottom w:w="10" w:type="dxa"/>
            </w:tcMar>
            <w:vAlign w:val="center"/>
          </w:tcPr>
          <w:p w14:paraId="6B7417F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5FC79C7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1D2B4667" w14:textId="77777777">
        <w:trPr>
          <w:trHeight w:val="20"/>
        </w:trPr>
        <w:tc>
          <w:tcPr>
            <w:tcW w:w="233" w:type="dxa"/>
            <w:tcBorders>
              <w:top w:val="single" w:sz="4" w:space="0" w:color="auto"/>
              <w:left w:val="single" w:sz="4" w:space="0" w:color="auto"/>
            </w:tcBorders>
            <w:tcMar>
              <w:top w:w="10" w:type="dxa"/>
              <w:bottom w:w="10" w:type="dxa"/>
            </w:tcMar>
            <w:vAlign w:val="center"/>
          </w:tcPr>
          <w:p w14:paraId="23CB2742"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2991" w:type="dxa"/>
            <w:gridSpan w:val="3"/>
            <w:tcBorders>
              <w:top w:val="single" w:sz="4" w:space="0" w:color="auto"/>
              <w:left w:val="single" w:sz="4" w:space="0" w:color="auto"/>
            </w:tcBorders>
            <w:tcMar>
              <w:top w:w="10" w:type="dxa"/>
              <w:bottom w:w="10" w:type="dxa"/>
            </w:tcMar>
            <w:vAlign w:val="center"/>
          </w:tcPr>
          <w:p w14:paraId="43ADD017" w14:textId="77777777" w:rsidR="006561BA" w:rsidRDefault="005B4ED6">
            <w:pPr>
              <w:widowControl w:val="0"/>
              <w:shd w:val="clear" w:color="auto" w:fill="auto"/>
              <w:spacing w:after="0" w:line="240" w:lineRule="auto"/>
              <w:ind w:left="80"/>
              <w:jc w:val="left"/>
              <w:rPr>
                <w:rFonts w:ascii="Helvetica" w:eastAsia="Arial Unicode MS" w:hAnsi="Helvetica" w:cs="Helvetica"/>
                <w:b/>
                <w:color w:val="000000"/>
                <w:sz w:val="6"/>
                <w:szCs w:val="6"/>
              </w:rPr>
            </w:pPr>
            <w:r>
              <w:rPr>
                <w:rFonts w:ascii="Helvetica" w:hAnsi="Helvetica"/>
                <w:b/>
                <w:color w:val="000000"/>
                <w:sz w:val="6"/>
              </w:rPr>
              <w:t>Finansforetak</w:t>
            </w:r>
          </w:p>
        </w:tc>
        <w:tc>
          <w:tcPr>
            <w:tcW w:w="420" w:type="dxa"/>
            <w:tcBorders>
              <w:top w:val="single" w:sz="4" w:space="0" w:color="auto"/>
              <w:left w:val="single" w:sz="4" w:space="0" w:color="auto"/>
            </w:tcBorders>
            <w:tcMar>
              <w:top w:w="10" w:type="dxa"/>
              <w:bottom w:w="10" w:type="dxa"/>
            </w:tcMar>
            <w:vAlign w:val="center"/>
          </w:tcPr>
          <w:p w14:paraId="7E14D64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006D260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vAlign w:val="center"/>
          </w:tcPr>
          <w:p w14:paraId="7659ACD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6948B86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25D830C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71D4DDF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0E54677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vAlign w:val="center"/>
          </w:tcPr>
          <w:p w14:paraId="5711D0C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6183B4B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14B7C5F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693167A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vAlign w:val="center"/>
          </w:tcPr>
          <w:p w14:paraId="27620E8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77D3B52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0FDA1CF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3D95402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vAlign w:val="center"/>
          </w:tcPr>
          <w:p w14:paraId="21CB535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1049006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tcBorders>
            <w:tcMar>
              <w:top w:w="10" w:type="dxa"/>
              <w:bottom w:w="10" w:type="dxa"/>
            </w:tcMar>
            <w:vAlign w:val="center"/>
          </w:tcPr>
          <w:p w14:paraId="5BA15A6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58167D0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vAlign w:val="center"/>
          </w:tcPr>
          <w:p w14:paraId="71C784A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0E38F85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tcBorders>
            <w:tcMar>
              <w:top w:w="10" w:type="dxa"/>
              <w:bottom w:w="10" w:type="dxa"/>
            </w:tcMar>
            <w:vAlign w:val="center"/>
          </w:tcPr>
          <w:p w14:paraId="3A9B532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73D1F88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59391CF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7F188D7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6BF8CDD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42FEDFB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right w:val="single" w:sz="4" w:space="0" w:color="auto"/>
            </w:tcBorders>
            <w:tcMar>
              <w:top w:w="10" w:type="dxa"/>
              <w:bottom w:w="10" w:type="dxa"/>
            </w:tcMar>
            <w:vAlign w:val="center"/>
          </w:tcPr>
          <w:p w14:paraId="46D96B7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vAlign w:val="center"/>
          </w:tcPr>
          <w:p w14:paraId="1DFD657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749F46F6" w14:textId="77777777">
        <w:trPr>
          <w:trHeight w:val="20"/>
        </w:trPr>
        <w:tc>
          <w:tcPr>
            <w:tcW w:w="233" w:type="dxa"/>
            <w:tcBorders>
              <w:top w:val="single" w:sz="4" w:space="0" w:color="auto"/>
              <w:left w:val="single" w:sz="4" w:space="0" w:color="auto"/>
            </w:tcBorders>
            <w:tcMar>
              <w:top w:w="10" w:type="dxa"/>
              <w:bottom w:w="10" w:type="dxa"/>
            </w:tcMar>
            <w:vAlign w:val="center"/>
          </w:tcPr>
          <w:p w14:paraId="203896AA" w14:textId="77777777" w:rsidR="006561BA" w:rsidRDefault="006561BA">
            <w:pPr>
              <w:widowControl w:val="0"/>
              <w:shd w:val="clear" w:color="auto" w:fill="auto"/>
              <w:spacing w:after="0" w:line="240" w:lineRule="auto"/>
              <w:jc w:val="center"/>
              <w:rPr>
                <w:rFonts w:ascii="Helvetica" w:eastAsia="Arial Unicode MS" w:hAnsi="Helvetica" w:cs="Helvetica"/>
                <w:color w:val="000000"/>
                <w:sz w:val="6"/>
                <w:szCs w:val="6"/>
                <w:lang w:val="en-US"/>
              </w:rPr>
            </w:pPr>
          </w:p>
        </w:tc>
        <w:tc>
          <w:tcPr>
            <w:tcW w:w="2256" w:type="dxa"/>
            <w:tcBorders>
              <w:top w:val="single" w:sz="4" w:space="0" w:color="auto"/>
              <w:left w:val="single" w:sz="4" w:space="0" w:color="auto"/>
            </w:tcBorders>
            <w:tcMar>
              <w:top w:w="10" w:type="dxa"/>
              <w:bottom w:w="10" w:type="dxa"/>
            </w:tcMar>
            <w:vAlign w:val="center"/>
          </w:tcPr>
          <w:p w14:paraId="35F8C8E8" w14:textId="77777777" w:rsidR="006561BA" w:rsidRDefault="005B4ED6">
            <w:pPr>
              <w:widowControl w:val="0"/>
              <w:shd w:val="clear" w:color="auto" w:fill="auto"/>
              <w:spacing w:after="0" w:line="240" w:lineRule="auto"/>
              <w:ind w:left="116"/>
              <w:jc w:val="left"/>
              <w:rPr>
                <w:rFonts w:ascii="Helvetica" w:eastAsia="Arial Unicode MS" w:hAnsi="Helvetica" w:cs="Helvetica"/>
                <w:color w:val="000000"/>
                <w:sz w:val="6"/>
                <w:szCs w:val="6"/>
              </w:rPr>
            </w:pPr>
            <w:r w:rsidRPr="008B562F">
              <w:rPr>
                <w:rFonts w:ascii="Helvetica" w:hAnsi="Helvetica"/>
                <w:color w:val="auto"/>
                <w:sz w:val="6"/>
              </w:rPr>
              <w:t>Kredittinstitusjoner</w:t>
            </w:r>
          </w:p>
        </w:tc>
        <w:tc>
          <w:tcPr>
            <w:tcW w:w="315" w:type="dxa"/>
            <w:tcBorders>
              <w:top w:val="single" w:sz="4" w:space="0" w:color="auto"/>
              <w:left w:val="single" w:sz="4" w:space="0" w:color="auto"/>
            </w:tcBorders>
            <w:tcMar>
              <w:top w:w="10" w:type="dxa"/>
              <w:bottom w:w="10" w:type="dxa"/>
            </w:tcMar>
            <w:vAlign w:val="center"/>
          </w:tcPr>
          <w:p w14:paraId="24403B4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4F2E17A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364F841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238A64C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0F4A0A8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2681BE4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5A6D3AE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2B788D1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4AC9DD3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3D3928E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54E210A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7FA603D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1EEDAD1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1F16138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2CF75F5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29120CF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348715B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3D593F7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23E36E6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tcBorders>
            <w:tcMar>
              <w:top w:w="10" w:type="dxa"/>
              <w:bottom w:w="10" w:type="dxa"/>
            </w:tcMar>
            <w:vAlign w:val="center"/>
          </w:tcPr>
          <w:p w14:paraId="670E25A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24C83EA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3118809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1409ADE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tcBorders>
            <w:tcMar>
              <w:top w:w="10" w:type="dxa"/>
              <w:bottom w:w="10" w:type="dxa"/>
            </w:tcMar>
            <w:vAlign w:val="center"/>
          </w:tcPr>
          <w:p w14:paraId="5260F4E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6C9FD2B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4A63113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559946D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7440C08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73282F3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67A79E1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24693EE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47C9D051" w14:textId="77777777">
        <w:trPr>
          <w:trHeight w:val="20"/>
        </w:trPr>
        <w:tc>
          <w:tcPr>
            <w:tcW w:w="233" w:type="dxa"/>
            <w:tcBorders>
              <w:top w:val="single" w:sz="4" w:space="0" w:color="auto"/>
              <w:left w:val="single" w:sz="4" w:space="0" w:color="auto"/>
            </w:tcBorders>
            <w:tcMar>
              <w:top w:w="10" w:type="dxa"/>
              <w:bottom w:w="10" w:type="dxa"/>
            </w:tcMar>
            <w:vAlign w:val="center"/>
          </w:tcPr>
          <w:p w14:paraId="1D722ECD" w14:textId="77777777" w:rsidR="006561BA" w:rsidRDefault="006561BA">
            <w:pPr>
              <w:widowControl w:val="0"/>
              <w:shd w:val="clear" w:color="auto" w:fill="auto"/>
              <w:spacing w:after="0" w:line="240" w:lineRule="auto"/>
              <w:jc w:val="center"/>
              <w:rPr>
                <w:rFonts w:ascii="Helvetica" w:eastAsia="Arial Unicode MS" w:hAnsi="Helvetica" w:cs="Helvetica"/>
                <w:color w:val="000000"/>
                <w:sz w:val="6"/>
                <w:szCs w:val="6"/>
                <w:lang w:val="en-US"/>
              </w:rPr>
            </w:pPr>
          </w:p>
        </w:tc>
        <w:tc>
          <w:tcPr>
            <w:tcW w:w="2256" w:type="dxa"/>
            <w:tcBorders>
              <w:top w:val="single" w:sz="4" w:space="0" w:color="auto"/>
              <w:left w:val="single" w:sz="4" w:space="0" w:color="auto"/>
            </w:tcBorders>
            <w:tcMar>
              <w:top w:w="10" w:type="dxa"/>
              <w:bottom w:w="10" w:type="dxa"/>
            </w:tcMar>
            <w:vAlign w:val="center"/>
          </w:tcPr>
          <w:p w14:paraId="407A2372" w14:textId="77777777" w:rsidR="006561BA" w:rsidRDefault="005B4ED6">
            <w:pPr>
              <w:widowControl w:val="0"/>
              <w:shd w:val="clear" w:color="auto" w:fill="auto"/>
              <w:spacing w:after="0" w:line="240" w:lineRule="auto"/>
              <w:ind w:left="164"/>
              <w:jc w:val="left"/>
              <w:rPr>
                <w:rFonts w:ascii="Helvetica" w:eastAsia="Arial Unicode MS" w:hAnsi="Helvetica" w:cs="Helvetica"/>
                <w:color w:val="000000"/>
                <w:sz w:val="6"/>
                <w:szCs w:val="6"/>
              </w:rPr>
            </w:pPr>
            <w:r>
              <w:rPr>
                <w:rFonts w:ascii="Helvetica" w:hAnsi="Helvetica"/>
                <w:color w:val="212121"/>
                <w:sz w:val="6"/>
              </w:rPr>
              <w:t>Lån og forskudd</w:t>
            </w:r>
          </w:p>
        </w:tc>
        <w:tc>
          <w:tcPr>
            <w:tcW w:w="315" w:type="dxa"/>
            <w:tcBorders>
              <w:top w:val="single" w:sz="4" w:space="0" w:color="auto"/>
              <w:left w:val="single" w:sz="4" w:space="0" w:color="auto"/>
            </w:tcBorders>
            <w:tcMar>
              <w:top w:w="10" w:type="dxa"/>
              <w:bottom w:w="10" w:type="dxa"/>
            </w:tcMar>
            <w:vAlign w:val="center"/>
          </w:tcPr>
          <w:p w14:paraId="28AEB65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5196E17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2455016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6C239E7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2D83111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1833CC3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162E358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05C8EDF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085ECA3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3781835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7E9974A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601C294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3367FB6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3723A4B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6D739AB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0704015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3FB4B8A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131BD7A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2E2CC90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tcBorders>
            <w:tcMar>
              <w:top w:w="10" w:type="dxa"/>
              <w:bottom w:w="10" w:type="dxa"/>
            </w:tcMar>
            <w:vAlign w:val="center"/>
          </w:tcPr>
          <w:p w14:paraId="0728131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277035A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16C68C7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5A07EB2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tcBorders>
            <w:tcMar>
              <w:top w:w="10" w:type="dxa"/>
              <w:bottom w:w="10" w:type="dxa"/>
            </w:tcMar>
            <w:vAlign w:val="center"/>
          </w:tcPr>
          <w:p w14:paraId="7CD41D6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70794FD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78F8A6F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762A7D6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5719449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7F681D0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582F8CA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3333081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209F0582" w14:textId="77777777">
        <w:trPr>
          <w:trHeight w:val="20"/>
        </w:trPr>
        <w:tc>
          <w:tcPr>
            <w:tcW w:w="233" w:type="dxa"/>
            <w:tcBorders>
              <w:top w:val="single" w:sz="4" w:space="0" w:color="auto"/>
              <w:left w:val="single" w:sz="4" w:space="0" w:color="auto"/>
            </w:tcBorders>
            <w:tcMar>
              <w:top w:w="10" w:type="dxa"/>
              <w:bottom w:w="10" w:type="dxa"/>
            </w:tcMar>
            <w:vAlign w:val="center"/>
          </w:tcPr>
          <w:p w14:paraId="2449803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5</w:t>
            </w:r>
          </w:p>
        </w:tc>
        <w:tc>
          <w:tcPr>
            <w:tcW w:w="2256" w:type="dxa"/>
            <w:tcBorders>
              <w:top w:val="single" w:sz="4" w:space="0" w:color="auto"/>
              <w:left w:val="single" w:sz="4" w:space="0" w:color="auto"/>
            </w:tcBorders>
            <w:tcMar>
              <w:top w:w="10" w:type="dxa"/>
              <w:bottom w:w="10" w:type="dxa"/>
            </w:tcMar>
            <w:vAlign w:val="center"/>
          </w:tcPr>
          <w:p w14:paraId="32C911E1" w14:textId="77777777" w:rsidR="006561BA" w:rsidRDefault="005B4ED6">
            <w:pPr>
              <w:widowControl w:val="0"/>
              <w:shd w:val="clear" w:color="auto" w:fill="auto"/>
              <w:spacing w:after="0" w:line="240" w:lineRule="auto"/>
              <w:ind w:left="164"/>
              <w:jc w:val="left"/>
              <w:rPr>
                <w:rFonts w:ascii="Helvetica" w:eastAsia="Arial Unicode MS" w:hAnsi="Helvetica" w:cs="Helvetica"/>
                <w:color w:val="000000"/>
                <w:sz w:val="6"/>
                <w:szCs w:val="6"/>
              </w:rPr>
            </w:pPr>
            <w:r>
              <w:rPr>
                <w:rFonts w:ascii="Helvetica" w:hAnsi="Helvetica"/>
                <w:color w:val="212121"/>
                <w:sz w:val="6"/>
              </w:rPr>
              <w:t>Gjeldsinstrumenter, herunder bruk av proveny</w:t>
            </w:r>
          </w:p>
        </w:tc>
        <w:tc>
          <w:tcPr>
            <w:tcW w:w="315" w:type="dxa"/>
            <w:tcBorders>
              <w:top w:val="single" w:sz="4" w:space="0" w:color="auto"/>
              <w:left w:val="single" w:sz="4" w:space="0" w:color="auto"/>
            </w:tcBorders>
            <w:tcMar>
              <w:top w:w="10" w:type="dxa"/>
              <w:bottom w:w="10" w:type="dxa"/>
            </w:tcMar>
            <w:vAlign w:val="center"/>
          </w:tcPr>
          <w:p w14:paraId="66BFB24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63279AA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01649D0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0" w:type="dxa"/>
            <w:tcBorders>
              <w:top w:val="single" w:sz="4" w:space="0" w:color="auto"/>
              <w:left w:val="single" w:sz="4" w:space="0" w:color="auto"/>
            </w:tcBorders>
            <w:tcMar>
              <w:top w:w="10" w:type="dxa"/>
              <w:bottom w:w="10" w:type="dxa"/>
            </w:tcMar>
            <w:vAlign w:val="center"/>
          </w:tcPr>
          <w:p w14:paraId="0BE8333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4" w:type="dxa"/>
            <w:tcBorders>
              <w:top w:val="single" w:sz="4" w:space="0" w:color="auto"/>
              <w:left w:val="single" w:sz="4" w:space="0" w:color="auto"/>
            </w:tcBorders>
            <w:tcMar>
              <w:top w:w="10" w:type="dxa"/>
              <w:bottom w:w="10" w:type="dxa"/>
            </w:tcMar>
            <w:vAlign w:val="center"/>
          </w:tcPr>
          <w:p w14:paraId="6602790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right w:val="single" w:sz="4" w:space="0" w:color="auto"/>
            </w:tcBorders>
          </w:tcPr>
          <w:p w14:paraId="07E942D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1AB7077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7AA6C27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6A7E2AD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053E402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40305EB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1AAEECC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5" w:type="dxa"/>
            <w:tcBorders>
              <w:top w:val="single" w:sz="4" w:space="0" w:color="auto"/>
              <w:left w:val="single" w:sz="4" w:space="0" w:color="auto"/>
            </w:tcBorders>
            <w:tcMar>
              <w:top w:w="10" w:type="dxa"/>
              <w:bottom w:w="10" w:type="dxa"/>
            </w:tcMar>
            <w:vAlign w:val="center"/>
          </w:tcPr>
          <w:p w14:paraId="43BD39C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2" w:type="dxa"/>
            <w:tcBorders>
              <w:top w:val="single" w:sz="4" w:space="0" w:color="auto"/>
              <w:left w:val="single" w:sz="4" w:space="0" w:color="auto"/>
            </w:tcBorders>
            <w:tcMar>
              <w:top w:w="10" w:type="dxa"/>
              <w:bottom w:w="10" w:type="dxa"/>
            </w:tcMar>
            <w:vAlign w:val="center"/>
          </w:tcPr>
          <w:p w14:paraId="4D5F1BD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54BC64B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5A71B21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56CA6A8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7" w:type="dxa"/>
            <w:tcBorders>
              <w:top w:val="single" w:sz="4" w:space="0" w:color="auto"/>
              <w:left w:val="single" w:sz="4" w:space="0" w:color="auto"/>
            </w:tcBorders>
            <w:tcMar>
              <w:top w:w="10" w:type="dxa"/>
              <w:bottom w:w="10" w:type="dxa"/>
            </w:tcMar>
            <w:vAlign w:val="center"/>
          </w:tcPr>
          <w:p w14:paraId="2E66C4F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37A0245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4" w:type="dxa"/>
            <w:tcBorders>
              <w:top w:val="single" w:sz="4" w:space="0" w:color="auto"/>
              <w:left w:val="single" w:sz="4" w:space="0" w:color="auto"/>
            </w:tcBorders>
            <w:tcMar>
              <w:top w:w="10" w:type="dxa"/>
              <w:bottom w:w="10" w:type="dxa"/>
            </w:tcMar>
            <w:vAlign w:val="center"/>
          </w:tcPr>
          <w:p w14:paraId="159EA57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6" w:type="dxa"/>
            <w:tcBorders>
              <w:top w:val="single" w:sz="4" w:space="0" w:color="auto"/>
              <w:left w:val="single" w:sz="4" w:space="0" w:color="auto"/>
            </w:tcBorders>
            <w:tcMar>
              <w:top w:w="10" w:type="dxa"/>
              <w:bottom w:w="10" w:type="dxa"/>
            </w:tcMar>
            <w:vAlign w:val="center"/>
          </w:tcPr>
          <w:p w14:paraId="023EEF9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0" w:type="dxa"/>
            <w:tcBorders>
              <w:top w:val="single" w:sz="4" w:space="0" w:color="auto"/>
              <w:left w:val="single" w:sz="4" w:space="0" w:color="auto"/>
            </w:tcBorders>
            <w:tcMar>
              <w:top w:w="10" w:type="dxa"/>
              <w:bottom w:w="10" w:type="dxa"/>
            </w:tcMar>
            <w:vAlign w:val="center"/>
          </w:tcPr>
          <w:p w14:paraId="43797AF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2670630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0" w:type="dxa"/>
            <w:tcBorders>
              <w:top w:val="single" w:sz="4" w:space="0" w:color="auto"/>
              <w:left w:val="single" w:sz="4" w:space="0" w:color="auto"/>
            </w:tcBorders>
            <w:tcMar>
              <w:top w:w="10" w:type="dxa"/>
              <w:bottom w:w="10" w:type="dxa"/>
            </w:tcMar>
            <w:vAlign w:val="center"/>
          </w:tcPr>
          <w:p w14:paraId="4092EA1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88" w:type="dxa"/>
            <w:tcBorders>
              <w:top w:val="single" w:sz="4" w:space="0" w:color="auto"/>
              <w:left w:val="single" w:sz="4" w:space="0" w:color="auto"/>
            </w:tcBorders>
            <w:tcMar>
              <w:top w:w="10" w:type="dxa"/>
              <w:bottom w:w="10" w:type="dxa"/>
            </w:tcMar>
            <w:vAlign w:val="center"/>
          </w:tcPr>
          <w:p w14:paraId="5F2B4E3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1B63A5D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8" w:type="dxa"/>
            <w:tcBorders>
              <w:top w:val="single" w:sz="4" w:space="0" w:color="auto"/>
              <w:left w:val="single" w:sz="4" w:space="0" w:color="auto"/>
            </w:tcBorders>
            <w:tcMar>
              <w:top w:w="10" w:type="dxa"/>
              <w:bottom w:w="10" w:type="dxa"/>
            </w:tcMar>
            <w:vAlign w:val="center"/>
          </w:tcPr>
          <w:p w14:paraId="58DDDC2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96" w:type="dxa"/>
            <w:tcBorders>
              <w:top w:val="single" w:sz="4" w:space="0" w:color="auto"/>
              <w:left w:val="single" w:sz="4" w:space="0" w:color="auto"/>
            </w:tcBorders>
            <w:tcMar>
              <w:top w:w="10" w:type="dxa"/>
              <w:bottom w:w="10" w:type="dxa"/>
            </w:tcMar>
            <w:vAlign w:val="center"/>
          </w:tcPr>
          <w:p w14:paraId="5252D29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56" w:type="dxa"/>
            <w:tcBorders>
              <w:top w:val="single" w:sz="4" w:space="0" w:color="auto"/>
              <w:left w:val="single" w:sz="4" w:space="0" w:color="auto"/>
            </w:tcBorders>
            <w:tcMar>
              <w:top w:w="10" w:type="dxa"/>
              <w:bottom w:w="10" w:type="dxa"/>
            </w:tcMar>
            <w:vAlign w:val="center"/>
          </w:tcPr>
          <w:p w14:paraId="4E65438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 w:type="dxa"/>
            <w:tcBorders>
              <w:top w:val="single" w:sz="4" w:space="0" w:color="auto"/>
              <w:left w:val="single" w:sz="4" w:space="0" w:color="auto"/>
            </w:tcBorders>
            <w:tcMar>
              <w:top w:w="10" w:type="dxa"/>
              <w:bottom w:w="10" w:type="dxa"/>
            </w:tcMar>
            <w:vAlign w:val="center"/>
          </w:tcPr>
          <w:p w14:paraId="1DDC114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1E904B2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6CB12E6B" w14:textId="77777777">
        <w:trPr>
          <w:trHeight w:val="20"/>
        </w:trPr>
        <w:tc>
          <w:tcPr>
            <w:tcW w:w="233" w:type="dxa"/>
            <w:tcBorders>
              <w:top w:val="single" w:sz="4" w:space="0" w:color="auto"/>
              <w:left w:val="single" w:sz="4" w:space="0" w:color="auto"/>
            </w:tcBorders>
            <w:tcMar>
              <w:top w:w="10" w:type="dxa"/>
              <w:bottom w:w="10" w:type="dxa"/>
            </w:tcMar>
            <w:vAlign w:val="center"/>
          </w:tcPr>
          <w:p w14:paraId="0FA321D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6</w:t>
            </w:r>
          </w:p>
        </w:tc>
        <w:tc>
          <w:tcPr>
            <w:tcW w:w="2256" w:type="dxa"/>
            <w:tcBorders>
              <w:top w:val="single" w:sz="4" w:space="0" w:color="auto"/>
              <w:left w:val="single" w:sz="4" w:space="0" w:color="auto"/>
            </w:tcBorders>
            <w:tcMar>
              <w:top w:w="10" w:type="dxa"/>
              <w:bottom w:w="10" w:type="dxa"/>
            </w:tcMar>
            <w:vAlign w:val="center"/>
          </w:tcPr>
          <w:p w14:paraId="00573318" w14:textId="77777777" w:rsidR="006561BA" w:rsidRDefault="005B4ED6">
            <w:pPr>
              <w:widowControl w:val="0"/>
              <w:shd w:val="clear" w:color="auto" w:fill="auto"/>
              <w:spacing w:after="0" w:line="240" w:lineRule="auto"/>
              <w:ind w:left="164"/>
              <w:jc w:val="left"/>
              <w:rPr>
                <w:rFonts w:ascii="Helvetica" w:eastAsia="Arial Unicode MS" w:hAnsi="Helvetica" w:cs="Helvetica"/>
                <w:color w:val="000000"/>
                <w:sz w:val="6"/>
                <w:szCs w:val="6"/>
              </w:rPr>
            </w:pPr>
            <w:r>
              <w:rPr>
                <w:rFonts w:ascii="Helvetica" w:hAnsi="Helvetica"/>
                <w:color w:val="212121"/>
                <w:sz w:val="6"/>
              </w:rPr>
              <w:t>Egenkapitalinstrumenter</w:t>
            </w:r>
          </w:p>
        </w:tc>
        <w:tc>
          <w:tcPr>
            <w:tcW w:w="315" w:type="dxa"/>
            <w:tcBorders>
              <w:top w:val="single" w:sz="4" w:space="0" w:color="auto"/>
              <w:left w:val="single" w:sz="4" w:space="0" w:color="auto"/>
            </w:tcBorders>
            <w:tcMar>
              <w:top w:w="10" w:type="dxa"/>
              <w:bottom w:w="10" w:type="dxa"/>
            </w:tcMar>
            <w:vAlign w:val="center"/>
          </w:tcPr>
          <w:p w14:paraId="2C4FD35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0D6BB69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left w:val="single" w:sz="4" w:space="0" w:color="auto"/>
            </w:tcBorders>
            <w:shd w:val="clear" w:color="auto" w:fill="000000" w:themeFill="text1"/>
            <w:tcMar>
              <w:top w:w="10" w:type="dxa"/>
              <w:bottom w:w="10" w:type="dxa"/>
            </w:tcMar>
            <w:vAlign w:val="center"/>
          </w:tcPr>
          <w:p w14:paraId="78482B4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03B1F32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5CC9F26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4A659EC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3789231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shd w:val="clear" w:color="auto" w:fill="000000" w:themeFill="text1"/>
          </w:tcPr>
          <w:p w14:paraId="231316C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2E5E5ED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7569F41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7CC5EBD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shd w:val="clear" w:color="auto" w:fill="000000" w:themeFill="text1"/>
            <w:tcMar>
              <w:top w:w="10" w:type="dxa"/>
              <w:bottom w:w="10" w:type="dxa"/>
            </w:tcMar>
            <w:vAlign w:val="center"/>
          </w:tcPr>
          <w:p w14:paraId="4FF5C76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22EFF06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69E71A9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61F3743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shd w:val="clear" w:color="auto" w:fill="000000" w:themeFill="text1"/>
            <w:tcMar>
              <w:top w:w="10" w:type="dxa"/>
              <w:bottom w:w="10" w:type="dxa"/>
            </w:tcMar>
            <w:vAlign w:val="center"/>
          </w:tcPr>
          <w:p w14:paraId="53BE0A4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3C9DAE7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083A250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39AB60A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left w:val="single" w:sz="4" w:space="0" w:color="auto"/>
            </w:tcBorders>
            <w:shd w:val="clear" w:color="auto" w:fill="000000" w:themeFill="text1"/>
            <w:tcMar>
              <w:top w:w="10" w:type="dxa"/>
              <w:bottom w:w="10" w:type="dxa"/>
            </w:tcMar>
            <w:vAlign w:val="center"/>
          </w:tcPr>
          <w:p w14:paraId="7EA88C3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2318CD4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098759B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288A455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left w:val="single" w:sz="4" w:space="0" w:color="auto"/>
            </w:tcBorders>
            <w:shd w:val="clear" w:color="auto" w:fill="000000" w:themeFill="text1"/>
            <w:tcMar>
              <w:top w:w="10" w:type="dxa"/>
              <w:bottom w:w="10" w:type="dxa"/>
            </w:tcMar>
            <w:vAlign w:val="center"/>
          </w:tcPr>
          <w:p w14:paraId="5B92A50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23D1942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3A2E304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18FEFAE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left w:val="single" w:sz="4" w:space="0" w:color="auto"/>
            </w:tcBorders>
            <w:shd w:val="clear" w:color="auto" w:fill="000000" w:themeFill="text1"/>
            <w:tcMar>
              <w:top w:w="10" w:type="dxa"/>
              <w:bottom w:w="10" w:type="dxa"/>
            </w:tcMar>
            <w:vAlign w:val="center"/>
          </w:tcPr>
          <w:p w14:paraId="08EBFAA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5FFAF1B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3917E3A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6485664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0CB3ED9C" w14:textId="77777777">
        <w:trPr>
          <w:trHeight w:val="20"/>
        </w:trPr>
        <w:tc>
          <w:tcPr>
            <w:tcW w:w="233" w:type="dxa"/>
            <w:tcBorders>
              <w:top w:val="single" w:sz="4" w:space="0" w:color="auto"/>
              <w:left w:val="single" w:sz="4" w:space="0" w:color="auto"/>
            </w:tcBorders>
            <w:tcMar>
              <w:top w:w="10" w:type="dxa"/>
              <w:bottom w:w="10" w:type="dxa"/>
            </w:tcMar>
            <w:vAlign w:val="center"/>
          </w:tcPr>
          <w:p w14:paraId="644EB867" w14:textId="77777777" w:rsidR="006561BA" w:rsidRDefault="006561BA">
            <w:pPr>
              <w:widowControl w:val="0"/>
              <w:shd w:val="clear" w:color="auto" w:fill="auto"/>
              <w:spacing w:after="0" w:line="240" w:lineRule="auto"/>
              <w:jc w:val="center"/>
              <w:rPr>
                <w:rFonts w:ascii="Helvetica" w:eastAsia="Arial Unicode MS" w:hAnsi="Helvetica" w:cs="Helvetica"/>
                <w:color w:val="000000"/>
                <w:sz w:val="6"/>
                <w:szCs w:val="6"/>
                <w:lang w:val="en-US"/>
              </w:rPr>
            </w:pPr>
          </w:p>
        </w:tc>
        <w:tc>
          <w:tcPr>
            <w:tcW w:w="2256" w:type="dxa"/>
            <w:tcBorders>
              <w:top w:val="single" w:sz="4" w:space="0" w:color="auto"/>
              <w:left w:val="single" w:sz="4" w:space="0" w:color="auto"/>
            </w:tcBorders>
            <w:tcMar>
              <w:top w:w="10" w:type="dxa"/>
              <w:bottom w:w="10" w:type="dxa"/>
            </w:tcMar>
            <w:vAlign w:val="center"/>
          </w:tcPr>
          <w:p w14:paraId="3B05393C" w14:textId="77777777" w:rsidR="006561BA" w:rsidRDefault="005B4ED6">
            <w:pPr>
              <w:widowControl w:val="0"/>
              <w:shd w:val="clear" w:color="auto" w:fill="auto"/>
              <w:spacing w:after="0" w:line="240" w:lineRule="auto"/>
              <w:ind w:left="116"/>
              <w:jc w:val="left"/>
              <w:rPr>
                <w:rFonts w:ascii="Helvetica" w:eastAsia="Arial Unicode MS" w:hAnsi="Helvetica" w:cs="Helvetica"/>
                <w:color w:val="000000"/>
                <w:sz w:val="6"/>
                <w:szCs w:val="6"/>
              </w:rPr>
            </w:pPr>
            <w:r>
              <w:rPr>
                <w:rFonts w:ascii="Helvetica" w:hAnsi="Helvetica"/>
                <w:color w:val="212121"/>
                <w:sz w:val="6"/>
              </w:rPr>
              <w:t>Andre finansielle foretak</w:t>
            </w:r>
          </w:p>
        </w:tc>
        <w:tc>
          <w:tcPr>
            <w:tcW w:w="315" w:type="dxa"/>
            <w:tcBorders>
              <w:top w:val="single" w:sz="4" w:space="0" w:color="auto"/>
              <w:left w:val="single" w:sz="4" w:space="0" w:color="auto"/>
            </w:tcBorders>
            <w:tcMar>
              <w:top w:w="10" w:type="dxa"/>
              <w:bottom w:w="10" w:type="dxa"/>
            </w:tcMar>
            <w:vAlign w:val="center"/>
          </w:tcPr>
          <w:p w14:paraId="5271894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68ABC0B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left w:val="single" w:sz="4" w:space="0" w:color="auto"/>
            </w:tcBorders>
            <w:tcMar>
              <w:top w:w="10" w:type="dxa"/>
              <w:bottom w:w="10" w:type="dxa"/>
            </w:tcMar>
            <w:vAlign w:val="center"/>
          </w:tcPr>
          <w:p w14:paraId="200CB2C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223339A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2237D92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5393191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4D376D3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62659E3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6F745A0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5DAED6D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17760D7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tcMar>
              <w:top w:w="10" w:type="dxa"/>
              <w:bottom w:w="10" w:type="dxa"/>
            </w:tcMar>
            <w:vAlign w:val="center"/>
          </w:tcPr>
          <w:p w14:paraId="26F0648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6F4C788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63B816A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2849CF3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tcMar>
              <w:top w:w="10" w:type="dxa"/>
              <w:bottom w:w="10" w:type="dxa"/>
            </w:tcMar>
            <w:vAlign w:val="center"/>
          </w:tcPr>
          <w:p w14:paraId="329F8D4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2DFBD94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31CA3AC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363DA58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left w:val="single" w:sz="4" w:space="0" w:color="auto"/>
            </w:tcBorders>
            <w:tcMar>
              <w:top w:w="10" w:type="dxa"/>
              <w:bottom w:w="10" w:type="dxa"/>
            </w:tcMar>
            <w:vAlign w:val="center"/>
          </w:tcPr>
          <w:p w14:paraId="76051A7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3CD4436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362BBFD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476B254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left w:val="single" w:sz="4" w:space="0" w:color="auto"/>
            </w:tcBorders>
            <w:tcMar>
              <w:top w:w="10" w:type="dxa"/>
              <w:bottom w:w="10" w:type="dxa"/>
            </w:tcMar>
            <w:vAlign w:val="center"/>
          </w:tcPr>
          <w:p w14:paraId="7482A30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52B6571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38388CF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6C839CC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left w:val="single" w:sz="4" w:space="0" w:color="auto"/>
            </w:tcBorders>
            <w:tcMar>
              <w:top w:w="10" w:type="dxa"/>
              <w:bottom w:w="10" w:type="dxa"/>
            </w:tcMar>
            <w:vAlign w:val="center"/>
          </w:tcPr>
          <w:p w14:paraId="1021F34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017ED02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7904F89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4EC23D3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0AE37571" w14:textId="77777777">
        <w:trPr>
          <w:trHeight w:val="20"/>
        </w:trPr>
        <w:tc>
          <w:tcPr>
            <w:tcW w:w="233" w:type="dxa"/>
            <w:tcBorders>
              <w:top w:val="single" w:sz="4" w:space="0" w:color="auto"/>
              <w:left w:val="single" w:sz="4" w:space="0" w:color="auto"/>
            </w:tcBorders>
            <w:tcMar>
              <w:top w:w="10" w:type="dxa"/>
              <w:bottom w:w="10" w:type="dxa"/>
            </w:tcMar>
            <w:vAlign w:val="center"/>
          </w:tcPr>
          <w:p w14:paraId="6DAF1FB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8</w:t>
            </w:r>
          </w:p>
        </w:tc>
        <w:tc>
          <w:tcPr>
            <w:tcW w:w="2256" w:type="dxa"/>
            <w:tcBorders>
              <w:top w:val="single" w:sz="4" w:space="0" w:color="auto"/>
              <w:left w:val="single" w:sz="4" w:space="0" w:color="auto"/>
            </w:tcBorders>
            <w:tcMar>
              <w:top w:w="10" w:type="dxa"/>
              <w:bottom w:w="10" w:type="dxa"/>
            </w:tcMar>
            <w:vAlign w:val="center"/>
          </w:tcPr>
          <w:p w14:paraId="726153A0" w14:textId="77777777" w:rsidR="006561BA" w:rsidRDefault="005B4ED6">
            <w:pPr>
              <w:widowControl w:val="0"/>
              <w:shd w:val="clear" w:color="auto" w:fill="auto"/>
              <w:spacing w:after="0" w:line="240" w:lineRule="auto"/>
              <w:ind w:left="164"/>
              <w:jc w:val="left"/>
              <w:rPr>
                <w:rFonts w:ascii="Helvetica" w:eastAsia="Arial Unicode MS" w:hAnsi="Helvetica" w:cs="Helvetica"/>
                <w:color w:val="000000"/>
                <w:sz w:val="6"/>
                <w:szCs w:val="6"/>
              </w:rPr>
            </w:pPr>
            <w:r>
              <w:rPr>
                <w:rFonts w:ascii="Helvetica" w:hAnsi="Helvetica"/>
                <w:color w:val="212121"/>
                <w:sz w:val="6"/>
              </w:rPr>
              <w:t>hvorav verdipapirforetak</w:t>
            </w:r>
          </w:p>
        </w:tc>
        <w:tc>
          <w:tcPr>
            <w:tcW w:w="315" w:type="dxa"/>
            <w:tcBorders>
              <w:top w:val="single" w:sz="4" w:space="0" w:color="auto"/>
              <w:left w:val="single" w:sz="4" w:space="0" w:color="auto"/>
            </w:tcBorders>
            <w:tcMar>
              <w:top w:w="10" w:type="dxa"/>
              <w:bottom w:w="10" w:type="dxa"/>
            </w:tcMar>
            <w:vAlign w:val="center"/>
          </w:tcPr>
          <w:p w14:paraId="1AD2035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05D798F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3B15276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35969B0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6DC61CE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644ECC9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3E0A8EA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360F441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02B3A1F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4058328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129743A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500C448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01ACB79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5A0D0F6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4215991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519E3B8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3E5E8AC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4BFEBAE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0654014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tcBorders>
            <w:tcMar>
              <w:top w:w="10" w:type="dxa"/>
              <w:bottom w:w="10" w:type="dxa"/>
            </w:tcMar>
            <w:vAlign w:val="center"/>
          </w:tcPr>
          <w:p w14:paraId="5FC131A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119B4E2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0E1210A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6614978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tcBorders>
            <w:tcMar>
              <w:top w:w="10" w:type="dxa"/>
              <w:bottom w:w="10" w:type="dxa"/>
            </w:tcMar>
            <w:vAlign w:val="center"/>
          </w:tcPr>
          <w:p w14:paraId="3F05E1D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5FB6FAF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09C665C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1B3AE51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3D73C23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1CEE21B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7690B86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2900485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1C82242A" w14:textId="77777777">
        <w:trPr>
          <w:trHeight w:val="20"/>
        </w:trPr>
        <w:tc>
          <w:tcPr>
            <w:tcW w:w="233" w:type="dxa"/>
            <w:tcBorders>
              <w:top w:val="single" w:sz="4" w:space="0" w:color="auto"/>
              <w:left w:val="single" w:sz="4" w:space="0" w:color="auto"/>
            </w:tcBorders>
            <w:tcMar>
              <w:top w:w="10" w:type="dxa"/>
              <w:bottom w:w="10" w:type="dxa"/>
            </w:tcMar>
            <w:vAlign w:val="center"/>
          </w:tcPr>
          <w:p w14:paraId="531D28F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9</w:t>
            </w:r>
          </w:p>
        </w:tc>
        <w:tc>
          <w:tcPr>
            <w:tcW w:w="2256" w:type="dxa"/>
            <w:tcBorders>
              <w:top w:val="single" w:sz="4" w:space="0" w:color="auto"/>
              <w:left w:val="single" w:sz="4" w:space="0" w:color="auto"/>
            </w:tcBorders>
            <w:tcMar>
              <w:top w:w="10" w:type="dxa"/>
              <w:bottom w:w="10" w:type="dxa"/>
            </w:tcMar>
            <w:vAlign w:val="center"/>
          </w:tcPr>
          <w:p w14:paraId="20BA9A47" w14:textId="77777777" w:rsidR="006561BA" w:rsidRDefault="005B4ED6">
            <w:pPr>
              <w:widowControl w:val="0"/>
              <w:shd w:val="clear" w:color="auto" w:fill="auto"/>
              <w:spacing w:after="0" w:line="240" w:lineRule="auto"/>
              <w:ind w:left="200"/>
              <w:jc w:val="left"/>
              <w:rPr>
                <w:rFonts w:ascii="Helvetica" w:eastAsia="Arial Unicode MS" w:hAnsi="Helvetica" w:cs="Helvetica"/>
                <w:color w:val="000000"/>
                <w:sz w:val="6"/>
                <w:szCs w:val="6"/>
              </w:rPr>
            </w:pPr>
            <w:r>
              <w:rPr>
                <w:rFonts w:ascii="Helvetica" w:hAnsi="Helvetica"/>
                <w:color w:val="212121"/>
                <w:sz w:val="6"/>
              </w:rPr>
              <w:t>Lån og forskudd</w:t>
            </w:r>
          </w:p>
        </w:tc>
        <w:tc>
          <w:tcPr>
            <w:tcW w:w="315" w:type="dxa"/>
            <w:tcBorders>
              <w:top w:val="single" w:sz="4" w:space="0" w:color="auto"/>
              <w:left w:val="single" w:sz="4" w:space="0" w:color="auto"/>
            </w:tcBorders>
            <w:tcMar>
              <w:top w:w="10" w:type="dxa"/>
              <w:bottom w:w="10" w:type="dxa"/>
            </w:tcMar>
            <w:vAlign w:val="center"/>
          </w:tcPr>
          <w:p w14:paraId="31BD4EE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4688440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74A70AD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4758112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1896FBC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7345EFB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5D0AF57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0877749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69C01AE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09D4A7D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3E36FAF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5E46506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4A87A9F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518FDF5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1778D7F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1200F44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49A7CBF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4549895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3126C60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tcBorders>
            <w:tcMar>
              <w:top w:w="10" w:type="dxa"/>
              <w:bottom w:w="10" w:type="dxa"/>
            </w:tcMar>
            <w:vAlign w:val="center"/>
          </w:tcPr>
          <w:p w14:paraId="37885C0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053E5B3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443D55E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0016008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tcBorders>
            <w:tcMar>
              <w:top w:w="10" w:type="dxa"/>
              <w:bottom w:w="10" w:type="dxa"/>
            </w:tcMar>
            <w:vAlign w:val="center"/>
          </w:tcPr>
          <w:p w14:paraId="671EDA9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25B4986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1C470B0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6C7E9EB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509C0C3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0D8DF20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1989B72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534516A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5F6D3392" w14:textId="77777777">
        <w:trPr>
          <w:trHeight w:val="20"/>
        </w:trPr>
        <w:tc>
          <w:tcPr>
            <w:tcW w:w="233" w:type="dxa"/>
            <w:tcBorders>
              <w:top w:val="single" w:sz="4" w:space="0" w:color="auto"/>
              <w:left w:val="single" w:sz="4" w:space="0" w:color="auto"/>
            </w:tcBorders>
            <w:tcMar>
              <w:top w:w="10" w:type="dxa"/>
              <w:bottom w:w="10" w:type="dxa"/>
            </w:tcMar>
            <w:vAlign w:val="center"/>
          </w:tcPr>
          <w:p w14:paraId="47B2148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10</w:t>
            </w:r>
          </w:p>
        </w:tc>
        <w:tc>
          <w:tcPr>
            <w:tcW w:w="2256" w:type="dxa"/>
            <w:tcBorders>
              <w:top w:val="single" w:sz="4" w:space="0" w:color="auto"/>
              <w:left w:val="single" w:sz="4" w:space="0" w:color="auto"/>
            </w:tcBorders>
            <w:tcMar>
              <w:top w:w="10" w:type="dxa"/>
              <w:bottom w:w="10" w:type="dxa"/>
            </w:tcMar>
            <w:vAlign w:val="center"/>
          </w:tcPr>
          <w:p w14:paraId="15CA84DE" w14:textId="77777777" w:rsidR="006561BA" w:rsidRDefault="005B4ED6">
            <w:pPr>
              <w:widowControl w:val="0"/>
              <w:shd w:val="clear" w:color="auto" w:fill="auto"/>
              <w:spacing w:after="0" w:line="240" w:lineRule="auto"/>
              <w:ind w:left="200"/>
              <w:jc w:val="left"/>
              <w:rPr>
                <w:rFonts w:ascii="Helvetica" w:eastAsia="Arial Unicode MS" w:hAnsi="Helvetica" w:cs="Helvetica"/>
                <w:color w:val="000000"/>
                <w:sz w:val="6"/>
                <w:szCs w:val="6"/>
              </w:rPr>
            </w:pPr>
            <w:r>
              <w:rPr>
                <w:rFonts w:ascii="Helvetica" w:hAnsi="Helvetica"/>
                <w:color w:val="212121"/>
                <w:sz w:val="6"/>
              </w:rPr>
              <w:t>Gjeldsinstrumenter, herunder bruk av proveny</w:t>
            </w:r>
          </w:p>
        </w:tc>
        <w:tc>
          <w:tcPr>
            <w:tcW w:w="315" w:type="dxa"/>
            <w:tcBorders>
              <w:top w:val="single" w:sz="4" w:space="0" w:color="auto"/>
              <w:left w:val="single" w:sz="4" w:space="0" w:color="auto"/>
            </w:tcBorders>
            <w:tcMar>
              <w:top w:w="10" w:type="dxa"/>
              <w:bottom w:w="10" w:type="dxa"/>
            </w:tcMar>
            <w:vAlign w:val="center"/>
          </w:tcPr>
          <w:p w14:paraId="1557FBD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6B65FE2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42D36F0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0" w:type="dxa"/>
            <w:tcBorders>
              <w:top w:val="single" w:sz="4" w:space="0" w:color="auto"/>
              <w:left w:val="single" w:sz="4" w:space="0" w:color="auto"/>
            </w:tcBorders>
            <w:tcMar>
              <w:top w:w="10" w:type="dxa"/>
              <w:bottom w:w="10" w:type="dxa"/>
            </w:tcMar>
            <w:vAlign w:val="center"/>
          </w:tcPr>
          <w:p w14:paraId="4457A2E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4" w:type="dxa"/>
            <w:tcBorders>
              <w:top w:val="single" w:sz="4" w:space="0" w:color="auto"/>
              <w:left w:val="single" w:sz="4" w:space="0" w:color="auto"/>
            </w:tcBorders>
            <w:tcMar>
              <w:top w:w="10" w:type="dxa"/>
              <w:bottom w:w="10" w:type="dxa"/>
            </w:tcMar>
            <w:vAlign w:val="center"/>
          </w:tcPr>
          <w:p w14:paraId="7110802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right w:val="single" w:sz="4" w:space="0" w:color="auto"/>
            </w:tcBorders>
          </w:tcPr>
          <w:p w14:paraId="21125AE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5835081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0583FD2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339272E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144E6C7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1FA50B8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19B8B14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5" w:type="dxa"/>
            <w:tcBorders>
              <w:top w:val="single" w:sz="4" w:space="0" w:color="auto"/>
              <w:left w:val="single" w:sz="4" w:space="0" w:color="auto"/>
            </w:tcBorders>
            <w:tcMar>
              <w:top w:w="10" w:type="dxa"/>
              <w:bottom w:w="10" w:type="dxa"/>
            </w:tcMar>
            <w:vAlign w:val="center"/>
          </w:tcPr>
          <w:p w14:paraId="5D76E70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2" w:type="dxa"/>
            <w:tcBorders>
              <w:top w:val="single" w:sz="4" w:space="0" w:color="auto"/>
              <w:left w:val="single" w:sz="4" w:space="0" w:color="auto"/>
            </w:tcBorders>
            <w:tcMar>
              <w:top w:w="10" w:type="dxa"/>
              <w:bottom w:w="10" w:type="dxa"/>
            </w:tcMar>
            <w:vAlign w:val="center"/>
          </w:tcPr>
          <w:p w14:paraId="358B0F9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32E2690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32E4027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703F6FA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7" w:type="dxa"/>
            <w:tcBorders>
              <w:top w:val="single" w:sz="4" w:space="0" w:color="auto"/>
              <w:left w:val="single" w:sz="4" w:space="0" w:color="auto"/>
            </w:tcBorders>
            <w:tcMar>
              <w:top w:w="10" w:type="dxa"/>
              <w:bottom w:w="10" w:type="dxa"/>
            </w:tcMar>
            <w:vAlign w:val="center"/>
          </w:tcPr>
          <w:p w14:paraId="4CAB9DD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6ED2BC8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4" w:type="dxa"/>
            <w:tcBorders>
              <w:top w:val="single" w:sz="4" w:space="0" w:color="auto"/>
              <w:left w:val="single" w:sz="4" w:space="0" w:color="auto"/>
            </w:tcBorders>
            <w:tcMar>
              <w:top w:w="10" w:type="dxa"/>
              <w:bottom w:w="10" w:type="dxa"/>
            </w:tcMar>
            <w:vAlign w:val="center"/>
          </w:tcPr>
          <w:p w14:paraId="2597AA8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6" w:type="dxa"/>
            <w:tcBorders>
              <w:top w:val="single" w:sz="4" w:space="0" w:color="auto"/>
              <w:left w:val="single" w:sz="4" w:space="0" w:color="auto"/>
            </w:tcBorders>
            <w:tcMar>
              <w:top w:w="10" w:type="dxa"/>
              <w:bottom w:w="10" w:type="dxa"/>
            </w:tcMar>
            <w:vAlign w:val="center"/>
          </w:tcPr>
          <w:p w14:paraId="467630C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0" w:type="dxa"/>
            <w:tcBorders>
              <w:top w:val="single" w:sz="4" w:space="0" w:color="auto"/>
              <w:left w:val="single" w:sz="4" w:space="0" w:color="auto"/>
            </w:tcBorders>
            <w:tcMar>
              <w:top w:w="10" w:type="dxa"/>
              <w:bottom w:w="10" w:type="dxa"/>
            </w:tcMar>
            <w:vAlign w:val="center"/>
          </w:tcPr>
          <w:p w14:paraId="3F3AD29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4EAD7B1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0" w:type="dxa"/>
            <w:tcBorders>
              <w:top w:val="single" w:sz="4" w:space="0" w:color="auto"/>
              <w:left w:val="single" w:sz="4" w:space="0" w:color="auto"/>
            </w:tcBorders>
            <w:tcMar>
              <w:top w:w="10" w:type="dxa"/>
              <w:bottom w:w="10" w:type="dxa"/>
            </w:tcMar>
            <w:vAlign w:val="center"/>
          </w:tcPr>
          <w:p w14:paraId="7058F15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88" w:type="dxa"/>
            <w:tcBorders>
              <w:top w:val="single" w:sz="4" w:space="0" w:color="auto"/>
              <w:left w:val="single" w:sz="4" w:space="0" w:color="auto"/>
            </w:tcBorders>
            <w:tcMar>
              <w:top w:w="10" w:type="dxa"/>
              <w:bottom w:w="10" w:type="dxa"/>
            </w:tcMar>
            <w:vAlign w:val="center"/>
          </w:tcPr>
          <w:p w14:paraId="1F2F360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71377C0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8" w:type="dxa"/>
            <w:tcBorders>
              <w:top w:val="single" w:sz="4" w:space="0" w:color="auto"/>
              <w:left w:val="single" w:sz="4" w:space="0" w:color="auto"/>
            </w:tcBorders>
            <w:tcMar>
              <w:top w:w="10" w:type="dxa"/>
              <w:bottom w:w="10" w:type="dxa"/>
            </w:tcMar>
            <w:vAlign w:val="center"/>
          </w:tcPr>
          <w:p w14:paraId="789E3D8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96" w:type="dxa"/>
            <w:tcBorders>
              <w:top w:val="single" w:sz="4" w:space="0" w:color="auto"/>
              <w:left w:val="single" w:sz="4" w:space="0" w:color="auto"/>
            </w:tcBorders>
            <w:tcMar>
              <w:top w:w="10" w:type="dxa"/>
              <w:bottom w:w="10" w:type="dxa"/>
            </w:tcMar>
            <w:vAlign w:val="center"/>
          </w:tcPr>
          <w:p w14:paraId="69AB89B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56" w:type="dxa"/>
            <w:tcBorders>
              <w:top w:val="single" w:sz="4" w:space="0" w:color="auto"/>
              <w:left w:val="single" w:sz="4" w:space="0" w:color="auto"/>
            </w:tcBorders>
            <w:tcMar>
              <w:top w:w="10" w:type="dxa"/>
              <w:bottom w:w="10" w:type="dxa"/>
            </w:tcMar>
            <w:vAlign w:val="center"/>
          </w:tcPr>
          <w:p w14:paraId="74CED5F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 w:type="dxa"/>
            <w:tcBorders>
              <w:top w:val="single" w:sz="4" w:space="0" w:color="auto"/>
              <w:left w:val="single" w:sz="4" w:space="0" w:color="auto"/>
            </w:tcBorders>
            <w:tcMar>
              <w:top w:w="10" w:type="dxa"/>
              <w:bottom w:w="10" w:type="dxa"/>
            </w:tcMar>
            <w:vAlign w:val="center"/>
          </w:tcPr>
          <w:p w14:paraId="3DF3768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4017784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1BADE9D1" w14:textId="77777777">
        <w:trPr>
          <w:trHeight w:val="20"/>
        </w:trPr>
        <w:tc>
          <w:tcPr>
            <w:tcW w:w="233" w:type="dxa"/>
            <w:tcBorders>
              <w:top w:val="single" w:sz="4" w:space="0" w:color="auto"/>
              <w:left w:val="single" w:sz="4" w:space="0" w:color="auto"/>
            </w:tcBorders>
            <w:tcMar>
              <w:top w:w="10" w:type="dxa"/>
              <w:bottom w:w="10" w:type="dxa"/>
            </w:tcMar>
            <w:vAlign w:val="center"/>
          </w:tcPr>
          <w:p w14:paraId="7B605FB2"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11</w:t>
            </w:r>
          </w:p>
        </w:tc>
        <w:tc>
          <w:tcPr>
            <w:tcW w:w="2256" w:type="dxa"/>
            <w:tcBorders>
              <w:top w:val="single" w:sz="4" w:space="0" w:color="auto"/>
              <w:left w:val="single" w:sz="4" w:space="0" w:color="auto"/>
            </w:tcBorders>
            <w:tcMar>
              <w:top w:w="10" w:type="dxa"/>
              <w:bottom w:w="10" w:type="dxa"/>
            </w:tcMar>
            <w:vAlign w:val="center"/>
          </w:tcPr>
          <w:p w14:paraId="3B4432F0" w14:textId="77777777" w:rsidR="006561BA" w:rsidRDefault="005B4ED6">
            <w:pPr>
              <w:widowControl w:val="0"/>
              <w:shd w:val="clear" w:color="auto" w:fill="auto"/>
              <w:spacing w:after="0" w:line="240" w:lineRule="auto"/>
              <w:ind w:left="200"/>
              <w:jc w:val="left"/>
              <w:rPr>
                <w:rFonts w:ascii="Helvetica" w:eastAsia="Arial Unicode MS" w:hAnsi="Helvetica" w:cs="Helvetica"/>
                <w:color w:val="000000"/>
                <w:sz w:val="6"/>
                <w:szCs w:val="6"/>
              </w:rPr>
            </w:pPr>
            <w:r>
              <w:rPr>
                <w:rFonts w:ascii="Helvetica" w:hAnsi="Helvetica"/>
                <w:color w:val="212121"/>
                <w:sz w:val="6"/>
              </w:rPr>
              <w:t>Egenkapitalinstrumenter</w:t>
            </w:r>
          </w:p>
        </w:tc>
        <w:tc>
          <w:tcPr>
            <w:tcW w:w="315" w:type="dxa"/>
            <w:tcBorders>
              <w:top w:val="single" w:sz="4" w:space="0" w:color="auto"/>
              <w:left w:val="single" w:sz="4" w:space="0" w:color="auto"/>
            </w:tcBorders>
            <w:tcMar>
              <w:top w:w="10" w:type="dxa"/>
              <w:bottom w:w="10" w:type="dxa"/>
            </w:tcMar>
            <w:vAlign w:val="center"/>
          </w:tcPr>
          <w:p w14:paraId="4263040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6B9DFDB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left w:val="single" w:sz="4" w:space="0" w:color="auto"/>
            </w:tcBorders>
            <w:shd w:val="clear" w:color="auto" w:fill="000000" w:themeFill="text1"/>
            <w:tcMar>
              <w:top w:w="10" w:type="dxa"/>
              <w:bottom w:w="10" w:type="dxa"/>
            </w:tcMar>
            <w:vAlign w:val="center"/>
          </w:tcPr>
          <w:p w14:paraId="271A734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3CC4332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4DEAE49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474F452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471C9EA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shd w:val="clear" w:color="auto" w:fill="000000" w:themeFill="text1"/>
          </w:tcPr>
          <w:p w14:paraId="2FFFD41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0479867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4528A84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43CD4B5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shd w:val="clear" w:color="auto" w:fill="000000" w:themeFill="text1"/>
            <w:tcMar>
              <w:top w:w="10" w:type="dxa"/>
              <w:bottom w:w="10" w:type="dxa"/>
            </w:tcMar>
            <w:vAlign w:val="center"/>
          </w:tcPr>
          <w:p w14:paraId="35D1343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35CDA88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2DC72ED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4D5DBCB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shd w:val="clear" w:color="auto" w:fill="000000" w:themeFill="text1"/>
            <w:tcMar>
              <w:top w:w="10" w:type="dxa"/>
              <w:bottom w:w="10" w:type="dxa"/>
            </w:tcMar>
            <w:vAlign w:val="center"/>
          </w:tcPr>
          <w:p w14:paraId="201E5A1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47728C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108BB9C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5B6263C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left w:val="single" w:sz="4" w:space="0" w:color="auto"/>
            </w:tcBorders>
            <w:shd w:val="clear" w:color="auto" w:fill="000000" w:themeFill="text1"/>
            <w:tcMar>
              <w:top w:w="10" w:type="dxa"/>
              <w:bottom w:w="10" w:type="dxa"/>
            </w:tcMar>
            <w:vAlign w:val="center"/>
          </w:tcPr>
          <w:p w14:paraId="689A9F6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0EE1677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784C0E0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18C3512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left w:val="single" w:sz="4" w:space="0" w:color="auto"/>
            </w:tcBorders>
            <w:shd w:val="clear" w:color="auto" w:fill="000000" w:themeFill="text1"/>
            <w:tcMar>
              <w:top w:w="10" w:type="dxa"/>
              <w:bottom w:w="10" w:type="dxa"/>
            </w:tcMar>
            <w:vAlign w:val="center"/>
          </w:tcPr>
          <w:p w14:paraId="180C1B2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237AA1E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32A1E2A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077FE77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left w:val="single" w:sz="4" w:space="0" w:color="auto"/>
            </w:tcBorders>
            <w:shd w:val="clear" w:color="auto" w:fill="000000" w:themeFill="text1"/>
            <w:tcMar>
              <w:top w:w="10" w:type="dxa"/>
              <w:bottom w:w="10" w:type="dxa"/>
            </w:tcMar>
            <w:vAlign w:val="center"/>
          </w:tcPr>
          <w:p w14:paraId="50DED9A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1050C25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053B97C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5A3AC53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7A2BAB96" w14:textId="77777777">
        <w:trPr>
          <w:trHeight w:val="20"/>
        </w:trPr>
        <w:tc>
          <w:tcPr>
            <w:tcW w:w="233" w:type="dxa"/>
            <w:tcBorders>
              <w:top w:val="single" w:sz="4" w:space="0" w:color="auto"/>
              <w:left w:val="single" w:sz="4" w:space="0" w:color="auto"/>
            </w:tcBorders>
            <w:tcMar>
              <w:top w:w="10" w:type="dxa"/>
              <w:bottom w:w="10" w:type="dxa"/>
            </w:tcMar>
            <w:vAlign w:val="center"/>
          </w:tcPr>
          <w:p w14:paraId="79EFA7E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12</w:t>
            </w:r>
          </w:p>
        </w:tc>
        <w:tc>
          <w:tcPr>
            <w:tcW w:w="2256" w:type="dxa"/>
            <w:tcBorders>
              <w:top w:val="single" w:sz="4" w:space="0" w:color="auto"/>
              <w:left w:val="single" w:sz="4" w:space="0" w:color="auto"/>
            </w:tcBorders>
            <w:tcMar>
              <w:top w:w="10" w:type="dxa"/>
              <w:bottom w:w="10" w:type="dxa"/>
            </w:tcMar>
            <w:vAlign w:val="center"/>
          </w:tcPr>
          <w:p w14:paraId="7A0A275B" w14:textId="77777777" w:rsidR="006561BA" w:rsidRDefault="005B4ED6">
            <w:pPr>
              <w:widowControl w:val="0"/>
              <w:shd w:val="clear" w:color="auto" w:fill="auto"/>
              <w:spacing w:after="0" w:line="240" w:lineRule="auto"/>
              <w:ind w:left="164"/>
              <w:jc w:val="left"/>
              <w:rPr>
                <w:rFonts w:ascii="Helvetica" w:eastAsia="Arial Unicode MS" w:hAnsi="Helvetica" w:cs="Helvetica"/>
                <w:color w:val="000000"/>
                <w:sz w:val="6"/>
                <w:szCs w:val="6"/>
              </w:rPr>
            </w:pPr>
            <w:r>
              <w:rPr>
                <w:rFonts w:ascii="Helvetica" w:hAnsi="Helvetica"/>
                <w:color w:val="212121"/>
                <w:sz w:val="6"/>
              </w:rPr>
              <w:t>hvorav forvaltningsselskaper</w:t>
            </w:r>
          </w:p>
        </w:tc>
        <w:tc>
          <w:tcPr>
            <w:tcW w:w="315" w:type="dxa"/>
            <w:tcBorders>
              <w:top w:val="single" w:sz="4" w:space="0" w:color="auto"/>
              <w:left w:val="single" w:sz="4" w:space="0" w:color="auto"/>
            </w:tcBorders>
            <w:tcMar>
              <w:top w:w="10" w:type="dxa"/>
              <w:bottom w:w="10" w:type="dxa"/>
            </w:tcMar>
            <w:vAlign w:val="center"/>
          </w:tcPr>
          <w:p w14:paraId="7294BC6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4F0D90D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left w:val="single" w:sz="4" w:space="0" w:color="auto"/>
            </w:tcBorders>
            <w:tcMar>
              <w:top w:w="10" w:type="dxa"/>
              <w:bottom w:w="10" w:type="dxa"/>
            </w:tcMar>
            <w:vAlign w:val="center"/>
          </w:tcPr>
          <w:p w14:paraId="567B647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56C9546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04B828A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27FD10D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327D124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0334054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7DBACDC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02744CF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42B9873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tcMar>
              <w:top w:w="10" w:type="dxa"/>
              <w:bottom w:w="10" w:type="dxa"/>
            </w:tcMar>
            <w:vAlign w:val="center"/>
          </w:tcPr>
          <w:p w14:paraId="6284D02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1C33299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71D028A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59B4667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tcMar>
              <w:top w:w="10" w:type="dxa"/>
              <w:bottom w:w="10" w:type="dxa"/>
            </w:tcMar>
            <w:vAlign w:val="center"/>
          </w:tcPr>
          <w:p w14:paraId="78CC786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573369E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6A7260D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40F8F79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left w:val="single" w:sz="4" w:space="0" w:color="auto"/>
            </w:tcBorders>
            <w:tcMar>
              <w:top w:w="10" w:type="dxa"/>
              <w:bottom w:w="10" w:type="dxa"/>
            </w:tcMar>
            <w:vAlign w:val="center"/>
          </w:tcPr>
          <w:p w14:paraId="2A3FF2A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724D392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17974FE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22E0778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left w:val="single" w:sz="4" w:space="0" w:color="auto"/>
            </w:tcBorders>
            <w:tcMar>
              <w:top w:w="10" w:type="dxa"/>
              <w:bottom w:w="10" w:type="dxa"/>
            </w:tcMar>
            <w:vAlign w:val="center"/>
          </w:tcPr>
          <w:p w14:paraId="18565B8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4400EEB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72D33C5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2CBFEA7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left w:val="single" w:sz="4" w:space="0" w:color="auto"/>
            </w:tcBorders>
            <w:tcMar>
              <w:top w:w="10" w:type="dxa"/>
              <w:bottom w:w="10" w:type="dxa"/>
            </w:tcMar>
            <w:vAlign w:val="center"/>
          </w:tcPr>
          <w:p w14:paraId="5991DA7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4B77439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3969372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14757C3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0DE161AF" w14:textId="77777777">
        <w:trPr>
          <w:trHeight w:val="20"/>
        </w:trPr>
        <w:tc>
          <w:tcPr>
            <w:tcW w:w="233" w:type="dxa"/>
            <w:tcBorders>
              <w:top w:val="single" w:sz="4" w:space="0" w:color="auto"/>
              <w:left w:val="single" w:sz="4" w:space="0" w:color="auto"/>
            </w:tcBorders>
            <w:tcMar>
              <w:top w:w="10" w:type="dxa"/>
              <w:bottom w:w="10" w:type="dxa"/>
            </w:tcMar>
            <w:vAlign w:val="center"/>
          </w:tcPr>
          <w:p w14:paraId="7862969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13</w:t>
            </w:r>
          </w:p>
        </w:tc>
        <w:tc>
          <w:tcPr>
            <w:tcW w:w="2256" w:type="dxa"/>
            <w:tcBorders>
              <w:top w:val="single" w:sz="4" w:space="0" w:color="auto"/>
              <w:left w:val="single" w:sz="4" w:space="0" w:color="auto"/>
            </w:tcBorders>
            <w:tcMar>
              <w:top w:w="10" w:type="dxa"/>
              <w:bottom w:w="10" w:type="dxa"/>
            </w:tcMar>
            <w:vAlign w:val="center"/>
          </w:tcPr>
          <w:p w14:paraId="793938C9" w14:textId="77777777" w:rsidR="006561BA" w:rsidRDefault="005B4ED6">
            <w:pPr>
              <w:widowControl w:val="0"/>
              <w:shd w:val="clear" w:color="auto" w:fill="auto"/>
              <w:spacing w:after="0" w:line="240" w:lineRule="auto"/>
              <w:ind w:left="200"/>
              <w:jc w:val="left"/>
              <w:rPr>
                <w:rFonts w:ascii="Helvetica" w:eastAsia="Arial Unicode MS" w:hAnsi="Helvetica" w:cs="Helvetica"/>
                <w:color w:val="212121"/>
                <w:sz w:val="6"/>
                <w:szCs w:val="6"/>
              </w:rPr>
            </w:pPr>
            <w:r>
              <w:rPr>
                <w:rFonts w:ascii="Helvetica" w:hAnsi="Helvetica"/>
                <w:color w:val="212121"/>
                <w:sz w:val="6"/>
              </w:rPr>
              <w:t>Lån og forskudd</w:t>
            </w:r>
          </w:p>
        </w:tc>
        <w:tc>
          <w:tcPr>
            <w:tcW w:w="315" w:type="dxa"/>
            <w:tcBorders>
              <w:top w:val="single" w:sz="4" w:space="0" w:color="auto"/>
              <w:left w:val="single" w:sz="4" w:space="0" w:color="auto"/>
            </w:tcBorders>
            <w:tcMar>
              <w:top w:w="10" w:type="dxa"/>
              <w:bottom w:w="10" w:type="dxa"/>
            </w:tcMar>
            <w:vAlign w:val="center"/>
          </w:tcPr>
          <w:p w14:paraId="23446DE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133A277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3909D30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48F2A87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203591A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42229FB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45572C9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3C5589C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3893354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026F3E5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00B7FBE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2D48AF4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587840A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1854160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6CDDC8E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137064B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59D56A0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6B5126F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2350DA2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tcBorders>
            <w:tcMar>
              <w:top w:w="10" w:type="dxa"/>
              <w:bottom w:w="10" w:type="dxa"/>
            </w:tcMar>
            <w:vAlign w:val="center"/>
          </w:tcPr>
          <w:p w14:paraId="6FCEC15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69DC345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3FD1ED7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738FB69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tcBorders>
            <w:tcMar>
              <w:top w:w="10" w:type="dxa"/>
              <w:bottom w:w="10" w:type="dxa"/>
            </w:tcMar>
            <w:vAlign w:val="center"/>
          </w:tcPr>
          <w:p w14:paraId="6B5D6A5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79C58C8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2AAE14A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735B284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0B241A7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0316DF7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1F882C4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46177B4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3428B438" w14:textId="77777777">
        <w:trPr>
          <w:trHeight w:val="20"/>
        </w:trPr>
        <w:tc>
          <w:tcPr>
            <w:tcW w:w="233" w:type="dxa"/>
            <w:tcBorders>
              <w:top w:val="single" w:sz="4" w:space="0" w:color="auto"/>
              <w:left w:val="single" w:sz="4" w:space="0" w:color="auto"/>
            </w:tcBorders>
            <w:tcMar>
              <w:top w:w="10" w:type="dxa"/>
              <w:bottom w:w="10" w:type="dxa"/>
            </w:tcMar>
            <w:vAlign w:val="center"/>
          </w:tcPr>
          <w:p w14:paraId="1A6D38F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14</w:t>
            </w:r>
          </w:p>
        </w:tc>
        <w:tc>
          <w:tcPr>
            <w:tcW w:w="2256" w:type="dxa"/>
            <w:tcBorders>
              <w:top w:val="single" w:sz="4" w:space="0" w:color="auto"/>
              <w:left w:val="single" w:sz="4" w:space="0" w:color="auto"/>
            </w:tcBorders>
            <w:tcMar>
              <w:top w:w="10" w:type="dxa"/>
              <w:bottom w:w="10" w:type="dxa"/>
            </w:tcMar>
            <w:vAlign w:val="center"/>
          </w:tcPr>
          <w:p w14:paraId="6B2F0CA8" w14:textId="77777777" w:rsidR="006561BA" w:rsidRDefault="005B4ED6">
            <w:pPr>
              <w:widowControl w:val="0"/>
              <w:shd w:val="clear" w:color="auto" w:fill="auto"/>
              <w:spacing w:after="0" w:line="240" w:lineRule="auto"/>
              <w:ind w:left="200"/>
              <w:jc w:val="left"/>
              <w:rPr>
                <w:rFonts w:ascii="Helvetica" w:eastAsia="Arial Unicode MS" w:hAnsi="Helvetica" w:cs="Helvetica"/>
                <w:color w:val="212121"/>
                <w:sz w:val="6"/>
                <w:szCs w:val="6"/>
              </w:rPr>
            </w:pPr>
            <w:r>
              <w:rPr>
                <w:rFonts w:ascii="Helvetica" w:hAnsi="Helvetica"/>
                <w:color w:val="212121"/>
                <w:sz w:val="6"/>
              </w:rPr>
              <w:t>Gjeldsinstrumenter, herunder bruk av proveny</w:t>
            </w:r>
          </w:p>
        </w:tc>
        <w:tc>
          <w:tcPr>
            <w:tcW w:w="315" w:type="dxa"/>
            <w:tcBorders>
              <w:top w:val="single" w:sz="4" w:space="0" w:color="auto"/>
              <w:left w:val="single" w:sz="4" w:space="0" w:color="auto"/>
            </w:tcBorders>
            <w:tcMar>
              <w:top w:w="10" w:type="dxa"/>
              <w:bottom w:w="10" w:type="dxa"/>
            </w:tcMar>
            <w:vAlign w:val="center"/>
          </w:tcPr>
          <w:p w14:paraId="07057A5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78328E3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468648B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0" w:type="dxa"/>
            <w:tcBorders>
              <w:top w:val="single" w:sz="4" w:space="0" w:color="auto"/>
              <w:left w:val="single" w:sz="4" w:space="0" w:color="auto"/>
            </w:tcBorders>
            <w:tcMar>
              <w:top w:w="10" w:type="dxa"/>
              <w:bottom w:w="10" w:type="dxa"/>
            </w:tcMar>
            <w:vAlign w:val="center"/>
          </w:tcPr>
          <w:p w14:paraId="28A1719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4" w:type="dxa"/>
            <w:tcBorders>
              <w:top w:val="single" w:sz="4" w:space="0" w:color="auto"/>
              <w:left w:val="single" w:sz="4" w:space="0" w:color="auto"/>
            </w:tcBorders>
            <w:tcMar>
              <w:top w:w="10" w:type="dxa"/>
              <w:bottom w:w="10" w:type="dxa"/>
            </w:tcMar>
            <w:vAlign w:val="center"/>
          </w:tcPr>
          <w:p w14:paraId="548ED1F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right w:val="single" w:sz="4" w:space="0" w:color="auto"/>
            </w:tcBorders>
          </w:tcPr>
          <w:p w14:paraId="061AE2F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508170C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10D0365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1EC2973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2A2F84A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7C01B21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6819327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5" w:type="dxa"/>
            <w:tcBorders>
              <w:top w:val="single" w:sz="4" w:space="0" w:color="auto"/>
              <w:left w:val="single" w:sz="4" w:space="0" w:color="auto"/>
            </w:tcBorders>
            <w:tcMar>
              <w:top w:w="10" w:type="dxa"/>
              <w:bottom w:w="10" w:type="dxa"/>
            </w:tcMar>
            <w:vAlign w:val="center"/>
          </w:tcPr>
          <w:p w14:paraId="29B27FB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2" w:type="dxa"/>
            <w:tcBorders>
              <w:top w:val="single" w:sz="4" w:space="0" w:color="auto"/>
              <w:left w:val="single" w:sz="4" w:space="0" w:color="auto"/>
            </w:tcBorders>
            <w:tcMar>
              <w:top w:w="10" w:type="dxa"/>
              <w:bottom w:w="10" w:type="dxa"/>
            </w:tcMar>
            <w:vAlign w:val="center"/>
          </w:tcPr>
          <w:p w14:paraId="3FDA399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31E032D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010B4BE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296BC90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7" w:type="dxa"/>
            <w:tcBorders>
              <w:top w:val="single" w:sz="4" w:space="0" w:color="auto"/>
              <w:left w:val="single" w:sz="4" w:space="0" w:color="auto"/>
            </w:tcBorders>
            <w:tcMar>
              <w:top w:w="10" w:type="dxa"/>
              <w:bottom w:w="10" w:type="dxa"/>
            </w:tcMar>
            <w:vAlign w:val="center"/>
          </w:tcPr>
          <w:p w14:paraId="270C629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212F3E0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4" w:type="dxa"/>
            <w:tcBorders>
              <w:top w:val="single" w:sz="4" w:space="0" w:color="auto"/>
              <w:left w:val="single" w:sz="4" w:space="0" w:color="auto"/>
            </w:tcBorders>
            <w:tcMar>
              <w:top w:w="10" w:type="dxa"/>
              <w:bottom w:w="10" w:type="dxa"/>
            </w:tcMar>
            <w:vAlign w:val="center"/>
          </w:tcPr>
          <w:p w14:paraId="2C6B0B0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6" w:type="dxa"/>
            <w:tcBorders>
              <w:top w:val="single" w:sz="4" w:space="0" w:color="auto"/>
              <w:left w:val="single" w:sz="4" w:space="0" w:color="auto"/>
            </w:tcBorders>
            <w:tcMar>
              <w:top w:w="10" w:type="dxa"/>
              <w:bottom w:w="10" w:type="dxa"/>
            </w:tcMar>
            <w:vAlign w:val="center"/>
          </w:tcPr>
          <w:p w14:paraId="2192555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0" w:type="dxa"/>
            <w:tcBorders>
              <w:top w:val="single" w:sz="4" w:space="0" w:color="auto"/>
              <w:left w:val="single" w:sz="4" w:space="0" w:color="auto"/>
            </w:tcBorders>
            <w:tcMar>
              <w:top w:w="10" w:type="dxa"/>
              <w:bottom w:w="10" w:type="dxa"/>
            </w:tcMar>
            <w:vAlign w:val="center"/>
          </w:tcPr>
          <w:p w14:paraId="05E07AE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0FD7CA0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0" w:type="dxa"/>
            <w:tcBorders>
              <w:top w:val="single" w:sz="4" w:space="0" w:color="auto"/>
              <w:left w:val="single" w:sz="4" w:space="0" w:color="auto"/>
            </w:tcBorders>
            <w:tcMar>
              <w:top w:w="10" w:type="dxa"/>
              <w:bottom w:w="10" w:type="dxa"/>
            </w:tcMar>
            <w:vAlign w:val="center"/>
          </w:tcPr>
          <w:p w14:paraId="646DF8B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88" w:type="dxa"/>
            <w:tcBorders>
              <w:top w:val="single" w:sz="4" w:space="0" w:color="auto"/>
              <w:left w:val="single" w:sz="4" w:space="0" w:color="auto"/>
            </w:tcBorders>
            <w:tcMar>
              <w:top w:w="10" w:type="dxa"/>
              <w:bottom w:w="10" w:type="dxa"/>
            </w:tcMar>
            <w:vAlign w:val="center"/>
          </w:tcPr>
          <w:p w14:paraId="69EAA2C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6974D52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8" w:type="dxa"/>
            <w:tcBorders>
              <w:top w:val="single" w:sz="4" w:space="0" w:color="auto"/>
              <w:left w:val="single" w:sz="4" w:space="0" w:color="auto"/>
            </w:tcBorders>
            <w:tcMar>
              <w:top w:w="10" w:type="dxa"/>
              <w:bottom w:w="10" w:type="dxa"/>
            </w:tcMar>
            <w:vAlign w:val="center"/>
          </w:tcPr>
          <w:p w14:paraId="422175C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96" w:type="dxa"/>
            <w:tcBorders>
              <w:top w:val="single" w:sz="4" w:space="0" w:color="auto"/>
              <w:left w:val="single" w:sz="4" w:space="0" w:color="auto"/>
            </w:tcBorders>
            <w:tcMar>
              <w:top w:w="10" w:type="dxa"/>
              <w:bottom w:w="10" w:type="dxa"/>
            </w:tcMar>
            <w:vAlign w:val="center"/>
          </w:tcPr>
          <w:p w14:paraId="18B154B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56" w:type="dxa"/>
            <w:tcBorders>
              <w:top w:val="single" w:sz="4" w:space="0" w:color="auto"/>
              <w:left w:val="single" w:sz="4" w:space="0" w:color="auto"/>
            </w:tcBorders>
            <w:tcMar>
              <w:top w:w="10" w:type="dxa"/>
              <w:bottom w:w="10" w:type="dxa"/>
            </w:tcMar>
            <w:vAlign w:val="center"/>
          </w:tcPr>
          <w:p w14:paraId="660C24D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 w:type="dxa"/>
            <w:tcBorders>
              <w:top w:val="single" w:sz="4" w:space="0" w:color="auto"/>
              <w:left w:val="single" w:sz="4" w:space="0" w:color="auto"/>
            </w:tcBorders>
            <w:tcMar>
              <w:top w:w="10" w:type="dxa"/>
              <w:bottom w:w="10" w:type="dxa"/>
            </w:tcMar>
            <w:vAlign w:val="center"/>
          </w:tcPr>
          <w:p w14:paraId="7AEDE13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12E69D2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78643BF3" w14:textId="77777777">
        <w:trPr>
          <w:trHeight w:val="20"/>
        </w:trPr>
        <w:tc>
          <w:tcPr>
            <w:tcW w:w="233" w:type="dxa"/>
            <w:tcBorders>
              <w:top w:val="single" w:sz="4" w:space="0" w:color="auto"/>
              <w:left w:val="single" w:sz="4" w:space="0" w:color="auto"/>
            </w:tcBorders>
            <w:tcMar>
              <w:top w:w="10" w:type="dxa"/>
              <w:bottom w:w="10" w:type="dxa"/>
            </w:tcMar>
            <w:vAlign w:val="center"/>
          </w:tcPr>
          <w:p w14:paraId="18969F4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15</w:t>
            </w:r>
          </w:p>
        </w:tc>
        <w:tc>
          <w:tcPr>
            <w:tcW w:w="2256" w:type="dxa"/>
            <w:tcBorders>
              <w:top w:val="single" w:sz="4" w:space="0" w:color="auto"/>
              <w:left w:val="single" w:sz="4" w:space="0" w:color="auto"/>
            </w:tcBorders>
            <w:tcMar>
              <w:top w:w="10" w:type="dxa"/>
              <w:bottom w:w="10" w:type="dxa"/>
            </w:tcMar>
            <w:vAlign w:val="center"/>
          </w:tcPr>
          <w:p w14:paraId="65689BCA" w14:textId="77777777" w:rsidR="006561BA" w:rsidRDefault="005B4ED6">
            <w:pPr>
              <w:widowControl w:val="0"/>
              <w:shd w:val="clear" w:color="auto" w:fill="auto"/>
              <w:spacing w:after="0" w:line="240" w:lineRule="auto"/>
              <w:ind w:left="200"/>
              <w:jc w:val="left"/>
              <w:rPr>
                <w:rFonts w:ascii="Helvetica" w:eastAsia="Arial Unicode MS" w:hAnsi="Helvetica" w:cs="Helvetica"/>
                <w:color w:val="212121"/>
                <w:sz w:val="6"/>
                <w:szCs w:val="6"/>
              </w:rPr>
            </w:pPr>
            <w:r>
              <w:rPr>
                <w:rFonts w:ascii="Helvetica" w:hAnsi="Helvetica"/>
                <w:color w:val="212121"/>
                <w:sz w:val="6"/>
              </w:rPr>
              <w:t>Egenkapitalinstrumenter</w:t>
            </w:r>
          </w:p>
        </w:tc>
        <w:tc>
          <w:tcPr>
            <w:tcW w:w="315" w:type="dxa"/>
            <w:tcBorders>
              <w:top w:val="single" w:sz="4" w:space="0" w:color="auto"/>
              <w:left w:val="single" w:sz="4" w:space="0" w:color="auto"/>
            </w:tcBorders>
            <w:tcMar>
              <w:top w:w="10" w:type="dxa"/>
              <w:bottom w:w="10" w:type="dxa"/>
            </w:tcMar>
            <w:vAlign w:val="center"/>
          </w:tcPr>
          <w:p w14:paraId="792D750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5FEFE69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left w:val="single" w:sz="4" w:space="0" w:color="auto"/>
            </w:tcBorders>
            <w:shd w:val="clear" w:color="auto" w:fill="000000" w:themeFill="text1"/>
            <w:tcMar>
              <w:top w:w="10" w:type="dxa"/>
              <w:bottom w:w="10" w:type="dxa"/>
            </w:tcMar>
            <w:vAlign w:val="center"/>
          </w:tcPr>
          <w:p w14:paraId="116ED0C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634B4D0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5AD732B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0CC0F47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616F413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shd w:val="clear" w:color="auto" w:fill="000000" w:themeFill="text1"/>
          </w:tcPr>
          <w:p w14:paraId="042689F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55889E0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75235AB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685B249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shd w:val="clear" w:color="auto" w:fill="000000" w:themeFill="text1"/>
            <w:tcMar>
              <w:top w:w="10" w:type="dxa"/>
              <w:bottom w:w="10" w:type="dxa"/>
            </w:tcMar>
            <w:vAlign w:val="center"/>
          </w:tcPr>
          <w:p w14:paraId="0B96E10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3643001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4368321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0F55DF1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shd w:val="clear" w:color="auto" w:fill="000000" w:themeFill="text1"/>
            <w:tcMar>
              <w:top w:w="10" w:type="dxa"/>
              <w:bottom w:w="10" w:type="dxa"/>
            </w:tcMar>
            <w:vAlign w:val="center"/>
          </w:tcPr>
          <w:p w14:paraId="6C5B52A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067FF6A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7626B19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45780C4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left w:val="single" w:sz="4" w:space="0" w:color="auto"/>
            </w:tcBorders>
            <w:shd w:val="clear" w:color="auto" w:fill="000000" w:themeFill="text1"/>
            <w:tcMar>
              <w:top w:w="10" w:type="dxa"/>
              <w:bottom w:w="10" w:type="dxa"/>
            </w:tcMar>
            <w:vAlign w:val="center"/>
          </w:tcPr>
          <w:p w14:paraId="297AF32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6CCEFB5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5B8CAF6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3F315C2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left w:val="single" w:sz="4" w:space="0" w:color="auto"/>
            </w:tcBorders>
            <w:shd w:val="clear" w:color="auto" w:fill="000000" w:themeFill="text1"/>
            <w:tcMar>
              <w:top w:w="10" w:type="dxa"/>
              <w:bottom w:w="10" w:type="dxa"/>
            </w:tcMar>
            <w:vAlign w:val="center"/>
          </w:tcPr>
          <w:p w14:paraId="63A83EC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487DE5A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20E05E2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5A89159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left w:val="single" w:sz="4" w:space="0" w:color="auto"/>
            </w:tcBorders>
            <w:shd w:val="clear" w:color="auto" w:fill="000000" w:themeFill="text1"/>
            <w:tcMar>
              <w:top w:w="10" w:type="dxa"/>
              <w:bottom w:w="10" w:type="dxa"/>
            </w:tcMar>
            <w:vAlign w:val="center"/>
          </w:tcPr>
          <w:p w14:paraId="580E6C1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3C55A29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3C4A8A5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12A8FFA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0FFA1619" w14:textId="77777777">
        <w:trPr>
          <w:trHeight w:val="20"/>
        </w:trPr>
        <w:tc>
          <w:tcPr>
            <w:tcW w:w="233" w:type="dxa"/>
            <w:tcBorders>
              <w:top w:val="single" w:sz="4" w:space="0" w:color="auto"/>
              <w:left w:val="single" w:sz="4" w:space="0" w:color="auto"/>
            </w:tcBorders>
            <w:tcMar>
              <w:top w:w="10" w:type="dxa"/>
              <w:bottom w:w="10" w:type="dxa"/>
            </w:tcMar>
            <w:vAlign w:val="center"/>
          </w:tcPr>
          <w:p w14:paraId="385CBF6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16</w:t>
            </w:r>
          </w:p>
        </w:tc>
        <w:tc>
          <w:tcPr>
            <w:tcW w:w="2256" w:type="dxa"/>
            <w:tcBorders>
              <w:top w:val="single" w:sz="4" w:space="0" w:color="auto"/>
              <w:left w:val="single" w:sz="4" w:space="0" w:color="auto"/>
            </w:tcBorders>
            <w:tcMar>
              <w:top w:w="10" w:type="dxa"/>
              <w:bottom w:w="10" w:type="dxa"/>
            </w:tcMar>
            <w:vAlign w:val="center"/>
          </w:tcPr>
          <w:p w14:paraId="5927C26F" w14:textId="77777777" w:rsidR="006561BA" w:rsidRDefault="005B4ED6">
            <w:pPr>
              <w:widowControl w:val="0"/>
              <w:shd w:val="clear" w:color="auto" w:fill="auto"/>
              <w:spacing w:after="0" w:line="240" w:lineRule="auto"/>
              <w:ind w:left="164"/>
              <w:jc w:val="left"/>
              <w:rPr>
                <w:rFonts w:ascii="Helvetica" w:eastAsia="Arial Unicode MS" w:hAnsi="Helvetica" w:cs="Helvetica"/>
                <w:color w:val="000000"/>
                <w:sz w:val="6"/>
                <w:szCs w:val="6"/>
              </w:rPr>
            </w:pPr>
            <w:r>
              <w:rPr>
                <w:rFonts w:ascii="Helvetica" w:hAnsi="Helvetica"/>
                <w:color w:val="212121"/>
                <w:sz w:val="6"/>
              </w:rPr>
              <w:t>hvorav forsikringsforetak</w:t>
            </w:r>
          </w:p>
        </w:tc>
        <w:tc>
          <w:tcPr>
            <w:tcW w:w="315" w:type="dxa"/>
            <w:tcBorders>
              <w:top w:val="single" w:sz="4" w:space="0" w:color="auto"/>
              <w:left w:val="single" w:sz="4" w:space="0" w:color="auto"/>
            </w:tcBorders>
            <w:tcMar>
              <w:top w:w="10" w:type="dxa"/>
              <w:bottom w:w="10" w:type="dxa"/>
            </w:tcMar>
            <w:vAlign w:val="center"/>
          </w:tcPr>
          <w:p w14:paraId="655B0B5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70CFF65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left w:val="single" w:sz="4" w:space="0" w:color="auto"/>
            </w:tcBorders>
            <w:tcMar>
              <w:top w:w="10" w:type="dxa"/>
              <w:bottom w:w="10" w:type="dxa"/>
            </w:tcMar>
            <w:vAlign w:val="center"/>
          </w:tcPr>
          <w:p w14:paraId="7529E4E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633F83C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16B0427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02F3884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53C007F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08FDCE4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0BDFFC0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2AD33CE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04D5416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tcMar>
              <w:top w:w="10" w:type="dxa"/>
              <w:bottom w:w="10" w:type="dxa"/>
            </w:tcMar>
            <w:vAlign w:val="center"/>
          </w:tcPr>
          <w:p w14:paraId="043A656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4F50221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50389CC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26E26E2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tcMar>
              <w:top w:w="10" w:type="dxa"/>
              <w:bottom w:w="10" w:type="dxa"/>
            </w:tcMar>
            <w:vAlign w:val="center"/>
          </w:tcPr>
          <w:p w14:paraId="57A7D5E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5CC6110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35881B0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41819B1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left w:val="single" w:sz="4" w:space="0" w:color="auto"/>
            </w:tcBorders>
            <w:tcMar>
              <w:top w:w="10" w:type="dxa"/>
              <w:bottom w:w="10" w:type="dxa"/>
            </w:tcMar>
            <w:vAlign w:val="center"/>
          </w:tcPr>
          <w:p w14:paraId="24274FA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1328213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058E5F5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41EC873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left w:val="single" w:sz="4" w:space="0" w:color="auto"/>
            </w:tcBorders>
            <w:tcMar>
              <w:top w:w="10" w:type="dxa"/>
              <w:bottom w:w="10" w:type="dxa"/>
            </w:tcMar>
            <w:vAlign w:val="center"/>
          </w:tcPr>
          <w:p w14:paraId="2A0B1C9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0753E89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390F347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175B740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left w:val="single" w:sz="4" w:space="0" w:color="auto"/>
            </w:tcBorders>
            <w:tcMar>
              <w:top w:w="10" w:type="dxa"/>
              <w:bottom w:w="10" w:type="dxa"/>
            </w:tcMar>
            <w:vAlign w:val="center"/>
          </w:tcPr>
          <w:p w14:paraId="2A7EBAA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5ACBACE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52B3F22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5C5DA7C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272F2736" w14:textId="77777777">
        <w:trPr>
          <w:trHeight w:val="20"/>
        </w:trPr>
        <w:tc>
          <w:tcPr>
            <w:tcW w:w="233" w:type="dxa"/>
            <w:tcBorders>
              <w:top w:val="single" w:sz="4" w:space="0" w:color="auto"/>
              <w:left w:val="single" w:sz="4" w:space="0" w:color="auto"/>
            </w:tcBorders>
            <w:tcMar>
              <w:top w:w="10" w:type="dxa"/>
              <w:bottom w:w="10" w:type="dxa"/>
            </w:tcMar>
            <w:vAlign w:val="center"/>
          </w:tcPr>
          <w:p w14:paraId="082E754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17</w:t>
            </w:r>
          </w:p>
        </w:tc>
        <w:tc>
          <w:tcPr>
            <w:tcW w:w="2256" w:type="dxa"/>
            <w:tcBorders>
              <w:top w:val="single" w:sz="4" w:space="0" w:color="auto"/>
              <w:left w:val="single" w:sz="4" w:space="0" w:color="auto"/>
            </w:tcBorders>
            <w:tcMar>
              <w:top w:w="10" w:type="dxa"/>
              <w:bottom w:w="10" w:type="dxa"/>
            </w:tcMar>
            <w:vAlign w:val="center"/>
          </w:tcPr>
          <w:p w14:paraId="79560778" w14:textId="77777777" w:rsidR="006561BA" w:rsidRDefault="005B4ED6">
            <w:pPr>
              <w:widowControl w:val="0"/>
              <w:shd w:val="clear" w:color="auto" w:fill="auto"/>
              <w:spacing w:after="0" w:line="240" w:lineRule="auto"/>
              <w:ind w:left="200"/>
              <w:jc w:val="left"/>
              <w:rPr>
                <w:rFonts w:ascii="Helvetica" w:eastAsia="Arial Unicode MS" w:hAnsi="Helvetica" w:cs="Helvetica"/>
                <w:color w:val="212121"/>
                <w:sz w:val="6"/>
                <w:szCs w:val="6"/>
              </w:rPr>
            </w:pPr>
            <w:r>
              <w:rPr>
                <w:rFonts w:ascii="Helvetica" w:hAnsi="Helvetica"/>
                <w:color w:val="212121"/>
                <w:sz w:val="6"/>
              </w:rPr>
              <w:t>Lån og forskudd</w:t>
            </w:r>
          </w:p>
        </w:tc>
        <w:tc>
          <w:tcPr>
            <w:tcW w:w="315" w:type="dxa"/>
            <w:tcBorders>
              <w:top w:val="single" w:sz="4" w:space="0" w:color="auto"/>
              <w:left w:val="single" w:sz="4" w:space="0" w:color="auto"/>
            </w:tcBorders>
            <w:tcMar>
              <w:top w:w="10" w:type="dxa"/>
              <w:bottom w:w="10" w:type="dxa"/>
            </w:tcMar>
            <w:vAlign w:val="center"/>
          </w:tcPr>
          <w:p w14:paraId="74698F4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10A9E32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607CBCC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2C62845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5A7CE9D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0523688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3A6C9AF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7382C75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7B26DA0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1C87350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0A0947F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2119EDE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7AC95CD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19FC53D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002A2D8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6D20C77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1D91080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5FED0C9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2409E5B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tcBorders>
            <w:tcMar>
              <w:top w:w="10" w:type="dxa"/>
              <w:bottom w:w="10" w:type="dxa"/>
            </w:tcMar>
            <w:vAlign w:val="center"/>
          </w:tcPr>
          <w:p w14:paraId="2ABE489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60F2A72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5803AA7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1FB021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tcBorders>
            <w:tcMar>
              <w:top w:w="10" w:type="dxa"/>
              <w:bottom w:w="10" w:type="dxa"/>
            </w:tcMar>
            <w:vAlign w:val="center"/>
          </w:tcPr>
          <w:p w14:paraId="4308C06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41C98E4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6C64EED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772CC51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0B92DD2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1C3ADF2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198EFD8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1DA03C1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760D529F" w14:textId="77777777">
        <w:trPr>
          <w:trHeight w:val="20"/>
        </w:trPr>
        <w:tc>
          <w:tcPr>
            <w:tcW w:w="233" w:type="dxa"/>
            <w:tcBorders>
              <w:top w:val="single" w:sz="4" w:space="0" w:color="auto"/>
              <w:left w:val="single" w:sz="4" w:space="0" w:color="auto"/>
            </w:tcBorders>
            <w:tcMar>
              <w:top w:w="10" w:type="dxa"/>
              <w:bottom w:w="10" w:type="dxa"/>
            </w:tcMar>
            <w:vAlign w:val="center"/>
          </w:tcPr>
          <w:p w14:paraId="57001410"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18</w:t>
            </w:r>
          </w:p>
        </w:tc>
        <w:tc>
          <w:tcPr>
            <w:tcW w:w="2256" w:type="dxa"/>
            <w:tcBorders>
              <w:top w:val="single" w:sz="4" w:space="0" w:color="auto"/>
              <w:left w:val="single" w:sz="4" w:space="0" w:color="auto"/>
            </w:tcBorders>
            <w:tcMar>
              <w:top w:w="10" w:type="dxa"/>
              <w:bottom w:w="10" w:type="dxa"/>
            </w:tcMar>
            <w:vAlign w:val="center"/>
          </w:tcPr>
          <w:p w14:paraId="390E94A9" w14:textId="77777777" w:rsidR="006561BA" w:rsidRDefault="005B4ED6">
            <w:pPr>
              <w:widowControl w:val="0"/>
              <w:shd w:val="clear" w:color="auto" w:fill="auto"/>
              <w:spacing w:after="0" w:line="240" w:lineRule="auto"/>
              <w:ind w:left="200"/>
              <w:jc w:val="left"/>
              <w:rPr>
                <w:rFonts w:ascii="Helvetica" w:eastAsia="Arial Unicode MS" w:hAnsi="Helvetica" w:cs="Helvetica"/>
                <w:color w:val="212121"/>
                <w:sz w:val="6"/>
                <w:szCs w:val="6"/>
              </w:rPr>
            </w:pPr>
            <w:r>
              <w:rPr>
                <w:rFonts w:ascii="Helvetica" w:hAnsi="Helvetica"/>
                <w:color w:val="212121"/>
                <w:sz w:val="6"/>
              </w:rPr>
              <w:t>Gjeldsinstrumenter, herunder bruk av proveny</w:t>
            </w:r>
          </w:p>
        </w:tc>
        <w:tc>
          <w:tcPr>
            <w:tcW w:w="315" w:type="dxa"/>
            <w:tcBorders>
              <w:top w:val="single" w:sz="4" w:space="0" w:color="auto"/>
              <w:left w:val="single" w:sz="4" w:space="0" w:color="auto"/>
            </w:tcBorders>
            <w:tcMar>
              <w:top w:w="10" w:type="dxa"/>
              <w:bottom w:w="10" w:type="dxa"/>
            </w:tcMar>
            <w:vAlign w:val="center"/>
          </w:tcPr>
          <w:p w14:paraId="7F69F1F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1E751B2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0DA063E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0" w:type="dxa"/>
            <w:tcBorders>
              <w:top w:val="single" w:sz="4" w:space="0" w:color="auto"/>
              <w:left w:val="single" w:sz="4" w:space="0" w:color="auto"/>
            </w:tcBorders>
            <w:tcMar>
              <w:top w:w="10" w:type="dxa"/>
              <w:bottom w:w="10" w:type="dxa"/>
            </w:tcMar>
            <w:vAlign w:val="center"/>
          </w:tcPr>
          <w:p w14:paraId="5D24F3C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4" w:type="dxa"/>
            <w:tcBorders>
              <w:top w:val="single" w:sz="4" w:space="0" w:color="auto"/>
              <w:left w:val="single" w:sz="4" w:space="0" w:color="auto"/>
            </w:tcBorders>
            <w:tcMar>
              <w:top w:w="10" w:type="dxa"/>
              <w:bottom w:w="10" w:type="dxa"/>
            </w:tcMar>
            <w:vAlign w:val="center"/>
          </w:tcPr>
          <w:p w14:paraId="6DA9CE5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right w:val="single" w:sz="4" w:space="0" w:color="auto"/>
            </w:tcBorders>
          </w:tcPr>
          <w:p w14:paraId="265EF69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2427D8A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27AF3C9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08B3152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593EBBB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56B4AA8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6BFE123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5" w:type="dxa"/>
            <w:tcBorders>
              <w:top w:val="single" w:sz="4" w:space="0" w:color="auto"/>
              <w:left w:val="single" w:sz="4" w:space="0" w:color="auto"/>
            </w:tcBorders>
            <w:tcMar>
              <w:top w:w="10" w:type="dxa"/>
              <w:bottom w:w="10" w:type="dxa"/>
            </w:tcMar>
            <w:vAlign w:val="center"/>
          </w:tcPr>
          <w:p w14:paraId="0D0CE14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2" w:type="dxa"/>
            <w:tcBorders>
              <w:top w:val="single" w:sz="4" w:space="0" w:color="auto"/>
              <w:left w:val="single" w:sz="4" w:space="0" w:color="auto"/>
            </w:tcBorders>
            <w:tcMar>
              <w:top w:w="10" w:type="dxa"/>
              <w:bottom w:w="10" w:type="dxa"/>
            </w:tcMar>
            <w:vAlign w:val="center"/>
          </w:tcPr>
          <w:p w14:paraId="422A536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6CCE799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481CB57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106B1F1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7" w:type="dxa"/>
            <w:tcBorders>
              <w:top w:val="single" w:sz="4" w:space="0" w:color="auto"/>
              <w:left w:val="single" w:sz="4" w:space="0" w:color="auto"/>
            </w:tcBorders>
            <w:tcMar>
              <w:top w:w="10" w:type="dxa"/>
              <w:bottom w:w="10" w:type="dxa"/>
            </w:tcMar>
            <w:vAlign w:val="center"/>
          </w:tcPr>
          <w:p w14:paraId="7895061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0818159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4" w:type="dxa"/>
            <w:tcBorders>
              <w:top w:val="single" w:sz="4" w:space="0" w:color="auto"/>
              <w:left w:val="single" w:sz="4" w:space="0" w:color="auto"/>
            </w:tcBorders>
            <w:tcMar>
              <w:top w:w="10" w:type="dxa"/>
              <w:bottom w:w="10" w:type="dxa"/>
            </w:tcMar>
            <w:vAlign w:val="center"/>
          </w:tcPr>
          <w:p w14:paraId="1F0155B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6" w:type="dxa"/>
            <w:tcBorders>
              <w:top w:val="single" w:sz="4" w:space="0" w:color="auto"/>
              <w:left w:val="single" w:sz="4" w:space="0" w:color="auto"/>
            </w:tcBorders>
            <w:tcMar>
              <w:top w:w="10" w:type="dxa"/>
              <w:bottom w:w="10" w:type="dxa"/>
            </w:tcMar>
            <w:vAlign w:val="center"/>
          </w:tcPr>
          <w:p w14:paraId="1141293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0" w:type="dxa"/>
            <w:tcBorders>
              <w:top w:val="single" w:sz="4" w:space="0" w:color="auto"/>
              <w:left w:val="single" w:sz="4" w:space="0" w:color="auto"/>
            </w:tcBorders>
            <w:tcMar>
              <w:top w:w="10" w:type="dxa"/>
              <w:bottom w:w="10" w:type="dxa"/>
            </w:tcMar>
            <w:vAlign w:val="center"/>
          </w:tcPr>
          <w:p w14:paraId="0BD7DD0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7346530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0" w:type="dxa"/>
            <w:tcBorders>
              <w:top w:val="single" w:sz="4" w:space="0" w:color="auto"/>
              <w:left w:val="single" w:sz="4" w:space="0" w:color="auto"/>
            </w:tcBorders>
            <w:tcMar>
              <w:top w:w="10" w:type="dxa"/>
              <w:bottom w:w="10" w:type="dxa"/>
            </w:tcMar>
            <w:vAlign w:val="center"/>
          </w:tcPr>
          <w:p w14:paraId="6BEBB09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88" w:type="dxa"/>
            <w:tcBorders>
              <w:top w:val="single" w:sz="4" w:space="0" w:color="auto"/>
              <w:left w:val="single" w:sz="4" w:space="0" w:color="auto"/>
            </w:tcBorders>
            <w:tcMar>
              <w:top w:w="10" w:type="dxa"/>
              <w:bottom w:w="10" w:type="dxa"/>
            </w:tcMar>
            <w:vAlign w:val="center"/>
          </w:tcPr>
          <w:p w14:paraId="4BE39A7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75A9341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8" w:type="dxa"/>
            <w:tcBorders>
              <w:top w:val="single" w:sz="4" w:space="0" w:color="auto"/>
              <w:left w:val="single" w:sz="4" w:space="0" w:color="auto"/>
            </w:tcBorders>
            <w:tcMar>
              <w:top w:w="10" w:type="dxa"/>
              <w:bottom w:w="10" w:type="dxa"/>
            </w:tcMar>
            <w:vAlign w:val="center"/>
          </w:tcPr>
          <w:p w14:paraId="77417D3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96" w:type="dxa"/>
            <w:tcBorders>
              <w:top w:val="single" w:sz="4" w:space="0" w:color="auto"/>
              <w:left w:val="single" w:sz="4" w:space="0" w:color="auto"/>
            </w:tcBorders>
            <w:tcMar>
              <w:top w:w="10" w:type="dxa"/>
              <w:bottom w:w="10" w:type="dxa"/>
            </w:tcMar>
            <w:vAlign w:val="center"/>
          </w:tcPr>
          <w:p w14:paraId="266EE0F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56" w:type="dxa"/>
            <w:tcBorders>
              <w:top w:val="single" w:sz="4" w:space="0" w:color="auto"/>
              <w:left w:val="single" w:sz="4" w:space="0" w:color="auto"/>
            </w:tcBorders>
            <w:tcMar>
              <w:top w:w="10" w:type="dxa"/>
              <w:bottom w:w="10" w:type="dxa"/>
            </w:tcMar>
            <w:vAlign w:val="center"/>
          </w:tcPr>
          <w:p w14:paraId="06B9EA3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 w:type="dxa"/>
            <w:tcBorders>
              <w:top w:val="single" w:sz="4" w:space="0" w:color="auto"/>
              <w:left w:val="single" w:sz="4" w:space="0" w:color="auto"/>
            </w:tcBorders>
            <w:tcMar>
              <w:top w:w="10" w:type="dxa"/>
              <w:bottom w:w="10" w:type="dxa"/>
            </w:tcMar>
            <w:vAlign w:val="center"/>
          </w:tcPr>
          <w:p w14:paraId="255AB1B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2361B29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64306DB3" w14:textId="77777777">
        <w:trPr>
          <w:trHeight w:val="20"/>
        </w:trPr>
        <w:tc>
          <w:tcPr>
            <w:tcW w:w="233" w:type="dxa"/>
            <w:tcBorders>
              <w:top w:val="single" w:sz="4" w:space="0" w:color="auto"/>
              <w:left w:val="single" w:sz="4" w:space="0" w:color="auto"/>
            </w:tcBorders>
            <w:tcMar>
              <w:top w:w="10" w:type="dxa"/>
              <w:bottom w:w="10" w:type="dxa"/>
            </w:tcMar>
            <w:vAlign w:val="center"/>
          </w:tcPr>
          <w:p w14:paraId="7827A30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19</w:t>
            </w:r>
          </w:p>
        </w:tc>
        <w:tc>
          <w:tcPr>
            <w:tcW w:w="2256" w:type="dxa"/>
            <w:tcBorders>
              <w:top w:val="single" w:sz="4" w:space="0" w:color="auto"/>
              <w:left w:val="single" w:sz="4" w:space="0" w:color="auto"/>
            </w:tcBorders>
            <w:tcMar>
              <w:top w:w="10" w:type="dxa"/>
              <w:bottom w:w="10" w:type="dxa"/>
            </w:tcMar>
            <w:vAlign w:val="center"/>
          </w:tcPr>
          <w:p w14:paraId="23A755AF" w14:textId="77777777" w:rsidR="006561BA" w:rsidRDefault="005B4ED6">
            <w:pPr>
              <w:widowControl w:val="0"/>
              <w:shd w:val="clear" w:color="auto" w:fill="auto"/>
              <w:spacing w:after="0" w:line="240" w:lineRule="auto"/>
              <w:ind w:left="200"/>
              <w:jc w:val="left"/>
              <w:rPr>
                <w:rFonts w:ascii="Helvetica" w:eastAsia="Arial Unicode MS" w:hAnsi="Helvetica" w:cs="Helvetica"/>
                <w:color w:val="212121"/>
                <w:sz w:val="6"/>
                <w:szCs w:val="6"/>
              </w:rPr>
            </w:pPr>
            <w:r>
              <w:rPr>
                <w:rFonts w:ascii="Helvetica" w:hAnsi="Helvetica"/>
                <w:color w:val="212121"/>
                <w:sz w:val="6"/>
              </w:rPr>
              <w:t>Egenkapitalinstrumenter</w:t>
            </w:r>
          </w:p>
        </w:tc>
        <w:tc>
          <w:tcPr>
            <w:tcW w:w="315" w:type="dxa"/>
            <w:tcBorders>
              <w:top w:val="single" w:sz="4" w:space="0" w:color="auto"/>
              <w:left w:val="single" w:sz="4" w:space="0" w:color="auto"/>
            </w:tcBorders>
            <w:tcMar>
              <w:top w:w="10" w:type="dxa"/>
              <w:bottom w:w="10" w:type="dxa"/>
            </w:tcMar>
            <w:vAlign w:val="center"/>
          </w:tcPr>
          <w:p w14:paraId="658EEF5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377FE0F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left w:val="single" w:sz="4" w:space="0" w:color="auto"/>
            </w:tcBorders>
            <w:shd w:val="clear" w:color="auto" w:fill="000000" w:themeFill="text1"/>
            <w:tcMar>
              <w:top w:w="10" w:type="dxa"/>
              <w:bottom w:w="10" w:type="dxa"/>
            </w:tcMar>
            <w:vAlign w:val="center"/>
          </w:tcPr>
          <w:p w14:paraId="3FE6958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0C0383E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7DE74A2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2D144D8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7EEDFC3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shd w:val="clear" w:color="auto" w:fill="000000" w:themeFill="text1"/>
          </w:tcPr>
          <w:p w14:paraId="0AF2C11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1DE5B4C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1054AC4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1B61066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shd w:val="clear" w:color="auto" w:fill="000000" w:themeFill="text1"/>
            <w:tcMar>
              <w:top w:w="10" w:type="dxa"/>
              <w:bottom w:w="10" w:type="dxa"/>
            </w:tcMar>
            <w:vAlign w:val="center"/>
          </w:tcPr>
          <w:p w14:paraId="743FF15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54197DF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7102B9A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10995A1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shd w:val="clear" w:color="auto" w:fill="000000" w:themeFill="text1"/>
            <w:tcMar>
              <w:top w:w="10" w:type="dxa"/>
              <w:bottom w:w="10" w:type="dxa"/>
            </w:tcMar>
            <w:vAlign w:val="center"/>
          </w:tcPr>
          <w:p w14:paraId="662117B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1E97A3A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3A6DB47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1DB092D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left w:val="single" w:sz="4" w:space="0" w:color="auto"/>
            </w:tcBorders>
            <w:shd w:val="clear" w:color="auto" w:fill="000000" w:themeFill="text1"/>
            <w:tcMar>
              <w:top w:w="10" w:type="dxa"/>
              <w:bottom w:w="10" w:type="dxa"/>
            </w:tcMar>
            <w:vAlign w:val="center"/>
          </w:tcPr>
          <w:p w14:paraId="19FF287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6CC1151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4652A00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6AD1AE1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left w:val="single" w:sz="4" w:space="0" w:color="auto"/>
            </w:tcBorders>
            <w:shd w:val="clear" w:color="auto" w:fill="000000" w:themeFill="text1"/>
            <w:tcMar>
              <w:top w:w="10" w:type="dxa"/>
              <w:bottom w:w="10" w:type="dxa"/>
            </w:tcMar>
            <w:vAlign w:val="center"/>
          </w:tcPr>
          <w:p w14:paraId="0911879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008CA69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2EE0DCA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037DEA0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left w:val="single" w:sz="4" w:space="0" w:color="auto"/>
            </w:tcBorders>
            <w:shd w:val="clear" w:color="auto" w:fill="000000" w:themeFill="text1"/>
            <w:tcMar>
              <w:top w:w="10" w:type="dxa"/>
              <w:bottom w:w="10" w:type="dxa"/>
            </w:tcMar>
            <w:vAlign w:val="center"/>
          </w:tcPr>
          <w:p w14:paraId="1088017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4CAC4E0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0939B84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065E214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6F568AB1" w14:textId="77777777">
        <w:trPr>
          <w:trHeight w:val="20"/>
        </w:trPr>
        <w:tc>
          <w:tcPr>
            <w:tcW w:w="233" w:type="dxa"/>
            <w:tcBorders>
              <w:top w:val="single" w:sz="4" w:space="0" w:color="auto"/>
              <w:left w:val="single" w:sz="4" w:space="0" w:color="auto"/>
            </w:tcBorders>
            <w:tcMar>
              <w:top w:w="10" w:type="dxa"/>
              <w:bottom w:w="10" w:type="dxa"/>
            </w:tcMar>
            <w:vAlign w:val="center"/>
          </w:tcPr>
          <w:p w14:paraId="30ED46F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20</w:t>
            </w:r>
          </w:p>
        </w:tc>
        <w:tc>
          <w:tcPr>
            <w:tcW w:w="2256" w:type="dxa"/>
            <w:tcBorders>
              <w:top w:val="single" w:sz="4" w:space="0" w:color="auto"/>
              <w:left w:val="single" w:sz="4" w:space="0" w:color="auto"/>
            </w:tcBorders>
            <w:tcMar>
              <w:top w:w="10" w:type="dxa"/>
              <w:bottom w:w="10" w:type="dxa"/>
            </w:tcMar>
            <w:vAlign w:val="center"/>
          </w:tcPr>
          <w:p w14:paraId="19C94562" w14:textId="77777777" w:rsidR="006561BA" w:rsidRDefault="005B4ED6">
            <w:pPr>
              <w:widowControl w:val="0"/>
              <w:shd w:val="clear" w:color="auto" w:fill="auto"/>
              <w:spacing w:after="0" w:line="240" w:lineRule="auto"/>
              <w:ind w:left="80"/>
              <w:jc w:val="left"/>
              <w:rPr>
                <w:rFonts w:ascii="Helvetica" w:eastAsia="Arial Unicode MS" w:hAnsi="Helvetica" w:cs="Helvetica"/>
                <w:b/>
                <w:color w:val="000000"/>
                <w:sz w:val="6"/>
                <w:szCs w:val="6"/>
              </w:rPr>
            </w:pPr>
            <w:r>
              <w:rPr>
                <w:rFonts w:ascii="Helvetica" w:hAnsi="Helvetica"/>
                <w:b/>
                <w:color w:val="000000"/>
                <w:sz w:val="6"/>
              </w:rPr>
              <w:t>Ikke-finansielle foretak</w:t>
            </w:r>
          </w:p>
        </w:tc>
        <w:tc>
          <w:tcPr>
            <w:tcW w:w="315" w:type="dxa"/>
            <w:tcBorders>
              <w:top w:val="single" w:sz="4" w:space="0" w:color="auto"/>
              <w:left w:val="single" w:sz="4" w:space="0" w:color="auto"/>
            </w:tcBorders>
            <w:tcMar>
              <w:top w:w="10" w:type="dxa"/>
              <w:bottom w:w="10" w:type="dxa"/>
            </w:tcMar>
            <w:vAlign w:val="center"/>
          </w:tcPr>
          <w:p w14:paraId="5977828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58D7BBF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left w:val="single" w:sz="4" w:space="0" w:color="auto"/>
            </w:tcBorders>
            <w:tcMar>
              <w:top w:w="10" w:type="dxa"/>
              <w:bottom w:w="10" w:type="dxa"/>
            </w:tcMar>
            <w:vAlign w:val="center"/>
          </w:tcPr>
          <w:p w14:paraId="6753497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0136972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26507D3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78E18C7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7FD6878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6419796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4052D23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4457362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60C4B25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tcMar>
              <w:top w:w="10" w:type="dxa"/>
              <w:bottom w:w="10" w:type="dxa"/>
            </w:tcMar>
            <w:vAlign w:val="center"/>
          </w:tcPr>
          <w:p w14:paraId="74FB3E7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65998E7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4EFC311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3BF43DD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tcMar>
              <w:top w:w="10" w:type="dxa"/>
              <w:bottom w:w="10" w:type="dxa"/>
            </w:tcMar>
            <w:vAlign w:val="center"/>
          </w:tcPr>
          <w:p w14:paraId="23F5059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09E483A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1E9BFCB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613B61F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left w:val="single" w:sz="4" w:space="0" w:color="auto"/>
            </w:tcBorders>
            <w:tcMar>
              <w:top w:w="10" w:type="dxa"/>
              <w:bottom w:w="10" w:type="dxa"/>
            </w:tcMar>
            <w:vAlign w:val="center"/>
          </w:tcPr>
          <w:p w14:paraId="3E29CD8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64BF29A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14ADFBE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71A5C00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left w:val="single" w:sz="4" w:space="0" w:color="auto"/>
            </w:tcBorders>
            <w:tcMar>
              <w:top w:w="10" w:type="dxa"/>
              <w:bottom w:w="10" w:type="dxa"/>
            </w:tcMar>
            <w:vAlign w:val="center"/>
          </w:tcPr>
          <w:p w14:paraId="7EC3E69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3C711A6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5A0F81A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1FEE4E3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left w:val="single" w:sz="4" w:space="0" w:color="auto"/>
            </w:tcBorders>
            <w:tcMar>
              <w:top w:w="10" w:type="dxa"/>
              <w:bottom w:w="10" w:type="dxa"/>
            </w:tcMar>
            <w:vAlign w:val="center"/>
          </w:tcPr>
          <w:p w14:paraId="143A9C2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27860CD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5CA676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7923D95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31293BAF" w14:textId="77777777">
        <w:trPr>
          <w:trHeight w:val="20"/>
        </w:trPr>
        <w:tc>
          <w:tcPr>
            <w:tcW w:w="233" w:type="dxa"/>
            <w:tcBorders>
              <w:top w:val="single" w:sz="4" w:space="0" w:color="auto"/>
              <w:left w:val="single" w:sz="4" w:space="0" w:color="auto"/>
            </w:tcBorders>
            <w:tcMar>
              <w:top w:w="10" w:type="dxa"/>
              <w:bottom w:w="10" w:type="dxa"/>
            </w:tcMar>
            <w:vAlign w:val="center"/>
          </w:tcPr>
          <w:p w14:paraId="6613944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21</w:t>
            </w:r>
          </w:p>
        </w:tc>
        <w:tc>
          <w:tcPr>
            <w:tcW w:w="2256" w:type="dxa"/>
            <w:tcBorders>
              <w:top w:val="single" w:sz="4" w:space="0" w:color="auto"/>
              <w:left w:val="single" w:sz="4" w:space="0" w:color="auto"/>
            </w:tcBorders>
            <w:tcMar>
              <w:top w:w="10" w:type="dxa"/>
              <w:bottom w:w="10" w:type="dxa"/>
            </w:tcMar>
            <w:vAlign w:val="center"/>
          </w:tcPr>
          <w:p w14:paraId="182C1188" w14:textId="77777777" w:rsidR="006561BA" w:rsidRDefault="005B4ED6">
            <w:pPr>
              <w:widowControl w:val="0"/>
              <w:shd w:val="clear" w:color="auto" w:fill="auto"/>
              <w:spacing w:after="0" w:line="240" w:lineRule="auto"/>
              <w:ind w:left="164"/>
              <w:jc w:val="left"/>
              <w:rPr>
                <w:rFonts w:ascii="Helvetica" w:eastAsia="Arial Unicode MS" w:hAnsi="Helvetica" w:cs="Helvetica"/>
                <w:color w:val="212121"/>
                <w:sz w:val="6"/>
                <w:szCs w:val="6"/>
              </w:rPr>
            </w:pPr>
            <w:r>
              <w:rPr>
                <w:rFonts w:ascii="Helvetica" w:hAnsi="Helvetica"/>
                <w:color w:val="212121"/>
                <w:sz w:val="6"/>
              </w:rPr>
              <w:t>Lån og forskudd</w:t>
            </w:r>
          </w:p>
        </w:tc>
        <w:tc>
          <w:tcPr>
            <w:tcW w:w="315" w:type="dxa"/>
            <w:tcBorders>
              <w:top w:val="single" w:sz="4" w:space="0" w:color="auto"/>
              <w:left w:val="single" w:sz="4" w:space="0" w:color="auto"/>
            </w:tcBorders>
            <w:tcMar>
              <w:top w:w="10" w:type="dxa"/>
              <w:bottom w:w="10" w:type="dxa"/>
            </w:tcMar>
            <w:vAlign w:val="center"/>
          </w:tcPr>
          <w:p w14:paraId="6DA9488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1251214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4D75F1A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40C4D6E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5A764FF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07E57E1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0A23BC6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1800B40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6E0687B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0B91734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65FFADE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1CBE50B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4C2BCE0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478CCAC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7F4CDA8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42689F3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42B1257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20F67B2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2ADF60D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tcBorders>
            <w:tcMar>
              <w:top w:w="10" w:type="dxa"/>
              <w:bottom w:w="10" w:type="dxa"/>
            </w:tcMar>
            <w:vAlign w:val="center"/>
          </w:tcPr>
          <w:p w14:paraId="56939BA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77C75DA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3661103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44B8A0B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tcBorders>
            <w:tcMar>
              <w:top w:w="10" w:type="dxa"/>
              <w:bottom w:w="10" w:type="dxa"/>
            </w:tcMar>
            <w:vAlign w:val="center"/>
          </w:tcPr>
          <w:p w14:paraId="79FB75C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3EE274E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10AC073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329D39B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54BB396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2D96192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724FED3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7F4C677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22F87322" w14:textId="77777777">
        <w:trPr>
          <w:trHeight w:val="20"/>
        </w:trPr>
        <w:tc>
          <w:tcPr>
            <w:tcW w:w="233" w:type="dxa"/>
            <w:tcBorders>
              <w:top w:val="single" w:sz="4" w:space="0" w:color="auto"/>
              <w:left w:val="single" w:sz="4" w:space="0" w:color="auto"/>
            </w:tcBorders>
            <w:tcMar>
              <w:top w:w="10" w:type="dxa"/>
              <w:bottom w:w="10" w:type="dxa"/>
            </w:tcMar>
            <w:vAlign w:val="center"/>
          </w:tcPr>
          <w:p w14:paraId="15E3762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22</w:t>
            </w:r>
          </w:p>
        </w:tc>
        <w:tc>
          <w:tcPr>
            <w:tcW w:w="2256" w:type="dxa"/>
            <w:tcBorders>
              <w:top w:val="single" w:sz="4" w:space="0" w:color="auto"/>
              <w:left w:val="single" w:sz="4" w:space="0" w:color="auto"/>
            </w:tcBorders>
            <w:tcMar>
              <w:top w:w="10" w:type="dxa"/>
              <w:bottom w:w="10" w:type="dxa"/>
            </w:tcMar>
            <w:vAlign w:val="center"/>
          </w:tcPr>
          <w:p w14:paraId="52378363" w14:textId="77777777" w:rsidR="006561BA" w:rsidRDefault="005B4ED6">
            <w:pPr>
              <w:widowControl w:val="0"/>
              <w:shd w:val="clear" w:color="auto" w:fill="auto"/>
              <w:spacing w:after="0" w:line="240" w:lineRule="auto"/>
              <w:ind w:left="164"/>
              <w:jc w:val="left"/>
              <w:rPr>
                <w:rFonts w:ascii="Helvetica" w:eastAsia="Arial Unicode MS" w:hAnsi="Helvetica" w:cs="Helvetica"/>
                <w:color w:val="212121"/>
                <w:sz w:val="6"/>
                <w:szCs w:val="6"/>
              </w:rPr>
            </w:pPr>
            <w:r>
              <w:rPr>
                <w:rFonts w:ascii="Helvetica" w:hAnsi="Helvetica"/>
                <w:color w:val="212121"/>
                <w:sz w:val="6"/>
              </w:rPr>
              <w:t>Gjeldsinstrumenter, herunder bruk av proveny</w:t>
            </w:r>
          </w:p>
        </w:tc>
        <w:tc>
          <w:tcPr>
            <w:tcW w:w="315" w:type="dxa"/>
            <w:tcBorders>
              <w:top w:val="single" w:sz="4" w:space="0" w:color="auto"/>
              <w:left w:val="single" w:sz="4" w:space="0" w:color="auto"/>
            </w:tcBorders>
            <w:tcMar>
              <w:top w:w="10" w:type="dxa"/>
              <w:bottom w:w="10" w:type="dxa"/>
            </w:tcMar>
            <w:vAlign w:val="center"/>
          </w:tcPr>
          <w:p w14:paraId="36B85E0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59FC366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3BC074B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0" w:type="dxa"/>
            <w:tcBorders>
              <w:top w:val="single" w:sz="4" w:space="0" w:color="auto"/>
              <w:left w:val="single" w:sz="4" w:space="0" w:color="auto"/>
            </w:tcBorders>
            <w:tcMar>
              <w:top w:w="10" w:type="dxa"/>
              <w:bottom w:w="10" w:type="dxa"/>
            </w:tcMar>
            <w:vAlign w:val="center"/>
          </w:tcPr>
          <w:p w14:paraId="614AAC7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4" w:type="dxa"/>
            <w:tcBorders>
              <w:top w:val="single" w:sz="4" w:space="0" w:color="auto"/>
              <w:left w:val="single" w:sz="4" w:space="0" w:color="auto"/>
            </w:tcBorders>
            <w:tcMar>
              <w:top w:w="10" w:type="dxa"/>
              <w:bottom w:w="10" w:type="dxa"/>
            </w:tcMar>
            <w:vAlign w:val="center"/>
          </w:tcPr>
          <w:p w14:paraId="08C7CB4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right w:val="single" w:sz="4" w:space="0" w:color="auto"/>
            </w:tcBorders>
          </w:tcPr>
          <w:p w14:paraId="73CDCEB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3980023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7EE2F48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63CC412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2DED3CA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013DB72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37A91CA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5" w:type="dxa"/>
            <w:tcBorders>
              <w:top w:val="single" w:sz="4" w:space="0" w:color="auto"/>
              <w:left w:val="single" w:sz="4" w:space="0" w:color="auto"/>
            </w:tcBorders>
            <w:tcMar>
              <w:top w:w="10" w:type="dxa"/>
              <w:bottom w:w="10" w:type="dxa"/>
            </w:tcMar>
            <w:vAlign w:val="center"/>
          </w:tcPr>
          <w:p w14:paraId="6DBC19D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2" w:type="dxa"/>
            <w:tcBorders>
              <w:top w:val="single" w:sz="4" w:space="0" w:color="auto"/>
              <w:left w:val="single" w:sz="4" w:space="0" w:color="auto"/>
            </w:tcBorders>
            <w:tcMar>
              <w:top w:w="10" w:type="dxa"/>
              <w:bottom w:w="10" w:type="dxa"/>
            </w:tcMar>
            <w:vAlign w:val="center"/>
          </w:tcPr>
          <w:p w14:paraId="6437373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354F614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415492A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648AD5A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7" w:type="dxa"/>
            <w:tcBorders>
              <w:top w:val="single" w:sz="4" w:space="0" w:color="auto"/>
              <w:left w:val="single" w:sz="4" w:space="0" w:color="auto"/>
            </w:tcBorders>
            <w:tcMar>
              <w:top w:w="10" w:type="dxa"/>
              <w:bottom w:w="10" w:type="dxa"/>
            </w:tcMar>
            <w:vAlign w:val="center"/>
          </w:tcPr>
          <w:p w14:paraId="3D3432D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168FA95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4" w:type="dxa"/>
            <w:tcBorders>
              <w:top w:val="single" w:sz="4" w:space="0" w:color="auto"/>
              <w:left w:val="single" w:sz="4" w:space="0" w:color="auto"/>
            </w:tcBorders>
            <w:tcMar>
              <w:top w:w="10" w:type="dxa"/>
              <w:bottom w:w="10" w:type="dxa"/>
            </w:tcMar>
            <w:vAlign w:val="center"/>
          </w:tcPr>
          <w:p w14:paraId="206047C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6" w:type="dxa"/>
            <w:tcBorders>
              <w:top w:val="single" w:sz="4" w:space="0" w:color="auto"/>
              <w:left w:val="single" w:sz="4" w:space="0" w:color="auto"/>
            </w:tcBorders>
            <w:tcMar>
              <w:top w:w="10" w:type="dxa"/>
              <w:bottom w:w="10" w:type="dxa"/>
            </w:tcMar>
            <w:vAlign w:val="center"/>
          </w:tcPr>
          <w:p w14:paraId="28AE304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0" w:type="dxa"/>
            <w:tcBorders>
              <w:top w:val="single" w:sz="4" w:space="0" w:color="auto"/>
              <w:left w:val="single" w:sz="4" w:space="0" w:color="auto"/>
            </w:tcBorders>
            <w:tcMar>
              <w:top w:w="10" w:type="dxa"/>
              <w:bottom w:w="10" w:type="dxa"/>
            </w:tcMar>
            <w:vAlign w:val="center"/>
          </w:tcPr>
          <w:p w14:paraId="3D7DDF5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20EEE40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0" w:type="dxa"/>
            <w:tcBorders>
              <w:top w:val="single" w:sz="4" w:space="0" w:color="auto"/>
              <w:left w:val="single" w:sz="4" w:space="0" w:color="auto"/>
            </w:tcBorders>
            <w:tcMar>
              <w:top w:w="10" w:type="dxa"/>
              <w:bottom w:w="10" w:type="dxa"/>
            </w:tcMar>
            <w:vAlign w:val="center"/>
          </w:tcPr>
          <w:p w14:paraId="07ADBF7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88" w:type="dxa"/>
            <w:tcBorders>
              <w:top w:val="single" w:sz="4" w:space="0" w:color="auto"/>
              <w:left w:val="single" w:sz="4" w:space="0" w:color="auto"/>
            </w:tcBorders>
            <w:tcMar>
              <w:top w:w="10" w:type="dxa"/>
              <w:bottom w:w="10" w:type="dxa"/>
            </w:tcMar>
            <w:vAlign w:val="center"/>
          </w:tcPr>
          <w:p w14:paraId="2F96646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3795F9F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8" w:type="dxa"/>
            <w:tcBorders>
              <w:top w:val="single" w:sz="4" w:space="0" w:color="auto"/>
              <w:left w:val="single" w:sz="4" w:space="0" w:color="auto"/>
            </w:tcBorders>
            <w:tcMar>
              <w:top w:w="10" w:type="dxa"/>
              <w:bottom w:w="10" w:type="dxa"/>
            </w:tcMar>
            <w:vAlign w:val="center"/>
          </w:tcPr>
          <w:p w14:paraId="0FA4387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96" w:type="dxa"/>
            <w:tcBorders>
              <w:top w:val="single" w:sz="4" w:space="0" w:color="auto"/>
              <w:left w:val="single" w:sz="4" w:space="0" w:color="auto"/>
            </w:tcBorders>
            <w:tcMar>
              <w:top w:w="10" w:type="dxa"/>
              <w:bottom w:w="10" w:type="dxa"/>
            </w:tcMar>
            <w:vAlign w:val="center"/>
          </w:tcPr>
          <w:p w14:paraId="2A166FF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56" w:type="dxa"/>
            <w:tcBorders>
              <w:top w:val="single" w:sz="4" w:space="0" w:color="auto"/>
              <w:left w:val="single" w:sz="4" w:space="0" w:color="auto"/>
            </w:tcBorders>
            <w:tcMar>
              <w:top w:w="10" w:type="dxa"/>
              <w:bottom w:w="10" w:type="dxa"/>
            </w:tcMar>
            <w:vAlign w:val="center"/>
          </w:tcPr>
          <w:p w14:paraId="39D1341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 w:type="dxa"/>
            <w:tcBorders>
              <w:top w:val="single" w:sz="4" w:space="0" w:color="auto"/>
              <w:left w:val="single" w:sz="4" w:space="0" w:color="auto"/>
            </w:tcBorders>
            <w:tcMar>
              <w:top w:w="10" w:type="dxa"/>
              <w:bottom w:w="10" w:type="dxa"/>
            </w:tcMar>
            <w:vAlign w:val="center"/>
          </w:tcPr>
          <w:p w14:paraId="29C7168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55B885F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5AE3BCC0" w14:textId="77777777">
        <w:trPr>
          <w:trHeight w:val="20"/>
        </w:trPr>
        <w:tc>
          <w:tcPr>
            <w:tcW w:w="233" w:type="dxa"/>
            <w:tcBorders>
              <w:top w:val="single" w:sz="4" w:space="0" w:color="auto"/>
              <w:left w:val="single" w:sz="4" w:space="0" w:color="auto"/>
            </w:tcBorders>
            <w:tcMar>
              <w:top w:w="10" w:type="dxa"/>
              <w:bottom w:w="10" w:type="dxa"/>
            </w:tcMar>
            <w:vAlign w:val="center"/>
          </w:tcPr>
          <w:p w14:paraId="3065926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23</w:t>
            </w:r>
          </w:p>
        </w:tc>
        <w:tc>
          <w:tcPr>
            <w:tcW w:w="2256" w:type="dxa"/>
            <w:tcBorders>
              <w:top w:val="single" w:sz="4" w:space="0" w:color="auto"/>
              <w:left w:val="single" w:sz="4" w:space="0" w:color="auto"/>
            </w:tcBorders>
            <w:tcMar>
              <w:top w:w="10" w:type="dxa"/>
              <w:bottom w:w="10" w:type="dxa"/>
            </w:tcMar>
            <w:vAlign w:val="center"/>
          </w:tcPr>
          <w:p w14:paraId="43AD6177" w14:textId="77777777" w:rsidR="006561BA" w:rsidRDefault="005B4ED6">
            <w:pPr>
              <w:widowControl w:val="0"/>
              <w:shd w:val="clear" w:color="auto" w:fill="auto"/>
              <w:spacing w:after="0" w:line="240" w:lineRule="auto"/>
              <w:ind w:left="164"/>
              <w:jc w:val="left"/>
              <w:rPr>
                <w:rFonts w:ascii="Helvetica" w:eastAsia="Arial Unicode MS" w:hAnsi="Helvetica" w:cs="Helvetica"/>
                <w:color w:val="212121"/>
                <w:sz w:val="6"/>
                <w:szCs w:val="6"/>
              </w:rPr>
            </w:pPr>
            <w:r>
              <w:rPr>
                <w:rFonts w:ascii="Helvetica" w:hAnsi="Helvetica"/>
                <w:color w:val="212121"/>
                <w:sz w:val="6"/>
              </w:rPr>
              <w:t>Egenkapitalinstrumenter</w:t>
            </w:r>
          </w:p>
        </w:tc>
        <w:tc>
          <w:tcPr>
            <w:tcW w:w="315" w:type="dxa"/>
            <w:tcBorders>
              <w:top w:val="single" w:sz="4" w:space="0" w:color="auto"/>
              <w:left w:val="single" w:sz="4" w:space="0" w:color="auto"/>
            </w:tcBorders>
            <w:tcMar>
              <w:top w:w="10" w:type="dxa"/>
              <w:bottom w:w="10" w:type="dxa"/>
            </w:tcMar>
            <w:vAlign w:val="center"/>
          </w:tcPr>
          <w:p w14:paraId="6D80DDF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03D0D88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left w:val="single" w:sz="4" w:space="0" w:color="auto"/>
            </w:tcBorders>
            <w:shd w:val="clear" w:color="auto" w:fill="000000" w:themeFill="text1"/>
            <w:tcMar>
              <w:top w:w="10" w:type="dxa"/>
              <w:bottom w:w="10" w:type="dxa"/>
            </w:tcMar>
            <w:vAlign w:val="center"/>
          </w:tcPr>
          <w:p w14:paraId="7E0F6DB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30F0C19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1F3EF1F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tcPr>
          <w:p w14:paraId="4CD4F76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tcBorders>
          </w:tcPr>
          <w:p w14:paraId="21241B7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tcBorders>
            <w:shd w:val="clear" w:color="auto" w:fill="000000" w:themeFill="text1"/>
          </w:tcPr>
          <w:p w14:paraId="013F419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tcBorders>
          </w:tcPr>
          <w:p w14:paraId="72C2D8C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3803FFC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0C772E8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shd w:val="clear" w:color="auto" w:fill="000000" w:themeFill="text1"/>
            <w:tcMar>
              <w:top w:w="10" w:type="dxa"/>
              <w:bottom w:w="10" w:type="dxa"/>
            </w:tcMar>
            <w:vAlign w:val="center"/>
          </w:tcPr>
          <w:p w14:paraId="53400F3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tcBorders>
            <w:tcMar>
              <w:top w:w="10" w:type="dxa"/>
              <w:bottom w:w="10" w:type="dxa"/>
            </w:tcMar>
            <w:vAlign w:val="center"/>
          </w:tcPr>
          <w:p w14:paraId="5B9375B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43188A3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1F7AF61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shd w:val="clear" w:color="auto" w:fill="000000" w:themeFill="text1"/>
            <w:tcMar>
              <w:top w:w="10" w:type="dxa"/>
              <w:bottom w:w="10" w:type="dxa"/>
            </w:tcMar>
            <w:vAlign w:val="center"/>
          </w:tcPr>
          <w:p w14:paraId="4B3F73D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5C4D0F9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135C356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53797B9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shd w:val="clear" w:color="auto" w:fill="000000" w:themeFill="text1"/>
            <w:tcMar>
              <w:top w:w="10" w:type="dxa"/>
              <w:bottom w:w="10" w:type="dxa"/>
            </w:tcMar>
            <w:vAlign w:val="center"/>
          </w:tcPr>
          <w:p w14:paraId="768670F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tcBorders>
            <w:tcMar>
              <w:top w:w="10" w:type="dxa"/>
              <w:bottom w:w="10" w:type="dxa"/>
            </w:tcMar>
            <w:vAlign w:val="center"/>
          </w:tcPr>
          <w:p w14:paraId="1EA9C22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7189173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334CB82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shd w:val="clear" w:color="auto" w:fill="000000" w:themeFill="text1"/>
            <w:tcMar>
              <w:top w:w="10" w:type="dxa"/>
              <w:bottom w:w="10" w:type="dxa"/>
            </w:tcMar>
            <w:vAlign w:val="center"/>
          </w:tcPr>
          <w:p w14:paraId="21409C5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tcBorders>
            <w:tcMar>
              <w:top w:w="10" w:type="dxa"/>
              <w:bottom w:w="10" w:type="dxa"/>
            </w:tcMar>
            <w:vAlign w:val="center"/>
          </w:tcPr>
          <w:p w14:paraId="46BA5A9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7633554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2A5ABA7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left w:val="single" w:sz="4" w:space="0" w:color="auto"/>
            </w:tcBorders>
            <w:shd w:val="clear" w:color="auto" w:fill="000000" w:themeFill="text1"/>
            <w:tcMar>
              <w:top w:w="10" w:type="dxa"/>
              <w:bottom w:w="10" w:type="dxa"/>
            </w:tcMar>
            <w:vAlign w:val="center"/>
          </w:tcPr>
          <w:p w14:paraId="75B039E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04A92DA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694838A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12B23D3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5B954971" w14:textId="77777777">
        <w:trPr>
          <w:trHeight w:val="20"/>
        </w:trPr>
        <w:tc>
          <w:tcPr>
            <w:tcW w:w="233" w:type="dxa"/>
            <w:tcBorders>
              <w:top w:val="single" w:sz="4" w:space="0" w:color="auto"/>
              <w:left w:val="single" w:sz="4" w:space="0" w:color="auto"/>
            </w:tcBorders>
            <w:tcMar>
              <w:top w:w="10" w:type="dxa"/>
              <w:bottom w:w="10" w:type="dxa"/>
            </w:tcMar>
            <w:vAlign w:val="center"/>
          </w:tcPr>
          <w:p w14:paraId="6DCCF40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24</w:t>
            </w:r>
          </w:p>
        </w:tc>
        <w:tc>
          <w:tcPr>
            <w:tcW w:w="2256" w:type="dxa"/>
            <w:tcBorders>
              <w:top w:val="single" w:sz="4" w:space="0" w:color="auto"/>
              <w:left w:val="single" w:sz="4" w:space="0" w:color="auto"/>
            </w:tcBorders>
            <w:tcMar>
              <w:top w:w="10" w:type="dxa"/>
              <w:bottom w:w="10" w:type="dxa"/>
            </w:tcMar>
            <w:vAlign w:val="center"/>
          </w:tcPr>
          <w:p w14:paraId="6ABBA2E9" w14:textId="77777777" w:rsidR="006561BA" w:rsidRDefault="005B4ED6">
            <w:pPr>
              <w:widowControl w:val="0"/>
              <w:shd w:val="clear" w:color="auto" w:fill="auto"/>
              <w:spacing w:after="0" w:line="240" w:lineRule="auto"/>
              <w:ind w:left="80"/>
              <w:jc w:val="left"/>
              <w:rPr>
                <w:rFonts w:ascii="Helvetica" w:eastAsia="Arial Unicode MS" w:hAnsi="Helvetica" w:cs="Helvetica"/>
                <w:b/>
                <w:color w:val="000000"/>
                <w:sz w:val="6"/>
                <w:szCs w:val="6"/>
              </w:rPr>
            </w:pPr>
            <w:r>
              <w:rPr>
                <w:rFonts w:ascii="Helvetica" w:hAnsi="Helvetica"/>
                <w:b/>
                <w:color w:val="000000"/>
                <w:sz w:val="6"/>
              </w:rPr>
              <w:t>Husholdninger</w:t>
            </w:r>
          </w:p>
        </w:tc>
        <w:tc>
          <w:tcPr>
            <w:tcW w:w="315" w:type="dxa"/>
            <w:tcBorders>
              <w:top w:val="single" w:sz="4" w:space="0" w:color="auto"/>
              <w:left w:val="single" w:sz="4" w:space="0" w:color="auto"/>
            </w:tcBorders>
            <w:tcMar>
              <w:top w:w="10" w:type="dxa"/>
              <w:bottom w:w="10" w:type="dxa"/>
            </w:tcMar>
            <w:vAlign w:val="center"/>
          </w:tcPr>
          <w:p w14:paraId="3B65BF2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4963145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left w:val="single" w:sz="4" w:space="0" w:color="auto"/>
            </w:tcBorders>
            <w:tcMar>
              <w:top w:w="10" w:type="dxa"/>
              <w:bottom w:w="10" w:type="dxa"/>
            </w:tcMar>
            <w:vAlign w:val="center"/>
          </w:tcPr>
          <w:p w14:paraId="790FE08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7126CC6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right w:val="single" w:sz="4" w:space="0" w:color="auto"/>
            </w:tcBorders>
            <w:tcMar>
              <w:top w:w="10" w:type="dxa"/>
              <w:bottom w:w="10" w:type="dxa"/>
            </w:tcMar>
            <w:vAlign w:val="center"/>
          </w:tcPr>
          <w:p w14:paraId="787D62D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tcPr>
          <w:p w14:paraId="7D44B11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tcPr>
          <w:p w14:paraId="4F4A65A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tcPr>
          <w:p w14:paraId="742A3DE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tcPr>
          <w:p w14:paraId="13950A3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left w:val="single" w:sz="4" w:space="0" w:color="auto"/>
            </w:tcBorders>
            <w:shd w:val="clear" w:color="auto" w:fill="000000" w:themeFill="text1"/>
            <w:tcMar>
              <w:top w:w="10" w:type="dxa"/>
              <w:bottom w:w="10" w:type="dxa"/>
            </w:tcMar>
            <w:vAlign w:val="center"/>
          </w:tcPr>
          <w:p w14:paraId="57B6281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shd w:val="clear" w:color="auto" w:fill="000000" w:themeFill="text1"/>
            <w:tcMar>
              <w:top w:w="10" w:type="dxa"/>
              <w:bottom w:w="10" w:type="dxa"/>
            </w:tcMar>
            <w:vAlign w:val="center"/>
          </w:tcPr>
          <w:p w14:paraId="022DC09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shd w:val="clear" w:color="auto" w:fill="000000" w:themeFill="text1"/>
            <w:tcMar>
              <w:top w:w="10" w:type="dxa"/>
              <w:bottom w:w="10" w:type="dxa"/>
            </w:tcMar>
            <w:vAlign w:val="center"/>
          </w:tcPr>
          <w:p w14:paraId="30425BD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shd w:val="clear" w:color="auto" w:fill="000000" w:themeFill="text1"/>
            <w:tcMar>
              <w:top w:w="10" w:type="dxa"/>
              <w:bottom w:w="10" w:type="dxa"/>
            </w:tcMar>
            <w:vAlign w:val="center"/>
          </w:tcPr>
          <w:p w14:paraId="7CC9172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tcBorders>
            <w:tcMar>
              <w:top w:w="10" w:type="dxa"/>
              <w:bottom w:w="10" w:type="dxa"/>
            </w:tcMar>
            <w:vAlign w:val="center"/>
          </w:tcPr>
          <w:p w14:paraId="498AF74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733E632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tcMar>
              <w:top w:w="10" w:type="dxa"/>
              <w:bottom w:w="10" w:type="dxa"/>
            </w:tcMar>
            <w:vAlign w:val="center"/>
          </w:tcPr>
          <w:p w14:paraId="3B6E6D4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16638AA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shd w:val="clear" w:color="auto" w:fill="000000" w:themeFill="text1"/>
            <w:tcMar>
              <w:top w:w="10" w:type="dxa"/>
              <w:bottom w:w="10" w:type="dxa"/>
            </w:tcMar>
            <w:vAlign w:val="center"/>
          </w:tcPr>
          <w:p w14:paraId="03C9CE5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shd w:val="clear" w:color="auto" w:fill="000000" w:themeFill="text1"/>
            <w:tcMar>
              <w:top w:w="10" w:type="dxa"/>
              <w:bottom w:w="10" w:type="dxa"/>
            </w:tcMar>
            <w:vAlign w:val="center"/>
          </w:tcPr>
          <w:p w14:paraId="6FFD3AD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shd w:val="clear" w:color="auto" w:fill="000000" w:themeFill="text1"/>
            <w:tcMar>
              <w:top w:w="10" w:type="dxa"/>
              <w:bottom w:w="10" w:type="dxa"/>
            </w:tcMar>
            <w:vAlign w:val="center"/>
          </w:tcPr>
          <w:p w14:paraId="60C636A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shd w:val="clear" w:color="auto" w:fill="000000" w:themeFill="text1"/>
            <w:tcMar>
              <w:top w:w="10" w:type="dxa"/>
              <w:bottom w:w="10" w:type="dxa"/>
            </w:tcMar>
            <w:vAlign w:val="center"/>
          </w:tcPr>
          <w:p w14:paraId="2F2B462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shd w:val="clear" w:color="auto" w:fill="000000" w:themeFill="text1"/>
            <w:tcMar>
              <w:top w:w="10" w:type="dxa"/>
              <w:bottom w:w="10" w:type="dxa"/>
            </w:tcMar>
            <w:vAlign w:val="center"/>
          </w:tcPr>
          <w:p w14:paraId="2A2F742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shd w:val="clear" w:color="auto" w:fill="000000" w:themeFill="text1"/>
            <w:tcMar>
              <w:top w:w="10" w:type="dxa"/>
              <w:bottom w:w="10" w:type="dxa"/>
            </w:tcMar>
            <w:vAlign w:val="center"/>
          </w:tcPr>
          <w:p w14:paraId="7987CD2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shd w:val="clear" w:color="auto" w:fill="000000" w:themeFill="text1"/>
            <w:tcMar>
              <w:top w:w="10" w:type="dxa"/>
              <w:bottom w:w="10" w:type="dxa"/>
            </w:tcMar>
            <w:vAlign w:val="center"/>
          </w:tcPr>
          <w:p w14:paraId="69D6ABA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shd w:val="clear" w:color="auto" w:fill="000000" w:themeFill="text1"/>
            <w:tcMar>
              <w:top w:w="10" w:type="dxa"/>
              <w:bottom w:w="10" w:type="dxa"/>
            </w:tcMar>
            <w:vAlign w:val="center"/>
          </w:tcPr>
          <w:p w14:paraId="6B843F5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tcBorders>
            <w:tcMar>
              <w:top w:w="10" w:type="dxa"/>
              <w:bottom w:w="10" w:type="dxa"/>
            </w:tcMar>
            <w:vAlign w:val="center"/>
          </w:tcPr>
          <w:p w14:paraId="4B7F01B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62718EF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left w:val="single" w:sz="4" w:space="0" w:color="auto"/>
            </w:tcBorders>
            <w:tcMar>
              <w:top w:w="10" w:type="dxa"/>
              <w:bottom w:w="10" w:type="dxa"/>
            </w:tcMar>
            <w:vAlign w:val="center"/>
          </w:tcPr>
          <w:p w14:paraId="398575A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4FFECFF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7D7E450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702BCE4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5F8E2719" w14:textId="77777777">
        <w:trPr>
          <w:trHeight w:val="20"/>
        </w:trPr>
        <w:tc>
          <w:tcPr>
            <w:tcW w:w="233" w:type="dxa"/>
            <w:tcBorders>
              <w:top w:val="single" w:sz="4" w:space="0" w:color="auto"/>
              <w:left w:val="single" w:sz="4" w:space="0" w:color="auto"/>
            </w:tcBorders>
            <w:tcMar>
              <w:top w:w="10" w:type="dxa"/>
              <w:bottom w:w="10" w:type="dxa"/>
            </w:tcMar>
            <w:vAlign w:val="center"/>
          </w:tcPr>
          <w:p w14:paraId="092F513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25</w:t>
            </w:r>
          </w:p>
        </w:tc>
        <w:tc>
          <w:tcPr>
            <w:tcW w:w="2256" w:type="dxa"/>
            <w:tcBorders>
              <w:top w:val="single" w:sz="4" w:space="0" w:color="auto"/>
              <w:left w:val="single" w:sz="4" w:space="0" w:color="auto"/>
            </w:tcBorders>
            <w:tcMar>
              <w:top w:w="10" w:type="dxa"/>
              <w:bottom w:w="10" w:type="dxa"/>
            </w:tcMar>
            <w:vAlign w:val="center"/>
          </w:tcPr>
          <w:p w14:paraId="774A6FCE" w14:textId="77777777" w:rsidR="006561BA" w:rsidRDefault="005B4ED6">
            <w:pPr>
              <w:widowControl w:val="0"/>
              <w:shd w:val="clear" w:color="auto" w:fill="auto"/>
              <w:spacing w:after="0" w:line="240" w:lineRule="auto"/>
              <w:ind w:left="164"/>
              <w:jc w:val="left"/>
              <w:rPr>
                <w:rFonts w:ascii="Helvetica" w:eastAsia="Arial Unicode MS" w:hAnsi="Helvetica" w:cs="Helvetica"/>
                <w:color w:val="212121"/>
                <w:sz w:val="6"/>
                <w:szCs w:val="6"/>
              </w:rPr>
            </w:pPr>
            <w:r>
              <w:rPr>
                <w:rFonts w:ascii="Helvetica" w:hAnsi="Helvetica"/>
                <w:color w:val="212121"/>
                <w:sz w:val="6"/>
              </w:rPr>
              <w:t>hvorav lån med sikkerhet i boligeiendommer</w:t>
            </w:r>
          </w:p>
        </w:tc>
        <w:tc>
          <w:tcPr>
            <w:tcW w:w="315" w:type="dxa"/>
            <w:tcBorders>
              <w:top w:val="single" w:sz="4" w:space="0" w:color="auto"/>
              <w:left w:val="single" w:sz="4" w:space="0" w:color="auto"/>
            </w:tcBorders>
            <w:tcMar>
              <w:top w:w="10" w:type="dxa"/>
              <w:bottom w:w="10" w:type="dxa"/>
            </w:tcMar>
            <w:vAlign w:val="center"/>
          </w:tcPr>
          <w:p w14:paraId="7DB03C1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6CFDAA0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5A71860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0" w:type="dxa"/>
            <w:tcBorders>
              <w:top w:val="single" w:sz="4" w:space="0" w:color="auto"/>
              <w:left w:val="single" w:sz="4" w:space="0" w:color="auto"/>
            </w:tcBorders>
            <w:tcMar>
              <w:top w:w="10" w:type="dxa"/>
              <w:bottom w:w="10" w:type="dxa"/>
            </w:tcMar>
            <w:vAlign w:val="center"/>
          </w:tcPr>
          <w:p w14:paraId="502F4AC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4" w:type="dxa"/>
            <w:tcBorders>
              <w:top w:val="single" w:sz="4" w:space="0" w:color="auto"/>
              <w:left w:val="single" w:sz="4" w:space="0" w:color="auto"/>
              <w:right w:val="single" w:sz="4" w:space="0" w:color="auto"/>
            </w:tcBorders>
            <w:tcMar>
              <w:top w:w="10" w:type="dxa"/>
              <w:bottom w:w="10" w:type="dxa"/>
            </w:tcMar>
            <w:vAlign w:val="center"/>
          </w:tcPr>
          <w:p w14:paraId="4155844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bottom w:val="single" w:sz="4" w:space="0" w:color="auto"/>
              <w:right w:val="single" w:sz="4" w:space="0" w:color="auto"/>
            </w:tcBorders>
          </w:tcPr>
          <w:p w14:paraId="08C0373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bottom w:val="single" w:sz="4" w:space="0" w:color="auto"/>
              <w:right w:val="single" w:sz="4" w:space="0" w:color="auto"/>
            </w:tcBorders>
          </w:tcPr>
          <w:p w14:paraId="51120A6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bottom w:val="single" w:sz="4" w:space="0" w:color="auto"/>
              <w:right w:val="single" w:sz="4" w:space="0" w:color="auto"/>
            </w:tcBorders>
          </w:tcPr>
          <w:p w14:paraId="3C25BC5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bottom w:val="single" w:sz="4" w:space="0" w:color="auto"/>
              <w:right w:val="single" w:sz="4" w:space="0" w:color="auto"/>
            </w:tcBorders>
          </w:tcPr>
          <w:p w14:paraId="0EB7A59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left w:val="single" w:sz="4" w:space="0" w:color="auto"/>
            </w:tcBorders>
            <w:shd w:val="clear" w:color="auto" w:fill="000000" w:themeFill="text1"/>
            <w:tcMar>
              <w:top w:w="10" w:type="dxa"/>
              <w:bottom w:w="10" w:type="dxa"/>
            </w:tcMar>
            <w:vAlign w:val="center"/>
          </w:tcPr>
          <w:p w14:paraId="36590E2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shd w:val="clear" w:color="auto" w:fill="000000" w:themeFill="text1"/>
            <w:tcMar>
              <w:top w:w="10" w:type="dxa"/>
              <w:bottom w:w="10" w:type="dxa"/>
            </w:tcMar>
            <w:vAlign w:val="center"/>
          </w:tcPr>
          <w:p w14:paraId="118044F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shd w:val="clear" w:color="auto" w:fill="000000" w:themeFill="text1"/>
            <w:tcMar>
              <w:top w:w="10" w:type="dxa"/>
              <w:bottom w:w="10" w:type="dxa"/>
            </w:tcMar>
            <w:vAlign w:val="center"/>
          </w:tcPr>
          <w:p w14:paraId="00E2489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5" w:type="dxa"/>
            <w:shd w:val="clear" w:color="auto" w:fill="000000" w:themeFill="text1"/>
            <w:tcMar>
              <w:top w:w="10" w:type="dxa"/>
              <w:bottom w:w="10" w:type="dxa"/>
            </w:tcMar>
            <w:vAlign w:val="center"/>
          </w:tcPr>
          <w:p w14:paraId="04079DA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2" w:type="dxa"/>
            <w:tcBorders>
              <w:top w:val="single" w:sz="4" w:space="0" w:color="auto"/>
            </w:tcBorders>
            <w:tcMar>
              <w:top w:w="10" w:type="dxa"/>
              <w:bottom w:w="10" w:type="dxa"/>
            </w:tcMar>
            <w:vAlign w:val="center"/>
          </w:tcPr>
          <w:p w14:paraId="3338C10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2351097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76E489A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3880EFE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7" w:type="dxa"/>
            <w:shd w:val="clear" w:color="auto" w:fill="000000" w:themeFill="text1"/>
            <w:tcMar>
              <w:top w:w="10" w:type="dxa"/>
              <w:bottom w:w="10" w:type="dxa"/>
            </w:tcMar>
            <w:vAlign w:val="center"/>
          </w:tcPr>
          <w:p w14:paraId="4580E75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shd w:val="clear" w:color="auto" w:fill="000000" w:themeFill="text1"/>
            <w:tcMar>
              <w:top w:w="10" w:type="dxa"/>
              <w:bottom w:w="10" w:type="dxa"/>
            </w:tcMar>
            <w:vAlign w:val="center"/>
          </w:tcPr>
          <w:p w14:paraId="7D3877D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4" w:type="dxa"/>
            <w:shd w:val="clear" w:color="auto" w:fill="000000" w:themeFill="text1"/>
            <w:tcMar>
              <w:top w:w="10" w:type="dxa"/>
              <w:bottom w:w="10" w:type="dxa"/>
            </w:tcMar>
            <w:vAlign w:val="center"/>
          </w:tcPr>
          <w:p w14:paraId="7A5AF8A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6" w:type="dxa"/>
            <w:shd w:val="clear" w:color="auto" w:fill="000000" w:themeFill="text1"/>
            <w:tcMar>
              <w:top w:w="10" w:type="dxa"/>
              <w:bottom w:w="10" w:type="dxa"/>
            </w:tcMar>
            <w:vAlign w:val="center"/>
          </w:tcPr>
          <w:p w14:paraId="0F03094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0" w:type="dxa"/>
            <w:shd w:val="clear" w:color="auto" w:fill="000000" w:themeFill="text1"/>
            <w:tcMar>
              <w:top w:w="10" w:type="dxa"/>
              <w:bottom w:w="10" w:type="dxa"/>
            </w:tcMar>
            <w:vAlign w:val="center"/>
          </w:tcPr>
          <w:p w14:paraId="02868E3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shd w:val="clear" w:color="auto" w:fill="000000" w:themeFill="text1"/>
            <w:tcMar>
              <w:top w:w="10" w:type="dxa"/>
              <w:bottom w:w="10" w:type="dxa"/>
            </w:tcMar>
            <w:vAlign w:val="center"/>
          </w:tcPr>
          <w:p w14:paraId="7F0B26D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0" w:type="dxa"/>
            <w:shd w:val="clear" w:color="auto" w:fill="000000" w:themeFill="text1"/>
            <w:tcMar>
              <w:top w:w="10" w:type="dxa"/>
              <w:bottom w:w="10" w:type="dxa"/>
            </w:tcMar>
            <w:vAlign w:val="center"/>
          </w:tcPr>
          <w:p w14:paraId="69DD721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88" w:type="dxa"/>
            <w:shd w:val="clear" w:color="auto" w:fill="000000" w:themeFill="text1"/>
            <w:tcMar>
              <w:top w:w="10" w:type="dxa"/>
              <w:bottom w:w="10" w:type="dxa"/>
            </w:tcMar>
            <w:vAlign w:val="center"/>
          </w:tcPr>
          <w:p w14:paraId="6F6F2D2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tcBorders>
            <w:tcMar>
              <w:top w:w="10" w:type="dxa"/>
              <w:bottom w:w="10" w:type="dxa"/>
            </w:tcMar>
            <w:vAlign w:val="center"/>
          </w:tcPr>
          <w:p w14:paraId="1725207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8" w:type="dxa"/>
            <w:tcBorders>
              <w:top w:val="single" w:sz="4" w:space="0" w:color="auto"/>
              <w:left w:val="single" w:sz="4" w:space="0" w:color="auto"/>
            </w:tcBorders>
            <w:tcMar>
              <w:top w:w="10" w:type="dxa"/>
              <w:bottom w:w="10" w:type="dxa"/>
            </w:tcMar>
            <w:vAlign w:val="center"/>
          </w:tcPr>
          <w:p w14:paraId="065B5EA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96" w:type="dxa"/>
            <w:tcBorders>
              <w:top w:val="single" w:sz="4" w:space="0" w:color="auto"/>
              <w:left w:val="single" w:sz="4" w:space="0" w:color="auto"/>
            </w:tcBorders>
            <w:tcMar>
              <w:top w:w="10" w:type="dxa"/>
              <w:bottom w:w="10" w:type="dxa"/>
            </w:tcMar>
            <w:vAlign w:val="center"/>
          </w:tcPr>
          <w:p w14:paraId="7A4B1C4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56" w:type="dxa"/>
            <w:tcBorders>
              <w:top w:val="single" w:sz="4" w:space="0" w:color="auto"/>
              <w:left w:val="single" w:sz="4" w:space="0" w:color="auto"/>
            </w:tcBorders>
            <w:tcMar>
              <w:top w:w="10" w:type="dxa"/>
              <w:bottom w:w="10" w:type="dxa"/>
            </w:tcMar>
            <w:vAlign w:val="center"/>
          </w:tcPr>
          <w:p w14:paraId="2E89F54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 w:type="dxa"/>
            <w:tcBorders>
              <w:top w:val="single" w:sz="4" w:space="0" w:color="auto"/>
              <w:left w:val="single" w:sz="4" w:space="0" w:color="auto"/>
            </w:tcBorders>
            <w:tcMar>
              <w:top w:w="10" w:type="dxa"/>
              <w:bottom w:w="10" w:type="dxa"/>
            </w:tcMar>
            <w:vAlign w:val="center"/>
          </w:tcPr>
          <w:p w14:paraId="7D93013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0BA1F70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711BFE42" w14:textId="77777777">
        <w:trPr>
          <w:trHeight w:val="20"/>
        </w:trPr>
        <w:tc>
          <w:tcPr>
            <w:tcW w:w="233" w:type="dxa"/>
            <w:tcBorders>
              <w:top w:val="single" w:sz="4" w:space="0" w:color="auto"/>
              <w:left w:val="single" w:sz="4" w:space="0" w:color="auto"/>
            </w:tcBorders>
            <w:tcMar>
              <w:top w:w="10" w:type="dxa"/>
              <w:bottom w:w="10" w:type="dxa"/>
            </w:tcMar>
            <w:vAlign w:val="center"/>
          </w:tcPr>
          <w:p w14:paraId="6B7ED15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26</w:t>
            </w:r>
          </w:p>
        </w:tc>
        <w:tc>
          <w:tcPr>
            <w:tcW w:w="2256" w:type="dxa"/>
            <w:tcBorders>
              <w:top w:val="single" w:sz="4" w:space="0" w:color="auto"/>
              <w:left w:val="single" w:sz="4" w:space="0" w:color="auto"/>
            </w:tcBorders>
            <w:tcMar>
              <w:top w:w="10" w:type="dxa"/>
              <w:bottom w:w="10" w:type="dxa"/>
            </w:tcMar>
            <w:vAlign w:val="center"/>
          </w:tcPr>
          <w:p w14:paraId="7B318F41" w14:textId="77777777" w:rsidR="006561BA" w:rsidRDefault="005B4ED6">
            <w:pPr>
              <w:widowControl w:val="0"/>
              <w:shd w:val="clear" w:color="auto" w:fill="auto"/>
              <w:spacing w:after="0" w:line="240" w:lineRule="auto"/>
              <w:ind w:left="164"/>
              <w:jc w:val="left"/>
              <w:rPr>
                <w:rFonts w:ascii="Helvetica" w:eastAsia="Arial Unicode MS" w:hAnsi="Helvetica" w:cs="Helvetica"/>
                <w:color w:val="212121"/>
                <w:sz w:val="6"/>
                <w:szCs w:val="6"/>
              </w:rPr>
            </w:pPr>
            <w:r>
              <w:rPr>
                <w:rFonts w:ascii="Helvetica" w:hAnsi="Helvetica"/>
                <w:color w:val="212121"/>
                <w:sz w:val="6"/>
              </w:rPr>
              <w:t xml:space="preserve">hvorav lån til </w:t>
            </w:r>
            <w:proofErr w:type="spellStart"/>
            <w:r>
              <w:rPr>
                <w:rFonts w:ascii="Helvetica" w:hAnsi="Helvetica"/>
                <w:color w:val="212121"/>
                <w:sz w:val="6"/>
              </w:rPr>
              <w:t>byggrenovering</w:t>
            </w:r>
            <w:proofErr w:type="spellEnd"/>
          </w:p>
        </w:tc>
        <w:tc>
          <w:tcPr>
            <w:tcW w:w="315" w:type="dxa"/>
            <w:tcBorders>
              <w:top w:val="single" w:sz="4" w:space="0" w:color="auto"/>
              <w:left w:val="single" w:sz="4" w:space="0" w:color="auto"/>
            </w:tcBorders>
            <w:tcMar>
              <w:top w:w="10" w:type="dxa"/>
              <w:bottom w:w="10" w:type="dxa"/>
            </w:tcMar>
            <w:vAlign w:val="center"/>
          </w:tcPr>
          <w:p w14:paraId="3751A7A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529A637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07E6172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211428D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right w:val="single" w:sz="4" w:space="0" w:color="auto"/>
            </w:tcBorders>
            <w:tcMar>
              <w:top w:w="10" w:type="dxa"/>
              <w:bottom w:w="10" w:type="dxa"/>
            </w:tcMar>
            <w:vAlign w:val="center"/>
          </w:tcPr>
          <w:p w14:paraId="1D6F6D8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tcPr>
          <w:p w14:paraId="56C9174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tcPr>
          <w:p w14:paraId="7B8ECCB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tcPr>
          <w:p w14:paraId="3050851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tcPr>
          <w:p w14:paraId="1C0E798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left w:val="single" w:sz="4" w:space="0" w:color="auto"/>
            </w:tcBorders>
            <w:shd w:val="clear" w:color="auto" w:fill="000000" w:themeFill="text1"/>
            <w:tcMar>
              <w:top w:w="10" w:type="dxa"/>
              <w:bottom w:w="10" w:type="dxa"/>
            </w:tcMar>
            <w:vAlign w:val="center"/>
          </w:tcPr>
          <w:p w14:paraId="7259166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shd w:val="clear" w:color="auto" w:fill="000000" w:themeFill="text1"/>
            <w:tcMar>
              <w:top w:w="10" w:type="dxa"/>
              <w:bottom w:w="10" w:type="dxa"/>
            </w:tcMar>
            <w:vAlign w:val="center"/>
          </w:tcPr>
          <w:p w14:paraId="5EBCFF2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shd w:val="clear" w:color="auto" w:fill="000000" w:themeFill="text1"/>
            <w:tcMar>
              <w:top w:w="10" w:type="dxa"/>
              <w:bottom w:w="10" w:type="dxa"/>
            </w:tcMar>
            <w:vAlign w:val="center"/>
          </w:tcPr>
          <w:p w14:paraId="13963D2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shd w:val="clear" w:color="auto" w:fill="000000" w:themeFill="text1"/>
            <w:tcMar>
              <w:top w:w="10" w:type="dxa"/>
              <w:bottom w:w="10" w:type="dxa"/>
            </w:tcMar>
            <w:vAlign w:val="center"/>
          </w:tcPr>
          <w:p w14:paraId="05B42EC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tcBorders>
            <w:tcMar>
              <w:top w:w="10" w:type="dxa"/>
              <w:bottom w:w="10" w:type="dxa"/>
            </w:tcMar>
            <w:vAlign w:val="center"/>
          </w:tcPr>
          <w:p w14:paraId="6C7236B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74AA08C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3A20D0A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17F08BD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shd w:val="clear" w:color="auto" w:fill="000000" w:themeFill="text1"/>
            <w:tcMar>
              <w:top w:w="10" w:type="dxa"/>
              <w:bottom w:w="10" w:type="dxa"/>
            </w:tcMar>
            <w:vAlign w:val="center"/>
          </w:tcPr>
          <w:p w14:paraId="0231079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shd w:val="clear" w:color="auto" w:fill="000000" w:themeFill="text1"/>
            <w:tcMar>
              <w:top w:w="10" w:type="dxa"/>
              <w:bottom w:w="10" w:type="dxa"/>
            </w:tcMar>
            <w:vAlign w:val="center"/>
          </w:tcPr>
          <w:p w14:paraId="2DFD72A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shd w:val="clear" w:color="auto" w:fill="000000" w:themeFill="text1"/>
            <w:tcMar>
              <w:top w:w="10" w:type="dxa"/>
              <w:bottom w:w="10" w:type="dxa"/>
            </w:tcMar>
            <w:vAlign w:val="center"/>
          </w:tcPr>
          <w:p w14:paraId="6F23D34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shd w:val="clear" w:color="auto" w:fill="000000" w:themeFill="text1"/>
            <w:tcMar>
              <w:top w:w="10" w:type="dxa"/>
              <w:bottom w:w="10" w:type="dxa"/>
            </w:tcMar>
            <w:vAlign w:val="center"/>
          </w:tcPr>
          <w:p w14:paraId="4C6DF3A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shd w:val="clear" w:color="auto" w:fill="000000" w:themeFill="text1"/>
            <w:tcMar>
              <w:top w:w="10" w:type="dxa"/>
              <w:bottom w:w="10" w:type="dxa"/>
            </w:tcMar>
            <w:vAlign w:val="center"/>
          </w:tcPr>
          <w:p w14:paraId="3129675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shd w:val="clear" w:color="auto" w:fill="000000" w:themeFill="text1"/>
            <w:tcMar>
              <w:top w:w="10" w:type="dxa"/>
              <w:bottom w:w="10" w:type="dxa"/>
            </w:tcMar>
            <w:vAlign w:val="center"/>
          </w:tcPr>
          <w:p w14:paraId="1C6E89B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shd w:val="clear" w:color="auto" w:fill="000000" w:themeFill="text1"/>
            <w:tcMar>
              <w:top w:w="10" w:type="dxa"/>
              <w:bottom w:w="10" w:type="dxa"/>
            </w:tcMar>
            <w:vAlign w:val="center"/>
          </w:tcPr>
          <w:p w14:paraId="57A5F6C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shd w:val="clear" w:color="auto" w:fill="000000" w:themeFill="text1"/>
            <w:tcMar>
              <w:top w:w="10" w:type="dxa"/>
              <w:bottom w:w="10" w:type="dxa"/>
            </w:tcMar>
            <w:vAlign w:val="center"/>
          </w:tcPr>
          <w:p w14:paraId="14F97DE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tcBorders>
            <w:tcMar>
              <w:top w:w="10" w:type="dxa"/>
              <w:bottom w:w="10" w:type="dxa"/>
            </w:tcMar>
            <w:vAlign w:val="center"/>
          </w:tcPr>
          <w:p w14:paraId="425FA43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6A2BACA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288B078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78AD0B8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21A118E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3C46544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786FC507" w14:textId="77777777">
        <w:trPr>
          <w:trHeight w:val="20"/>
        </w:trPr>
        <w:tc>
          <w:tcPr>
            <w:tcW w:w="233" w:type="dxa"/>
            <w:tcBorders>
              <w:top w:val="single" w:sz="4" w:space="0" w:color="auto"/>
              <w:left w:val="single" w:sz="4" w:space="0" w:color="auto"/>
            </w:tcBorders>
            <w:tcMar>
              <w:top w:w="10" w:type="dxa"/>
              <w:bottom w:w="10" w:type="dxa"/>
            </w:tcMar>
            <w:vAlign w:val="center"/>
          </w:tcPr>
          <w:p w14:paraId="59F61B5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27</w:t>
            </w:r>
          </w:p>
        </w:tc>
        <w:tc>
          <w:tcPr>
            <w:tcW w:w="2256" w:type="dxa"/>
            <w:tcBorders>
              <w:top w:val="single" w:sz="4" w:space="0" w:color="auto"/>
              <w:left w:val="single" w:sz="4" w:space="0" w:color="auto"/>
            </w:tcBorders>
            <w:tcMar>
              <w:top w:w="10" w:type="dxa"/>
              <w:bottom w:w="10" w:type="dxa"/>
            </w:tcMar>
            <w:vAlign w:val="center"/>
          </w:tcPr>
          <w:p w14:paraId="5183D210" w14:textId="77777777" w:rsidR="006561BA" w:rsidRDefault="005B4ED6">
            <w:pPr>
              <w:widowControl w:val="0"/>
              <w:shd w:val="clear" w:color="auto" w:fill="auto"/>
              <w:spacing w:after="0" w:line="240" w:lineRule="auto"/>
              <w:ind w:left="164"/>
              <w:jc w:val="left"/>
              <w:rPr>
                <w:rFonts w:ascii="Helvetica" w:eastAsia="Arial Unicode MS" w:hAnsi="Helvetica" w:cs="Helvetica"/>
                <w:color w:val="212121"/>
                <w:sz w:val="6"/>
                <w:szCs w:val="6"/>
              </w:rPr>
            </w:pPr>
            <w:r>
              <w:rPr>
                <w:rFonts w:ascii="Helvetica" w:hAnsi="Helvetica"/>
                <w:color w:val="212121"/>
                <w:sz w:val="6"/>
              </w:rPr>
              <w:t>hvorav billån</w:t>
            </w:r>
          </w:p>
        </w:tc>
        <w:tc>
          <w:tcPr>
            <w:tcW w:w="315" w:type="dxa"/>
            <w:tcBorders>
              <w:top w:val="single" w:sz="4" w:space="0" w:color="auto"/>
              <w:left w:val="single" w:sz="4" w:space="0" w:color="auto"/>
            </w:tcBorders>
            <w:shd w:val="clear" w:color="auto" w:fill="000000" w:themeFill="text1"/>
            <w:tcMar>
              <w:top w:w="10" w:type="dxa"/>
              <w:bottom w:w="10" w:type="dxa"/>
            </w:tcMar>
            <w:vAlign w:val="center"/>
          </w:tcPr>
          <w:p w14:paraId="491E9A8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shd w:val="clear" w:color="auto" w:fill="000000" w:themeFill="text1"/>
            <w:tcMar>
              <w:top w:w="10" w:type="dxa"/>
              <w:bottom w:w="10" w:type="dxa"/>
            </w:tcMar>
            <w:vAlign w:val="center"/>
          </w:tcPr>
          <w:p w14:paraId="361A603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shd w:val="clear" w:color="auto" w:fill="000000" w:themeFill="text1"/>
            <w:tcMar>
              <w:top w:w="10" w:type="dxa"/>
              <w:bottom w:w="10" w:type="dxa"/>
            </w:tcMar>
            <w:vAlign w:val="center"/>
          </w:tcPr>
          <w:p w14:paraId="2CEAFD6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shd w:val="clear" w:color="auto" w:fill="000000" w:themeFill="text1"/>
            <w:tcMar>
              <w:top w:w="10" w:type="dxa"/>
              <w:bottom w:w="10" w:type="dxa"/>
            </w:tcMar>
            <w:vAlign w:val="center"/>
          </w:tcPr>
          <w:p w14:paraId="4E07E17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shd w:val="clear" w:color="auto" w:fill="000000" w:themeFill="text1"/>
            <w:tcMar>
              <w:top w:w="10" w:type="dxa"/>
              <w:bottom w:w="10" w:type="dxa"/>
            </w:tcMar>
            <w:vAlign w:val="center"/>
          </w:tcPr>
          <w:p w14:paraId="1F622B1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tcBorders>
            <w:shd w:val="clear" w:color="auto" w:fill="000000" w:themeFill="text1"/>
          </w:tcPr>
          <w:p w14:paraId="141AD69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tcBorders>
            <w:shd w:val="clear" w:color="auto" w:fill="000000" w:themeFill="text1"/>
          </w:tcPr>
          <w:p w14:paraId="64A60C4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tcBorders>
            <w:shd w:val="clear" w:color="auto" w:fill="000000" w:themeFill="text1"/>
          </w:tcPr>
          <w:p w14:paraId="5132FCC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tcBorders>
            <w:shd w:val="clear" w:color="auto" w:fill="000000" w:themeFill="text1"/>
          </w:tcPr>
          <w:p w14:paraId="2C1936F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shd w:val="clear" w:color="auto" w:fill="000000" w:themeFill="text1"/>
            <w:tcMar>
              <w:top w:w="10" w:type="dxa"/>
              <w:bottom w:w="10" w:type="dxa"/>
            </w:tcMar>
            <w:vAlign w:val="center"/>
          </w:tcPr>
          <w:p w14:paraId="5E5E6A2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shd w:val="clear" w:color="auto" w:fill="000000" w:themeFill="text1"/>
            <w:tcMar>
              <w:top w:w="10" w:type="dxa"/>
              <w:bottom w:w="10" w:type="dxa"/>
            </w:tcMar>
            <w:vAlign w:val="center"/>
          </w:tcPr>
          <w:p w14:paraId="671C7FB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shd w:val="clear" w:color="auto" w:fill="000000" w:themeFill="text1"/>
            <w:tcMar>
              <w:top w:w="10" w:type="dxa"/>
              <w:bottom w:w="10" w:type="dxa"/>
            </w:tcMar>
            <w:vAlign w:val="center"/>
          </w:tcPr>
          <w:p w14:paraId="4B5C65D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shd w:val="clear" w:color="auto" w:fill="000000" w:themeFill="text1"/>
            <w:tcMar>
              <w:top w:w="10" w:type="dxa"/>
              <w:bottom w:w="10" w:type="dxa"/>
            </w:tcMar>
            <w:vAlign w:val="center"/>
          </w:tcPr>
          <w:p w14:paraId="32BD066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tcBorders>
            <w:shd w:val="clear" w:color="auto" w:fill="000000" w:themeFill="text1"/>
            <w:tcMar>
              <w:top w:w="10" w:type="dxa"/>
              <w:bottom w:w="10" w:type="dxa"/>
            </w:tcMar>
            <w:vAlign w:val="center"/>
          </w:tcPr>
          <w:p w14:paraId="18ABC14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shd w:val="clear" w:color="auto" w:fill="000000" w:themeFill="text1"/>
            <w:tcMar>
              <w:top w:w="10" w:type="dxa"/>
              <w:bottom w:w="10" w:type="dxa"/>
            </w:tcMar>
            <w:vAlign w:val="center"/>
          </w:tcPr>
          <w:p w14:paraId="1022F0E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shd w:val="clear" w:color="auto" w:fill="000000" w:themeFill="text1"/>
            <w:tcMar>
              <w:top w:w="10" w:type="dxa"/>
              <w:bottom w:w="10" w:type="dxa"/>
            </w:tcMar>
            <w:vAlign w:val="center"/>
          </w:tcPr>
          <w:p w14:paraId="277F95A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shd w:val="clear" w:color="auto" w:fill="000000" w:themeFill="text1"/>
            <w:tcMar>
              <w:top w:w="10" w:type="dxa"/>
              <w:bottom w:w="10" w:type="dxa"/>
            </w:tcMar>
            <w:vAlign w:val="center"/>
          </w:tcPr>
          <w:p w14:paraId="649DA83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shd w:val="clear" w:color="auto" w:fill="000000" w:themeFill="text1"/>
            <w:tcMar>
              <w:top w:w="10" w:type="dxa"/>
              <w:bottom w:w="10" w:type="dxa"/>
            </w:tcMar>
            <w:vAlign w:val="center"/>
          </w:tcPr>
          <w:p w14:paraId="0F4B6A2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shd w:val="clear" w:color="auto" w:fill="000000" w:themeFill="text1"/>
            <w:tcMar>
              <w:top w:w="10" w:type="dxa"/>
              <w:bottom w:w="10" w:type="dxa"/>
            </w:tcMar>
            <w:vAlign w:val="center"/>
          </w:tcPr>
          <w:p w14:paraId="5B340CA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shd w:val="clear" w:color="auto" w:fill="000000" w:themeFill="text1"/>
            <w:tcMar>
              <w:top w:w="10" w:type="dxa"/>
              <w:bottom w:w="10" w:type="dxa"/>
            </w:tcMar>
            <w:vAlign w:val="center"/>
          </w:tcPr>
          <w:p w14:paraId="76D6E64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shd w:val="clear" w:color="auto" w:fill="000000" w:themeFill="text1"/>
            <w:tcMar>
              <w:top w:w="10" w:type="dxa"/>
              <w:bottom w:w="10" w:type="dxa"/>
            </w:tcMar>
            <w:vAlign w:val="center"/>
          </w:tcPr>
          <w:p w14:paraId="2D4DB3D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shd w:val="clear" w:color="auto" w:fill="000000" w:themeFill="text1"/>
            <w:tcMar>
              <w:top w:w="10" w:type="dxa"/>
              <w:bottom w:w="10" w:type="dxa"/>
            </w:tcMar>
            <w:vAlign w:val="center"/>
          </w:tcPr>
          <w:p w14:paraId="18F9553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shd w:val="clear" w:color="auto" w:fill="000000" w:themeFill="text1"/>
            <w:tcMar>
              <w:top w:w="10" w:type="dxa"/>
              <w:bottom w:w="10" w:type="dxa"/>
            </w:tcMar>
            <w:vAlign w:val="center"/>
          </w:tcPr>
          <w:p w14:paraId="3045E59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shd w:val="clear" w:color="auto" w:fill="000000" w:themeFill="text1"/>
            <w:tcMar>
              <w:top w:w="10" w:type="dxa"/>
              <w:bottom w:w="10" w:type="dxa"/>
            </w:tcMar>
            <w:vAlign w:val="center"/>
          </w:tcPr>
          <w:p w14:paraId="04865CF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shd w:val="clear" w:color="auto" w:fill="000000" w:themeFill="text1"/>
            <w:tcMar>
              <w:top w:w="10" w:type="dxa"/>
              <w:bottom w:w="10" w:type="dxa"/>
            </w:tcMar>
            <w:vAlign w:val="center"/>
          </w:tcPr>
          <w:p w14:paraId="31A9AB5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tcBorders>
            <w:shd w:val="clear" w:color="auto" w:fill="auto"/>
            <w:tcMar>
              <w:top w:w="10" w:type="dxa"/>
              <w:bottom w:w="10" w:type="dxa"/>
            </w:tcMar>
            <w:vAlign w:val="center"/>
          </w:tcPr>
          <w:p w14:paraId="551F6EF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shd w:val="clear" w:color="auto" w:fill="auto"/>
            <w:tcMar>
              <w:top w:w="10" w:type="dxa"/>
              <w:bottom w:w="10" w:type="dxa"/>
            </w:tcMar>
            <w:vAlign w:val="center"/>
          </w:tcPr>
          <w:p w14:paraId="31EFE5D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shd w:val="clear" w:color="auto" w:fill="auto"/>
            <w:tcMar>
              <w:top w:w="10" w:type="dxa"/>
              <w:bottom w:w="10" w:type="dxa"/>
            </w:tcMar>
            <w:vAlign w:val="center"/>
          </w:tcPr>
          <w:p w14:paraId="5B50940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shd w:val="clear" w:color="auto" w:fill="auto"/>
            <w:tcMar>
              <w:top w:w="10" w:type="dxa"/>
              <w:bottom w:w="10" w:type="dxa"/>
            </w:tcMar>
            <w:vAlign w:val="center"/>
          </w:tcPr>
          <w:p w14:paraId="3D4CFD6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shd w:val="clear" w:color="auto" w:fill="auto"/>
            <w:tcMar>
              <w:top w:w="10" w:type="dxa"/>
              <w:bottom w:w="10" w:type="dxa"/>
            </w:tcMar>
            <w:vAlign w:val="center"/>
          </w:tcPr>
          <w:p w14:paraId="4DA35A1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shd w:val="clear" w:color="auto" w:fill="auto"/>
            <w:tcMar>
              <w:top w:w="10" w:type="dxa"/>
              <w:bottom w:w="10" w:type="dxa"/>
            </w:tcMar>
            <w:vAlign w:val="center"/>
          </w:tcPr>
          <w:p w14:paraId="0EC3611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3C78E80D" w14:textId="77777777">
        <w:trPr>
          <w:trHeight w:val="20"/>
        </w:trPr>
        <w:tc>
          <w:tcPr>
            <w:tcW w:w="233" w:type="dxa"/>
            <w:tcBorders>
              <w:top w:val="single" w:sz="4" w:space="0" w:color="auto"/>
              <w:left w:val="single" w:sz="4" w:space="0" w:color="auto"/>
            </w:tcBorders>
            <w:tcMar>
              <w:top w:w="10" w:type="dxa"/>
              <w:bottom w:w="10" w:type="dxa"/>
            </w:tcMar>
            <w:vAlign w:val="center"/>
          </w:tcPr>
          <w:p w14:paraId="72E6A76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28</w:t>
            </w:r>
          </w:p>
        </w:tc>
        <w:tc>
          <w:tcPr>
            <w:tcW w:w="2256" w:type="dxa"/>
            <w:tcBorders>
              <w:top w:val="single" w:sz="4" w:space="0" w:color="auto"/>
              <w:left w:val="single" w:sz="4" w:space="0" w:color="auto"/>
            </w:tcBorders>
            <w:tcMar>
              <w:top w:w="10" w:type="dxa"/>
              <w:bottom w:w="10" w:type="dxa"/>
            </w:tcMar>
            <w:vAlign w:val="center"/>
          </w:tcPr>
          <w:p w14:paraId="15B14961" w14:textId="77777777" w:rsidR="006561BA" w:rsidRDefault="005B4ED6">
            <w:pPr>
              <w:widowControl w:val="0"/>
              <w:shd w:val="clear" w:color="auto" w:fill="auto"/>
              <w:spacing w:after="0" w:line="240" w:lineRule="auto"/>
              <w:ind w:left="80"/>
              <w:jc w:val="left"/>
              <w:rPr>
                <w:rFonts w:ascii="Helvetica" w:eastAsia="Arial Unicode MS" w:hAnsi="Helvetica" w:cs="Helvetica"/>
                <w:b/>
                <w:color w:val="000000"/>
                <w:sz w:val="6"/>
                <w:szCs w:val="6"/>
              </w:rPr>
            </w:pPr>
            <w:r>
              <w:rPr>
                <w:rFonts w:ascii="Helvetica" w:hAnsi="Helvetica"/>
                <w:b/>
                <w:color w:val="000000"/>
                <w:sz w:val="6"/>
              </w:rPr>
              <w:t>Finansiering til lokale myndigheter</w:t>
            </w:r>
          </w:p>
        </w:tc>
        <w:tc>
          <w:tcPr>
            <w:tcW w:w="315" w:type="dxa"/>
            <w:tcBorders>
              <w:top w:val="single" w:sz="4" w:space="0" w:color="auto"/>
              <w:left w:val="single" w:sz="4" w:space="0" w:color="auto"/>
            </w:tcBorders>
            <w:tcMar>
              <w:top w:w="10" w:type="dxa"/>
              <w:bottom w:w="10" w:type="dxa"/>
            </w:tcMar>
            <w:vAlign w:val="center"/>
          </w:tcPr>
          <w:p w14:paraId="4D58C6C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61CFD25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7CC5E11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4E5A49F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78D44B3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left w:val="single" w:sz="4" w:space="0" w:color="auto"/>
              <w:right w:val="single" w:sz="4" w:space="0" w:color="auto"/>
            </w:tcBorders>
          </w:tcPr>
          <w:p w14:paraId="0355751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left w:val="single" w:sz="4" w:space="0" w:color="auto"/>
            </w:tcBorders>
          </w:tcPr>
          <w:p w14:paraId="0078ADC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left w:val="single" w:sz="4" w:space="0" w:color="auto"/>
            </w:tcBorders>
          </w:tcPr>
          <w:p w14:paraId="30AF38E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left w:val="single" w:sz="4" w:space="0" w:color="auto"/>
            </w:tcBorders>
          </w:tcPr>
          <w:p w14:paraId="4D27DE8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left w:val="single" w:sz="4" w:space="0" w:color="auto"/>
            </w:tcBorders>
            <w:tcMar>
              <w:top w:w="10" w:type="dxa"/>
              <w:bottom w:w="10" w:type="dxa"/>
            </w:tcMar>
            <w:vAlign w:val="center"/>
          </w:tcPr>
          <w:p w14:paraId="0D918F4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left w:val="single" w:sz="4" w:space="0" w:color="auto"/>
            </w:tcBorders>
            <w:tcMar>
              <w:top w:w="10" w:type="dxa"/>
              <w:bottom w:w="10" w:type="dxa"/>
            </w:tcMar>
            <w:vAlign w:val="center"/>
          </w:tcPr>
          <w:p w14:paraId="2432032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tcMar>
              <w:top w:w="10" w:type="dxa"/>
              <w:bottom w:w="10" w:type="dxa"/>
            </w:tcMar>
            <w:vAlign w:val="center"/>
          </w:tcPr>
          <w:p w14:paraId="2DB0257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left w:val="single" w:sz="4" w:space="0" w:color="auto"/>
            </w:tcBorders>
            <w:tcMar>
              <w:top w:w="10" w:type="dxa"/>
              <w:bottom w:w="10" w:type="dxa"/>
            </w:tcMar>
            <w:vAlign w:val="center"/>
          </w:tcPr>
          <w:p w14:paraId="599A43C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0E28468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3A2652D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6B455CA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5F01066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left w:val="single" w:sz="4" w:space="0" w:color="auto"/>
            </w:tcBorders>
            <w:tcMar>
              <w:top w:w="10" w:type="dxa"/>
              <w:bottom w:w="10" w:type="dxa"/>
            </w:tcMar>
            <w:vAlign w:val="center"/>
          </w:tcPr>
          <w:p w14:paraId="455F880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left w:val="single" w:sz="4" w:space="0" w:color="auto"/>
            </w:tcBorders>
            <w:tcMar>
              <w:top w:w="10" w:type="dxa"/>
              <w:bottom w:w="10" w:type="dxa"/>
            </w:tcMar>
            <w:vAlign w:val="center"/>
          </w:tcPr>
          <w:p w14:paraId="7CF2D3A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left w:val="single" w:sz="4" w:space="0" w:color="auto"/>
            </w:tcBorders>
            <w:tcMar>
              <w:top w:w="10" w:type="dxa"/>
              <w:bottom w:w="10" w:type="dxa"/>
            </w:tcMar>
            <w:vAlign w:val="center"/>
          </w:tcPr>
          <w:p w14:paraId="0AAF913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left w:val="single" w:sz="4" w:space="0" w:color="auto"/>
            </w:tcBorders>
            <w:tcMar>
              <w:top w:w="10" w:type="dxa"/>
              <w:bottom w:w="10" w:type="dxa"/>
            </w:tcMar>
            <w:vAlign w:val="center"/>
          </w:tcPr>
          <w:p w14:paraId="0C624D6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left w:val="single" w:sz="4" w:space="0" w:color="auto"/>
            </w:tcBorders>
            <w:tcMar>
              <w:top w:w="10" w:type="dxa"/>
              <w:bottom w:w="10" w:type="dxa"/>
            </w:tcMar>
            <w:vAlign w:val="center"/>
          </w:tcPr>
          <w:p w14:paraId="323F8C1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left w:val="single" w:sz="4" w:space="0" w:color="auto"/>
            </w:tcBorders>
            <w:tcMar>
              <w:top w:w="10" w:type="dxa"/>
              <w:bottom w:w="10" w:type="dxa"/>
            </w:tcMar>
            <w:vAlign w:val="center"/>
          </w:tcPr>
          <w:p w14:paraId="4AEECA0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left w:val="single" w:sz="4" w:space="0" w:color="auto"/>
            </w:tcBorders>
            <w:tcMar>
              <w:top w:w="10" w:type="dxa"/>
              <w:bottom w:w="10" w:type="dxa"/>
            </w:tcMar>
            <w:vAlign w:val="center"/>
          </w:tcPr>
          <w:p w14:paraId="45C9C07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left w:val="single" w:sz="4" w:space="0" w:color="auto"/>
            </w:tcBorders>
            <w:tcMar>
              <w:top w:w="10" w:type="dxa"/>
              <w:bottom w:w="10" w:type="dxa"/>
            </w:tcMar>
            <w:vAlign w:val="center"/>
          </w:tcPr>
          <w:p w14:paraId="67EA79F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2955CA8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5B486A8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042C693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36CCE2C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6D23F16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16F1272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579CE857" w14:textId="77777777">
        <w:trPr>
          <w:trHeight w:val="20"/>
        </w:trPr>
        <w:tc>
          <w:tcPr>
            <w:tcW w:w="233" w:type="dxa"/>
            <w:tcBorders>
              <w:top w:val="single" w:sz="4" w:space="0" w:color="auto"/>
              <w:left w:val="single" w:sz="4" w:space="0" w:color="auto"/>
            </w:tcBorders>
            <w:tcMar>
              <w:top w:w="10" w:type="dxa"/>
              <w:bottom w:w="10" w:type="dxa"/>
            </w:tcMar>
            <w:vAlign w:val="center"/>
          </w:tcPr>
          <w:p w14:paraId="056B1A7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29</w:t>
            </w:r>
          </w:p>
        </w:tc>
        <w:tc>
          <w:tcPr>
            <w:tcW w:w="2256" w:type="dxa"/>
            <w:tcBorders>
              <w:top w:val="single" w:sz="4" w:space="0" w:color="auto"/>
              <w:left w:val="single" w:sz="4" w:space="0" w:color="auto"/>
            </w:tcBorders>
            <w:tcMar>
              <w:top w:w="10" w:type="dxa"/>
              <w:bottom w:w="10" w:type="dxa"/>
            </w:tcMar>
            <w:vAlign w:val="center"/>
          </w:tcPr>
          <w:p w14:paraId="78E3BFC4" w14:textId="77777777" w:rsidR="006561BA" w:rsidRDefault="005B4ED6">
            <w:pPr>
              <w:widowControl w:val="0"/>
              <w:shd w:val="clear" w:color="auto" w:fill="auto"/>
              <w:spacing w:after="0" w:line="240" w:lineRule="auto"/>
              <w:ind w:left="164"/>
              <w:jc w:val="left"/>
              <w:rPr>
                <w:rFonts w:ascii="Helvetica" w:eastAsia="Arial Unicode MS" w:hAnsi="Helvetica" w:cs="Helvetica"/>
                <w:color w:val="212121"/>
                <w:sz w:val="6"/>
                <w:szCs w:val="6"/>
              </w:rPr>
            </w:pPr>
            <w:r>
              <w:rPr>
                <w:rFonts w:ascii="Helvetica" w:hAnsi="Helvetica"/>
                <w:color w:val="212121"/>
                <w:sz w:val="6"/>
              </w:rPr>
              <w:t>Boligfinansiering</w:t>
            </w:r>
          </w:p>
        </w:tc>
        <w:tc>
          <w:tcPr>
            <w:tcW w:w="315" w:type="dxa"/>
            <w:tcBorders>
              <w:top w:val="single" w:sz="4" w:space="0" w:color="auto"/>
              <w:left w:val="single" w:sz="4" w:space="0" w:color="auto"/>
            </w:tcBorders>
            <w:tcMar>
              <w:top w:w="10" w:type="dxa"/>
              <w:bottom w:w="10" w:type="dxa"/>
            </w:tcMar>
            <w:vAlign w:val="center"/>
          </w:tcPr>
          <w:p w14:paraId="5440AF4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5091E26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07A87E6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660663E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1E34568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58E7AA2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4A771D0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56A0F88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786BE16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5DB2543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1D56170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0ABD445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19F3F30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3EBE640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291115C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0F7D189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4D25DD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40B6413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2AF0AF2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tcBorders>
            <w:tcMar>
              <w:top w:w="10" w:type="dxa"/>
              <w:bottom w:w="10" w:type="dxa"/>
            </w:tcMar>
            <w:vAlign w:val="center"/>
          </w:tcPr>
          <w:p w14:paraId="6E7B37C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0818201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2093045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431B5BF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tcBorders>
            <w:tcMar>
              <w:top w:w="10" w:type="dxa"/>
              <w:bottom w:w="10" w:type="dxa"/>
            </w:tcMar>
            <w:vAlign w:val="center"/>
          </w:tcPr>
          <w:p w14:paraId="0BA4206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327C953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707551D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5FD1B6C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0B5D5B3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17820B6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72FD2D6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75C3122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35382302" w14:textId="77777777">
        <w:trPr>
          <w:trHeight w:val="20"/>
        </w:trPr>
        <w:tc>
          <w:tcPr>
            <w:tcW w:w="233" w:type="dxa"/>
            <w:tcBorders>
              <w:top w:val="single" w:sz="4" w:space="0" w:color="auto"/>
              <w:left w:val="single" w:sz="4" w:space="0" w:color="auto"/>
            </w:tcBorders>
            <w:tcMar>
              <w:top w:w="10" w:type="dxa"/>
              <w:bottom w:w="10" w:type="dxa"/>
            </w:tcMar>
            <w:vAlign w:val="center"/>
          </w:tcPr>
          <w:p w14:paraId="398A410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30</w:t>
            </w:r>
          </w:p>
        </w:tc>
        <w:tc>
          <w:tcPr>
            <w:tcW w:w="2256" w:type="dxa"/>
            <w:tcBorders>
              <w:top w:val="single" w:sz="4" w:space="0" w:color="auto"/>
              <w:left w:val="single" w:sz="4" w:space="0" w:color="auto"/>
            </w:tcBorders>
            <w:tcMar>
              <w:top w:w="10" w:type="dxa"/>
              <w:bottom w:w="10" w:type="dxa"/>
            </w:tcMar>
            <w:vAlign w:val="center"/>
          </w:tcPr>
          <w:p w14:paraId="07ED60D8" w14:textId="77777777" w:rsidR="006561BA" w:rsidRDefault="005B4ED6">
            <w:pPr>
              <w:widowControl w:val="0"/>
              <w:shd w:val="clear" w:color="auto" w:fill="auto"/>
              <w:spacing w:after="0" w:line="240" w:lineRule="auto"/>
              <w:ind w:left="164"/>
              <w:jc w:val="left"/>
              <w:rPr>
                <w:rFonts w:ascii="Helvetica" w:eastAsia="Arial Unicode MS" w:hAnsi="Helvetica" w:cs="Helvetica"/>
                <w:color w:val="212121"/>
                <w:sz w:val="6"/>
                <w:szCs w:val="6"/>
              </w:rPr>
            </w:pPr>
            <w:r>
              <w:rPr>
                <w:rFonts w:ascii="Helvetica" w:hAnsi="Helvetica"/>
                <w:color w:val="212121"/>
                <w:sz w:val="6"/>
              </w:rPr>
              <w:t>Annen finansiering av lokale myndigheter</w:t>
            </w:r>
          </w:p>
        </w:tc>
        <w:tc>
          <w:tcPr>
            <w:tcW w:w="315" w:type="dxa"/>
            <w:tcBorders>
              <w:top w:val="single" w:sz="4" w:space="0" w:color="auto"/>
              <w:left w:val="single" w:sz="4" w:space="0" w:color="auto"/>
            </w:tcBorders>
            <w:tcMar>
              <w:top w:w="10" w:type="dxa"/>
              <w:bottom w:w="10" w:type="dxa"/>
            </w:tcMar>
            <w:vAlign w:val="center"/>
          </w:tcPr>
          <w:p w14:paraId="38A8F3E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44A15F3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7DCEEF0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0" w:type="dxa"/>
            <w:tcBorders>
              <w:top w:val="single" w:sz="4" w:space="0" w:color="auto"/>
              <w:left w:val="single" w:sz="4" w:space="0" w:color="auto"/>
            </w:tcBorders>
            <w:tcMar>
              <w:top w:w="10" w:type="dxa"/>
              <w:bottom w:w="10" w:type="dxa"/>
            </w:tcMar>
            <w:vAlign w:val="center"/>
          </w:tcPr>
          <w:p w14:paraId="06B52A9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4" w:type="dxa"/>
            <w:tcBorders>
              <w:top w:val="single" w:sz="4" w:space="0" w:color="auto"/>
              <w:left w:val="single" w:sz="4" w:space="0" w:color="auto"/>
            </w:tcBorders>
            <w:tcMar>
              <w:top w:w="10" w:type="dxa"/>
              <w:bottom w:w="10" w:type="dxa"/>
            </w:tcMar>
            <w:vAlign w:val="center"/>
          </w:tcPr>
          <w:p w14:paraId="6F30130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right w:val="single" w:sz="4" w:space="0" w:color="auto"/>
            </w:tcBorders>
          </w:tcPr>
          <w:p w14:paraId="2256355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6049A0D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03ABA46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6ACEF6E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20E2126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1BE9764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666C433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5" w:type="dxa"/>
            <w:tcBorders>
              <w:top w:val="single" w:sz="4" w:space="0" w:color="auto"/>
              <w:left w:val="single" w:sz="4" w:space="0" w:color="auto"/>
            </w:tcBorders>
            <w:tcMar>
              <w:top w:w="10" w:type="dxa"/>
              <w:bottom w:w="10" w:type="dxa"/>
            </w:tcMar>
            <w:vAlign w:val="center"/>
          </w:tcPr>
          <w:p w14:paraId="625C37C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2" w:type="dxa"/>
            <w:tcBorders>
              <w:top w:val="single" w:sz="4" w:space="0" w:color="auto"/>
              <w:left w:val="single" w:sz="4" w:space="0" w:color="auto"/>
            </w:tcBorders>
            <w:tcMar>
              <w:top w:w="10" w:type="dxa"/>
              <w:bottom w:w="10" w:type="dxa"/>
            </w:tcMar>
            <w:vAlign w:val="center"/>
          </w:tcPr>
          <w:p w14:paraId="06D4A51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26CEF88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6D20B58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1AE099C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7" w:type="dxa"/>
            <w:tcBorders>
              <w:top w:val="single" w:sz="4" w:space="0" w:color="auto"/>
              <w:left w:val="single" w:sz="4" w:space="0" w:color="auto"/>
            </w:tcBorders>
            <w:tcMar>
              <w:top w:w="10" w:type="dxa"/>
              <w:bottom w:w="10" w:type="dxa"/>
            </w:tcMar>
            <w:vAlign w:val="center"/>
          </w:tcPr>
          <w:p w14:paraId="3578B89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734D78E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4" w:type="dxa"/>
            <w:tcBorders>
              <w:top w:val="single" w:sz="4" w:space="0" w:color="auto"/>
              <w:left w:val="single" w:sz="4" w:space="0" w:color="auto"/>
            </w:tcBorders>
            <w:tcMar>
              <w:top w:w="10" w:type="dxa"/>
              <w:bottom w:w="10" w:type="dxa"/>
            </w:tcMar>
            <w:vAlign w:val="center"/>
          </w:tcPr>
          <w:p w14:paraId="7E23204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6" w:type="dxa"/>
            <w:tcBorders>
              <w:top w:val="single" w:sz="4" w:space="0" w:color="auto"/>
              <w:left w:val="single" w:sz="4" w:space="0" w:color="auto"/>
            </w:tcBorders>
            <w:tcMar>
              <w:top w:w="10" w:type="dxa"/>
              <w:bottom w:w="10" w:type="dxa"/>
            </w:tcMar>
            <w:vAlign w:val="center"/>
          </w:tcPr>
          <w:p w14:paraId="249A748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0" w:type="dxa"/>
            <w:tcBorders>
              <w:top w:val="single" w:sz="4" w:space="0" w:color="auto"/>
              <w:left w:val="single" w:sz="4" w:space="0" w:color="auto"/>
            </w:tcBorders>
            <w:tcMar>
              <w:top w:w="10" w:type="dxa"/>
              <w:bottom w:w="10" w:type="dxa"/>
            </w:tcMar>
            <w:vAlign w:val="center"/>
          </w:tcPr>
          <w:p w14:paraId="54760B9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4FA71C1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0" w:type="dxa"/>
            <w:tcBorders>
              <w:top w:val="single" w:sz="4" w:space="0" w:color="auto"/>
              <w:left w:val="single" w:sz="4" w:space="0" w:color="auto"/>
            </w:tcBorders>
            <w:tcMar>
              <w:top w:w="10" w:type="dxa"/>
              <w:bottom w:w="10" w:type="dxa"/>
            </w:tcMar>
            <w:vAlign w:val="center"/>
          </w:tcPr>
          <w:p w14:paraId="58EE34D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88" w:type="dxa"/>
            <w:tcBorders>
              <w:top w:val="single" w:sz="4" w:space="0" w:color="auto"/>
              <w:left w:val="single" w:sz="4" w:space="0" w:color="auto"/>
            </w:tcBorders>
            <w:tcMar>
              <w:top w:w="10" w:type="dxa"/>
              <w:bottom w:w="10" w:type="dxa"/>
            </w:tcMar>
            <w:vAlign w:val="center"/>
          </w:tcPr>
          <w:p w14:paraId="456EE23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49E85ED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8" w:type="dxa"/>
            <w:tcBorders>
              <w:top w:val="single" w:sz="4" w:space="0" w:color="auto"/>
              <w:left w:val="single" w:sz="4" w:space="0" w:color="auto"/>
            </w:tcBorders>
            <w:tcMar>
              <w:top w:w="10" w:type="dxa"/>
              <w:bottom w:w="10" w:type="dxa"/>
            </w:tcMar>
            <w:vAlign w:val="center"/>
          </w:tcPr>
          <w:p w14:paraId="728A832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96" w:type="dxa"/>
            <w:tcBorders>
              <w:top w:val="single" w:sz="4" w:space="0" w:color="auto"/>
              <w:left w:val="single" w:sz="4" w:space="0" w:color="auto"/>
            </w:tcBorders>
            <w:tcMar>
              <w:top w:w="10" w:type="dxa"/>
              <w:bottom w:w="10" w:type="dxa"/>
            </w:tcMar>
            <w:vAlign w:val="center"/>
          </w:tcPr>
          <w:p w14:paraId="46D5E8A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56" w:type="dxa"/>
            <w:tcBorders>
              <w:top w:val="single" w:sz="4" w:space="0" w:color="auto"/>
              <w:left w:val="single" w:sz="4" w:space="0" w:color="auto"/>
            </w:tcBorders>
            <w:tcMar>
              <w:top w:w="10" w:type="dxa"/>
              <w:bottom w:w="10" w:type="dxa"/>
            </w:tcMar>
            <w:vAlign w:val="center"/>
          </w:tcPr>
          <w:p w14:paraId="174B09C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 w:type="dxa"/>
            <w:tcBorders>
              <w:top w:val="single" w:sz="4" w:space="0" w:color="auto"/>
              <w:left w:val="single" w:sz="4" w:space="0" w:color="auto"/>
            </w:tcBorders>
            <w:tcMar>
              <w:top w:w="10" w:type="dxa"/>
              <w:bottom w:w="10" w:type="dxa"/>
            </w:tcMar>
            <w:vAlign w:val="center"/>
          </w:tcPr>
          <w:p w14:paraId="34C349E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42F7BDC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7B684C75" w14:textId="77777777">
        <w:trPr>
          <w:trHeight w:val="20"/>
        </w:trPr>
        <w:tc>
          <w:tcPr>
            <w:tcW w:w="233" w:type="dxa"/>
            <w:tcBorders>
              <w:top w:val="single" w:sz="4" w:space="0" w:color="auto"/>
              <w:left w:val="single" w:sz="4" w:space="0" w:color="auto"/>
            </w:tcBorders>
            <w:tcMar>
              <w:top w:w="10" w:type="dxa"/>
              <w:bottom w:w="10" w:type="dxa"/>
            </w:tcMar>
            <w:vAlign w:val="center"/>
          </w:tcPr>
          <w:p w14:paraId="45A3C18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31</w:t>
            </w:r>
          </w:p>
        </w:tc>
        <w:tc>
          <w:tcPr>
            <w:tcW w:w="2256" w:type="dxa"/>
            <w:tcBorders>
              <w:top w:val="single" w:sz="4" w:space="0" w:color="auto"/>
              <w:left w:val="single" w:sz="4" w:space="0" w:color="auto"/>
            </w:tcBorders>
            <w:tcMar>
              <w:top w:w="10" w:type="dxa"/>
              <w:bottom w:w="10" w:type="dxa"/>
            </w:tcMar>
            <w:vAlign w:val="center"/>
          </w:tcPr>
          <w:p w14:paraId="3644C5B7" w14:textId="77777777" w:rsidR="006561BA" w:rsidRDefault="005B4ED6">
            <w:pPr>
              <w:widowControl w:val="0"/>
              <w:shd w:val="clear" w:color="auto" w:fill="auto"/>
              <w:spacing w:after="0" w:line="240" w:lineRule="auto"/>
              <w:ind w:left="80"/>
              <w:jc w:val="left"/>
              <w:rPr>
                <w:rFonts w:ascii="Helvetica" w:eastAsia="Arial Unicode MS" w:hAnsi="Helvetica" w:cs="Helvetica"/>
                <w:b/>
                <w:color w:val="000000"/>
                <w:sz w:val="6"/>
                <w:szCs w:val="6"/>
              </w:rPr>
            </w:pPr>
            <w:r>
              <w:rPr>
                <w:rFonts w:ascii="Helvetica" w:hAnsi="Helvetica"/>
                <w:b/>
                <w:color w:val="000000"/>
                <w:sz w:val="6"/>
              </w:rPr>
              <w:t>Overtatte sikkerheter: bolig- og næringseiendommer</w:t>
            </w:r>
          </w:p>
        </w:tc>
        <w:tc>
          <w:tcPr>
            <w:tcW w:w="315" w:type="dxa"/>
            <w:tcBorders>
              <w:top w:val="single" w:sz="4" w:space="0" w:color="auto"/>
              <w:left w:val="single" w:sz="4" w:space="0" w:color="auto"/>
            </w:tcBorders>
            <w:tcMar>
              <w:top w:w="10" w:type="dxa"/>
              <w:bottom w:w="10" w:type="dxa"/>
            </w:tcMar>
            <w:vAlign w:val="center"/>
          </w:tcPr>
          <w:p w14:paraId="0761DD9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507FAB9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4CE6E51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0" w:type="dxa"/>
            <w:tcBorders>
              <w:top w:val="single" w:sz="4" w:space="0" w:color="auto"/>
              <w:left w:val="single" w:sz="4" w:space="0" w:color="auto"/>
            </w:tcBorders>
            <w:tcMar>
              <w:top w:w="10" w:type="dxa"/>
              <w:bottom w:w="10" w:type="dxa"/>
            </w:tcMar>
            <w:vAlign w:val="center"/>
          </w:tcPr>
          <w:p w14:paraId="50EED13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4" w:type="dxa"/>
            <w:tcBorders>
              <w:top w:val="single" w:sz="4" w:space="0" w:color="auto"/>
              <w:left w:val="single" w:sz="4" w:space="0" w:color="auto"/>
            </w:tcBorders>
            <w:tcMar>
              <w:top w:w="10" w:type="dxa"/>
              <w:bottom w:w="10" w:type="dxa"/>
            </w:tcMar>
            <w:vAlign w:val="center"/>
          </w:tcPr>
          <w:p w14:paraId="74DDC1A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right w:val="single" w:sz="4" w:space="0" w:color="auto"/>
            </w:tcBorders>
          </w:tcPr>
          <w:p w14:paraId="7A5A780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7BBCBC6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1293A27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44CD79B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19C429D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15850ED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2C96443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5" w:type="dxa"/>
            <w:tcBorders>
              <w:top w:val="single" w:sz="4" w:space="0" w:color="auto"/>
              <w:left w:val="single" w:sz="4" w:space="0" w:color="auto"/>
            </w:tcBorders>
            <w:tcMar>
              <w:top w:w="10" w:type="dxa"/>
              <w:bottom w:w="10" w:type="dxa"/>
            </w:tcMar>
            <w:vAlign w:val="center"/>
          </w:tcPr>
          <w:p w14:paraId="1BC4A99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2" w:type="dxa"/>
            <w:tcBorders>
              <w:top w:val="single" w:sz="4" w:space="0" w:color="auto"/>
              <w:left w:val="single" w:sz="4" w:space="0" w:color="auto"/>
            </w:tcBorders>
            <w:tcMar>
              <w:top w:w="10" w:type="dxa"/>
              <w:bottom w:w="10" w:type="dxa"/>
            </w:tcMar>
            <w:vAlign w:val="center"/>
          </w:tcPr>
          <w:p w14:paraId="62AB8A2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69DFFB1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50B19EE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4929675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7" w:type="dxa"/>
            <w:tcBorders>
              <w:top w:val="single" w:sz="4" w:space="0" w:color="auto"/>
              <w:left w:val="single" w:sz="4" w:space="0" w:color="auto"/>
            </w:tcBorders>
            <w:tcMar>
              <w:top w:w="10" w:type="dxa"/>
              <w:bottom w:w="10" w:type="dxa"/>
            </w:tcMar>
            <w:vAlign w:val="center"/>
          </w:tcPr>
          <w:p w14:paraId="546F797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539458F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4" w:type="dxa"/>
            <w:tcBorders>
              <w:top w:val="single" w:sz="4" w:space="0" w:color="auto"/>
              <w:left w:val="single" w:sz="4" w:space="0" w:color="auto"/>
            </w:tcBorders>
            <w:tcMar>
              <w:top w:w="10" w:type="dxa"/>
              <w:bottom w:w="10" w:type="dxa"/>
            </w:tcMar>
            <w:vAlign w:val="center"/>
          </w:tcPr>
          <w:p w14:paraId="7D25200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6" w:type="dxa"/>
            <w:tcBorders>
              <w:top w:val="single" w:sz="4" w:space="0" w:color="auto"/>
              <w:left w:val="single" w:sz="4" w:space="0" w:color="auto"/>
            </w:tcBorders>
            <w:tcMar>
              <w:top w:w="10" w:type="dxa"/>
              <w:bottom w:w="10" w:type="dxa"/>
            </w:tcMar>
            <w:vAlign w:val="center"/>
          </w:tcPr>
          <w:p w14:paraId="144A2D1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0" w:type="dxa"/>
            <w:tcBorders>
              <w:top w:val="single" w:sz="4" w:space="0" w:color="auto"/>
              <w:left w:val="single" w:sz="4" w:space="0" w:color="auto"/>
            </w:tcBorders>
            <w:tcMar>
              <w:top w:w="10" w:type="dxa"/>
              <w:bottom w:w="10" w:type="dxa"/>
            </w:tcMar>
            <w:vAlign w:val="center"/>
          </w:tcPr>
          <w:p w14:paraId="7CAFC98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7ED23C0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0" w:type="dxa"/>
            <w:tcBorders>
              <w:top w:val="single" w:sz="4" w:space="0" w:color="auto"/>
              <w:left w:val="single" w:sz="4" w:space="0" w:color="auto"/>
            </w:tcBorders>
            <w:tcMar>
              <w:top w:w="10" w:type="dxa"/>
              <w:bottom w:w="10" w:type="dxa"/>
            </w:tcMar>
            <w:vAlign w:val="center"/>
          </w:tcPr>
          <w:p w14:paraId="625563D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88" w:type="dxa"/>
            <w:tcBorders>
              <w:top w:val="single" w:sz="4" w:space="0" w:color="auto"/>
              <w:left w:val="single" w:sz="4" w:space="0" w:color="auto"/>
            </w:tcBorders>
            <w:tcMar>
              <w:top w:w="10" w:type="dxa"/>
              <w:bottom w:w="10" w:type="dxa"/>
            </w:tcMar>
            <w:vAlign w:val="center"/>
          </w:tcPr>
          <w:p w14:paraId="00E4B2E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60AF584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8" w:type="dxa"/>
            <w:tcBorders>
              <w:top w:val="single" w:sz="4" w:space="0" w:color="auto"/>
              <w:left w:val="single" w:sz="4" w:space="0" w:color="auto"/>
            </w:tcBorders>
            <w:tcMar>
              <w:top w:w="10" w:type="dxa"/>
              <w:bottom w:w="10" w:type="dxa"/>
            </w:tcMar>
            <w:vAlign w:val="center"/>
          </w:tcPr>
          <w:p w14:paraId="41DA5CE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96" w:type="dxa"/>
            <w:tcBorders>
              <w:top w:val="single" w:sz="4" w:space="0" w:color="auto"/>
              <w:left w:val="single" w:sz="4" w:space="0" w:color="auto"/>
            </w:tcBorders>
            <w:tcMar>
              <w:top w:w="10" w:type="dxa"/>
              <w:bottom w:w="10" w:type="dxa"/>
            </w:tcMar>
            <w:vAlign w:val="center"/>
          </w:tcPr>
          <w:p w14:paraId="712B0FA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56" w:type="dxa"/>
            <w:tcBorders>
              <w:top w:val="single" w:sz="4" w:space="0" w:color="auto"/>
              <w:left w:val="single" w:sz="4" w:space="0" w:color="auto"/>
            </w:tcBorders>
            <w:tcMar>
              <w:top w:w="10" w:type="dxa"/>
              <w:bottom w:w="10" w:type="dxa"/>
            </w:tcMar>
            <w:vAlign w:val="center"/>
          </w:tcPr>
          <w:p w14:paraId="1C04CF5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 w:type="dxa"/>
            <w:tcBorders>
              <w:top w:val="single" w:sz="4" w:space="0" w:color="auto"/>
              <w:left w:val="single" w:sz="4" w:space="0" w:color="auto"/>
            </w:tcBorders>
            <w:tcMar>
              <w:top w:w="10" w:type="dxa"/>
              <w:bottom w:w="10" w:type="dxa"/>
            </w:tcMar>
            <w:vAlign w:val="center"/>
          </w:tcPr>
          <w:p w14:paraId="7F93FE1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6B88D53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59A33E9A" w14:textId="77777777">
        <w:trPr>
          <w:trHeight w:val="20"/>
        </w:trPr>
        <w:tc>
          <w:tcPr>
            <w:tcW w:w="233"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6B4A2E9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32</w:t>
            </w:r>
          </w:p>
        </w:tc>
        <w:tc>
          <w:tcPr>
            <w:tcW w:w="2256"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17EA746F" w14:textId="77777777" w:rsidR="006561BA" w:rsidRDefault="005B4ED6">
            <w:pPr>
              <w:widowControl w:val="0"/>
              <w:shd w:val="clear" w:color="auto" w:fill="auto"/>
              <w:spacing w:after="0" w:line="240" w:lineRule="auto"/>
              <w:jc w:val="left"/>
              <w:rPr>
                <w:rFonts w:ascii="Helvetica" w:eastAsia="Arial Unicode MS" w:hAnsi="Helvetica" w:cs="Helvetica"/>
                <w:b/>
                <w:color w:val="000000"/>
                <w:sz w:val="6"/>
                <w:szCs w:val="6"/>
              </w:rPr>
            </w:pPr>
            <w:r>
              <w:rPr>
                <w:rFonts w:ascii="Helvetica" w:hAnsi="Helvetica"/>
                <w:b/>
                <w:color w:val="000000"/>
                <w:sz w:val="6"/>
              </w:rPr>
              <w:t>Samlet GAR for eiendeler</w:t>
            </w:r>
          </w:p>
        </w:tc>
        <w:tc>
          <w:tcPr>
            <w:tcW w:w="315"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1881798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3A1EFFA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5242E04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6AA283C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77A6DC9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shd w:val="clear" w:color="auto" w:fill="DCEBF7"/>
          </w:tcPr>
          <w:p w14:paraId="5769382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tcBorders>
            <w:shd w:val="clear" w:color="auto" w:fill="DCEBF7"/>
          </w:tcPr>
          <w:p w14:paraId="7A9C7CC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tcBorders>
            <w:shd w:val="clear" w:color="auto" w:fill="DCEBF7"/>
          </w:tcPr>
          <w:p w14:paraId="606C7A4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tcBorders>
            <w:shd w:val="clear" w:color="auto" w:fill="DCEBF7"/>
          </w:tcPr>
          <w:p w14:paraId="3C9B931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3766B40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7A14F56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1117B5E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55AB3DC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256EF99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2D69724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415169D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6B55BCA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533386A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7AC14D7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64C5D32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1442620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51B663E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5D228C5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116E20F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48F3BB9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497130A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16636BF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7F32275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421C266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4CFAD3C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bottom w:val="single" w:sz="4" w:space="0" w:color="auto"/>
              <w:right w:val="single" w:sz="4" w:space="0" w:color="auto"/>
            </w:tcBorders>
            <w:shd w:val="clear" w:color="auto" w:fill="DCEBF7"/>
            <w:tcMar>
              <w:top w:w="10" w:type="dxa"/>
              <w:bottom w:w="10" w:type="dxa"/>
            </w:tcMar>
            <w:vAlign w:val="center"/>
          </w:tcPr>
          <w:p w14:paraId="4D9B4B4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bl>
    <w:p w14:paraId="66A57E0C" w14:textId="77777777" w:rsidR="006561BA" w:rsidRDefault="005B4ED6">
      <w:pPr>
        <w:pStyle w:val="Para"/>
        <w:spacing w:line="240" w:lineRule="auto"/>
        <w:jc w:val="left"/>
      </w:pPr>
      <w:r>
        <w:br w:type="page"/>
      </w:r>
    </w:p>
    <w:p w14:paraId="75E185F9" w14:textId="77777777" w:rsidR="006561BA" w:rsidRDefault="005B4ED6">
      <w:pPr>
        <w:pStyle w:val="AnnexNumberedText"/>
        <w:spacing w:after="300"/>
        <w:ind w:left="279" w:hanging="279"/>
      </w:pPr>
      <w:r>
        <w:lastRenderedPageBreak/>
        <w:t>4.</w:t>
      </w:r>
      <w:r>
        <w:rPr>
          <w:b/>
        </w:rPr>
        <w:tab/>
        <w:t>GAR – KPI for strømmer</w:t>
      </w:r>
    </w:p>
    <w:tbl>
      <w:tblPr>
        <w:tblOverlap w:val="never"/>
        <w:tblW w:w="14052" w:type="dxa"/>
        <w:tblInd w:w="286" w:type="dxa"/>
        <w:tblLayout w:type="fixed"/>
        <w:tblCellMar>
          <w:left w:w="10" w:type="dxa"/>
          <w:right w:w="10" w:type="dxa"/>
        </w:tblCellMar>
        <w:tblLook w:val="04A0" w:firstRow="1" w:lastRow="0" w:firstColumn="1" w:lastColumn="0" w:noHBand="0" w:noVBand="1"/>
      </w:tblPr>
      <w:tblGrid>
        <w:gridCol w:w="234"/>
        <w:gridCol w:w="2258"/>
        <w:gridCol w:w="304"/>
        <w:gridCol w:w="428"/>
        <w:gridCol w:w="420"/>
        <w:gridCol w:w="460"/>
        <w:gridCol w:w="334"/>
        <w:gridCol w:w="312"/>
        <w:gridCol w:w="312"/>
        <w:gridCol w:w="312"/>
        <w:gridCol w:w="312"/>
        <w:gridCol w:w="312"/>
        <w:gridCol w:w="324"/>
        <w:gridCol w:w="408"/>
        <w:gridCol w:w="425"/>
        <w:gridCol w:w="322"/>
        <w:gridCol w:w="312"/>
        <w:gridCol w:w="408"/>
        <w:gridCol w:w="420"/>
        <w:gridCol w:w="327"/>
        <w:gridCol w:w="336"/>
        <w:gridCol w:w="404"/>
        <w:gridCol w:w="406"/>
        <w:gridCol w:w="330"/>
        <w:gridCol w:w="324"/>
        <w:gridCol w:w="360"/>
        <w:gridCol w:w="488"/>
        <w:gridCol w:w="336"/>
        <w:gridCol w:w="468"/>
        <w:gridCol w:w="496"/>
        <w:gridCol w:w="456"/>
        <w:gridCol w:w="284"/>
        <w:gridCol w:w="420"/>
      </w:tblGrid>
      <w:tr w:rsidR="006561BA" w14:paraId="585506A4" w14:textId="77777777">
        <w:trPr>
          <w:trHeight w:val="20"/>
        </w:trPr>
        <w:tc>
          <w:tcPr>
            <w:tcW w:w="234" w:type="dxa"/>
            <w:tcBorders>
              <w:right w:val="single" w:sz="4" w:space="0" w:color="auto"/>
            </w:tcBorders>
            <w:tcMar>
              <w:top w:w="10" w:type="dxa"/>
              <w:bottom w:w="10" w:type="dxa"/>
            </w:tcMar>
            <w:vAlign w:val="center"/>
          </w:tcPr>
          <w:p w14:paraId="67DD85B6" w14:textId="77777777" w:rsidR="006561BA" w:rsidRDefault="006561BA">
            <w:pPr>
              <w:widowControl w:val="0"/>
              <w:shd w:val="clear" w:color="auto" w:fill="auto"/>
              <w:spacing w:after="0" w:line="240" w:lineRule="auto"/>
              <w:jc w:val="center"/>
              <w:rPr>
                <w:rFonts w:ascii="Helvetica" w:eastAsia="Arial Unicode MS" w:hAnsi="Helvetica" w:cs="Helvetica"/>
                <w:color w:val="000000"/>
                <w:sz w:val="6"/>
                <w:szCs w:val="6"/>
                <w:lang w:val="en-IN"/>
              </w:rPr>
            </w:pPr>
          </w:p>
        </w:tc>
        <w:tc>
          <w:tcPr>
            <w:tcW w:w="2258" w:type="dxa"/>
            <w:tcBorders>
              <w:top w:val="single" w:sz="4" w:space="0" w:color="auto"/>
              <w:left w:val="single" w:sz="4" w:space="0" w:color="auto"/>
              <w:bottom w:val="single" w:sz="4" w:space="0" w:color="auto"/>
            </w:tcBorders>
            <w:tcMar>
              <w:top w:w="10" w:type="dxa"/>
              <w:bottom w:w="10" w:type="dxa"/>
            </w:tcMar>
            <w:vAlign w:val="center"/>
          </w:tcPr>
          <w:p w14:paraId="385F7275" w14:textId="77777777" w:rsidR="006561BA" w:rsidRDefault="005B4ED6">
            <w:pPr>
              <w:widowControl w:val="0"/>
              <w:shd w:val="clear" w:color="auto" w:fill="auto"/>
              <w:spacing w:after="0" w:line="240" w:lineRule="auto"/>
              <w:rPr>
                <w:rFonts w:ascii="Helvetica" w:eastAsia="Arial Unicode MS" w:hAnsi="Helvetica" w:cs="Helvetica"/>
                <w:color w:val="000000"/>
                <w:sz w:val="6"/>
                <w:szCs w:val="6"/>
              </w:rPr>
            </w:pPr>
            <w:r>
              <w:rPr>
                <w:rFonts w:ascii="Helvetica" w:hAnsi="Helvetica"/>
                <w:color w:val="383838"/>
                <w:sz w:val="6"/>
              </w:rPr>
              <w:t>1. Institusjonen skal i denne malen opplyse om KPI-ene for GAR for lånestrømmen (nye lån på nettobasis) beregnet på grunnlag av dataene framlagt i mal 1, om dekkede eiendeler, ved anvendelse av formlene i denne malen</w:t>
            </w:r>
          </w:p>
        </w:tc>
        <w:tc>
          <w:tcPr>
            <w:tcW w:w="304" w:type="dxa"/>
            <w:tcBorders>
              <w:left w:val="single" w:sz="4" w:space="0" w:color="auto"/>
              <w:bottom w:val="single" w:sz="4" w:space="0" w:color="auto"/>
            </w:tcBorders>
            <w:tcMar>
              <w:top w:w="10" w:type="dxa"/>
              <w:bottom w:w="10" w:type="dxa"/>
            </w:tcMar>
            <w:vAlign w:val="center"/>
          </w:tcPr>
          <w:p w14:paraId="40B6B617"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428" w:type="dxa"/>
            <w:tcBorders>
              <w:bottom w:val="single" w:sz="4" w:space="0" w:color="auto"/>
            </w:tcBorders>
            <w:tcMar>
              <w:top w:w="10" w:type="dxa"/>
              <w:bottom w:w="10" w:type="dxa"/>
            </w:tcMar>
            <w:vAlign w:val="center"/>
          </w:tcPr>
          <w:p w14:paraId="3C74640D"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420" w:type="dxa"/>
            <w:tcBorders>
              <w:bottom w:val="single" w:sz="4" w:space="0" w:color="auto"/>
            </w:tcBorders>
            <w:tcMar>
              <w:top w:w="10" w:type="dxa"/>
              <w:bottom w:w="10" w:type="dxa"/>
            </w:tcMar>
            <w:vAlign w:val="center"/>
          </w:tcPr>
          <w:p w14:paraId="582F1C71"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460" w:type="dxa"/>
            <w:tcBorders>
              <w:bottom w:val="single" w:sz="4" w:space="0" w:color="auto"/>
            </w:tcBorders>
            <w:tcMar>
              <w:top w:w="10" w:type="dxa"/>
              <w:bottom w:w="10" w:type="dxa"/>
            </w:tcMar>
            <w:vAlign w:val="center"/>
          </w:tcPr>
          <w:p w14:paraId="2262ED19"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334" w:type="dxa"/>
            <w:tcBorders>
              <w:bottom w:val="single" w:sz="4" w:space="0" w:color="auto"/>
            </w:tcBorders>
            <w:tcMar>
              <w:top w:w="10" w:type="dxa"/>
              <w:bottom w:w="10" w:type="dxa"/>
            </w:tcMar>
            <w:vAlign w:val="center"/>
          </w:tcPr>
          <w:p w14:paraId="482EADF3"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312" w:type="dxa"/>
            <w:tcBorders>
              <w:bottom w:val="single" w:sz="4" w:space="0" w:color="auto"/>
            </w:tcBorders>
            <w:vAlign w:val="center"/>
          </w:tcPr>
          <w:p w14:paraId="41D42343"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312" w:type="dxa"/>
            <w:tcBorders>
              <w:bottom w:val="single" w:sz="4" w:space="0" w:color="auto"/>
            </w:tcBorders>
            <w:vAlign w:val="center"/>
          </w:tcPr>
          <w:p w14:paraId="02598EF8"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312" w:type="dxa"/>
            <w:tcBorders>
              <w:bottom w:val="single" w:sz="4" w:space="0" w:color="auto"/>
            </w:tcBorders>
            <w:vAlign w:val="center"/>
          </w:tcPr>
          <w:p w14:paraId="40CE7A77"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312" w:type="dxa"/>
            <w:tcBorders>
              <w:bottom w:val="single" w:sz="4" w:space="0" w:color="auto"/>
            </w:tcBorders>
            <w:vAlign w:val="center"/>
          </w:tcPr>
          <w:p w14:paraId="4C3CEDD1"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312" w:type="dxa"/>
            <w:tcBorders>
              <w:bottom w:val="single" w:sz="4" w:space="0" w:color="auto"/>
            </w:tcBorders>
            <w:tcMar>
              <w:top w:w="10" w:type="dxa"/>
              <w:bottom w:w="10" w:type="dxa"/>
            </w:tcMar>
            <w:vAlign w:val="center"/>
          </w:tcPr>
          <w:p w14:paraId="587C3973"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324" w:type="dxa"/>
            <w:tcBorders>
              <w:bottom w:val="single" w:sz="4" w:space="0" w:color="auto"/>
            </w:tcBorders>
            <w:tcMar>
              <w:top w:w="10" w:type="dxa"/>
              <w:bottom w:w="10" w:type="dxa"/>
            </w:tcMar>
            <w:vAlign w:val="center"/>
          </w:tcPr>
          <w:p w14:paraId="30B4D868"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408" w:type="dxa"/>
            <w:tcBorders>
              <w:bottom w:val="single" w:sz="4" w:space="0" w:color="auto"/>
            </w:tcBorders>
            <w:tcMar>
              <w:top w:w="10" w:type="dxa"/>
              <w:bottom w:w="10" w:type="dxa"/>
            </w:tcMar>
            <w:vAlign w:val="center"/>
          </w:tcPr>
          <w:p w14:paraId="24DEC947"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425" w:type="dxa"/>
            <w:tcBorders>
              <w:bottom w:val="single" w:sz="4" w:space="0" w:color="auto"/>
            </w:tcBorders>
            <w:tcMar>
              <w:top w:w="10" w:type="dxa"/>
              <w:bottom w:w="10" w:type="dxa"/>
            </w:tcMar>
            <w:vAlign w:val="center"/>
          </w:tcPr>
          <w:p w14:paraId="11DC64D0"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322" w:type="dxa"/>
            <w:tcBorders>
              <w:bottom w:val="single" w:sz="4" w:space="0" w:color="auto"/>
            </w:tcBorders>
            <w:tcMar>
              <w:top w:w="10" w:type="dxa"/>
              <w:bottom w:w="10" w:type="dxa"/>
            </w:tcMar>
            <w:vAlign w:val="center"/>
          </w:tcPr>
          <w:p w14:paraId="4F1445FF"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312" w:type="dxa"/>
            <w:tcBorders>
              <w:bottom w:val="single" w:sz="4" w:space="0" w:color="auto"/>
            </w:tcBorders>
            <w:tcMar>
              <w:top w:w="10" w:type="dxa"/>
              <w:bottom w:w="10" w:type="dxa"/>
            </w:tcMar>
            <w:vAlign w:val="center"/>
          </w:tcPr>
          <w:p w14:paraId="57CE1796"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408" w:type="dxa"/>
            <w:tcBorders>
              <w:bottom w:val="single" w:sz="4" w:space="0" w:color="auto"/>
            </w:tcBorders>
            <w:tcMar>
              <w:top w:w="10" w:type="dxa"/>
              <w:bottom w:w="10" w:type="dxa"/>
            </w:tcMar>
            <w:vAlign w:val="center"/>
          </w:tcPr>
          <w:p w14:paraId="186BA811"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420" w:type="dxa"/>
            <w:tcBorders>
              <w:bottom w:val="single" w:sz="4" w:space="0" w:color="auto"/>
            </w:tcBorders>
            <w:tcMar>
              <w:top w:w="10" w:type="dxa"/>
              <w:bottom w:w="10" w:type="dxa"/>
            </w:tcMar>
            <w:vAlign w:val="center"/>
          </w:tcPr>
          <w:p w14:paraId="751B4E18"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327" w:type="dxa"/>
            <w:tcBorders>
              <w:bottom w:val="single" w:sz="4" w:space="0" w:color="auto"/>
            </w:tcBorders>
            <w:tcMar>
              <w:top w:w="10" w:type="dxa"/>
              <w:bottom w:w="10" w:type="dxa"/>
            </w:tcMar>
            <w:vAlign w:val="center"/>
          </w:tcPr>
          <w:p w14:paraId="338FD838"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336" w:type="dxa"/>
            <w:tcBorders>
              <w:bottom w:val="single" w:sz="4" w:space="0" w:color="auto"/>
            </w:tcBorders>
            <w:tcMar>
              <w:top w:w="10" w:type="dxa"/>
              <w:bottom w:w="10" w:type="dxa"/>
            </w:tcMar>
            <w:vAlign w:val="center"/>
          </w:tcPr>
          <w:p w14:paraId="3066AC98"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404" w:type="dxa"/>
            <w:tcBorders>
              <w:bottom w:val="single" w:sz="4" w:space="0" w:color="auto"/>
            </w:tcBorders>
            <w:tcMar>
              <w:top w:w="10" w:type="dxa"/>
              <w:bottom w:w="10" w:type="dxa"/>
            </w:tcMar>
            <w:vAlign w:val="center"/>
          </w:tcPr>
          <w:p w14:paraId="6DF80B4C"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406" w:type="dxa"/>
            <w:tcBorders>
              <w:bottom w:val="single" w:sz="4" w:space="0" w:color="auto"/>
            </w:tcBorders>
            <w:tcMar>
              <w:top w:w="10" w:type="dxa"/>
              <w:bottom w:w="10" w:type="dxa"/>
            </w:tcMar>
            <w:vAlign w:val="center"/>
          </w:tcPr>
          <w:p w14:paraId="5FD658C5"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330" w:type="dxa"/>
            <w:tcBorders>
              <w:bottom w:val="single" w:sz="4" w:space="0" w:color="auto"/>
            </w:tcBorders>
            <w:tcMar>
              <w:top w:w="10" w:type="dxa"/>
              <w:bottom w:w="10" w:type="dxa"/>
            </w:tcMar>
            <w:vAlign w:val="center"/>
          </w:tcPr>
          <w:p w14:paraId="3D1868A4"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324" w:type="dxa"/>
            <w:tcBorders>
              <w:bottom w:val="single" w:sz="4" w:space="0" w:color="auto"/>
            </w:tcBorders>
            <w:tcMar>
              <w:top w:w="10" w:type="dxa"/>
              <w:bottom w:w="10" w:type="dxa"/>
            </w:tcMar>
            <w:vAlign w:val="center"/>
          </w:tcPr>
          <w:p w14:paraId="6C7324B5"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360" w:type="dxa"/>
            <w:tcBorders>
              <w:bottom w:val="single" w:sz="4" w:space="0" w:color="auto"/>
            </w:tcBorders>
            <w:tcMar>
              <w:top w:w="10" w:type="dxa"/>
              <w:bottom w:w="10" w:type="dxa"/>
            </w:tcMar>
            <w:vAlign w:val="center"/>
          </w:tcPr>
          <w:p w14:paraId="18541863"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488" w:type="dxa"/>
            <w:tcBorders>
              <w:bottom w:val="single" w:sz="4" w:space="0" w:color="auto"/>
            </w:tcBorders>
            <w:tcMar>
              <w:top w:w="10" w:type="dxa"/>
              <w:bottom w:w="10" w:type="dxa"/>
            </w:tcMar>
            <w:vAlign w:val="center"/>
          </w:tcPr>
          <w:p w14:paraId="6D383F57"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336" w:type="dxa"/>
            <w:tcBorders>
              <w:bottom w:val="single" w:sz="4" w:space="0" w:color="auto"/>
            </w:tcBorders>
            <w:tcMar>
              <w:top w:w="10" w:type="dxa"/>
              <w:bottom w:w="10" w:type="dxa"/>
            </w:tcMar>
            <w:vAlign w:val="center"/>
          </w:tcPr>
          <w:p w14:paraId="21E2E159"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468" w:type="dxa"/>
            <w:tcBorders>
              <w:bottom w:val="single" w:sz="4" w:space="0" w:color="auto"/>
            </w:tcBorders>
            <w:tcMar>
              <w:top w:w="10" w:type="dxa"/>
              <w:bottom w:w="10" w:type="dxa"/>
            </w:tcMar>
            <w:vAlign w:val="center"/>
          </w:tcPr>
          <w:p w14:paraId="17EBC6CF"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496" w:type="dxa"/>
            <w:tcBorders>
              <w:bottom w:val="single" w:sz="4" w:space="0" w:color="auto"/>
            </w:tcBorders>
            <w:tcMar>
              <w:top w:w="10" w:type="dxa"/>
              <w:bottom w:w="10" w:type="dxa"/>
            </w:tcMar>
            <w:vAlign w:val="center"/>
          </w:tcPr>
          <w:p w14:paraId="4B36C4DF"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212121"/>
                <w:sz w:val="6"/>
                <w:szCs w:val="6"/>
              </w:rPr>
            </w:pPr>
          </w:p>
        </w:tc>
        <w:tc>
          <w:tcPr>
            <w:tcW w:w="456" w:type="dxa"/>
            <w:tcBorders>
              <w:bottom w:val="single" w:sz="4" w:space="0" w:color="auto"/>
            </w:tcBorders>
            <w:tcMar>
              <w:top w:w="10" w:type="dxa"/>
              <w:bottom w:w="10" w:type="dxa"/>
            </w:tcMar>
            <w:vAlign w:val="center"/>
          </w:tcPr>
          <w:p w14:paraId="0F2B7868"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284" w:type="dxa"/>
            <w:tcBorders>
              <w:bottom w:val="single" w:sz="4" w:space="0" w:color="auto"/>
            </w:tcBorders>
            <w:tcMar>
              <w:top w:w="10" w:type="dxa"/>
              <w:bottom w:w="10" w:type="dxa"/>
            </w:tcMar>
            <w:vAlign w:val="center"/>
          </w:tcPr>
          <w:p w14:paraId="11B6D5A5"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420" w:type="dxa"/>
            <w:tcBorders>
              <w:bottom w:val="single" w:sz="4" w:space="0" w:color="auto"/>
            </w:tcBorders>
            <w:tcMar>
              <w:top w:w="10" w:type="dxa"/>
              <w:bottom w:w="10" w:type="dxa"/>
            </w:tcMar>
            <w:vAlign w:val="center"/>
          </w:tcPr>
          <w:p w14:paraId="2E2EE6B2"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r>
      <w:tr w:rsidR="006561BA" w14:paraId="704C5FD2" w14:textId="77777777">
        <w:trPr>
          <w:trHeight w:val="20"/>
        </w:trPr>
        <w:tc>
          <w:tcPr>
            <w:tcW w:w="234" w:type="dxa"/>
            <w:tcBorders>
              <w:right w:val="single" w:sz="4" w:space="0" w:color="auto"/>
            </w:tcBorders>
            <w:tcMar>
              <w:top w:w="10" w:type="dxa"/>
              <w:bottom w:w="10" w:type="dxa"/>
            </w:tcMar>
            <w:vAlign w:val="center"/>
          </w:tcPr>
          <w:p w14:paraId="50ECA276"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2258" w:type="dxa"/>
            <w:tcBorders>
              <w:top w:val="single" w:sz="4" w:space="0" w:color="auto"/>
              <w:left w:val="single" w:sz="4" w:space="0" w:color="auto"/>
              <w:bottom w:val="single" w:sz="4" w:space="0" w:color="auto"/>
            </w:tcBorders>
            <w:tcMar>
              <w:top w:w="10" w:type="dxa"/>
              <w:bottom w:w="10" w:type="dxa"/>
            </w:tcMar>
            <w:vAlign w:val="center"/>
          </w:tcPr>
          <w:p w14:paraId="21215D63" w14:textId="77777777" w:rsidR="006561BA" w:rsidRDefault="005B4ED6">
            <w:pPr>
              <w:widowControl w:val="0"/>
              <w:shd w:val="clear" w:color="auto" w:fill="auto"/>
              <w:spacing w:after="0" w:line="240" w:lineRule="auto"/>
              <w:rPr>
                <w:rFonts w:ascii="Helvetica" w:eastAsia="Arial Unicode MS" w:hAnsi="Helvetica" w:cs="Helvetica"/>
                <w:color w:val="000000"/>
                <w:sz w:val="6"/>
                <w:szCs w:val="6"/>
              </w:rPr>
            </w:pPr>
            <w:r>
              <w:rPr>
                <w:rFonts w:ascii="Helvetica" w:hAnsi="Helvetica"/>
                <w:color w:val="000000"/>
                <w:sz w:val="6"/>
              </w:rPr>
              <w:t>2. Kredittinstitusjoner skal duplisere denne malen for opplysninger basert på inntekter og investeringsutgifter</w:t>
            </w:r>
          </w:p>
        </w:tc>
        <w:tc>
          <w:tcPr>
            <w:tcW w:w="304"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1808749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w:t>
            </w:r>
          </w:p>
        </w:tc>
        <w:tc>
          <w:tcPr>
            <w:tcW w:w="428"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176E4FC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b</w:t>
            </w:r>
          </w:p>
        </w:tc>
        <w:tc>
          <w:tcPr>
            <w:tcW w:w="420"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7DF652B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c</w:t>
            </w:r>
          </w:p>
        </w:tc>
        <w:tc>
          <w:tcPr>
            <w:tcW w:w="460"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6DD0FC44"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d</w:t>
            </w:r>
          </w:p>
        </w:tc>
        <w:tc>
          <w:tcPr>
            <w:tcW w:w="334"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056AB43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e</w:t>
            </w:r>
          </w:p>
        </w:tc>
        <w:tc>
          <w:tcPr>
            <w:tcW w:w="312" w:type="dxa"/>
            <w:tcBorders>
              <w:top w:val="single" w:sz="4" w:space="0" w:color="auto"/>
              <w:left w:val="single" w:sz="4" w:space="0" w:color="auto"/>
              <w:bottom w:val="single" w:sz="4" w:space="0" w:color="auto"/>
              <w:right w:val="single" w:sz="4" w:space="0" w:color="auto"/>
            </w:tcBorders>
            <w:vAlign w:val="center"/>
          </w:tcPr>
          <w:p w14:paraId="6990710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f</w:t>
            </w:r>
          </w:p>
        </w:tc>
        <w:tc>
          <w:tcPr>
            <w:tcW w:w="312" w:type="dxa"/>
            <w:tcBorders>
              <w:top w:val="single" w:sz="4" w:space="0" w:color="auto"/>
              <w:left w:val="single" w:sz="4" w:space="0" w:color="auto"/>
              <w:bottom w:val="single" w:sz="4" w:space="0" w:color="auto"/>
              <w:right w:val="single" w:sz="4" w:space="0" w:color="auto"/>
            </w:tcBorders>
            <w:vAlign w:val="center"/>
          </w:tcPr>
          <w:p w14:paraId="654D0B9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g</w:t>
            </w:r>
          </w:p>
        </w:tc>
        <w:tc>
          <w:tcPr>
            <w:tcW w:w="312" w:type="dxa"/>
            <w:tcBorders>
              <w:top w:val="single" w:sz="4" w:space="0" w:color="auto"/>
              <w:left w:val="single" w:sz="4" w:space="0" w:color="auto"/>
              <w:bottom w:val="single" w:sz="4" w:space="0" w:color="auto"/>
              <w:right w:val="single" w:sz="4" w:space="0" w:color="auto"/>
            </w:tcBorders>
            <w:vAlign w:val="center"/>
          </w:tcPr>
          <w:p w14:paraId="57C23E80"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h</w:t>
            </w:r>
          </w:p>
        </w:tc>
        <w:tc>
          <w:tcPr>
            <w:tcW w:w="312" w:type="dxa"/>
            <w:tcBorders>
              <w:top w:val="single" w:sz="4" w:space="0" w:color="auto"/>
              <w:left w:val="single" w:sz="4" w:space="0" w:color="auto"/>
              <w:bottom w:val="single" w:sz="4" w:space="0" w:color="auto"/>
              <w:right w:val="single" w:sz="4" w:space="0" w:color="auto"/>
            </w:tcBorders>
            <w:vAlign w:val="center"/>
          </w:tcPr>
          <w:p w14:paraId="51E4998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i</w:t>
            </w:r>
          </w:p>
        </w:tc>
        <w:tc>
          <w:tcPr>
            <w:tcW w:w="312"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49E1BE02"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j</w:t>
            </w:r>
          </w:p>
        </w:tc>
        <w:tc>
          <w:tcPr>
            <w:tcW w:w="324"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74432BE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k</w:t>
            </w:r>
          </w:p>
        </w:tc>
        <w:tc>
          <w:tcPr>
            <w:tcW w:w="408"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4FF7A98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l</w:t>
            </w:r>
          </w:p>
        </w:tc>
        <w:tc>
          <w:tcPr>
            <w:tcW w:w="425"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6B2EDEC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m</w:t>
            </w:r>
          </w:p>
        </w:tc>
        <w:tc>
          <w:tcPr>
            <w:tcW w:w="322"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0025707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n</w:t>
            </w:r>
          </w:p>
        </w:tc>
        <w:tc>
          <w:tcPr>
            <w:tcW w:w="312"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3758DFA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o</w:t>
            </w:r>
          </w:p>
        </w:tc>
        <w:tc>
          <w:tcPr>
            <w:tcW w:w="408"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6788A94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p</w:t>
            </w:r>
          </w:p>
        </w:tc>
        <w:tc>
          <w:tcPr>
            <w:tcW w:w="420"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00D356C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q</w:t>
            </w:r>
          </w:p>
        </w:tc>
        <w:tc>
          <w:tcPr>
            <w:tcW w:w="327"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46B4AA1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r</w:t>
            </w:r>
          </w:p>
        </w:tc>
        <w:tc>
          <w:tcPr>
            <w:tcW w:w="336"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1BED3A9A"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s</w:t>
            </w:r>
          </w:p>
        </w:tc>
        <w:tc>
          <w:tcPr>
            <w:tcW w:w="404"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76EDDE8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t</w:t>
            </w:r>
          </w:p>
        </w:tc>
        <w:tc>
          <w:tcPr>
            <w:tcW w:w="406"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1E7E4D1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u</w:t>
            </w:r>
          </w:p>
        </w:tc>
        <w:tc>
          <w:tcPr>
            <w:tcW w:w="330"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6E611F62"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v</w:t>
            </w:r>
          </w:p>
        </w:tc>
        <w:tc>
          <w:tcPr>
            <w:tcW w:w="324"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1EFDE83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w</w:t>
            </w:r>
          </w:p>
        </w:tc>
        <w:tc>
          <w:tcPr>
            <w:tcW w:w="360"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0DC34CE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x</w:t>
            </w:r>
          </w:p>
        </w:tc>
        <w:tc>
          <w:tcPr>
            <w:tcW w:w="488"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1869B3C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z</w:t>
            </w:r>
          </w:p>
        </w:tc>
        <w:tc>
          <w:tcPr>
            <w:tcW w:w="336"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2A2290D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aa</w:t>
            </w:r>
            <w:proofErr w:type="spellEnd"/>
          </w:p>
        </w:tc>
        <w:tc>
          <w:tcPr>
            <w:tcW w:w="468"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0B1A6C42"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ab</w:t>
            </w:r>
          </w:p>
        </w:tc>
        <w:tc>
          <w:tcPr>
            <w:tcW w:w="496"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0FB7DAA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212121"/>
                <w:sz w:val="6"/>
              </w:rPr>
              <w:t>ac</w:t>
            </w:r>
            <w:proofErr w:type="spellEnd"/>
          </w:p>
        </w:tc>
        <w:tc>
          <w:tcPr>
            <w:tcW w:w="456"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1B4BCE6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ad</w:t>
            </w:r>
          </w:p>
        </w:tc>
        <w:tc>
          <w:tcPr>
            <w:tcW w:w="284"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4639EC7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ae</w:t>
            </w:r>
            <w:proofErr w:type="spellEnd"/>
          </w:p>
        </w:tc>
        <w:tc>
          <w:tcPr>
            <w:tcW w:w="420"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3731105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proofErr w:type="spellStart"/>
            <w:r>
              <w:rPr>
                <w:rFonts w:ascii="Helvetica" w:hAnsi="Helvetica"/>
                <w:color w:val="000000"/>
                <w:sz w:val="6"/>
              </w:rPr>
              <w:t>af</w:t>
            </w:r>
            <w:proofErr w:type="spellEnd"/>
          </w:p>
        </w:tc>
      </w:tr>
      <w:tr w:rsidR="006561BA" w14:paraId="6B17A754" w14:textId="77777777">
        <w:trPr>
          <w:trHeight w:val="20"/>
        </w:trPr>
        <w:tc>
          <w:tcPr>
            <w:tcW w:w="234" w:type="dxa"/>
            <w:tcBorders>
              <w:top w:val="single" w:sz="4" w:space="0" w:color="auto"/>
              <w:left w:val="single" w:sz="4" w:space="0" w:color="auto"/>
            </w:tcBorders>
            <w:tcMar>
              <w:top w:w="10" w:type="dxa"/>
              <w:bottom w:w="10" w:type="dxa"/>
            </w:tcMar>
            <w:vAlign w:val="center"/>
          </w:tcPr>
          <w:p w14:paraId="3D04FE6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258" w:type="dxa"/>
            <w:tcBorders>
              <w:top w:val="single" w:sz="4" w:space="0" w:color="auto"/>
            </w:tcBorders>
            <w:tcMar>
              <w:top w:w="10" w:type="dxa"/>
              <w:bottom w:w="10" w:type="dxa"/>
            </w:tcMar>
            <w:vAlign w:val="center"/>
          </w:tcPr>
          <w:p w14:paraId="03A0FD8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04" w:type="dxa"/>
            <w:tcBorders>
              <w:top w:val="single" w:sz="4" w:space="0" w:color="auto"/>
              <w:left w:val="single" w:sz="4" w:space="0" w:color="auto"/>
            </w:tcBorders>
            <w:shd w:val="clear" w:color="auto" w:fill="B5B5B5"/>
            <w:tcMar>
              <w:top w:w="10" w:type="dxa"/>
              <w:bottom w:w="10" w:type="dxa"/>
            </w:tcMar>
            <w:vAlign w:val="center"/>
          </w:tcPr>
          <w:p w14:paraId="522BEA4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8" w:type="dxa"/>
            <w:tcBorders>
              <w:top w:val="single" w:sz="4" w:space="0" w:color="auto"/>
            </w:tcBorders>
            <w:shd w:val="clear" w:color="auto" w:fill="B5B5B5"/>
            <w:tcMar>
              <w:top w:w="10" w:type="dxa"/>
              <w:bottom w:w="10" w:type="dxa"/>
            </w:tcMar>
            <w:vAlign w:val="center"/>
          </w:tcPr>
          <w:p w14:paraId="79C7A0B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IN"/>
              </w:rPr>
            </w:pPr>
          </w:p>
        </w:tc>
        <w:tc>
          <w:tcPr>
            <w:tcW w:w="420" w:type="dxa"/>
            <w:tcBorders>
              <w:top w:val="single" w:sz="4" w:space="0" w:color="auto"/>
            </w:tcBorders>
            <w:shd w:val="clear" w:color="auto" w:fill="B5B5B5"/>
            <w:tcMar>
              <w:top w:w="10" w:type="dxa"/>
              <w:bottom w:w="10" w:type="dxa"/>
            </w:tcMar>
            <w:vAlign w:val="center"/>
          </w:tcPr>
          <w:p w14:paraId="7A6EC25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tcBorders>
            <w:shd w:val="clear" w:color="auto" w:fill="B5B5B5"/>
            <w:tcMar>
              <w:top w:w="10" w:type="dxa"/>
              <w:bottom w:w="10" w:type="dxa"/>
            </w:tcMar>
            <w:vAlign w:val="center"/>
          </w:tcPr>
          <w:p w14:paraId="062330B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tcBorders>
            <w:shd w:val="clear" w:color="auto" w:fill="B5B5B5"/>
            <w:tcMar>
              <w:top w:w="10" w:type="dxa"/>
              <w:bottom w:w="10" w:type="dxa"/>
            </w:tcMar>
            <w:vAlign w:val="center"/>
          </w:tcPr>
          <w:p w14:paraId="0F11C37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tcBorders>
            <w:shd w:val="clear" w:color="auto" w:fill="B5B5B5"/>
          </w:tcPr>
          <w:p w14:paraId="378468E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tcBorders>
            <w:shd w:val="clear" w:color="auto" w:fill="B5B5B5"/>
          </w:tcPr>
          <w:p w14:paraId="6DBA048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tcBorders>
            <w:shd w:val="clear" w:color="auto" w:fill="B5B5B5"/>
          </w:tcPr>
          <w:p w14:paraId="144C338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tcBorders>
            <w:shd w:val="clear" w:color="auto" w:fill="B5B5B5"/>
          </w:tcPr>
          <w:p w14:paraId="4A620B1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tcBorders>
            <w:shd w:val="clear" w:color="auto" w:fill="B5B5B5"/>
            <w:tcMar>
              <w:top w:w="10" w:type="dxa"/>
              <w:bottom w:w="10" w:type="dxa"/>
            </w:tcMar>
            <w:vAlign w:val="center"/>
          </w:tcPr>
          <w:p w14:paraId="2E4FBED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tcBorders>
            <w:shd w:val="clear" w:color="auto" w:fill="B5B5B5"/>
            <w:tcMar>
              <w:top w:w="10" w:type="dxa"/>
              <w:bottom w:w="10" w:type="dxa"/>
            </w:tcMar>
            <w:vAlign w:val="center"/>
          </w:tcPr>
          <w:p w14:paraId="4459A11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tcBorders>
            <w:shd w:val="clear" w:color="auto" w:fill="B5B5B5"/>
            <w:tcMar>
              <w:top w:w="10" w:type="dxa"/>
              <w:bottom w:w="10" w:type="dxa"/>
            </w:tcMar>
            <w:vAlign w:val="center"/>
          </w:tcPr>
          <w:p w14:paraId="3D84C3E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tcBorders>
            <w:shd w:val="clear" w:color="auto" w:fill="B5B5B5"/>
            <w:tcMar>
              <w:top w:w="10" w:type="dxa"/>
              <w:bottom w:w="10" w:type="dxa"/>
            </w:tcMar>
            <w:vAlign w:val="center"/>
          </w:tcPr>
          <w:p w14:paraId="295CF7C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tcBorders>
            <w:shd w:val="clear" w:color="auto" w:fill="B5B5B5"/>
            <w:tcMar>
              <w:top w:w="10" w:type="dxa"/>
              <w:bottom w:w="10" w:type="dxa"/>
            </w:tcMar>
            <w:vAlign w:val="center"/>
          </w:tcPr>
          <w:p w14:paraId="6E9B1663" w14:textId="77777777" w:rsidR="006561BA" w:rsidRDefault="006561BA">
            <w:pPr>
              <w:widowControl w:val="0"/>
              <w:shd w:val="clear" w:color="auto" w:fill="auto"/>
              <w:spacing w:after="0" w:line="240" w:lineRule="auto"/>
              <w:jc w:val="center"/>
              <w:rPr>
                <w:rFonts w:ascii="Helvetica" w:eastAsia="Arial Unicode MS" w:hAnsi="Helvetica" w:cs="Helvetica"/>
                <w:b/>
                <w:color w:val="000000"/>
                <w:sz w:val="6"/>
                <w:szCs w:val="6"/>
                <w:lang w:val="en-US"/>
              </w:rPr>
            </w:pPr>
          </w:p>
        </w:tc>
        <w:tc>
          <w:tcPr>
            <w:tcW w:w="1140" w:type="dxa"/>
            <w:gridSpan w:val="3"/>
            <w:tcBorders>
              <w:top w:val="single" w:sz="4" w:space="0" w:color="auto"/>
            </w:tcBorders>
            <w:shd w:val="clear" w:color="auto" w:fill="B5B5B5"/>
            <w:tcMar>
              <w:top w:w="10" w:type="dxa"/>
              <w:bottom w:w="10" w:type="dxa"/>
            </w:tcMar>
            <w:vAlign w:val="center"/>
          </w:tcPr>
          <w:p w14:paraId="4EB6C68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Referansedato for opplysningene T</w:t>
            </w:r>
          </w:p>
        </w:tc>
        <w:tc>
          <w:tcPr>
            <w:tcW w:w="327" w:type="dxa"/>
            <w:tcBorders>
              <w:top w:val="single" w:sz="4" w:space="0" w:color="auto"/>
            </w:tcBorders>
            <w:shd w:val="clear" w:color="auto" w:fill="B5B5B5"/>
            <w:tcMar>
              <w:top w:w="10" w:type="dxa"/>
              <w:bottom w:w="10" w:type="dxa"/>
            </w:tcMar>
            <w:vAlign w:val="center"/>
          </w:tcPr>
          <w:p w14:paraId="54EB1EE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tcBorders>
            <w:shd w:val="clear" w:color="auto" w:fill="B5B5B5"/>
            <w:tcMar>
              <w:top w:w="10" w:type="dxa"/>
              <w:bottom w:w="10" w:type="dxa"/>
            </w:tcMar>
            <w:vAlign w:val="center"/>
          </w:tcPr>
          <w:p w14:paraId="5B0D796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tcBorders>
            <w:shd w:val="clear" w:color="auto" w:fill="B5B5B5"/>
            <w:tcMar>
              <w:top w:w="10" w:type="dxa"/>
              <w:bottom w:w="10" w:type="dxa"/>
            </w:tcMar>
            <w:vAlign w:val="center"/>
          </w:tcPr>
          <w:p w14:paraId="2EF75D6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tcBorders>
            <w:shd w:val="clear" w:color="auto" w:fill="B5B5B5"/>
            <w:tcMar>
              <w:top w:w="10" w:type="dxa"/>
              <w:bottom w:w="10" w:type="dxa"/>
            </w:tcMar>
            <w:vAlign w:val="center"/>
          </w:tcPr>
          <w:p w14:paraId="62C805D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tcBorders>
            <w:shd w:val="clear" w:color="auto" w:fill="B5B5B5"/>
            <w:tcMar>
              <w:top w:w="10" w:type="dxa"/>
              <w:bottom w:w="10" w:type="dxa"/>
            </w:tcMar>
            <w:vAlign w:val="center"/>
          </w:tcPr>
          <w:p w14:paraId="2E953B3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tcBorders>
            <w:shd w:val="clear" w:color="auto" w:fill="B5B5B5"/>
            <w:tcMar>
              <w:top w:w="10" w:type="dxa"/>
              <w:bottom w:w="10" w:type="dxa"/>
            </w:tcMar>
            <w:vAlign w:val="center"/>
          </w:tcPr>
          <w:p w14:paraId="2E0D573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tcBorders>
            <w:shd w:val="clear" w:color="auto" w:fill="B5B5B5"/>
            <w:tcMar>
              <w:top w:w="10" w:type="dxa"/>
              <w:bottom w:w="10" w:type="dxa"/>
            </w:tcMar>
            <w:vAlign w:val="center"/>
          </w:tcPr>
          <w:p w14:paraId="50D8AA1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tcBorders>
            <w:shd w:val="clear" w:color="auto" w:fill="B5B5B5"/>
            <w:tcMar>
              <w:top w:w="10" w:type="dxa"/>
              <w:bottom w:w="10" w:type="dxa"/>
            </w:tcMar>
            <w:vAlign w:val="center"/>
          </w:tcPr>
          <w:p w14:paraId="2301C93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tcBorders>
            <w:shd w:val="clear" w:color="auto" w:fill="B5B5B5"/>
            <w:tcMar>
              <w:top w:w="10" w:type="dxa"/>
              <w:bottom w:w="10" w:type="dxa"/>
            </w:tcMar>
            <w:vAlign w:val="center"/>
          </w:tcPr>
          <w:p w14:paraId="168FFCF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tcBorders>
            <w:shd w:val="clear" w:color="auto" w:fill="B5B5B5"/>
            <w:tcMar>
              <w:top w:w="10" w:type="dxa"/>
              <w:bottom w:w="10" w:type="dxa"/>
            </w:tcMar>
            <w:vAlign w:val="center"/>
          </w:tcPr>
          <w:p w14:paraId="2CE7A6D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tcBorders>
            <w:shd w:val="clear" w:color="auto" w:fill="B5B5B5"/>
            <w:tcMar>
              <w:top w:w="10" w:type="dxa"/>
              <w:bottom w:w="10" w:type="dxa"/>
            </w:tcMar>
            <w:vAlign w:val="center"/>
          </w:tcPr>
          <w:p w14:paraId="4DF807D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tcBorders>
            <w:shd w:val="clear" w:color="auto" w:fill="B5B5B5"/>
            <w:tcMar>
              <w:top w:w="10" w:type="dxa"/>
              <w:bottom w:w="10" w:type="dxa"/>
            </w:tcMar>
            <w:vAlign w:val="center"/>
          </w:tcPr>
          <w:p w14:paraId="3F5130A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tcBorders>
            <w:shd w:val="clear" w:color="auto" w:fill="B5B5B5"/>
            <w:tcMar>
              <w:top w:w="10" w:type="dxa"/>
              <w:bottom w:w="10" w:type="dxa"/>
            </w:tcMar>
            <w:vAlign w:val="center"/>
          </w:tcPr>
          <w:p w14:paraId="28C51C7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right w:val="single" w:sz="4" w:space="0" w:color="auto"/>
            </w:tcBorders>
            <w:shd w:val="clear" w:color="auto" w:fill="B5B5B5"/>
            <w:tcMar>
              <w:top w:w="10" w:type="dxa"/>
              <w:bottom w:w="10" w:type="dxa"/>
            </w:tcMar>
            <w:vAlign w:val="center"/>
          </w:tcPr>
          <w:p w14:paraId="2CE1BCE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rsidRPr="00980A19" w14:paraId="762AEC3A" w14:textId="77777777">
        <w:trPr>
          <w:trHeight w:val="20"/>
        </w:trPr>
        <w:tc>
          <w:tcPr>
            <w:tcW w:w="234" w:type="dxa"/>
            <w:tcBorders>
              <w:left w:val="single" w:sz="4" w:space="0" w:color="auto"/>
            </w:tcBorders>
            <w:tcMar>
              <w:top w:w="10" w:type="dxa"/>
              <w:bottom w:w="10" w:type="dxa"/>
            </w:tcMar>
            <w:vAlign w:val="center"/>
          </w:tcPr>
          <w:p w14:paraId="057B261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258" w:type="dxa"/>
            <w:tcMar>
              <w:top w:w="10" w:type="dxa"/>
              <w:bottom w:w="10" w:type="dxa"/>
            </w:tcMar>
            <w:vAlign w:val="center"/>
          </w:tcPr>
          <w:p w14:paraId="6070516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946" w:type="dxa"/>
            <w:gridSpan w:val="5"/>
            <w:tcBorders>
              <w:top w:val="single" w:sz="4" w:space="0" w:color="auto"/>
              <w:left w:val="single" w:sz="4" w:space="0" w:color="auto"/>
            </w:tcBorders>
            <w:shd w:val="clear" w:color="auto" w:fill="B5B5B5"/>
            <w:tcMar>
              <w:top w:w="10" w:type="dxa"/>
              <w:bottom w:w="10" w:type="dxa"/>
            </w:tcMar>
            <w:vAlign w:val="center"/>
          </w:tcPr>
          <w:p w14:paraId="4FEF1C6E" w14:textId="77777777" w:rsidR="006561BA" w:rsidRDefault="005B4ED6">
            <w:pPr>
              <w:widowControl w:val="0"/>
              <w:shd w:val="clear" w:color="auto" w:fill="auto"/>
              <w:spacing w:after="0" w:line="240" w:lineRule="auto"/>
              <w:ind w:firstLine="360"/>
              <w:jc w:val="left"/>
              <w:rPr>
                <w:rFonts w:ascii="Helvetica" w:eastAsia="Arial Unicode MS" w:hAnsi="Helvetica" w:cs="Helvetica"/>
                <w:b/>
                <w:color w:val="000000"/>
                <w:sz w:val="6"/>
                <w:szCs w:val="6"/>
              </w:rPr>
            </w:pPr>
            <w:r>
              <w:rPr>
                <w:rFonts w:ascii="Helvetica" w:hAnsi="Helvetica"/>
                <w:b/>
                <w:color w:val="000000"/>
                <w:sz w:val="6"/>
              </w:rPr>
              <w:t>Begrensning av klimaendringer (CCM)</w:t>
            </w:r>
          </w:p>
        </w:tc>
        <w:tc>
          <w:tcPr>
            <w:tcW w:w="1248" w:type="dxa"/>
            <w:gridSpan w:val="4"/>
            <w:tcBorders>
              <w:top w:val="single" w:sz="4" w:space="0" w:color="auto"/>
              <w:left w:val="single" w:sz="4" w:space="0" w:color="auto"/>
            </w:tcBorders>
            <w:shd w:val="clear" w:color="auto" w:fill="B5B5B5"/>
          </w:tcPr>
          <w:p w14:paraId="23227D28"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Tilpasning til klimaendringer (CCA)</w:t>
            </w:r>
          </w:p>
        </w:tc>
        <w:tc>
          <w:tcPr>
            <w:tcW w:w="1469" w:type="dxa"/>
            <w:gridSpan w:val="4"/>
            <w:tcBorders>
              <w:top w:val="single" w:sz="4" w:space="0" w:color="auto"/>
              <w:left w:val="single" w:sz="4" w:space="0" w:color="auto"/>
            </w:tcBorders>
            <w:shd w:val="clear" w:color="auto" w:fill="B5B5B5"/>
            <w:tcMar>
              <w:top w:w="10" w:type="dxa"/>
              <w:bottom w:w="10" w:type="dxa"/>
            </w:tcMar>
            <w:vAlign w:val="center"/>
          </w:tcPr>
          <w:p w14:paraId="7D282F29"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Vann- og havressurser (WTR)</w:t>
            </w:r>
          </w:p>
        </w:tc>
        <w:tc>
          <w:tcPr>
            <w:tcW w:w="1462" w:type="dxa"/>
            <w:gridSpan w:val="4"/>
            <w:tcBorders>
              <w:top w:val="single" w:sz="4" w:space="0" w:color="auto"/>
              <w:left w:val="single" w:sz="4" w:space="0" w:color="auto"/>
            </w:tcBorders>
            <w:shd w:val="clear" w:color="auto" w:fill="B5B5B5"/>
            <w:tcMar>
              <w:top w:w="10" w:type="dxa"/>
              <w:bottom w:w="10" w:type="dxa"/>
            </w:tcMar>
            <w:vAlign w:val="center"/>
          </w:tcPr>
          <w:p w14:paraId="09A62A9D"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Sirkulær økonomi (CE)</w:t>
            </w:r>
          </w:p>
        </w:tc>
        <w:tc>
          <w:tcPr>
            <w:tcW w:w="1473" w:type="dxa"/>
            <w:gridSpan w:val="4"/>
            <w:tcBorders>
              <w:top w:val="single" w:sz="4" w:space="0" w:color="auto"/>
              <w:left w:val="single" w:sz="4" w:space="0" w:color="auto"/>
            </w:tcBorders>
            <w:shd w:val="clear" w:color="auto" w:fill="B5B5B5"/>
            <w:tcMar>
              <w:top w:w="10" w:type="dxa"/>
              <w:bottom w:w="10" w:type="dxa"/>
            </w:tcMar>
            <w:vAlign w:val="center"/>
          </w:tcPr>
          <w:p w14:paraId="46BD801B"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Forurensning (PPC)</w:t>
            </w:r>
          </w:p>
        </w:tc>
        <w:tc>
          <w:tcPr>
            <w:tcW w:w="1502" w:type="dxa"/>
            <w:gridSpan w:val="4"/>
            <w:tcBorders>
              <w:top w:val="single" w:sz="4" w:space="0" w:color="auto"/>
              <w:left w:val="single" w:sz="4" w:space="0" w:color="auto"/>
            </w:tcBorders>
            <w:shd w:val="clear" w:color="auto" w:fill="B5B5B5"/>
            <w:tcMar>
              <w:top w:w="10" w:type="dxa"/>
              <w:bottom w:w="10" w:type="dxa"/>
            </w:tcMar>
            <w:vAlign w:val="center"/>
          </w:tcPr>
          <w:p w14:paraId="6EE8790D"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Biologisk mangfold og økosystemer (BIO)</w:t>
            </w:r>
          </w:p>
        </w:tc>
        <w:tc>
          <w:tcPr>
            <w:tcW w:w="2040" w:type="dxa"/>
            <w:gridSpan w:val="5"/>
            <w:tcBorders>
              <w:top w:val="single" w:sz="4" w:space="0" w:color="auto"/>
              <w:left w:val="single" w:sz="4" w:space="0" w:color="auto"/>
            </w:tcBorders>
            <w:shd w:val="clear" w:color="auto" w:fill="B5B5B5"/>
            <w:tcMar>
              <w:top w:w="10" w:type="dxa"/>
              <w:bottom w:w="10" w:type="dxa"/>
            </w:tcMar>
            <w:vAlign w:val="center"/>
          </w:tcPr>
          <w:p w14:paraId="6778E17B" w14:textId="77777777" w:rsidR="006561BA" w:rsidRPr="00770AA2" w:rsidRDefault="005B4ED6">
            <w:pPr>
              <w:widowControl w:val="0"/>
              <w:shd w:val="clear" w:color="auto" w:fill="auto"/>
              <w:spacing w:after="0" w:line="240" w:lineRule="auto"/>
              <w:jc w:val="center"/>
              <w:rPr>
                <w:rFonts w:ascii="Helvetica" w:eastAsia="Arial Unicode MS" w:hAnsi="Helvetica" w:cs="Helvetica"/>
                <w:b/>
                <w:color w:val="000000"/>
                <w:sz w:val="6"/>
                <w:szCs w:val="6"/>
                <w:lang w:val="en-US"/>
              </w:rPr>
            </w:pPr>
            <w:r w:rsidRPr="00770AA2">
              <w:rPr>
                <w:rFonts w:ascii="Helvetica" w:hAnsi="Helvetica"/>
                <w:b/>
                <w:color w:val="000000"/>
                <w:sz w:val="6"/>
                <w:lang w:val="en-US"/>
              </w:rPr>
              <w:t>SUM (CCM + CCA + WTR + CE + PPC + BIO)</w:t>
            </w:r>
          </w:p>
        </w:tc>
        <w:tc>
          <w:tcPr>
            <w:tcW w:w="420" w:type="dxa"/>
            <w:tcBorders>
              <w:top w:val="single" w:sz="4" w:space="0" w:color="auto"/>
              <w:left w:val="single" w:sz="4" w:space="0" w:color="auto"/>
              <w:right w:val="single" w:sz="4" w:space="0" w:color="auto"/>
            </w:tcBorders>
            <w:shd w:val="clear" w:color="auto" w:fill="B5B5B5"/>
            <w:tcMar>
              <w:top w:w="10" w:type="dxa"/>
              <w:bottom w:w="10" w:type="dxa"/>
            </w:tcMar>
            <w:vAlign w:val="center"/>
          </w:tcPr>
          <w:p w14:paraId="236F0BF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7F2D547B" w14:textId="77777777">
        <w:trPr>
          <w:trHeight w:val="20"/>
        </w:trPr>
        <w:tc>
          <w:tcPr>
            <w:tcW w:w="234" w:type="dxa"/>
            <w:tcBorders>
              <w:left w:val="single" w:sz="4" w:space="0" w:color="auto"/>
            </w:tcBorders>
            <w:tcMar>
              <w:top w:w="10" w:type="dxa"/>
              <w:bottom w:w="10" w:type="dxa"/>
            </w:tcMar>
            <w:vAlign w:val="center"/>
          </w:tcPr>
          <w:p w14:paraId="67B563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258" w:type="dxa"/>
            <w:tcMar>
              <w:top w:w="10" w:type="dxa"/>
              <w:bottom w:w="10" w:type="dxa"/>
            </w:tcMar>
            <w:vAlign w:val="center"/>
          </w:tcPr>
          <w:p w14:paraId="34BDF8B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1946" w:type="dxa"/>
            <w:gridSpan w:val="5"/>
            <w:tcBorders>
              <w:top w:val="single" w:sz="4" w:space="0" w:color="auto"/>
              <w:left w:val="single" w:sz="4" w:space="0" w:color="auto"/>
            </w:tcBorders>
            <w:tcMar>
              <w:top w:w="10" w:type="dxa"/>
              <w:bottom w:w="10" w:type="dxa"/>
            </w:tcMar>
            <w:vAlign w:val="center"/>
          </w:tcPr>
          <w:p w14:paraId="76FBF4B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(som er omfattet av taksonomien)</w:t>
            </w:r>
          </w:p>
        </w:tc>
        <w:tc>
          <w:tcPr>
            <w:tcW w:w="1248" w:type="dxa"/>
            <w:gridSpan w:val="4"/>
            <w:tcBorders>
              <w:top w:val="single" w:sz="4" w:space="0" w:color="auto"/>
              <w:left w:val="single" w:sz="4" w:space="0" w:color="auto"/>
            </w:tcBorders>
          </w:tcPr>
          <w:p w14:paraId="3AE75DE8" w14:textId="77777777" w:rsidR="006561BA" w:rsidRDefault="005B4ED6">
            <w:pPr>
              <w:widowControl w:val="0"/>
              <w:shd w:val="clear" w:color="auto" w:fill="auto"/>
              <w:spacing w:after="0" w:line="240" w:lineRule="auto"/>
              <w:jc w:val="center"/>
              <w:rPr>
                <w:rFonts w:ascii="Helvetica" w:eastAsia="Arial Unicode MS" w:hAnsi="Helvetica" w:cs="Helvetica"/>
                <w:color w:val="212121"/>
                <w:sz w:val="6"/>
                <w:szCs w:val="6"/>
              </w:rPr>
            </w:pPr>
            <w:r>
              <w:rPr>
                <w:rFonts w:ascii="Helvetica" w:hAnsi="Helvetica"/>
                <w:color w:val="212121"/>
                <w:sz w:val="6"/>
              </w:rPr>
              <w:t>Andel av samlede dekkede eiendeler som finansierer taksonomirelevante sektorer (som er omfattet av taksonomien)</w:t>
            </w:r>
          </w:p>
        </w:tc>
        <w:tc>
          <w:tcPr>
            <w:tcW w:w="1469" w:type="dxa"/>
            <w:gridSpan w:val="4"/>
            <w:tcBorders>
              <w:top w:val="single" w:sz="4" w:space="0" w:color="auto"/>
              <w:left w:val="single" w:sz="4" w:space="0" w:color="auto"/>
            </w:tcBorders>
            <w:tcMar>
              <w:top w:w="10" w:type="dxa"/>
              <w:bottom w:w="10" w:type="dxa"/>
            </w:tcMar>
            <w:vAlign w:val="center"/>
          </w:tcPr>
          <w:p w14:paraId="590A4FE4"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(som er omfattet av taksonomien)</w:t>
            </w:r>
          </w:p>
        </w:tc>
        <w:tc>
          <w:tcPr>
            <w:tcW w:w="1462" w:type="dxa"/>
            <w:gridSpan w:val="4"/>
            <w:tcBorders>
              <w:top w:val="single" w:sz="4" w:space="0" w:color="auto"/>
              <w:left w:val="single" w:sz="4" w:space="0" w:color="auto"/>
            </w:tcBorders>
            <w:tcMar>
              <w:top w:w="10" w:type="dxa"/>
              <w:bottom w:w="10" w:type="dxa"/>
            </w:tcMar>
            <w:vAlign w:val="center"/>
          </w:tcPr>
          <w:p w14:paraId="7BA7CA0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(som er omfattet av taksonomien)</w:t>
            </w:r>
          </w:p>
        </w:tc>
        <w:tc>
          <w:tcPr>
            <w:tcW w:w="1473" w:type="dxa"/>
            <w:gridSpan w:val="4"/>
            <w:tcBorders>
              <w:top w:val="single" w:sz="4" w:space="0" w:color="auto"/>
              <w:left w:val="single" w:sz="4" w:space="0" w:color="auto"/>
            </w:tcBorders>
            <w:tcMar>
              <w:top w:w="10" w:type="dxa"/>
              <w:bottom w:w="10" w:type="dxa"/>
            </w:tcMar>
            <w:vAlign w:val="center"/>
          </w:tcPr>
          <w:p w14:paraId="6EFE2D1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(som er omfattet av taksonomien)</w:t>
            </w:r>
          </w:p>
        </w:tc>
        <w:tc>
          <w:tcPr>
            <w:tcW w:w="1502" w:type="dxa"/>
            <w:gridSpan w:val="4"/>
            <w:tcBorders>
              <w:top w:val="single" w:sz="4" w:space="0" w:color="auto"/>
              <w:left w:val="single" w:sz="4" w:space="0" w:color="auto"/>
            </w:tcBorders>
            <w:tcMar>
              <w:top w:w="10" w:type="dxa"/>
              <w:bottom w:w="10" w:type="dxa"/>
            </w:tcMar>
            <w:vAlign w:val="center"/>
          </w:tcPr>
          <w:p w14:paraId="2815586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(som er omfattet av taksonomien)</w:t>
            </w:r>
          </w:p>
        </w:tc>
        <w:tc>
          <w:tcPr>
            <w:tcW w:w="2040" w:type="dxa"/>
            <w:gridSpan w:val="5"/>
            <w:tcBorders>
              <w:top w:val="single" w:sz="4" w:space="0" w:color="auto"/>
              <w:left w:val="single" w:sz="4" w:space="0" w:color="auto"/>
            </w:tcBorders>
            <w:tcMar>
              <w:top w:w="10" w:type="dxa"/>
              <w:bottom w:w="10" w:type="dxa"/>
            </w:tcMar>
            <w:vAlign w:val="center"/>
          </w:tcPr>
          <w:p w14:paraId="55EE0B90"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(som er omfattet av taksonomien)</w:t>
            </w:r>
          </w:p>
        </w:tc>
        <w:tc>
          <w:tcPr>
            <w:tcW w:w="420" w:type="dxa"/>
            <w:vMerge w:val="restart"/>
            <w:tcBorders>
              <w:top w:val="single" w:sz="4" w:space="0" w:color="auto"/>
              <w:left w:val="single" w:sz="4" w:space="0" w:color="auto"/>
              <w:right w:val="single" w:sz="4" w:space="0" w:color="auto"/>
            </w:tcBorders>
            <w:tcMar>
              <w:top w:w="10" w:type="dxa"/>
              <w:bottom w:w="10" w:type="dxa"/>
            </w:tcMar>
            <w:vAlign w:val="center"/>
          </w:tcPr>
          <w:p w14:paraId="283E757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w:t>
            </w:r>
          </w:p>
        </w:tc>
      </w:tr>
      <w:tr w:rsidR="006561BA" w14:paraId="1FF8F644" w14:textId="77777777">
        <w:trPr>
          <w:trHeight w:val="20"/>
        </w:trPr>
        <w:tc>
          <w:tcPr>
            <w:tcW w:w="234" w:type="dxa"/>
            <w:tcBorders>
              <w:left w:val="single" w:sz="4" w:space="0" w:color="auto"/>
            </w:tcBorders>
            <w:tcMar>
              <w:top w:w="10" w:type="dxa"/>
              <w:bottom w:w="10" w:type="dxa"/>
            </w:tcMar>
            <w:vAlign w:val="center"/>
          </w:tcPr>
          <w:p w14:paraId="090EF55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258" w:type="dxa"/>
            <w:tcMar>
              <w:top w:w="10" w:type="dxa"/>
              <w:bottom w:w="10" w:type="dxa"/>
            </w:tcMar>
            <w:vAlign w:val="center"/>
          </w:tcPr>
          <w:p w14:paraId="1DE79BDF"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212121"/>
                <w:sz w:val="6"/>
              </w:rPr>
              <w:t>% (i forhold til samlede dekkede eiendeler i nevneren)</w:t>
            </w:r>
          </w:p>
        </w:tc>
        <w:tc>
          <w:tcPr>
            <w:tcW w:w="304" w:type="dxa"/>
            <w:tcBorders>
              <w:top w:val="single" w:sz="4" w:space="0" w:color="auto"/>
              <w:left w:val="single" w:sz="4" w:space="0" w:color="auto"/>
            </w:tcBorders>
            <w:tcMar>
              <w:top w:w="10" w:type="dxa"/>
              <w:bottom w:w="10" w:type="dxa"/>
            </w:tcMar>
            <w:vAlign w:val="center"/>
          </w:tcPr>
          <w:p w14:paraId="59537E7F"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1642" w:type="dxa"/>
            <w:gridSpan w:val="4"/>
            <w:tcBorders>
              <w:top w:val="single" w:sz="4" w:space="0" w:color="auto"/>
              <w:left w:val="single" w:sz="4" w:space="0" w:color="auto"/>
            </w:tcBorders>
            <w:vAlign w:val="center"/>
          </w:tcPr>
          <w:p w14:paraId="7328A8B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Andel av samlede dekkede eiendeler som finansierer taksonomirelevante sektorer (taksonomiforenlige)</w:t>
            </w:r>
          </w:p>
        </w:tc>
        <w:tc>
          <w:tcPr>
            <w:tcW w:w="312" w:type="dxa"/>
            <w:tcBorders>
              <w:left w:val="single" w:sz="4" w:space="0" w:color="auto"/>
              <w:right w:val="single" w:sz="4" w:space="0" w:color="auto"/>
            </w:tcBorders>
          </w:tcPr>
          <w:p w14:paraId="79DDB232"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936" w:type="dxa"/>
            <w:gridSpan w:val="3"/>
            <w:tcBorders>
              <w:top w:val="single" w:sz="4" w:space="0" w:color="auto"/>
              <w:left w:val="single" w:sz="4" w:space="0" w:color="auto"/>
            </w:tcBorders>
          </w:tcPr>
          <w:p w14:paraId="490A2512" w14:textId="77777777" w:rsidR="006561BA" w:rsidRPr="00384748" w:rsidRDefault="005B4ED6">
            <w:pPr>
              <w:widowControl w:val="0"/>
              <w:shd w:val="clear" w:color="auto" w:fill="auto"/>
              <w:spacing w:after="0" w:line="240" w:lineRule="auto"/>
              <w:jc w:val="center"/>
              <w:rPr>
                <w:rFonts w:ascii="Helvetica" w:eastAsia="Arial Unicode MS" w:hAnsi="Helvetica" w:cs="Helvetica"/>
                <w:color w:val="auto"/>
                <w:sz w:val="6"/>
                <w:szCs w:val="6"/>
              </w:rPr>
            </w:pPr>
            <w:r w:rsidRPr="00384748">
              <w:rPr>
                <w:rFonts w:ascii="Helvetica" w:hAnsi="Helvetica"/>
                <w:color w:val="auto"/>
                <w:sz w:val="6"/>
              </w:rPr>
              <w:t>Andel av samlede dekkede eiendeler som finansierer taksonomirelevante sektorer (taksonomiforenlige)</w:t>
            </w:r>
          </w:p>
        </w:tc>
        <w:tc>
          <w:tcPr>
            <w:tcW w:w="312" w:type="dxa"/>
            <w:tcBorders>
              <w:left w:val="single" w:sz="4" w:space="0" w:color="auto"/>
            </w:tcBorders>
            <w:tcMar>
              <w:top w:w="10" w:type="dxa"/>
              <w:bottom w:w="10" w:type="dxa"/>
            </w:tcMar>
            <w:vAlign w:val="center"/>
          </w:tcPr>
          <w:p w14:paraId="253CF596" w14:textId="77777777" w:rsidR="006561BA" w:rsidRPr="00384748" w:rsidRDefault="006561BA">
            <w:pPr>
              <w:widowControl w:val="0"/>
              <w:shd w:val="clear" w:color="auto" w:fill="auto"/>
              <w:spacing w:after="0" w:line="240" w:lineRule="auto"/>
              <w:jc w:val="center"/>
              <w:rPr>
                <w:rFonts w:ascii="Helvetica" w:eastAsia="Arial Unicode MS" w:hAnsi="Helvetica" w:cs="Helvetica"/>
                <w:color w:val="auto"/>
                <w:sz w:val="6"/>
                <w:szCs w:val="6"/>
              </w:rPr>
            </w:pPr>
          </w:p>
        </w:tc>
        <w:tc>
          <w:tcPr>
            <w:tcW w:w="1157" w:type="dxa"/>
            <w:gridSpan w:val="3"/>
            <w:tcBorders>
              <w:top w:val="single" w:sz="4" w:space="0" w:color="auto"/>
              <w:left w:val="single" w:sz="4" w:space="0" w:color="auto"/>
            </w:tcBorders>
            <w:tcMar>
              <w:top w:w="10" w:type="dxa"/>
              <w:bottom w:w="10" w:type="dxa"/>
            </w:tcMar>
            <w:vAlign w:val="center"/>
          </w:tcPr>
          <w:p w14:paraId="2EA6515D" w14:textId="77777777" w:rsidR="006561BA" w:rsidRPr="00384748" w:rsidRDefault="005B4ED6">
            <w:pPr>
              <w:widowControl w:val="0"/>
              <w:shd w:val="clear" w:color="auto" w:fill="auto"/>
              <w:spacing w:after="0" w:line="240" w:lineRule="auto"/>
              <w:jc w:val="center"/>
              <w:rPr>
                <w:rFonts w:ascii="Helvetica" w:eastAsia="Arial Unicode MS" w:hAnsi="Helvetica" w:cs="Helvetica"/>
                <w:color w:val="auto"/>
                <w:sz w:val="6"/>
                <w:szCs w:val="6"/>
              </w:rPr>
            </w:pPr>
            <w:r w:rsidRPr="00384748">
              <w:rPr>
                <w:rFonts w:ascii="Helvetica" w:hAnsi="Helvetica"/>
                <w:color w:val="auto"/>
                <w:sz w:val="6"/>
              </w:rPr>
              <w:t>Andel av samlede dekkede eiendeler som finansierer taksonomirelevante sektorer (taksonomiforenlige)</w:t>
            </w:r>
          </w:p>
        </w:tc>
        <w:tc>
          <w:tcPr>
            <w:tcW w:w="322" w:type="dxa"/>
            <w:tcBorders>
              <w:left w:val="single" w:sz="4" w:space="0" w:color="auto"/>
            </w:tcBorders>
            <w:tcMar>
              <w:top w:w="10" w:type="dxa"/>
              <w:bottom w:w="10" w:type="dxa"/>
            </w:tcMar>
            <w:vAlign w:val="center"/>
          </w:tcPr>
          <w:p w14:paraId="3D8C1668" w14:textId="77777777" w:rsidR="006561BA" w:rsidRPr="00384748" w:rsidRDefault="006561BA">
            <w:pPr>
              <w:widowControl w:val="0"/>
              <w:shd w:val="clear" w:color="auto" w:fill="auto"/>
              <w:spacing w:after="0" w:line="240" w:lineRule="auto"/>
              <w:jc w:val="left"/>
              <w:rPr>
                <w:rFonts w:ascii="Helvetica" w:eastAsia="Arial Unicode MS" w:hAnsi="Helvetica" w:cs="Helvetica"/>
                <w:color w:val="auto"/>
                <w:sz w:val="6"/>
                <w:szCs w:val="6"/>
              </w:rPr>
            </w:pPr>
          </w:p>
        </w:tc>
        <w:tc>
          <w:tcPr>
            <w:tcW w:w="1140" w:type="dxa"/>
            <w:gridSpan w:val="3"/>
            <w:tcBorders>
              <w:top w:val="single" w:sz="4" w:space="0" w:color="auto"/>
              <w:left w:val="single" w:sz="4" w:space="0" w:color="auto"/>
            </w:tcBorders>
            <w:tcMar>
              <w:top w:w="10" w:type="dxa"/>
              <w:bottom w:w="10" w:type="dxa"/>
            </w:tcMar>
            <w:vAlign w:val="center"/>
          </w:tcPr>
          <w:p w14:paraId="42446168" w14:textId="77777777" w:rsidR="006561BA" w:rsidRPr="00384748" w:rsidRDefault="005B4ED6">
            <w:pPr>
              <w:widowControl w:val="0"/>
              <w:shd w:val="clear" w:color="auto" w:fill="auto"/>
              <w:spacing w:after="0" w:line="240" w:lineRule="auto"/>
              <w:jc w:val="center"/>
              <w:rPr>
                <w:rFonts w:ascii="Helvetica" w:eastAsia="Arial Unicode MS" w:hAnsi="Helvetica" w:cs="Helvetica"/>
                <w:color w:val="auto"/>
                <w:sz w:val="6"/>
                <w:szCs w:val="6"/>
              </w:rPr>
            </w:pPr>
            <w:r w:rsidRPr="00384748">
              <w:rPr>
                <w:rFonts w:ascii="Helvetica" w:hAnsi="Helvetica"/>
                <w:color w:val="auto"/>
                <w:sz w:val="6"/>
              </w:rPr>
              <w:t>Andel av samlede dekkede eiendeler som finansierer taksonomirelevante sektorer (taksonomiforenlige)</w:t>
            </w:r>
          </w:p>
        </w:tc>
        <w:tc>
          <w:tcPr>
            <w:tcW w:w="327" w:type="dxa"/>
            <w:tcBorders>
              <w:left w:val="single" w:sz="4" w:space="0" w:color="auto"/>
            </w:tcBorders>
            <w:tcMar>
              <w:top w:w="10" w:type="dxa"/>
              <w:bottom w:w="10" w:type="dxa"/>
            </w:tcMar>
            <w:vAlign w:val="center"/>
          </w:tcPr>
          <w:p w14:paraId="5459B383" w14:textId="77777777" w:rsidR="006561BA" w:rsidRPr="00384748" w:rsidRDefault="006561BA">
            <w:pPr>
              <w:widowControl w:val="0"/>
              <w:shd w:val="clear" w:color="auto" w:fill="auto"/>
              <w:spacing w:after="0" w:line="240" w:lineRule="auto"/>
              <w:jc w:val="left"/>
              <w:rPr>
                <w:rFonts w:ascii="Helvetica" w:eastAsia="Arial Unicode MS" w:hAnsi="Helvetica" w:cs="Helvetica"/>
                <w:color w:val="auto"/>
                <w:sz w:val="6"/>
                <w:szCs w:val="6"/>
              </w:rPr>
            </w:pPr>
          </w:p>
        </w:tc>
        <w:tc>
          <w:tcPr>
            <w:tcW w:w="1146" w:type="dxa"/>
            <w:gridSpan w:val="3"/>
            <w:tcBorders>
              <w:top w:val="single" w:sz="4" w:space="0" w:color="auto"/>
              <w:left w:val="single" w:sz="4" w:space="0" w:color="auto"/>
            </w:tcBorders>
            <w:tcMar>
              <w:top w:w="10" w:type="dxa"/>
              <w:bottom w:w="10" w:type="dxa"/>
            </w:tcMar>
            <w:vAlign w:val="center"/>
          </w:tcPr>
          <w:p w14:paraId="1048958A" w14:textId="77777777" w:rsidR="006561BA" w:rsidRPr="00384748" w:rsidRDefault="005B4ED6">
            <w:pPr>
              <w:widowControl w:val="0"/>
              <w:shd w:val="clear" w:color="auto" w:fill="auto"/>
              <w:spacing w:after="0" w:line="240" w:lineRule="auto"/>
              <w:jc w:val="center"/>
              <w:rPr>
                <w:rFonts w:ascii="Helvetica" w:eastAsia="Arial Unicode MS" w:hAnsi="Helvetica" w:cs="Helvetica"/>
                <w:color w:val="auto"/>
                <w:sz w:val="6"/>
                <w:szCs w:val="6"/>
              </w:rPr>
            </w:pPr>
            <w:r w:rsidRPr="00384748">
              <w:rPr>
                <w:rFonts w:ascii="Helvetica" w:hAnsi="Helvetica"/>
                <w:color w:val="auto"/>
                <w:sz w:val="6"/>
              </w:rPr>
              <w:t>Andel av samlede dekkede eiendeler som finansierer taksonomirelevante sektorer (taksonomiforenlige)</w:t>
            </w:r>
          </w:p>
        </w:tc>
        <w:tc>
          <w:tcPr>
            <w:tcW w:w="330" w:type="dxa"/>
            <w:tcBorders>
              <w:left w:val="single" w:sz="4" w:space="0" w:color="auto"/>
            </w:tcBorders>
            <w:tcMar>
              <w:top w:w="10" w:type="dxa"/>
              <w:bottom w:w="10" w:type="dxa"/>
            </w:tcMar>
            <w:vAlign w:val="center"/>
          </w:tcPr>
          <w:p w14:paraId="4B9D86A8" w14:textId="77777777" w:rsidR="006561BA" w:rsidRPr="00384748" w:rsidRDefault="006561BA">
            <w:pPr>
              <w:widowControl w:val="0"/>
              <w:shd w:val="clear" w:color="auto" w:fill="auto"/>
              <w:spacing w:after="0" w:line="240" w:lineRule="auto"/>
              <w:jc w:val="left"/>
              <w:rPr>
                <w:rFonts w:ascii="Helvetica" w:eastAsia="Arial Unicode MS" w:hAnsi="Helvetica" w:cs="Helvetica"/>
                <w:color w:val="auto"/>
                <w:sz w:val="6"/>
                <w:szCs w:val="6"/>
              </w:rPr>
            </w:pPr>
          </w:p>
        </w:tc>
        <w:tc>
          <w:tcPr>
            <w:tcW w:w="1172" w:type="dxa"/>
            <w:gridSpan w:val="3"/>
            <w:tcBorders>
              <w:top w:val="single" w:sz="4" w:space="0" w:color="auto"/>
              <w:left w:val="single" w:sz="4" w:space="0" w:color="auto"/>
            </w:tcBorders>
            <w:tcMar>
              <w:top w:w="10" w:type="dxa"/>
              <w:bottom w:w="10" w:type="dxa"/>
            </w:tcMar>
            <w:vAlign w:val="center"/>
          </w:tcPr>
          <w:p w14:paraId="7543A55B" w14:textId="77777777" w:rsidR="006561BA" w:rsidRPr="00384748" w:rsidRDefault="005B4ED6">
            <w:pPr>
              <w:widowControl w:val="0"/>
              <w:shd w:val="clear" w:color="auto" w:fill="auto"/>
              <w:spacing w:after="0" w:line="240" w:lineRule="auto"/>
              <w:jc w:val="center"/>
              <w:rPr>
                <w:rFonts w:ascii="Helvetica" w:eastAsia="Arial Unicode MS" w:hAnsi="Helvetica" w:cs="Helvetica"/>
                <w:color w:val="auto"/>
                <w:sz w:val="6"/>
                <w:szCs w:val="6"/>
              </w:rPr>
            </w:pPr>
            <w:r w:rsidRPr="00384748">
              <w:rPr>
                <w:rFonts w:ascii="Helvetica" w:hAnsi="Helvetica"/>
                <w:color w:val="auto"/>
                <w:sz w:val="6"/>
              </w:rPr>
              <w:t>Andel av samlede dekkede eiendeler som finansierer taksonomirelevante sektorer (taksonomiforenlige)</w:t>
            </w:r>
          </w:p>
        </w:tc>
        <w:tc>
          <w:tcPr>
            <w:tcW w:w="336" w:type="dxa"/>
            <w:tcBorders>
              <w:left w:val="single" w:sz="4" w:space="0" w:color="auto"/>
            </w:tcBorders>
            <w:tcMar>
              <w:top w:w="10" w:type="dxa"/>
              <w:bottom w:w="10" w:type="dxa"/>
            </w:tcMar>
            <w:vAlign w:val="center"/>
          </w:tcPr>
          <w:p w14:paraId="3F2B9B74" w14:textId="77777777" w:rsidR="006561BA" w:rsidRPr="00384748" w:rsidRDefault="006561BA">
            <w:pPr>
              <w:widowControl w:val="0"/>
              <w:shd w:val="clear" w:color="auto" w:fill="auto"/>
              <w:spacing w:after="0" w:line="240" w:lineRule="auto"/>
              <w:jc w:val="left"/>
              <w:rPr>
                <w:rFonts w:ascii="Helvetica" w:eastAsia="Arial Unicode MS" w:hAnsi="Helvetica" w:cs="Helvetica"/>
                <w:color w:val="auto"/>
                <w:sz w:val="6"/>
                <w:szCs w:val="6"/>
              </w:rPr>
            </w:pPr>
          </w:p>
        </w:tc>
        <w:tc>
          <w:tcPr>
            <w:tcW w:w="1704" w:type="dxa"/>
            <w:gridSpan w:val="4"/>
            <w:tcBorders>
              <w:top w:val="single" w:sz="4" w:space="0" w:color="auto"/>
              <w:left w:val="single" w:sz="4" w:space="0" w:color="auto"/>
            </w:tcBorders>
            <w:tcMar>
              <w:top w:w="10" w:type="dxa"/>
              <w:bottom w:w="10" w:type="dxa"/>
            </w:tcMar>
            <w:vAlign w:val="center"/>
          </w:tcPr>
          <w:p w14:paraId="06F793AD" w14:textId="77777777" w:rsidR="006561BA" w:rsidRPr="00384748" w:rsidRDefault="005B4ED6">
            <w:pPr>
              <w:widowControl w:val="0"/>
              <w:shd w:val="clear" w:color="auto" w:fill="auto"/>
              <w:spacing w:after="0" w:line="240" w:lineRule="auto"/>
              <w:jc w:val="center"/>
              <w:rPr>
                <w:rFonts w:ascii="Helvetica" w:eastAsia="Arial Unicode MS" w:hAnsi="Helvetica" w:cs="Helvetica"/>
                <w:color w:val="auto"/>
                <w:sz w:val="6"/>
                <w:szCs w:val="6"/>
              </w:rPr>
            </w:pPr>
            <w:r w:rsidRPr="00384748">
              <w:rPr>
                <w:rFonts w:ascii="Helvetica" w:hAnsi="Helvetica"/>
                <w:color w:val="auto"/>
                <w:sz w:val="6"/>
              </w:rPr>
              <w:t>Andel av samlede dekkede eiendeler som finansierer taksonomirelevante sektorer (taksonomiforenlige)</w:t>
            </w:r>
          </w:p>
        </w:tc>
        <w:tc>
          <w:tcPr>
            <w:tcW w:w="420" w:type="dxa"/>
            <w:vMerge/>
            <w:tcBorders>
              <w:left w:val="single" w:sz="4" w:space="0" w:color="auto"/>
              <w:right w:val="single" w:sz="4" w:space="0" w:color="auto"/>
            </w:tcBorders>
            <w:tcMar>
              <w:top w:w="10" w:type="dxa"/>
              <w:bottom w:w="10" w:type="dxa"/>
            </w:tcMar>
            <w:vAlign w:val="center"/>
          </w:tcPr>
          <w:p w14:paraId="62E901DA" w14:textId="77777777" w:rsidR="006561BA" w:rsidRPr="00770AA2" w:rsidRDefault="006561BA">
            <w:pPr>
              <w:widowControl w:val="0"/>
              <w:spacing w:after="0" w:line="240" w:lineRule="auto"/>
              <w:jc w:val="left"/>
              <w:rPr>
                <w:rFonts w:ascii="Helvetica" w:eastAsia="Arial Unicode MS" w:hAnsi="Helvetica" w:cs="Helvetica"/>
                <w:color w:val="000000"/>
                <w:sz w:val="6"/>
                <w:szCs w:val="6"/>
              </w:rPr>
            </w:pPr>
          </w:p>
        </w:tc>
      </w:tr>
      <w:tr w:rsidR="006561BA" w14:paraId="0514E332" w14:textId="77777777">
        <w:trPr>
          <w:trHeight w:val="20"/>
        </w:trPr>
        <w:tc>
          <w:tcPr>
            <w:tcW w:w="234" w:type="dxa"/>
            <w:tcBorders>
              <w:left w:val="single" w:sz="4" w:space="0" w:color="auto"/>
            </w:tcBorders>
            <w:tcMar>
              <w:top w:w="10" w:type="dxa"/>
              <w:bottom w:w="10" w:type="dxa"/>
            </w:tcMar>
            <w:vAlign w:val="center"/>
          </w:tcPr>
          <w:p w14:paraId="2D0C620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258" w:type="dxa"/>
            <w:tcMar>
              <w:top w:w="10" w:type="dxa"/>
              <w:bottom w:w="10" w:type="dxa"/>
            </w:tcMar>
            <w:vAlign w:val="center"/>
          </w:tcPr>
          <w:p w14:paraId="4F19596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04" w:type="dxa"/>
            <w:tcBorders>
              <w:left w:val="single" w:sz="4" w:space="0" w:color="auto"/>
            </w:tcBorders>
            <w:tcMar>
              <w:top w:w="10" w:type="dxa"/>
              <w:bottom w:w="10" w:type="dxa"/>
            </w:tcMar>
            <w:vAlign w:val="center"/>
          </w:tcPr>
          <w:p w14:paraId="1A88448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8" w:type="dxa"/>
            <w:tcBorders>
              <w:left w:val="single" w:sz="4" w:space="0" w:color="auto"/>
            </w:tcBorders>
            <w:tcMar>
              <w:top w:w="10" w:type="dxa"/>
              <w:bottom w:w="10" w:type="dxa"/>
            </w:tcMar>
            <w:vAlign w:val="center"/>
          </w:tcPr>
          <w:p w14:paraId="78B99CA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03BC6414"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212121"/>
                <w:sz w:val="6"/>
              </w:rPr>
              <w:t>Hvorav bruk av proveny</w:t>
            </w:r>
          </w:p>
        </w:tc>
        <w:tc>
          <w:tcPr>
            <w:tcW w:w="460" w:type="dxa"/>
            <w:tcBorders>
              <w:top w:val="single" w:sz="4" w:space="0" w:color="auto"/>
              <w:left w:val="single" w:sz="4" w:space="0" w:color="auto"/>
            </w:tcBorders>
            <w:tcMar>
              <w:top w:w="10" w:type="dxa"/>
              <w:bottom w:w="10" w:type="dxa"/>
            </w:tcMar>
            <w:vAlign w:val="center"/>
          </w:tcPr>
          <w:p w14:paraId="6D5814D3"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212121"/>
                <w:sz w:val="6"/>
              </w:rPr>
              <w:t>Hvorav omstilling</w:t>
            </w:r>
          </w:p>
        </w:tc>
        <w:tc>
          <w:tcPr>
            <w:tcW w:w="334"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6723E061"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Hvorav muliggjørende</w:t>
            </w:r>
          </w:p>
        </w:tc>
        <w:tc>
          <w:tcPr>
            <w:tcW w:w="312" w:type="dxa"/>
            <w:tcBorders>
              <w:left w:val="single" w:sz="4" w:space="0" w:color="auto"/>
              <w:right w:val="single" w:sz="4" w:space="0" w:color="auto"/>
            </w:tcBorders>
          </w:tcPr>
          <w:p w14:paraId="6663E1A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right w:val="single" w:sz="4" w:space="0" w:color="auto"/>
            </w:tcBorders>
          </w:tcPr>
          <w:p w14:paraId="20D4732D" w14:textId="77777777" w:rsidR="006561BA" w:rsidRPr="00384748" w:rsidRDefault="006561BA">
            <w:pPr>
              <w:widowControl w:val="0"/>
              <w:shd w:val="clear" w:color="auto" w:fill="auto"/>
              <w:spacing w:after="0" w:line="240" w:lineRule="auto"/>
              <w:jc w:val="left"/>
              <w:rPr>
                <w:rFonts w:ascii="Helvetica" w:eastAsia="Arial Unicode MS" w:hAnsi="Helvetica" w:cs="Helvetica"/>
                <w:color w:val="auto"/>
                <w:sz w:val="6"/>
                <w:szCs w:val="6"/>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14:paraId="11533EF8" w14:textId="379C4991" w:rsidR="006561BA" w:rsidRPr="00384748" w:rsidRDefault="005B4ED6">
            <w:pPr>
              <w:widowControl w:val="0"/>
              <w:shd w:val="clear" w:color="auto" w:fill="auto"/>
              <w:spacing w:after="0" w:line="240" w:lineRule="auto"/>
              <w:ind w:firstLine="360"/>
              <w:jc w:val="left"/>
              <w:rPr>
                <w:rFonts w:ascii="Helvetica" w:eastAsia="Arial Unicode MS" w:hAnsi="Helvetica" w:cs="Helvetica"/>
                <w:color w:val="auto"/>
                <w:sz w:val="6"/>
                <w:szCs w:val="6"/>
              </w:rPr>
            </w:pPr>
            <w:proofErr w:type="spellStart"/>
            <w:r w:rsidRPr="00384748">
              <w:rPr>
                <w:rFonts w:ascii="Helvetica" w:hAnsi="Helvetica"/>
                <w:color w:val="auto"/>
                <w:sz w:val="6"/>
              </w:rPr>
              <w:t>H</w:t>
            </w:r>
            <w:r w:rsidR="007119A6" w:rsidRPr="00384748">
              <w:rPr>
                <w:rFonts w:ascii="Helvetica" w:hAnsi="Helvetica"/>
                <w:color w:val="auto"/>
                <w:sz w:val="6"/>
              </w:rPr>
              <w:t>H</w:t>
            </w:r>
            <w:r w:rsidRPr="00384748">
              <w:rPr>
                <w:rFonts w:ascii="Helvetica" w:hAnsi="Helvetica"/>
                <w:color w:val="auto"/>
                <w:sz w:val="6"/>
              </w:rPr>
              <w:t>vorav</w:t>
            </w:r>
            <w:proofErr w:type="spellEnd"/>
            <w:r w:rsidRPr="00384748">
              <w:rPr>
                <w:rFonts w:ascii="Helvetica" w:hAnsi="Helvetica"/>
                <w:color w:val="auto"/>
                <w:sz w:val="6"/>
              </w:rPr>
              <w:t xml:space="preserve"> bruk av proveny</w:t>
            </w:r>
          </w:p>
        </w:tc>
        <w:tc>
          <w:tcPr>
            <w:tcW w:w="312" w:type="dxa"/>
            <w:tcBorders>
              <w:top w:val="single" w:sz="4" w:space="0" w:color="auto"/>
              <w:left w:val="single" w:sz="4" w:space="0" w:color="auto"/>
              <w:bottom w:val="single" w:sz="4" w:space="0" w:color="auto"/>
            </w:tcBorders>
            <w:vAlign w:val="center"/>
          </w:tcPr>
          <w:p w14:paraId="41A37DB8" w14:textId="77777777" w:rsidR="006561BA" w:rsidRPr="00384748" w:rsidRDefault="005B4ED6">
            <w:pPr>
              <w:widowControl w:val="0"/>
              <w:shd w:val="clear" w:color="auto" w:fill="auto"/>
              <w:spacing w:after="0" w:line="240" w:lineRule="auto"/>
              <w:jc w:val="left"/>
              <w:rPr>
                <w:rFonts w:ascii="Helvetica" w:eastAsia="Arial Unicode MS" w:hAnsi="Helvetica" w:cs="Helvetica"/>
                <w:color w:val="auto"/>
                <w:sz w:val="6"/>
                <w:szCs w:val="6"/>
              </w:rPr>
            </w:pPr>
            <w:r w:rsidRPr="00384748">
              <w:rPr>
                <w:rFonts w:ascii="Helvetica" w:hAnsi="Helvetica"/>
                <w:color w:val="auto"/>
                <w:sz w:val="6"/>
              </w:rPr>
              <w:t>Hvorav muliggjørende</w:t>
            </w:r>
          </w:p>
        </w:tc>
        <w:tc>
          <w:tcPr>
            <w:tcW w:w="312" w:type="dxa"/>
            <w:tcBorders>
              <w:left w:val="single" w:sz="4" w:space="0" w:color="auto"/>
            </w:tcBorders>
            <w:tcMar>
              <w:top w:w="10" w:type="dxa"/>
              <w:bottom w:w="10" w:type="dxa"/>
            </w:tcMar>
            <w:vAlign w:val="center"/>
          </w:tcPr>
          <w:p w14:paraId="381ADC94" w14:textId="77777777" w:rsidR="006561BA" w:rsidRPr="00384748" w:rsidRDefault="006561BA">
            <w:pPr>
              <w:widowControl w:val="0"/>
              <w:shd w:val="clear" w:color="auto" w:fill="auto"/>
              <w:spacing w:after="0" w:line="240" w:lineRule="auto"/>
              <w:jc w:val="left"/>
              <w:rPr>
                <w:rFonts w:ascii="Helvetica" w:eastAsia="Arial Unicode MS" w:hAnsi="Helvetica" w:cs="Helvetica"/>
                <w:color w:val="auto"/>
                <w:sz w:val="6"/>
                <w:szCs w:val="6"/>
                <w:lang w:val="en-US"/>
              </w:rPr>
            </w:pPr>
          </w:p>
        </w:tc>
        <w:tc>
          <w:tcPr>
            <w:tcW w:w="324" w:type="dxa"/>
            <w:tcBorders>
              <w:left w:val="single" w:sz="4" w:space="0" w:color="auto"/>
            </w:tcBorders>
            <w:tcMar>
              <w:top w:w="10" w:type="dxa"/>
              <w:bottom w:w="10" w:type="dxa"/>
            </w:tcMar>
            <w:vAlign w:val="center"/>
          </w:tcPr>
          <w:p w14:paraId="798CE058" w14:textId="77777777" w:rsidR="006561BA" w:rsidRPr="00384748" w:rsidRDefault="006561BA">
            <w:pPr>
              <w:widowControl w:val="0"/>
              <w:shd w:val="clear" w:color="auto" w:fill="auto"/>
              <w:spacing w:after="0" w:line="240" w:lineRule="auto"/>
              <w:jc w:val="left"/>
              <w:rPr>
                <w:rFonts w:ascii="Helvetica" w:eastAsia="Arial Unicode MS" w:hAnsi="Helvetica" w:cs="Helvetica"/>
                <w:color w:val="auto"/>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2C879438" w14:textId="77777777" w:rsidR="006561BA" w:rsidRPr="00384748" w:rsidRDefault="005B4ED6">
            <w:pPr>
              <w:widowControl w:val="0"/>
              <w:shd w:val="clear" w:color="auto" w:fill="auto"/>
              <w:spacing w:after="0" w:line="240" w:lineRule="auto"/>
              <w:jc w:val="left"/>
              <w:rPr>
                <w:rFonts w:ascii="Helvetica" w:eastAsia="Arial Unicode MS" w:hAnsi="Helvetica" w:cs="Helvetica"/>
                <w:color w:val="auto"/>
                <w:sz w:val="6"/>
                <w:szCs w:val="6"/>
              </w:rPr>
            </w:pPr>
            <w:r w:rsidRPr="00384748">
              <w:rPr>
                <w:rFonts w:ascii="Helvetica" w:hAnsi="Helvetica"/>
                <w:color w:val="auto"/>
                <w:sz w:val="6"/>
              </w:rPr>
              <w:t>Hvorav bruk av proveny</w:t>
            </w:r>
          </w:p>
        </w:tc>
        <w:tc>
          <w:tcPr>
            <w:tcW w:w="425" w:type="dxa"/>
            <w:tcBorders>
              <w:top w:val="single" w:sz="4" w:space="0" w:color="auto"/>
              <w:left w:val="single" w:sz="4" w:space="0" w:color="auto"/>
            </w:tcBorders>
            <w:tcMar>
              <w:top w:w="10" w:type="dxa"/>
              <w:bottom w:w="10" w:type="dxa"/>
            </w:tcMar>
            <w:vAlign w:val="center"/>
          </w:tcPr>
          <w:p w14:paraId="684DF2BF" w14:textId="77777777" w:rsidR="006561BA" w:rsidRPr="00384748" w:rsidRDefault="005B4ED6">
            <w:pPr>
              <w:widowControl w:val="0"/>
              <w:shd w:val="clear" w:color="auto" w:fill="auto"/>
              <w:spacing w:after="0" w:line="240" w:lineRule="auto"/>
              <w:jc w:val="left"/>
              <w:rPr>
                <w:rFonts w:ascii="Helvetica" w:eastAsia="Arial Unicode MS" w:hAnsi="Helvetica" w:cs="Helvetica"/>
                <w:color w:val="auto"/>
                <w:sz w:val="6"/>
                <w:szCs w:val="6"/>
              </w:rPr>
            </w:pPr>
            <w:r w:rsidRPr="00384748">
              <w:rPr>
                <w:rFonts w:ascii="Helvetica" w:hAnsi="Helvetica"/>
                <w:color w:val="auto"/>
                <w:sz w:val="6"/>
              </w:rPr>
              <w:t>Hvorav muliggjørende</w:t>
            </w:r>
          </w:p>
        </w:tc>
        <w:tc>
          <w:tcPr>
            <w:tcW w:w="322" w:type="dxa"/>
            <w:tcBorders>
              <w:left w:val="single" w:sz="4" w:space="0" w:color="auto"/>
            </w:tcBorders>
            <w:tcMar>
              <w:top w:w="10" w:type="dxa"/>
              <w:bottom w:w="10" w:type="dxa"/>
            </w:tcMar>
            <w:vAlign w:val="center"/>
          </w:tcPr>
          <w:p w14:paraId="11667164" w14:textId="77777777" w:rsidR="006561BA" w:rsidRPr="00384748" w:rsidRDefault="006561BA">
            <w:pPr>
              <w:widowControl w:val="0"/>
              <w:shd w:val="clear" w:color="auto" w:fill="auto"/>
              <w:spacing w:after="0" w:line="240" w:lineRule="auto"/>
              <w:jc w:val="left"/>
              <w:rPr>
                <w:rFonts w:ascii="Helvetica" w:eastAsia="Arial Unicode MS" w:hAnsi="Helvetica" w:cs="Helvetica"/>
                <w:color w:val="auto"/>
                <w:sz w:val="6"/>
                <w:szCs w:val="6"/>
                <w:lang w:val="en-US"/>
              </w:rPr>
            </w:pPr>
          </w:p>
        </w:tc>
        <w:tc>
          <w:tcPr>
            <w:tcW w:w="312" w:type="dxa"/>
            <w:tcBorders>
              <w:left w:val="single" w:sz="4" w:space="0" w:color="auto"/>
            </w:tcBorders>
            <w:tcMar>
              <w:top w:w="10" w:type="dxa"/>
              <w:bottom w:w="10" w:type="dxa"/>
            </w:tcMar>
            <w:vAlign w:val="center"/>
          </w:tcPr>
          <w:p w14:paraId="2218C14D" w14:textId="77777777" w:rsidR="006561BA" w:rsidRPr="00384748" w:rsidRDefault="006561BA">
            <w:pPr>
              <w:widowControl w:val="0"/>
              <w:shd w:val="clear" w:color="auto" w:fill="auto"/>
              <w:spacing w:after="0" w:line="240" w:lineRule="auto"/>
              <w:jc w:val="left"/>
              <w:rPr>
                <w:rFonts w:ascii="Helvetica" w:eastAsia="Arial Unicode MS" w:hAnsi="Helvetica" w:cs="Helvetica"/>
                <w:color w:val="auto"/>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2ABC74C0" w14:textId="77777777" w:rsidR="006561BA" w:rsidRPr="00384748" w:rsidRDefault="005B4ED6">
            <w:pPr>
              <w:widowControl w:val="0"/>
              <w:shd w:val="clear" w:color="auto" w:fill="auto"/>
              <w:spacing w:after="0" w:line="240" w:lineRule="auto"/>
              <w:jc w:val="left"/>
              <w:rPr>
                <w:rFonts w:ascii="Helvetica" w:eastAsia="Arial Unicode MS" w:hAnsi="Helvetica" w:cs="Helvetica"/>
                <w:color w:val="auto"/>
                <w:sz w:val="6"/>
                <w:szCs w:val="6"/>
              </w:rPr>
            </w:pPr>
            <w:r w:rsidRPr="00384748">
              <w:rPr>
                <w:rFonts w:ascii="Helvetica" w:hAnsi="Helvetica"/>
                <w:color w:val="auto"/>
                <w:sz w:val="6"/>
              </w:rPr>
              <w:t>Hvorav bruk av proveny</w:t>
            </w:r>
          </w:p>
        </w:tc>
        <w:tc>
          <w:tcPr>
            <w:tcW w:w="420" w:type="dxa"/>
            <w:tcBorders>
              <w:top w:val="single" w:sz="4" w:space="0" w:color="auto"/>
              <w:left w:val="single" w:sz="4" w:space="0" w:color="auto"/>
            </w:tcBorders>
            <w:tcMar>
              <w:top w:w="10" w:type="dxa"/>
              <w:bottom w:w="10" w:type="dxa"/>
            </w:tcMar>
            <w:vAlign w:val="center"/>
          </w:tcPr>
          <w:p w14:paraId="1AD7B20F" w14:textId="77777777" w:rsidR="006561BA" w:rsidRPr="00384748" w:rsidRDefault="005B4ED6">
            <w:pPr>
              <w:widowControl w:val="0"/>
              <w:shd w:val="clear" w:color="auto" w:fill="auto"/>
              <w:spacing w:after="0" w:line="240" w:lineRule="auto"/>
              <w:jc w:val="left"/>
              <w:rPr>
                <w:rFonts w:ascii="Helvetica" w:eastAsia="Arial Unicode MS" w:hAnsi="Helvetica" w:cs="Helvetica"/>
                <w:color w:val="auto"/>
                <w:sz w:val="6"/>
                <w:szCs w:val="6"/>
              </w:rPr>
            </w:pPr>
            <w:r w:rsidRPr="00384748">
              <w:rPr>
                <w:rFonts w:ascii="Helvetica" w:hAnsi="Helvetica"/>
                <w:color w:val="auto"/>
                <w:sz w:val="6"/>
              </w:rPr>
              <w:t>Hvorav muliggjørende</w:t>
            </w:r>
          </w:p>
        </w:tc>
        <w:tc>
          <w:tcPr>
            <w:tcW w:w="327" w:type="dxa"/>
            <w:tcBorders>
              <w:left w:val="single" w:sz="4" w:space="0" w:color="auto"/>
            </w:tcBorders>
            <w:tcMar>
              <w:top w:w="10" w:type="dxa"/>
              <w:bottom w:w="10" w:type="dxa"/>
            </w:tcMar>
            <w:vAlign w:val="center"/>
          </w:tcPr>
          <w:p w14:paraId="5FD6A7CA" w14:textId="77777777" w:rsidR="006561BA" w:rsidRPr="00384748" w:rsidRDefault="006561BA">
            <w:pPr>
              <w:widowControl w:val="0"/>
              <w:shd w:val="clear" w:color="auto" w:fill="auto"/>
              <w:spacing w:after="0" w:line="240" w:lineRule="auto"/>
              <w:jc w:val="left"/>
              <w:rPr>
                <w:rFonts w:ascii="Helvetica" w:eastAsia="Arial Unicode MS" w:hAnsi="Helvetica" w:cs="Helvetica"/>
                <w:color w:val="auto"/>
                <w:sz w:val="6"/>
                <w:szCs w:val="6"/>
                <w:lang w:val="en-US"/>
              </w:rPr>
            </w:pPr>
          </w:p>
        </w:tc>
        <w:tc>
          <w:tcPr>
            <w:tcW w:w="336" w:type="dxa"/>
            <w:tcBorders>
              <w:left w:val="single" w:sz="4" w:space="0" w:color="auto"/>
            </w:tcBorders>
            <w:tcMar>
              <w:top w:w="10" w:type="dxa"/>
              <w:bottom w:w="10" w:type="dxa"/>
            </w:tcMar>
            <w:vAlign w:val="center"/>
          </w:tcPr>
          <w:p w14:paraId="48EFCF04" w14:textId="77777777" w:rsidR="006561BA" w:rsidRPr="00384748" w:rsidRDefault="006561BA">
            <w:pPr>
              <w:widowControl w:val="0"/>
              <w:shd w:val="clear" w:color="auto" w:fill="auto"/>
              <w:spacing w:after="0" w:line="240" w:lineRule="auto"/>
              <w:jc w:val="left"/>
              <w:rPr>
                <w:rFonts w:ascii="Helvetica" w:eastAsia="Arial Unicode MS" w:hAnsi="Helvetica" w:cs="Helvetica"/>
                <w:color w:val="auto"/>
                <w:sz w:val="6"/>
                <w:szCs w:val="6"/>
                <w:lang w:val="en-US"/>
              </w:rPr>
            </w:pPr>
          </w:p>
        </w:tc>
        <w:tc>
          <w:tcPr>
            <w:tcW w:w="404" w:type="dxa"/>
            <w:tcBorders>
              <w:top w:val="single" w:sz="4" w:space="0" w:color="auto"/>
              <w:left w:val="single" w:sz="4" w:space="0" w:color="auto"/>
            </w:tcBorders>
            <w:tcMar>
              <w:top w:w="10" w:type="dxa"/>
              <w:bottom w:w="10" w:type="dxa"/>
            </w:tcMar>
            <w:vAlign w:val="center"/>
          </w:tcPr>
          <w:p w14:paraId="32E5B61A" w14:textId="77777777" w:rsidR="006561BA" w:rsidRPr="00384748" w:rsidRDefault="005B4ED6">
            <w:pPr>
              <w:widowControl w:val="0"/>
              <w:shd w:val="clear" w:color="auto" w:fill="auto"/>
              <w:spacing w:after="0" w:line="240" w:lineRule="auto"/>
              <w:jc w:val="left"/>
              <w:rPr>
                <w:rFonts w:ascii="Helvetica" w:eastAsia="Arial Unicode MS" w:hAnsi="Helvetica" w:cs="Helvetica"/>
                <w:color w:val="auto"/>
                <w:sz w:val="6"/>
                <w:szCs w:val="6"/>
              </w:rPr>
            </w:pPr>
            <w:r w:rsidRPr="00384748">
              <w:rPr>
                <w:rFonts w:ascii="Helvetica" w:hAnsi="Helvetica"/>
                <w:color w:val="auto"/>
                <w:sz w:val="6"/>
              </w:rPr>
              <w:t>Hvorav bruk av proveny</w:t>
            </w:r>
          </w:p>
        </w:tc>
        <w:tc>
          <w:tcPr>
            <w:tcW w:w="406" w:type="dxa"/>
            <w:tcBorders>
              <w:top w:val="single" w:sz="4" w:space="0" w:color="auto"/>
              <w:left w:val="single" w:sz="4" w:space="0" w:color="auto"/>
            </w:tcBorders>
            <w:tcMar>
              <w:top w:w="10" w:type="dxa"/>
              <w:bottom w:w="10" w:type="dxa"/>
            </w:tcMar>
            <w:vAlign w:val="center"/>
          </w:tcPr>
          <w:p w14:paraId="3187E1A2" w14:textId="77777777" w:rsidR="006561BA" w:rsidRPr="00384748" w:rsidRDefault="005B4ED6">
            <w:pPr>
              <w:widowControl w:val="0"/>
              <w:shd w:val="clear" w:color="auto" w:fill="auto"/>
              <w:spacing w:after="0" w:line="240" w:lineRule="auto"/>
              <w:jc w:val="left"/>
              <w:rPr>
                <w:rFonts w:ascii="Helvetica" w:eastAsia="Arial Unicode MS" w:hAnsi="Helvetica" w:cs="Helvetica"/>
                <w:color w:val="auto"/>
                <w:sz w:val="6"/>
                <w:szCs w:val="6"/>
              </w:rPr>
            </w:pPr>
            <w:r w:rsidRPr="00384748">
              <w:rPr>
                <w:rFonts w:ascii="Helvetica" w:hAnsi="Helvetica"/>
                <w:color w:val="auto"/>
                <w:sz w:val="6"/>
              </w:rPr>
              <w:t>Hvorav muliggjørende</w:t>
            </w:r>
          </w:p>
        </w:tc>
        <w:tc>
          <w:tcPr>
            <w:tcW w:w="330" w:type="dxa"/>
            <w:tcBorders>
              <w:left w:val="single" w:sz="4" w:space="0" w:color="auto"/>
            </w:tcBorders>
            <w:tcMar>
              <w:top w:w="10" w:type="dxa"/>
              <w:bottom w:w="10" w:type="dxa"/>
            </w:tcMar>
            <w:vAlign w:val="center"/>
          </w:tcPr>
          <w:p w14:paraId="44E7C3B1" w14:textId="77777777" w:rsidR="006561BA" w:rsidRPr="00384748" w:rsidRDefault="006561BA">
            <w:pPr>
              <w:widowControl w:val="0"/>
              <w:shd w:val="clear" w:color="auto" w:fill="auto"/>
              <w:spacing w:after="0" w:line="240" w:lineRule="auto"/>
              <w:jc w:val="left"/>
              <w:rPr>
                <w:rFonts w:ascii="Helvetica" w:eastAsia="Arial Unicode MS" w:hAnsi="Helvetica" w:cs="Helvetica"/>
                <w:color w:val="auto"/>
                <w:sz w:val="6"/>
                <w:szCs w:val="6"/>
                <w:lang w:val="en-US"/>
              </w:rPr>
            </w:pPr>
          </w:p>
        </w:tc>
        <w:tc>
          <w:tcPr>
            <w:tcW w:w="324" w:type="dxa"/>
            <w:tcBorders>
              <w:left w:val="single" w:sz="4" w:space="0" w:color="auto"/>
            </w:tcBorders>
            <w:tcMar>
              <w:top w:w="10" w:type="dxa"/>
              <w:bottom w:w="10" w:type="dxa"/>
            </w:tcMar>
            <w:vAlign w:val="center"/>
          </w:tcPr>
          <w:p w14:paraId="0A4B2DDA" w14:textId="77777777" w:rsidR="006561BA" w:rsidRPr="00384748" w:rsidRDefault="006561BA">
            <w:pPr>
              <w:widowControl w:val="0"/>
              <w:shd w:val="clear" w:color="auto" w:fill="auto"/>
              <w:spacing w:after="0" w:line="240" w:lineRule="auto"/>
              <w:jc w:val="left"/>
              <w:rPr>
                <w:rFonts w:ascii="Helvetica" w:eastAsia="Arial Unicode MS" w:hAnsi="Helvetica" w:cs="Helvetica"/>
                <w:color w:val="auto"/>
                <w:sz w:val="6"/>
                <w:szCs w:val="6"/>
                <w:lang w:val="en-US"/>
              </w:rPr>
            </w:pPr>
          </w:p>
        </w:tc>
        <w:tc>
          <w:tcPr>
            <w:tcW w:w="360" w:type="dxa"/>
            <w:tcBorders>
              <w:top w:val="single" w:sz="4" w:space="0" w:color="auto"/>
              <w:left w:val="single" w:sz="4" w:space="0" w:color="auto"/>
            </w:tcBorders>
            <w:tcMar>
              <w:top w:w="10" w:type="dxa"/>
              <w:bottom w:w="10" w:type="dxa"/>
            </w:tcMar>
            <w:vAlign w:val="center"/>
          </w:tcPr>
          <w:p w14:paraId="012AC1CA" w14:textId="77777777" w:rsidR="006561BA" w:rsidRPr="00384748" w:rsidRDefault="005B4ED6">
            <w:pPr>
              <w:widowControl w:val="0"/>
              <w:shd w:val="clear" w:color="auto" w:fill="auto"/>
              <w:spacing w:after="0" w:line="240" w:lineRule="auto"/>
              <w:jc w:val="left"/>
              <w:rPr>
                <w:rFonts w:ascii="Helvetica" w:eastAsia="Arial Unicode MS" w:hAnsi="Helvetica" w:cs="Helvetica"/>
                <w:color w:val="auto"/>
                <w:sz w:val="6"/>
                <w:szCs w:val="6"/>
              </w:rPr>
            </w:pPr>
            <w:r w:rsidRPr="00384748">
              <w:rPr>
                <w:rFonts w:ascii="Helvetica" w:hAnsi="Helvetica"/>
                <w:color w:val="auto"/>
                <w:sz w:val="6"/>
              </w:rPr>
              <w:t>Hvorav bruk av proveny</w:t>
            </w:r>
          </w:p>
        </w:tc>
        <w:tc>
          <w:tcPr>
            <w:tcW w:w="488" w:type="dxa"/>
            <w:tcBorders>
              <w:top w:val="single" w:sz="4" w:space="0" w:color="auto"/>
              <w:left w:val="single" w:sz="4" w:space="0" w:color="auto"/>
            </w:tcBorders>
            <w:tcMar>
              <w:top w:w="10" w:type="dxa"/>
              <w:bottom w:w="10" w:type="dxa"/>
            </w:tcMar>
            <w:vAlign w:val="center"/>
          </w:tcPr>
          <w:p w14:paraId="605921B2" w14:textId="77777777" w:rsidR="006561BA" w:rsidRPr="00384748" w:rsidRDefault="005B4ED6">
            <w:pPr>
              <w:widowControl w:val="0"/>
              <w:shd w:val="clear" w:color="auto" w:fill="auto"/>
              <w:spacing w:after="0" w:line="240" w:lineRule="auto"/>
              <w:jc w:val="left"/>
              <w:rPr>
                <w:rFonts w:ascii="Helvetica" w:eastAsia="Arial Unicode MS" w:hAnsi="Helvetica" w:cs="Helvetica"/>
                <w:color w:val="auto"/>
                <w:sz w:val="6"/>
                <w:szCs w:val="6"/>
              </w:rPr>
            </w:pPr>
            <w:r w:rsidRPr="00384748">
              <w:rPr>
                <w:rFonts w:ascii="Helvetica" w:hAnsi="Helvetica"/>
                <w:color w:val="auto"/>
                <w:sz w:val="6"/>
              </w:rPr>
              <w:t>Hvorav muliggjørende</w:t>
            </w:r>
          </w:p>
        </w:tc>
        <w:tc>
          <w:tcPr>
            <w:tcW w:w="336" w:type="dxa"/>
            <w:tcBorders>
              <w:left w:val="single" w:sz="4" w:space="0" w:color="auto"/>
            </w:tcBorders>
            <w:tcMar>
              <w:top w:w="10" w:type="dxa"/>
              <w:bottom w:w="10" w:type="dxa"/>
            </w:tcMar>
            <w:vAlign w:val="center"/>
          </w:tcPr>
          <w:p w14:paraId="566E9629" w14:textId="77777777" w:rsidR="006561BA" w:rsidRPr="00384748" w:rsidRDefault="006561BA">
            <w:pPr>
              <w:widowControl w:val="0"/>
              <w:shd w:val="clear" w:color="auto" w:fill="auto"/>
              <w:spacing w:after="0" w:line="240" w:lineRule="auto"/>
              <w:jc w:val="left"/>
              <w:rPr>
                <w:rFonts w:ascii="Helvetica" w:eastAsia="Arial Unicode MS" w:hAnsi="Helvetica" w:cs="Helvetica"/>
                <w:color w:val="auto"/>
                <w:sz w:val="6"/>
                <w:szCs w:val="6"/>
                <w:lang w:val="en-US"/>
              </w:rPr>
            </w:pPr>
          </w:p>
        </w:tc>
        <w:tc>
          <w:tcPr>
            <w:tcW w:w="468" w:type="dxa"/>
            <w:tcBorders>
              <w:left w:val="single" w:sz="4" w:space="0" w:color="auto"/>
            </w:tcBorders>
            <w:tcMar>
              <w:top w:w="10" w:type="dxa"/>
              <w:bottom w:w="10" w:type="dxa"/>
            </w:tcMar>
            <w:vAlign w:val="center"/>
          </w:tcPr>
          <w:p w14:paraId="6B8388CB" w14:textId="77777777" w:rsidR="006561BA" w:rsidRPr="00384748" w:rsidRDefault="006561BA">
            <w:pPr>
              <w:widowControl w:val="0"/>
              <w:shd w:val="clear" w:color="auto" w:fill="auto"/>
              <w:spacing w:after="0" w:line="240" w:lineRule="auto"/>
              <w:jc w:val="left"/>
              <w:rPr>
                <w:rFonts w:ascii="Helvetica" w:eastAsia="Arial Unicode MS" w:hAnsi="Helvetica" w:cs="Helvetica"/>
                <w:color w:val="auto"/>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3023D526" w14:textId="77777777" w:rsidR="006561BA" w:rsidRPr="00384748" w:rsidRDefault="005B4ED6">
            <w:pPr>
              <w:widowControl w:val="0"/>
              <w:shd w:val="clear" w:color="auto" w:fill="auto"/>
              <w:spacing w:after="0" w:line="240" w:lineRule="auto"/>
              <w:jc w:val="left"/>
              <w:rPr>
                <w:rFonts w:ascii="Helvetica" w:eastAsia="Arial Unicode MS" w:hAnsi="Helvetica" w:cs="Helvetica"/>
                <w:color w:val="auto"/>
                <w:sz w:val="6"/>
                <w:szCs w:val="6"/>
              </w:rPr>
            </w:pPr>
            <w:r w:rsidRPr="00384748">
              <w:rPr>
                <w:rFonts w:ascii="Helvetica" w:hAnsi="Helvetica"/>
                <w:color w:val="auto"/>
                <w:sz w:val="6"/>
              </w:rPr>
              <w:t>Hvorav bruk av proveny</w:t>
            </w:r>
          </w:p>
        </w:tc>
        <w:tc>
          <w:tcPr>
            <w:tcW w:w="456" w:type="dxa"/>
            <w:tcBorders>
              <w:top w:val="single" w:sz="4" w:space="0" w:color="auto"/>
              <w:left w:val="single" w:sz="4" w:space="0" w:color="auto"/>
            </w:tcBorders>
            <w:tcMar>
              <w:top w:w="10" w:type="dxa"/>
              <w:bottom w:w="10" w:type="dxa"/>
            </w:tcMar>
            <w:vAlign w:val="center"/>
          </w:tcPr>
          <w:p w14:paraId="69B4E0F4" w14:textId="77777777" w:rsidR="006561BA" w:rsidRPr="00384748" w:rsidRDefault="005B4ED6">
            <w:pPr>
              <w:widowControl w:val="0"/>
              <w:shd w:val="clear" w:color="auto" w:fill="auto"/>
              <w:spacing w:after="0" w:line="240" w:lineRule="auto"/>
              <w:jc w:val="left"/>
              <w:rPr>
                <w:rFonts w:ascii="Helvetica" w:eastAsia="Arial Unicode MS" w:hAnsi="Helvetica" w:cs="Helvetica"/>
                <w:color w:val="auto"/>
                <w:sz w:val="6"/>
                <w:szCs w:val="6"/>
              </w:rPr>
            </w:pPr>
            <w:r w:rsidRPr="00384748">
              <w:rPr>
                <w:rFonts w:ascii="Helvetica" w:hAnsi="Helvetica"/>
                <w:color w:val="auto"/>
                <w:sz w:val="6"/>
              </w:rPr>
              <w:t>Hvorav omstilling</w:t>
            </w:r>
          </w:p>
        </w:tc>
        <w:tc>
          <w:tcPr>
            <w:tcW w:w="284" w:type="dxa"/>
            <w:tcBorders>
              <w:top w:val="single" w:sz="4" w:space="0" w:color="auto"/>
              <w:left w:val="single" w:sz="4" w:space="0" w:color="auto"/>
            </w:tcBorders>
            <w:tcMar>
              <w:top w:w="10" w:type="dxa"/>
              <w:bottom w:w="10" w:type="dxa"/>
            </w:tcMar>
            <w:vAlign w:val="center"/>
          </w:tcPr>
          <w:p w14:paraId="5B26DBC9" w14:textId="77777777" w:rsidR="006561BA" w:rsidRPr="00384748" w:rsidRDefault="005B4ED6">
            <w:pPr>
              <w:widowControl w:val="0"/>
              <w:shd w:val="clear" w:color="auto" w:fill="auto"/>
              <w:spacing w:after="0" w:line="240" w:lineRule="auto"/>
              <w:jc w:val="left"/>
              <w:rPr>
                <w:rFonts w:ascii="Helvetica" w:eastAsia="Arial Unicode MS" w:hAnsi="Helvetica" w:cs="Helvetica"/>
                <w:color w:val="auto"/>
                <w:sz w:val="6"/>
                <w:szCs w:val="6"/>
              </w:rPr>
            </w:pPr>
            <w:r w:rsidRPr="00384748">
              <w:rPr>
                <w:rFonts w:ascii="Helvetica" w:hAnsi="Helvetica"/>
                <w:color w:val="auto"/>
                <w:sz w:val="6"/>
              </w:rPr>
              <w:t>Hvorav muliggjørende</w:t>
            </w:r>
          </w:p>
        </w:tc>
        <w:tc>
          <w:tcPr>
            <w:tcW w:w="420" w:type="dxa"/>
            <w:vMerge/>
            <w:tcBorders>
              <w:left w:val="single" w:sz="4" w:space="0" w:color="auto"/>
              <w:right w:val="single" w:sz="4" w:space="0" w:color="auto"/>
            </w:tcBorders>
            <w:tcMar>
              <w:top w:w="10" w:type="dxa"/>
              <w:bottom w:w="10" w:type="dxa"/>
            </w:tcMar>
            <w:vAlign w:val="center"/>
          </w:tcPr>
          <w:p w14:paraId="7CCAA47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50A2B10A" w14:textId="77777777">
        <w:trPr>
          <w:trHeight w:val="20"/>
        </w:trPr>
        <w:tc>
          <w:tcPr>
            <w:tcW w:w="234" w:type="dxa"/>
            <w:tcBorders>
              <w:top w:val="single" w:sz="4" w:space="0" w:color="auto"/>
              <w:left w:val="single" w:sz="4" w:space="0" w:color="auto"/>
            </w:tcBorders>
            <w:tcMar>
              <w:top w:w="10" w:type="dxa"/>
              <w:bottom w:w="10" w:type="dxa"/>
            </w:tcMar>
            <w:vAlign w:val="center"/>
          </w:tcPr>
          <w:p w14:paraId="0D5CA6D8" w14:textId="77777777" w:rsidR="006561BA" w:rsidRDefault="006561BA">
            <w:pPr>
              <w:widowControl w:val="0"/>
              <w:shd w:val="clear" w:color="auto" w:fill="auto"/>
              <w:spacing w:after="0" w:line="240" w:lineRule="auto"/>
              <w:jc w:val="center"/>
              <w:rPr>
                <w:rFonts w:ascii="Helvetica" w:eastAsia="Arial Unicode MS" w:hAnsi="Helvetica" w:cs="Helvetica"/>
                <w:color w:val="000000"/>
                <w:sz w:val="6"/>
                <w:szCs w:val="6"/>
                <w:lang w:val="en-US"/>
              </w:rPr>
            </w:pPr>
          </w:p>
        </w:tc>
        <w:tc>
          <w:tcPr>
            <w:tcW w:w="2258" w:type="dxa"/>
            <w:tcBorders>
              <w:top w:val="single" w:sz="4" w:space="0" w:color="auto"/>
              <w:left w:val="single" w:sz="4" w:space="0" w:color="auto"/>
            </w:tcBorders>
            <w:tcMar>
              <w:top w:w="10" w:type="dxa"/>
              <w:bottom w:w="10" w:type="dxa"/>
            </w:tcMar>
            <w:vAlign w:val="center"/>
          </w:tcPr>
          <w:p w14:paraId="3679705B" w14:textId="77777777" w:rsidR="006561BA" w:rsidRDefault="005B4ED6">
            <w:pPr>
              <w:widowControl w:val="0"/>
              <w:shd w:val="clear" w:color="auto" w:fill="auto"/>
              <w:spacing w:after="0" w:line="240" w:lineRule="auto"/>
              <w:jc w:val="left"/>
              <w:rPr>
                <w:rFonts w:ascii="Helvetica" w:eastAsia="Arial Unicode MS" w:hAnsi="Helvetica" w:cs="Helvetica"/>
                <w:b/>
                <w:color w:val="000000"/>
                <w:sz w:val="6"/>
                <w:szCs w:val="6"/>
                <w:u w:val="single"/>
              </w:rPr>
            </w:pPr>
            <w:r>
              <w:rPr>
                <w:rFonts w:ascii="Helvetica" w:hAnsi="Helvetica"/>
                <w:b/>
                <w:color w:val="000000"/>
                <w:sz w:val="6"/>
                <w:u w:val="single"/>
              </w:rPr>
              <w:t>GAR – dekkede eiendeler i både teller og nevner</w:t>
            </w:r>
          </w:p>
        </w:tc>
        <w:tc>
          <w:tcPr>
            <w:tcW w:w="304" w:type="dxa"/>
            <w:tcBorders>
              <w:top w:val="single" w:sz="4" w:space="0" w:color="auto"/>
            </w:tcBorders>
            <w:shd w:val="clear" w:color="auto" w:fill="000000" w:themeFill="text1"/>
            <w:tcMar>
              <w:top w:w="10" w:type="dxa"/>
              <w:bottom w:w="10" w:type="dxa"/>
            </w:tcMar>
            <w:vAlign w:val="center"/>
          </w:tcPr>
          <w:p w14:paraId="6BD81C4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8" w:type="dxa"/>
            <w:tcBorders>
              <w:top w:val="single" w:sz="4" w:space="0" w:color="auto"/>
            </w:tcBorders>
            <w:shd w:val="clear" w:color="auto" w:fill="000000" w:themeFill="text1"/>
            <w:tcMar>
              <w:top w:w="10" w:type="dxa"/>
              <w:bottom w:w="10" w:type="dxa"/>
            </w:tcMar>
            <w:vAlign w:val="center"/>
          </w:tcPr>
          <w:p w14:paraId="5CC121E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tcBorders>
            <w:shd w:val="clear" w:color="auto" w:fill="000000" w:themeFill="text1"/>
            <w:tcMar>
              <w:top w:w="10" w:type="dxa"/>
              <w:bottom w:w="10" w:type="dxa"/>
            </w:tcMar>
            <w:vAlign w:val="center"/>
          </w:tcPr>
          <w:p w14:paraId="783FC7B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0" w:type="dxa"/>
            <w:tcBorders>
              <w:top w:val="single" w:sz="4" w:space="0" w:color="auto"/>
            </w:tcBorders>
            <w:shd w:val="clear" w:color="auto" w:fill="000000" w:themeFill="text1"/>
            <w:tcMar>
              <w:top w:w="10" w:type="dxa"/>
              <w:bottom w:w="10" w:type="dxa"/>
            </w:tcMar>
            <w:vAlign w:val="center"/>
          </w:tcPr>
          <w:p w14:paraId="41DE3F1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4" w:type="dxa"/>
            <w:tcBorders>
              <w:top w:val="single" w:sz="4" w:space="0" w:color="auto"/>
            </w:tcBorders>
            <w:shd w:val="clear" w:color="auto" w:fill="000000" w:themeFill="text1"/>
            <w:tcMar>
              <w:top w:w="10" w:type="dxa"/>
              <w:bottom w:w="10" w:type="dxa"/>
            </w:tcMar>
            <w:vAlign w:val="center"/>
          </w:tcPr>
          <w:p w14:paraId="0626BCB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tcBorders>
            <w:shd w:val="clear" w:color="auto" w:fill="000000" w:themeFill="text1"/>
          </w:tcPr>
          <w:p w14:paraId="1722287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tcBorders>
            <w:shd w:val="clear" w:color="auto" w:fill="000000" w:themeFill="text1"/>
          </w:tcPr>
          <w:p w14:paraId="14767C3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tcBorders>
            <w:shd w:val="clear" w:color="auto" w:fill="000000" w:themeFill="text1"/>
          </w:tcPr>
          <w:p w14:paraId="208781C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tcBorders>
            <w:shd w:val="clear" w:color="auto" w:fill="000000" w:themeFill="text1"/>
          </w:tcPr>
          <w:p w14:paraId="098978B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tcBorders>
            <w:shd w:val="clear" w:color="auto" w:fill="000000" w:themeFill="text1"/>
            <w:tcMar>
              <w:top w:w="10" w:type="dxa"/>
              <w:bottom w:w="10" w:type="dxa"/>
            </w:tcMar>
            <w:vAlign w:val="center"/>
          </w:tcPr>
          <w:p w14:paraId="79E8054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tcBorders>
            <w:shd w:val="clear" w:color="auto" w:fill="000000" w:themeFill="text1"/>
            <w:tcMar>
              <w:top w:w="10" w:type="dxa"/>
              <w:bottom w:w="10" w:type="dxa"/>
            </w:tcMar>
            <w:vAlign w:val="center"/>
          </w:tcPr>
          <w:p w14:paraId="551E581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tcBorders>
            <w:shd w:val="clear" w:color="auto" w:fill="000000" w:themeFill="text1"/>
            <w:tcMar>
              <w:top w:w="10" w:type="dxa"/>
              <w:bottom w:w="10" w:type="dxa"/>
            </w:tcMar>
            <w:vAlign w:val="center"/>
          </w:tcPr>
          <w:p w14:paraId="0827581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5" w:type="dxa"/>
            <w:tcBorders>
              <w:top w:val="single" w:sz="4" w:space="0" w:color="auto"/>
            </w:tcBorders>
            <w:shd w:val="clear" w:color="auto" w:fill="000000" w:themeFill="text1"/>
            <w:tcMar>
              <w:top w:w="10" w:type="dxa"/>
              <w:bottom w:w="10" w:type="dxa"/>
            </w:tcMar>
            <w:vAlign w:val="center"/>
          </w:tcPr>
          <w:p w14:paraId="686AE7A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2" w:type="dxa"/>
            <w:tcBorders>
              <w:top w:val="single" w:sz="4" w:space="0" w:color="auto"/>
            </w:tcBorders>
            <w:shd w:val="clear" w:color="auto" w:fill="000000" w:themeFill="text1"/>
            <w:tcMar>
              <w:top w:w="10" w:type="dxa"/>
              <w:bottom w:w="10" w:type="dxa"/>
            </w:tcMar>
            <w:vAlign w:val="center"/>
          </w:tcPr>
          <w:p w14:paraId="6846038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tcBorders>
            <w:shd w:val="clear" w:color="auto" w:fill="000000" w:themeFill="text1"/>
            <w:tcMar>
              <w:top w:w="10" w:type="dxa"/>
              <w:bottom w:w="10" w:type="dxa"/>
            </w:tcMar>
            <w:vAlign w:val="center"/>
          </w:tcPr>
          <w:p w14:paraId="61032B2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tcBorders>
            <w:shd w:val="clear" w:color="auto" w:fill="000000" w:themeFill="text1"/>
            <w:tcMar>
              <w:top w:w="10" w:type="dxa"/>
              <w:bottom w:w="10" w:type="dxa"/>
            </w:tcMar>
            <w:vAlign w:val="center"/>
          </w:tcPr>
          <w:p w14:paraId="519BB62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tcBorders>
            <w:shd w:val="clear" w:color="auto" w:fill="000000" w:themeFill="text1"/>
            <w:tcMar>
              <w:top w:w="10" w:type="dxa"/>
              <w:bottom w:w="10" w:type="dxa"/>
            </w:tcMar>
            <w:vAlign w:val="center"/>
          </w:tcPr>
          <w:p w14:paraId="5DA81CC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7" w:type="dxa"/>
            <w:tcBorders>
              <w:top w:val="single" w:sz="4" w:space="0" w:color="auto"/>
            </w:tcBorders>
            <w:shd w:val="clear" w:color="auto" w:fill="000000" w:themeFill="text1"/>
            <w:tcMar>
              <w:top w:w="10" w:type="dxa"/>
              <w:bottom w:w="10" w:type="dxa"/>
            </w:tcMar>
            <w:vAlign w:val="center"/>
          </w:tcPr>
          <w:p w14:paraId="156609D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tcBorders>
            <w:shd w:val="clear" w:color="auto" w:fill="000000" w:themeFill="text1"/>
            <w:tcMar>
              <w:top w:w="10" w:type="dxa"/>
              <w:bottom w:w="10" w:type="dxa"/>
            </w:tcMar>
            <w:vAlign w:val="center"/>
          </w:tcPr>
          <w:p w14:paraId="0694526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4" w:type="dxa"/>
            <w:tcBorders>
              <w:top w:val="single" w:sz="4" w:space="0" w:color="auto"/>
            </w:tcBorders>
            <w:shd w:val="clear" w:color="auto" w:fill="000000" w:themeFill="text1"/>
            <w:tcMar>
              <w:top w:w="10" w:type="dxa"/>
              <w:bottom w:w="10" w:type="dxa"/>
            </w:tcMar>
            <w:vAlign w:val="center"/>
          </w:tcPr>
          <w:p w14:paraId="0328FB7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6" w:type="dxa"/>
            <w:tcBorders>
              <w:top w:val="single" w:sz="4" w:space="0" w:color="auto"/>
            </w:tcBorders>
            <w:shd w:val="clear" w:color="auto" w:fill="000000" w:themeFill="text1"/>
            <w:tcMar>
              <w:top w:w="10" w:type="dxa"/>
              <w:bottom w:w="10" w:type="dxa"/>
            </w:tcMar>
            <w:vAlign w:val="center"/>
          </w:tcPr>
          <w:p w14:paraId="56443F8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0" w:type="dxa"/>
            <w:tcBorders>
              <w:top w:val="single" w:sz="4" w:space="0" w:color="auto"/>
            </w:tcBorders>
            <w:shd w:val="clear" w:color="auto" w:fill="000000" w:themeFill="text1"/>
            <w:tcMar>
              <w:top w:w="10" w:type="dxa"/>
              <w:bottom w:w="10" w:type="dxa"/>
            </w:tcMar>
            <w:vAlign w:val="center"/>
          </w:tcPr>
          <w:p w14:paraId="1346E1F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tcBorders>
            <w:shd w:val="clear" w:color="auto" w:fill="000000" w:themeFill="text1"/>
            <w:tcMar>
              <w:top w:w="10" w:type="dxa"/>
              <w:bottom w:w="10" w:type="dxa"/>
            </w:tcMar>
            <w:vAlign w:val="center"/>
          </w:tcPr>
          <w:p w14:paraId="21576DC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0" w:type="dxa"/>
            <w:tcBorders>
              <w:top w:val="single" w:sz="4" w:space="0" w:color="auto"/>
            </w:tcBorders>
            <w:shd w:val="clear" w:color="auto" w:fill="000000" w:themeFill="text1"/>
            <w:tcMar>
              <w:top w:w="10" w:type="dxa"/>
              <w:bottom w:w="10" w:type="dxa"/>
            </w:tcMar>
            <w:vAlign w:val="center"/>
          </w:tcPr>
          <w:p w14:paraId="321AB20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88" w:type="dxa"/>
            <w:tcBorders>
              <w:top w:val="single" w:sz="4" w:space="0" w:color="auto"/>
            </w:tcBorders>
            <w:shd w:val="clear" w:color="auto" w:fill="000000" w:themeFill="text1"/>
            <w:tcMar>
              <w:top w:w="10" w:type="dxa"/>
              <w:bottom w:w="10" w:type="dxa"/>
            </w:tcMar>
            <w:vAlign w:val="center"/>
          </w:tcPr>
          <w:p w14:paraId="452D58E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tcBorders>
            <w:shd w:val="clear" w:color="auto" w:fill="000000" w:themeFill="text1"/>
            <w:tcMar>
              <w:top w:w="10" w:type="dxa"/>
              <w:bottom w:w="10" w:type="dxa"/>
            </w:tcMar>
            <w:vAlign w:val="center"/>
          </w:tcPr>
          <w:p w14:paraId="77B7F73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8" w:type="dxa"/>
            <w:tcBorders>
              <w:top w:val="single" w:sz="4" w:space="0" w:color="auto"/>
            </w:tcBorders>
            <w:shd w:val="clear" w:color="auto" w:fill="000000" w:themeFill="text1"/>
            <w:tcMar>
              <w:top w:w="10" w:type="dxa"/>
              <w:bottom w:w="10" w:type="dxa"/>
            </w:tcMar>
            <w:vAlign w:val="center"/>
          </w:tcPr>
          <w:p w14:paraId="6793273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96" w:type="dxa"/>
            <w:tcBorders>
              <w:top w:val="single" w:sz="4" w:space="0" w:color="auto"/>
            </w:tcBorders>
            <w:shd w:val="clear" w:color="auto" w:fill="000000" w:themeFill="text1"/>
            <w:tcMar>
              <w:top w:w="10" w:type="dxa"/>
              <w:bottom w:w="10" w:type="dxa"/>
            </w:tcMar>
            <w:vAlign w:val="center"/>
          </w:tcPr>
          <w:p w14:paraId="1354FC3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56" w:type="dxa"/>
            <w:tcBorders>
              <w:top w:val="single" w:sz="4" w:space="0" w:color="auto"/>
            </w:tcBorders>
            <w:shd w:val="clear" w:color="auto" w:fill="000000" w:themeFill="text1"/>
            <w:tcMar>
              <w:top w:w="10" w:type="dxa"/>
              <w:bottom w:w="10" w:type="dxa"/>
            </w:tcMar>
            <w:vAlign w:val="center"/>
          </w:tcPr>
          <w:p w14:paraId="3E5BC40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 w:type="dxa"/>
            <w:tcBorders>
              <w:top w:val="single" w:sz="4" w:space="0" w:color="auto"/>
            </w:tcBorders>
            <w:shd w:val="clear" w:color="auto" w:fill="000000" w:themeFill="text1"/>
            <w:tcMar>
              <w:top w:w="10" w:type="dxa"/>
              <w:bottom w:w="10" w:type="dxa"/>
            </w:tcMar>
            <w:vAlign w:val="center"/>
          </w:tcPr>
          <w:p w14:paraId="617B634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tcBorders>
            <w:shd w:val="clear" w:color="auto" w:fill="000000" w:themeFill="text1"/>
            <w:tcMar>
              <w:top w:w="10" w:type="dxa"/>
              <w:bottom w:w="10" w:type="dxa"/>
            </w:tcMar>
            <w:vAlign w:val="center"/>
          </w:tcPr>
          <w:p w14:paraId="559BAF5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63EA6027" w14:textId="77777777">
        <w:trPr>
          <w:trHeight w:val="20"/>
        </w:trPr>
        <w:tc>
          <w:tcPr>
            <w:tcW w:w="234" w:type="dxa"/>
            <w:tcBorders>
              <w:top w:val="single" w:sz="4" w:space="0" w:color="auto"/>
              <w:left w:val="single" w:sz="4" w:space="0" w:color="auto"/>
            </w:tcBorders>
            <w:tcMar>
              <w:top w:w="10" w:type="dxa"/>
              <w:bottom w:w="10" w:type="dxa"/>
            </w:tcMar>
            <w:vAlign w:val="center"/>
          </w:tcPr>
          <w:p w14:paraId="0C6E9FF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1</w:t>
            </w:r>
          </w:p>
        </w:tc>
        <w:tc>
          <w:tcPr>
            <w:tcW w:w="2258" w:type="dxa"/>
            <w:tcBorders>
              <w:top w:val="single" w:sz="4" w:space="0" w:color="auto"/>
              <w:left w:val="single" w:sz="4" w:space="0" w:color="auto"/>
            </w:tcBorders>
            <w:tcMar>
              <w:top w:w="10" w:type="dxa"/>
              <w:bottom w:w="10" w:type="dxa"/>
            </w:tcMar>
            <w:vAlign w:val="center"/>
          </w:tcPr>
          <w:p w14:paraId="0AFB2CE2" w14:textId="77777777" w:rsidR="006561BA" w:rsidRDefault="005B4ED6">
            <w:pPr>
              <w:widowControl w:val="0"/>
              <w:shd w:val="clear" w:color="auto" w:fill="auto"/>
              <w:spacing w:after="0" w:line="240" w:lineRule="auto"/>
              <w:ind w:right="672"/>
              <w:jc w:val="left"/>
              <w:rPr>
                <w:rFonts w:ascii="Helvetica" w:eastAsia="Arial Unicode MS" w:hAnsi="Helvetica" w:cs="Helvetica"/>
                <w:color w:val="000000"/>
                <w:sz w:val="6"/>
                <w:szCs w:val="6"/>
              </w:rPr>
            </w:pPr>
            <w:r>
              <w:rPr>
                <w:rFonts w:ascii="Helvetica" w:hAnsi="Helvetica"/>
                <w:color w:val="212121"/>
                <w:sz w:val="6"/>
              </w:rPr>
              <w:t>Lån og forskudd, gjeldsinstrumenter og egenkapitalinstrumenter som ikke innehas for handelsformål, og som inngår i beregningen av GAR</w:t>
            </w:r>
          </w:p>
        </w:tc>
        <w:tc>
          <w:tcPr>
            <w:tcW w:w="304" w:type="dxa"/>
            <w:tcBorders>
              <w:top w:val="single" w:sz="4" w:space="0" w:color="auto"/>
              <w:left w:val="single" w:sz="4" w:space="0" w:color="auto"/>
            </w:tcBorders>
            <w:tcMar>
              <w:top w:w="10" w:type="dxa"/>
              <w:bottom w:w="10" w:type="dxa"/>
            </w:tcMar>
            <w:vAlign w:val="center"/>
          </w:tcPr>
          <w:p w14:paraId="60F59A6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8" w:type="dxa"/>
            <w:tcBorders>
              <w:top w:val="single" w:sz="4" w:space="0" w:color="auto"/>
              <w:left w:val="single" w:sz="4" w:space="0" w:color="auto"/>
            </w:tcBorders>
            <w:tcMar>
              <w:top w:w="10" w:type="dxa"/>
              <w:bottom w:w="10" w:type="dxa"/>
            </w:tcMar>
            <w:vAlign w:val="center"/>
          </w:tcPr>
          <w:p w14:paraId="4930C25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6E9BB56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0" w:type="dxa"/>
            <w:tcBorders>
              <w:top w:val="single" w:sz="4" w:space="0" w:color="auto"/>
              <w:left w:val="single" w:sz="4" w:space="0" w:color="auto"/>
            </w:tcBorders>
            <w:tcMar>
              <w:top w:w="10" w:type="dxa"/>
              <w:bottom w:w="10" w:type="dxa"/>
            </w:tcMar>
            <w:vAlign w:val="center"/>
          </w:tcPr>
          <w:p w14:paraId="668A322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4" w:type="dxa"/>
            <w:tcBorders>
              <w:top w:val="single" w:sz="4" w:space="0" w:color="auto"/>
              <w:left w:val="single" w:sz="4" w:space="0" w:color="auto"/>
            </w:tcBorders>
            <w:tcMar>
              <w:top w:w="10" w:type="dxa"/>
              <w:bottom w:w="10" w:type="dxa"/>
            </w:tcMar>
            <w:vAlign w:val="center"/>
          </w:tcPr>
          <w:p w14:paraId="5EB34CB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right w:val="single" w:sz="4" w:space="0" w:color="auto"/>
            </w:tcBorders>
          </w:tcPr>
          <w:p w14:paraId="1F9247E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49DCE00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398A489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0910054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46A82E2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3CFF0CB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1F98C3E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5" w:type="dxa"/>
            <w:tcBorders>
              <w:top w:val="single" w:sz="4" w:space="0" w:color="auto"/>
              <w:left w:val="single" w:sz="4" w:space="0" w:color="auto"/>
            </w:tcBorders>
            <w:tcMar>
              <w:top w:w="10" w:type="dxa"/>
              <w:bottom w:w="10" w:type="dxa"/>
            </w:tcMar>
            <w:vAlign w:val="center"/>
          </w:tcPr>
          <w:p w14:paraId="42A0E19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2" w:type="dxa"/>
            <w:tcBorders>
              <w:top w:val="single" w:sz="4" w:space="0" w:color="auto"/>
              <w:left w:val="single" w:sz="4" w:space="0" w:color="auto"/>
            </w:tcBorders>
            <w:tcMar>
              <w:top w:w="10" w:type="dxa"/>
              <w:bottom w:w="10" w:type="dxa"/>
            </w:tcMar>
            <w:vAlign w:val="center"/>
          </w:tcPr>
          <w:p w14:paraId="30FC3CA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57B056E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230262D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2D95945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7" w:type="dxa"/>
            <w:tcBorders>
              <w:top w:val="single" w:sz="4" w:space="0" w:color="auto"/>
              <w:left w:val="single" w:sz="4" w:space="0" w:color="auto"/>
            </w:tcBorders>
            <w:tcMar>
              <w:top w:w="10" w:type="dxa"/>
              <w:bottom w:w="10" w:type="dxa"/>
            </w:tcMar>
            <w:vAlign w:val="center"/>
          </w:tcPr>
          <w:p w14:paraId="5E67973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472187E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4" w:type="dxa"/>
            <w:tcBorders>
              <w:top w:val="single" w:sz="4" w:space="0" w:color="auto"/>
              <w:left w:val="single" w:sz="4" w:space="0" w:color="auto"/>
            </w:tcBorders>
            <w:tcMar>
              <w:top w:w="10" w:type="dxa"/>
              <w:bottom w:w="10" w:type="dxa"/>
            </w:tcMar>
            <w:vAlign w:val="center"/>
          </w:tcPr>
          <w:p w14:paraId="6C68729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6" w:type="dxa"/>
            <w:tcBorders>
              <w:top w:val="single" w:sz="4" w:space="0" w:color="auto"/>
              <w:left w:val="single" w:sz="4" w:space="0" w:color="auto"/>
            </w:tcBorders>
            <w:tcMar>
              <w:top w:w="10" w:type="dxa"/>
              <w:bottom w:w="10" w:type="dxa"/>
            </w:tcMar>
            <w:vAlign w:val="center"/>
          </w:tcPr>
          <w:p w14:paraId="7E01602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0" w:type="dxa"/>
            <w:tcBorders>
              <w:top w:val="single" w:sz="4" w:space="0" w:color="auto"/>
              <w:left w:val="single" w:sz="4" w:space="0" w:color="auto"/>
            </w:tcBorders>
            <w:tcMar>
              <w:top w:w="10" w:type="dxa"/>
              <w:bottom w:w="10" w:type="dxa"/>
            </w:tcMar>
            <w:vAlign w:val="center"/>
          </w:tcPr>
          <w:p w14:paraId="15D37D4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6D7A126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0" w:type="dxa"/>
            <w:tcBorders>
              <w:top w:val="single" w:sz="4" w:space="0" w:color="auto"/>
              <w:left w:val="single" w:sz="4" w:space="0" w:color="auto"/>
            </w:tcBorders>
            <w:tcMar>
              <w:top w:w="10" w:type="dxa"/>
              <w:bottom w:w="10" w:type="dxa"/>
            </w:tcMar>
            <w:vAlign w:val="center"/>
          </w:tcPr>
          <w:p w14:paraId="7F205AF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88" w:type="dxa"/>
            <w:tcBorders>
              <w:top w:val="single" w:sz="4" w:space="0" w:color="auto"/>
              <w:left w:val="single" w:sz="4" w:space="0" w:color="auto"/>
            </w:tcBorders>
            <w:tcMar>
              <w:top w:w="10" w:type="dxa"/>
              <w:bottom w:w="10" w:type="dxa"/>
            </w:tcMar>
            <w:vAlign w:val="center"/>
          </w:tcPr>
          <w:p w14:paraId="174FCC5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6B6002F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8" w:type="dxa"/>
            <w:tcBorders>
              <w:top w:val="single" w:sz="4" w:space="0" w:color="auto"/>
              <w:left w:val="single" w:sz="4" w:space="0" w:color="auto"/>
            </w:tcBorders>
            <w:tcMar>
              <w:top w:w="10" w:type="dxa"/>
              <w:bottom w:w="10" w:type="dxa"/>
            </w:tcMar>
            <w:vAlign w:val="center"/>
          </w:tcPr>
          <w:p w14:paraId="5D5FCA1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96" w:type="dxa"/>
            <w:tcBorders>
              <w:top w:val="single" w:sz="4" w:space="0" w:color="auto"/>
              <w:left w:val="single" w:sz="4" w:space="0" w:color="auto"/>
            </w:tcBorders>
            <w:tcMar>
              <w:top w:w="10" w:type="dxa"/>
              <w:bottom w:w="10" w:type="dxa"/>
            </w:tcMar>
            <w:vAlign w:val="center"/>
          </w:tcPr>
          <w:p w14:paraId="3ED91CC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56" w:type="dxa"/>
            <w:tcBorders>
              <w:top w:val="single" w:sz="4" w:space="0" w:color="auto"/>
              <w:left w:val="single" w:sz="4" w:space="0" w:color="auto"/>
            </w:tcBorders>
            <w:tcMar>
              <w:top w:w="10" w:type="dxa"/>
              <w:bottom w:w="10" w:type="dxa"/>
            </w:tcMar>
            <w:vAlign w:val="center"/>
          </w:tcPr>
          <w:p w14:paraId="2A3246F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 w:type="dxa"/>
            <w:tcBorders>
              <w:top w:val="single" w:sz="4" w:space="0" w:color="auto"/>
              <w:left w:val="single" w:sz="4" w:space="0" w:color="auto"/>
            </w:tcBorders>
            <w:tcMar>
              <w:top w:w="10" w:type="dxa"/>
              <w:bottom w:w="10" w:type="dxa"/>
            </w:tcMar>
            <w:vAlign w:val="center"/>
          </w:tcPr>
          <w:p w14:paraId="65D8C2C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47B41DD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0D368CBC" w14:textId="77777777">
        <w:trPr>
          <w:trHeight w:val="20"/>
        </w:trPr>
        <w:tc>
          <w:tcPr>
            <w:tcW w:w="234" w:type="dxa"/>
            <w:tcBorders>
              <w:top w:val="single" w:sz="4" w:space="0" w:color="auto"/>
              <w:left w:val="single" w:sz="4" w:space="0" w:color="auto"/>
            </w:tcBorders>
            <w:tcMar>
              <w:top w:w="10" w:type="dxa"/>
              <w:bottom w:w="10" w:type="dxa"/>
            </w:tcMar>
            <w:vAlign w:val="center"/>
          </w:tcPr>
          <w:p w14:paraId="3177B334"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6"/>
                <w:szCs w:val="6"/>
              </w:rPr>
            </w:pPr>
          </w:p>
        </w:tc>
        <w:tc>
          <w:tcPr>
            <w:tcW w:w="2990" w:type="dxa"/>
            <w:gridSpan w:val="3"/>
            <w:tcBorders>
              <w:top w:val="single" w:sz="4" w:space="0" w:color="auto"/>
              <w:left w:val="single" w:sz="4" w:space="0" w:color="auto"/>
            </w:tcBorders>
            <w:tcMar>
              <w:top w:w="10" w:type="dxa"/>
              <w:bottom w:w="10" w:type="dxa"/>
            </w:tcMar>
            <w:vAlign w:val="center"/>
          </w:tcPr>
          <w:p w14:paraId="58228F1B" w14:textId="77777777" w:rsidR="006561BA" w:rsidRDefault="005B4ED6">
            <w:pPr>
              <w:widowControl w:val="0"/>
              <w:shd w:val="clear" w:color="auto" w:fill="auto"/>
              <w:spacing w:after="0" w:line="240" w:lineRule="auto"/>
              <w:ind w:left="80"/>
              <w:jc w:val="left"/>
              <w:rPr>
                <w:rFonts w:ascii="Helvetica" w:eastAsia="Arial Unicode MS" w:hAnsi="Helvetica" w:cs="Helvetica"/>
                <w:b/>
                <w:color w:val="000000"/>
                <w:sz w:val="6"/>
                <w:szCs w:val="6"/>
              </w:rPr>
            </w:pPr>
            <w:r>
              <w:rPr>
                <w:rFonts w:ascii="Helvetica" w:hAnsi="Helvetica"/>
                <w:b/>
                <w:color w:val="000000"/>
                <w:sz w:val="6"/>
              </w:rPr>
              <w:t>Finansforetak</w:t>
            </w:r>
          </w:p>
        </w:tc>
        <w:tc>
          <w:tcPr>
            <w:tcW w:w="420" w:type="dxa"/>
            <w:tcBorders>
              <w:top w:val="single" w:sz="4" w:space="0" w:color="auto"/>
              <w:left w:val="single" w:sz="4" w:space="0" w:color="auto"/>
            </w:tcBorders>
            <w:tcMar>
              <w:top w:w="10" w:type="dxa"/>
              <w:bottom w:w="10" w:type="dxa"/>
            </w:tcMar>
            <w:vAlign w:val="center"/>
          </w:tcPr>
          <w:p w14:paraId="40D8E80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5C496F7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vAlign w:val="center"/>
          </w:tcPr>
          <w:p w14:paraId="084600C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0099606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17146ED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05EE028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16E2FBA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vAlign w:val="center"/>
          </w:tcPr>
          <w:p w14:paraId="1CDBE26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3A89979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4B89825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7559225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vAlign w:val="center"/>
          </w:tcPr>
          <w:p w14:paraId="7788017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37ACBDD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78FBE74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72E55B0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vAlign w:val="center"/>
          </w:tcPr>
          <w:p w14:paraId="63E1DE4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6B1A2A2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tcBorders>
            <w:tcMar>
              <w:top w:w="10" w:type="dxa"/>
              <w:bottom w:w="10" w:type="dxa"/>
            </w:tcMar>
            <w:vAlign w:val="center"/>
          </w:tcPr>
          <w:p w14:paraId="65D10A5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1F87821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vAlign w:val="center"/>
          </w:tcPr>
          <w:p w14:paraId="2C97040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388144B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tcBorders>
            <w:tcMar>
              <w:top w:w="10" w:type="dxa"/>
              <w:bottom w:w="10" w:type="dxa"/>
            </w:tcMar>
            <w:vAlign w:val="center"/>
          </w:tcPr>
          <w:p w14:paraId="5235528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62ACEF0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1F5A801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6DEFB93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20A1067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5C81BF6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right w:val="single" w:sz="4" w:space="0" w:color="auto"/>
            </w:tcBorders>
            <w:tcMar>
              <w:top w:w="10" w:type="dxa"/>
              <w:bottom w:w="10" w:type="dxa"/>
            </w:tcMar>
            <w:vAlign w:val="center"/>
          </w:tcPr>
          <w:p w14:paraId="7898806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vAlign w:val="center"/>
          </w:tcPr>
          <w:p w14:paraId="0D839D4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6EBE638F" w14:textId="77777777">
        <w:trPr>
          <w:trHeight w:val="20"/>
        </w:trPr>
        <w:tc>
          <w:tcPr>
            <w:tcW w:w="234" w:type="dxa"/>
            <w:tcBorders>
              <w:top w:val="single" w:sz="4" w:space="0" w:color="auto"/>
              <w:left w:val="single" w:sz="4" w:space="0" w:color="auto"/>
            </w:tcBorders>
            <w:tcMar>
              <w:top w:w="10" w:type="dxa"/>
              <w:bottom w:w="10" w:type="dxa"/>
            </w:tcMar>
            <w:vAlign w:val="center"/>
          </w:tcPr>
          <w:p w14:paraId="00C1C225" w14:textId="77777777" w:rsidR="006561BA" w:rsidRDefault="006561BA">
            <w:pPr>
              <w:widowControl w:val="0"/>
              <w:shd w:val="clear" w:color="auto" w:fill="auto"/>
              <w:spacing w:after="0" w:line="240" w:lineRule="auto"/>
              <w:jc w:val="center"/>
              <w:rPr>
                <w:rFonts w:ascii="Helvetica" w:eastAsia="Arial Unicode MS" w:hAnsi="Helvetica" w:cs="Helvetica"/>
                <w:color w:val="000000"/>
                <w:sz w:val="6"/>
                <w:szCs w:val="6"/>
                <w:lang w:val="en-US"/>
              </w:rPr>
            </w:pPr>
          </w:p>
        </w:tc>
        <w:tc>
          <w:tcPr>
            <w:tcW w:w="2258" w:type="dxa"/>
            <w:tcBorders>
              <w:top w:val="single" w:sz="4" w:space="0" w:color="auto"/>
              <w:left w:val="single" w:sz="4" w:space="0" w:color="auto"/>
            </w:tcBorders>
            <w:tcMar>
              <w:top w:w="10" w:type="dxa"/>
              <w:bottom w:w="10" w:type="dxa"/>
            </w:tcMar>
            <w:vAlign w:val="center"/>
          </w:tcPr>
          <w:p w14:paraId="2441C19C" w14:textId="77777777" w:rsidR="006561BA" w:rsidRDefault="005B4ED6">
            <w:pPr>
              <w:widowControl w:val="0"/>
              <w:shd w:val="clear" w:color="auto" w:fill="auto"/>
              <w:spacing w:after="0" w:line="240" w:lineRule="auto"/>
              <w:ind w:left="116"/>
              <w:jc w:val="left"/>
              <w:rPr>
                <w:rFonts w:ascii="Helvetica" w:eastAsia="Arial Unicode MS" w:hAnsi="Helvetica" w:cs="Helvetica"/>
                <w:color w:val="000000"/>
                <w:sz w:val="6"/>
                <w:szCs w:val="6"/>
              </w:rPr>
            </w:pPr>
            <w:r w:rsidRPr="00384748">
              <w:rPr>
                <w:rFonts w:ascii="Helvetica" w:hAnsi="Helvetica"/>
                <w:color w:val="auto"/>
                <w:sz w:val="6"/>
              </w:rPr>
              <w:t>Kredittinstitusjoner</w:t>
            </w:r>
          </w:p>
        </w:tc>
        <w:tc>
          <w:tcPr>
            <w:tcW w:w="304" w:type="dxa"/>
            <w:tcBorders>
              <w:top w:val="single" w:sz="4" w:space="0" w:color="auto"/>
              <w:left w:val="single" w:sz="4" w:space="0" w:color="auto"/>
            </w:tcBorders>
            <w:tcMar>
              <w:top w:w="10" w:type="dxa"/>
              <w:bottom w:w="10" w:type="dxa"/>
            </w:tcMar>
            <w:vAlign w:val="center"/>
          </w:tcPr>
          <w:p w14:paraId="09AD520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8" w:type="dxa"/>
            <w:tcBorders>
              <w:top w:val="single" w:sz="4" w:space="0" w:color="auto"/>
              <w:left w:val="single" w:sz="4" w:space="0" w:color="auto"/>
            </w:tcBorders>
            <w:tcMar>
              <w:top w:w="10" w:type="dxa"/>
              <w:bottom w:w="10" w:type="dxa"/>
            </w:tcMar>
            <w:vAlign w:val="center"/>
          </w:tcPr>
          <w:p w14:paraId="5931433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51EC03D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665CE88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1551B2E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7A49074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5EAA2EC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41D244D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3AA8BCA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765B5CB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2A00BBD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7932D52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2E29611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047F64E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264E19A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1D3AF68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7A118C1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0E38146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1873FA0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tcBorders>
            <w:tcMar>
              <w:top w:w="10" w:type="dxa"/>
              <w:bottom w:w="10" w:type="dxa"/>
            </w:tcMar>
            <w:vAlign w:val="center"/>
          </w:tcPr>
          <w:p w14:paraId="344CB2D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7D76C8E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5107744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2605BB5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tcBorders>
            <w:tcMar>
              <w:top w:w="10" w:type="dxa"/>
              <w:bottom w:w="10" w:type="dxa"/>
            </w:tcMar>
            <w:vAlign w:val="center"/>
          </w:tcPr>
          <w:p w14:paraId="44F1AF4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06DD53F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73EAEE2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16BFAD6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526B404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778D95B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0DB4A67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6662936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45DF9E3C" w14:textId="77777777">
        <w:trPr>
          <w:trHeight w:val="20"/>
        </w:trPr>
        <w:tc>
          <w:tcPr>
            <w:tcW w:w="234" w:type="dxa"/>
            <w:tcBorders>
              <w:top w:val="single" w:sz="4" w:space="0" w:color="auto"/>
              <w:left w:val="single" w:sz="4" w:space="0" w:color="auto"/>
            </w:tcBorders>
            <w:tcMar>
              <w:top w:w="10" w:type="dxa"/>
              <w:bottom w:w="10" w:type="dxa"/>
            </w:tcMar>
            <w:vAlign w:val="center"/>
          </w:tcPr>
          <w:p w14:paraId="18FE502D" w14:textId="77777777" w:rsidR="006561BA" w:rsidRDefault="006561BA">
            <w:pPr>
              <w:widowControl w:val="0"/>
              <w:shd w:val="clear" w:color="auto" w:fill="auto"/>
              <w:spacing w:after="0" w:line="240" w:lineRule="auto"/>
              <w:jc w:val="center"/>
              <w:rPr>
                <w:rFonts w:ascii="Helvetica" w:eastAsia="Arial Unicode MS" w:hAnsi="Helvetica" w:cs="Helvetica"/>
                <w:color w:val="000000"/>
                <w:sz w:val="6"/>
                <w:szCs w:val="6"/>
                <w:lang w:val="en-US"/>
              </w:rPr>
            </w:pPr>
          </w:p>
        </w:tc>
        <w:tc>
          <w:tcPr>
            <w:tcW w:w="2258" w:type="dxa"/>
            <w:tcBorders>
              <w:top w:val="single" w:sz="4" w:space="0" w:color="auto"/>
              <w:left w:val="single" w:sz="4" w:space="0" w:color="auto"/>
            </w:tcBorders>
            <w:tcMar>
              <w:top w:w="10" w:type="dxa"/>
              <w:bottom w:w="10" w:type="dxa"/>
            </w:tcMar>
            <w:vAlign w:val="center"/>
          </w:tcPr>
          <w:p w14:paraId="6F567F20" w14:textId="77777777" w:rsidR="006561BA" w:rsidRDefault="005B4ED6">
            <w:pPr>
              <w:widowControl w:val="0"/>
              <w:shd w:val="clear" w:color="auto" w:fill="auto"/>
              <w:spacing w:after="0" w:line="240" w:lineRule="auto"/>
              <w:ind w:left="164"/>
              <w:jc w:val="left"/>
              <w:rPr>
                <w:rFonts w:ascii="Helvetica" w:eastAsia="Arial Unicode MS" w:hAnsi="Helvetica" w:cs="Helvetica"/>
                <w:color w:val="000000"/>
                <w:sz w:val="6"/>
                <w:szCs w:val="6"/>
              </w:rPr>
            </w:pPr>
            <w:r>
              <w:rPr>
                <w:rFonts w:ascii="Helvetica" w:hAnsi="Helvetica"/>
                <w:color w:val="212121"/>
                <w:sz w:val="6"/>
              </w:rPr>
              <w:t>Lån og forskudd</w:t>
            </w:r>
          </w:p>
        </w:tc>
        <w:tc>
          <w:tcPr>
            <w:tcW w:w="304" w:type="dxa"/>
            <w:tcBorders>
              <w:top w:val="single" w:sz="4" w:space="0" w:color="auto"/>
              <w:left w:val="single" w:sz="4" w:space="0" w:color="auto"/>
            </w:tcBorders>
            <w:tcMar>
              <w:top w:w="10" w:type="dxa"/>
              <w:bottom w:w="10" w:type="dxa"/>
            </w:tcMar>
            <w:vAlign w:val="center"/>
          </w:tcPr>
          <w:p w14:paraId="6457D1F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8" w:type="dxa"/>
            <w:tcBorders>
              <w:top w:val="single" w:sz="4" w:space="0" w:color="auto"/>
              <w:left w:val="single" w:sz="4" w:space="0" w:color="auto"/>
            </w:tcBorders>
            <w:tcMar>
              <w:top w:w="10" w:type="dxa"/>
              <w:bottom w:w="10" w:type="dxa"/>
            </w:tcMar>
            <w:vAlign w:val="center"/>
          </w:tcPr>
          <w:p w14:paraId="181F5EA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067E152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2DFEBB7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206A511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29B6CF0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6531254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2970A1B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60F8996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3C231AC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29C6396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3493FAD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2C0B7B6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4F88E73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521B24E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7663E91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71F3020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12A0E5F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41A2E31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tcBorders>
            <w:tcMar>
              <w:top w:w="10" w:type="dxa"/>
              <w:bottom w:w="10" w:type="dxa"/>
            </w:tcMar>
            <w:vAlign w:val="center"/>
          </w:tcPr>
          <w:p w14:paraId="20EF93B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2202DEE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632EDED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1827FFE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tcBorders>
            <w:tcMar>
              <w:top w:w="10" w:type="dxa"/>
              <w:bottom w:w="10" w:type="dxa"/>
            </w:tcMar>
            <w:vAlign w:val="center"/>
          </w:tcPr>
          <w:p w14:paraId="5190146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1F6CBAE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294BA5F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562B7B8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5D2DDE3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43B3332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4CBE687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3FB9618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7B86AF34" w14:textId="77777777">
        <w:trPr>
          <w:trHeight w:val="20"/>
        </w:trPr>
        <w:tc>
          <w:tcPr>
            <w:tcW w:w="234" w:type="dxa"/>
            <w:tcBorders>
              <w:top w:val="single" w:sz="4" w:space="0" w:color="auto"/>
              <w:left w:val="single" w:sz="4" w:space="0" w:color="auto"/>
            </w:tcBorders>
            <w:tcMar>
              <w:top w:w="10" w:type="dxa"/>
              <w:bottom w:w="10" w:type="dxa"/>
            </w:tcMar>
            <w:vAlign w:val="center"/>
          </w:tcPr>
          <w:p w14:paraId="2EC638F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5</w:t>
            </w:r>
          </w:p>
        </w:tc>
        <w:tc>
          <w:tcPr>
            <w:tcW w:w="2258" w:type="dxa"/>
            <w:tcBorders>
              <w:top w:val="single" w:sz="4" w:space="0" w:color="auto"/>
              <w:left w:val="single" w:sz="4" w:space="0" w:color="auto"/>
            </w:tcBorders>
            <w:tcMar>
              <w:top w:w="10" w:type="dxa"/>
              <w:bottom w:w="10" w:type="dxa"/>
            </w:tcMar>
            <w:vAlign w:val="center"/>
          </w:tcPr>
          <w:p w14:paraId="05852FE9" w14:textId="77777777" w:rsidR="006561BA" w:rsidRDefault="005B4ED6">
            <w:pPr>
              <w:widowControl w:val="0"/>
              <w:shd w:val="clear" w:color="auto" w:fill="auto"/>
              <w:spacing w:after="0" w:line="240" w:lineRule="auto"/>
              <w:ind w:left="164"/>
              <w:jc w:val="left"/>
              <w:rPr>
                <w:rFonts w:ascii="Helvetica" w:eastAsia="Arial Unicode MS" w:hAnsi="Helvetica" w:cs="Helvetica"/>
                <w:color w:val="000000"/>
                <w:sz w:val="6"/>
                <w:szCs w:val="6"/>
              </w:rPr>
            </w:pPr>
            <w:r>
              <w:rPr>
                <w:rFonts w:ascii="Helvetica" w:hAnsi="Helvetica"/>
                <w:color w:val="212121"/>
                <w:sz w:val="6"/>
              </w:rPr>
              <w:t>Gjeldsinstrumenter, herunder bruk av proveny</w:t>
            </w:r>
          </w:p>
        </w:tc>
        <w:tc>
          <w:tcPr>
            <w:tcW w:w="304" w:type="dxa"/>
            <w:tcBorders>
              <w:top w:val="single" w:sz="4" w:space="0" w:color="auto"/>
              <w:left w:val="single" w:sz="4" w:space="0" w:color="auto"/>
            </w:tcBorders>
            <w:tcMar>
              <w:top w:w="10" w:type="dxa"/>
              <w:bottom w:w="10" w:type="dxa"/>
            </w:tcMar>
            <w:vAlign w:val="center"/>
          </w:tcPr>
          <w:p w14:paraId="618BA3A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8" w:type="dxa"/>
            <w:tcBorders>
              <w:top w:val="single" w:sz="4" w:space="0" w:color="auto"/>
              <w:left w:val="single" w:sz="4" w:space="0" w:color="auto"/>
            </w:tcBorders>
            <w:tcMar>
              <w:top w:w="10" w:type="dxa"/>
              <w:bottom w:w="10" w:type="dxa"/>
            </w:tcMar>
            <w:vAlign w:val="center"/>
          </w:tcPr>
          <w:p w14:paraId="45115B3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45E50CE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0" w:type="dxa"/>
            <w:tcBorders>
              <w:top w:val="single" w:sz="4" w:space="0" w:color="auto"/>
              <w:left w:val="single" w:sz="4" w:space="0" w:color="auto"/>
            </w:tcBorders>
            <w:tcMar>
              <w:top w:w="10" w:type="dxa"/>
              <w:bottom w:w="10" w:type="dxa"/>
            </w:tcMar>
            <w:vAlign w:val="center"/>
          </w:tcPr>
          <w:p w14:paraId="7F2C84B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4" w:type="dxa"/>
            <w:tcBorders>
              <w:top w:val="single" w:sz="4" w:space="0" w:color="auto"/>
              <w:left w:val="single" w:sz="4" w:space="0" w:color="auto"/>
            </w:tcBorders>
            <w:tcMar>
              <w:top w:w="10" w:type="dxa"/>
              <w:bottom w:w="10" w:type="dxa"/>
            </w:tcMar>
            <w:vAlign w:val="center"/>
          </w:tcPr>
          <w:p w14:paraId="69EBF39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right w:val="single" w:sz="4" w:space="0" w:color="auto"/>
            </w:tcBorders>
          </w:tcPr>
          <w:p w14:paraId="1BECA79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60E7485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23CF19A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5B190D8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6B284A9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03C30B5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6C975D0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5" w:type="dxa"/>
            <w:tcBorders>
              <w:top w:val="single" w:sz="4" w:space="0" w:color="auto"/>
              <w:left w:val="single" w:sz="4" w:space="0" w:color="auto"/>
            </w:tcBorders>
            <w:tcMar>
              <w:top w:w="10" w:type="dxa"/>
              <w:bottom w:w="10" w:type="dxa"/>
            </w:tcMar>
            <w:vAlign w:val="center"/>
          </w:tcPr>
          <w:p w14:paraId="05D8AD8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2" w:type="dxa"/>
            <w:tcBorders>
              <w:top w:val="single" w:sz="4" w:space="0" w:color="auto"/>
              <w:left w:val="single" w:sz="4" w:space="0" w:color="auto"/>
            </w:tcBorders>
            <w:tcMar>
              <w:top w:w="10" w:type="dxa"/>
              <w:bottom w:w="10" w:type="dxa"/>
            </w:tcMar>
            <w:vAlign w:val="center"/>
          </w:tcPr>
          <w:p w14:paraId="648537A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65B5034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6C4C373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42EF83E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7" w:type="dxa"/>
            <w:tcBorders>
              <w:top w:val="single" w:sz="4" w:space="0" w:color="auto"/>
              <w:left w:val="single" w:sz="4" w:space="0" w:color="auto"/>
            </w:tcBorders>
            <w:tcMar>
              <w:top w:w="10" w:type="dxa"/>
              <w:bottom w:w="10" w:type="dxa"/>
            </w:tcMar>
            <w:vAlign w:val="center"/>
          </w:tcPr>
          <w:p w14:paraId="79A370C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0E2B8AC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4" w:type="dxa"/>
            <w:tcBorders>
              <w:top w:val="single" w:sz="4" w:space="0" w:color="auto"/>
              <w:left w:val="single" w:sz="4" w:space="0" w:color="auto"/>
            </w:tcBorders>
            <w:tcMar>
              <w:top w:w="10" w:type="dxa"/>
              <w:bottom w:w="10" w:type="dxa"/>
            </w:tcMar>
            <w:vAlign w:val="center"/>
          </w:tcPr>
          <w:p w14:paraId="37776BD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6" w:type="dxa"/>
            <w:tcBorders>
              <w:top w:val="single" w:sz="4" w:space="0" w:color="auto"/>
              <w:left w:val="single" w:sz="4" w:space="0" w:color="auto"/>
            </w:tcBorders>
            <w:tcMar>
              <w:top w:w="10" w:type="dxa"/>
              <w:bottom w:w="10" w:type="dxa"/>
            </w:tcMar>
            <w:vAlign w:val="center"/>
          </w:tcPr>
          <w:p w14:paraId="7B7069B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0" w:type="dxa"/>
            <w:tcBorders>
              <w:top w:val="single" w:sz="4" w:space="0" w:color="auto"/>
              <w:left w:val="single" w:sz="4" w:space="0" w:color="auto"/>
            </w:tcBorders>
            <w:tcMar>
              <w:top w:w="10" w:type="dxa"/>
              <w:bottom w:w="10" w:type="dxa"/>
            </w:tcMar>
            <w:vAlign w:val="center"/>
          </w:tcPr>
          <w:p w14:paraId="2293CF0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1B79C85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0" w:type="dxa"/>
            <w:tcBorders>
              <w:top w:val="single" w:sz="4" w:space="0" w:color="auto"/>
              <w:left w:val="single" w:sz="4" w:space="0" w:color="auto"/>
            </w:tcBorders>
            <w:tcMar>
              <w:top w:w="10" w:type="dxa"/>
              <w:bottom w:w="10" w:type="dxa"/>
            </w:tcMar>
            <w:vAlign w:val="center"/>
          </w:tcPr>
          <w:p w14:paraId="2A06623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88" w:type="dxa"/>
            <w:tcBorders>
              <w:top w:val="single" w:sz="4" w:space="0" w:color="auto"/>
              <w:left w:val="single" w:sz="4" w:space="0" w:color="auto"/>
            </w:tcBorders>
            <w:tcMar>
              <w:top w:w="10" w:type="dxa"/>
              <w:bottom w:w="10" w:type="dxa"/>
            </w:tcMar>
            <w:vAlign w:val="center"/>
          </w:tcPr>
          <w:p w14:paraId="51F2471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569F4F1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8" w:type="dxa"/>
            <w:tcBorders>
              <w:top w:val="single" w:sz="4" w:space="0" w:color="auto"/>
              <w:left w:val="single" w:sz="4" w:space="0" w:color="auto"/>
            </w:tcBorders>
            <w:tcMar>
              <w:top w:w="10" w:type="dxa"/>
              <w:bottom w:w="10" w:type="dxa"/>
            </w:tcMar>
            <w:vAlign w:val="center"/>
          </w:tcPr>
          <w:p w14:paraId="38AB307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96" w:type="dxa"/>
            <w:tcBorders>
              <w:top w:val="single" w:sz="4" w:space="0" w:color="auto"/>
              <w:left w:val="single" w:sz="4" w:space="0" w:color="auto"/>
            </w:tcBorders>
            <w:tcMar>
              <w:top w:w="10" w:type="dxa"/>
              <w:bottom w:w="10" w:type="dxa"/>
            </w:tcMar>
            <w:vAlign w:val="center"/>
          </w:tcPr>
          <w:p w14:paraId="1A6EA3F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56" w:type="dxa"/>
            <w:tcBorders>
              <w:top w:val="single" w:sz="4" w:space="0" w:color="auto"/>
              <w:left w:val="single" w:sz="4" w:space="0" w:color="auto"/>
            </w:tcBorders>
            <w:tcMar>
              <w:top w:w="10" w:type="dxa"/>
              <w:bottom w:w="10" w:type="dxa"/>
            </w:tcMar>
            <w:vAlign w:val="center"/>
          </w:tcPr>
          <w:p w14:paraId="2194FBB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 w:type="dxa"/>
            <w:tcBorders>
              <w:top w:val="single" w:sz="4" w:space="0" w:color="auto"/>
              <w:left w:val="single" w:sz="4" w:space="0" w:color="auto"/>
            </w:tcBorders>
            <w:tcMar>
              <w:top w:w="10" w:type="dxa"/>
              <w:bottom w:w="10" w:type="dxa"/>
            </w:tcMar>
            <w:vAlign w:val="center"/>
          </w:tcPr>
          <w:p w14:paraId="6B88A1A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73AE29C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4D1E816E" w14:textId="77777777">
        <w:trPr>
          <w:trHeight w:val="20"/>
        </w:trPr>
        <w:tc>
          <w:tcPr>
            <w:tcW w:w="234" w:type="dxa"/>
            <w:tcBorders>
              <w:top w:val="single" w:sz="4" w:space="0" w:color="auto"/>
              <w:left w:val="single" w:sz="4" w:space="0" w:color="auto"/>
            </w:tcBorders>
            <w:tcMar>
              <w:top w:w="10" w:type="dxa"/>
              <w:bottom w:w="10" w:type="dxa"/>
            </w:tcMar>
            <w:vAlign w:val="center"/>
          </w:tcPr>
          <w:p w14:paraId="78FC6954"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6</w:t>
            </w:r>
          </w:p>
        </w:tc>
        <w:tc>
          <w:tcPr>
            <w:tcW w:w="2258" w:type="dxa"/>
            <w:tcBorders>
              <w:top w:val="single" w:sz="4" w:space="0" w:color="auto"/>
              <w:left w:val="single" w:sz="4" w:space="0" w:color="auto"/>
            </w:tcBorders>
            <w:tcMar>
              <w:top w:w="10" w:type="dxa"/>
              <w:bottom w:w="10" w:type="dxa"/>
            </w:tcMar>
            <w:vAlign w:val="center"/>
          </w:tcPr>
          <w:p w14:paraId="0661BD12" w14:textId="77777777" w:rsidR="006561BA" w:rsidRDefault="005B4ED6">
            <w:pPr>
              <w:widowControl w:val="0"/>
              <w:shd w:val="clear" w:color="auto" w:fill="auto"/>
              <w:spacing w:after="0" w:line="240" w:lineRule="auto"/>
              <w:ind w:left="164"/>
              <w:jc w:val="left"/>
              <w:rPr>
                <w:rFonts w:ascii="Helvetica" w:eastAsia="Arial Unicode MS" w:hAnsi="Helvetica" w:cs="Helvetica"/>
                <w:color w:val="000000"/>
                <w:sz w:val="6"/>
                <w:szCs w:val="6"/>
              </w:rPr>
            </w:pPr>
            <w:r>
              <w:rPr>
                <w:rFonts w:ascii="Helvetica" w:hAnsi="Helvetica"/>
                <w:color w:val="212121"/>
                <w:sz w:val="6"/>
              </w:rPr>
              <w:t>Egenkapitalinstrumenter</w:t>
            </w:r>
          </w:p>
        </w:tc>
        <w:tc>
          <w:tcPr>
            <w:tcW w:w="304" w:type="dxa"/>
            <w:tcBorders>
              <w:top w:val="single" w:sz="4" w:space="0" w:color="auto"/>
              <w:left w:val="single" w:sz="4" w:space="0" w:color="auto"/>
            </w:tcBorders>
            <w:tcMar>
              <w:top w:w="10" w:type="dxa"/>
              <w:bottom w:w="10" w:type="dxa"/>
            </w:tcMar>
            <w:vAlign w:val="center"/>
          </w:tcPr>
          <w:p w14:paraId="6E9F114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8" w:type="dxa"/>
            <w:tcBorders>
              <w:top w:val="single" w:sz="4" w:space="0" w:color="auto"/>
              <w:left w:val="single" w:sz="4" w:space="0" w:color="auto"/>
            </w:tcBorders>
            <w:tcMar>
              <w:top w:w="10" w:type="dxa"/>
              <w:bottom w:w="10" w:type="dxa"/>
            </w:tcMar>
            <w:vAlign w:val="center"/>
          </w:tcPr>
          <w:p w14:paraId="67661A3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left w:val="single" w:sz="4" w:space="0" w:color="auto"/>
            </w:tcBorders>
            <w:shd w:val="clear" w:color="auto" w:fill="000000" w:themeFill="text1"/>
            <w:tcMar>
              <w:top w:w="10" w:type="dxa"/>
              <w:bottom w:w="10" w:type="dxa"/>
            </w:tcMar>
            <w:vAlign w:val="center"/>
          </w:tcPr>
          <w:p w14:paraId="5309B3B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36410CC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78936A0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4A57A2E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1F11444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shd w:val="clear" w:color="auto" w:fill="000000" w:themeFill="text1"/>
          </w:tcPr>
          <w:p w14:paraId="7474E86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440583E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22A0FFF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15888D8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shd w:val="clear" w:color="auto" w:fill="000000" w:themeFill="text1"/>
            <w:tcMar>
              <w:top w:w="10" w:type="dxa"/>
              <w:bottom w:w="10" w:type="dxa"/>
            </w:tcMar>
            <w:vAlign w:val="center"/>
          </w:tcPr>
          <w:p w14:paraId="32AA7C5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5170D89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7132018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26718EB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shd w:val="clear" w:color="auto" w:fill="000000" w:themeFill="text1"/>
            <w:tcMar>
              <w:top w:w="10" w:type="dxa"/>
              <w:bottom w:w="10" w:type="dxa"/>
            </w:tcMar>
            <w:vAlign w:val="center"/>
          </w:tcPr>
          <w:p w14:paraId="6D7D6AF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7F7E113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2267A33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7CEDDB1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left w:val="single" w:sz="4" w:space="0" w:color="auto"/>
            </w:tcBorders>
            <w:shd w:val="clear" w:color="auto" w:fill="000000" w:themeFill="text1"/>
            <w:tcMar>
              <w:top w:w="10" w:type="dxa"/>
              <w:bottom w:w="10" w:type="dxa"/>
            </w:tcMar>
            <w:vAlign w:val="center"/>
          </w:tcPr>
          <w:p w14:paraId="4BFAADD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6AECCD3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198A110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60BBDCD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left w:val="single" w:sz="4" w:space="0" w:color="auto"/>
            </w:tcBorders>
            <w:shd w:val="clear" w:color="auto" w:fill="000000" w:themeFill="text1"/>
            <w:tcMar>
              <w:top w:w="10" w:type="dxa"/>
              <w:bottom w:w="10" w:type="dxa"/>
            </w:tcMar>
            <w:vAlign w:val="center"/>
          </w:tcPr>
          <w:p w14:paraId="2213C66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6BAFFE6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59C018E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39881B1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left w:val="single" w:sz="4" w:space="0" w:color="auto"/>
            </w:tcBorders>
            <w:shd w:val="clear" w:color="auto" w:fill="000000" w:themeFill="text1"/>
            <w:tcMar>
              <w:top w:w="10" w:type="dxa"/>
              <w:bottom w:w="10" w:type="dxa"/>
            </w:tcMar>
            <w:vAlign w:val="center"/>
          </w:tcPr>
          <w:p w14:paraId="35839AD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14D81C6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41C5426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4792283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27645AFA" w14:textId="77777777">
        <w:trPr>
          <w:trHeight w:val="20"/>
        </w:trPr>
        <w:tc>
          <w:tcPr>
            <w:tcW w:w="234" w:type="dxa"/>
            <w:tcBorders>
              <w:top w:val="single" w:sz="4" w:space="0" w:color="auto"/>
              <w:left w:val="single" w:sz="4" w:space="0" w:color="auto"/>
            </w:tcBorders>
            <w:tcMar>
              <w:top w:w="10" w:type="dxa"/>
              <w:bottom w:w="10" w:type="dxa"/>
            </w:tcMar>
            <w:vAlign w:val="center"/>
          </w:tcPr>
          <w:p w14:paraId="26582790" w14:textId="77777777" w:rsidR="006561BA" w:rsidRDefault="006561BA">
            <w:pPr>
              <w:widowControl w:val="0"/>
              <w:shd w:val="clear" w:color="auto" w:fill="auto"/>
              <w:spacing w:after="0" w:line="240" w:lineRule="auto"/>
              <w:jc w:val="center"/>
              <w:rPr>
                <w:rFonts w:ascii="Helvetica" w:eastAsia="Arial Unicode MS" w:hAnsi="Helvetica" w:cs="Helvetica"/>
                <w:color w:val="000000"/>
                <w:sz w:val="6"/>
                <w:szCs w:val="6"/>
                <w:lang w:val="en-US"/>
              </w:rPr>
            </w:pPr>
          </w:p>
        </w:tc>
        <w:tc>
          <w:tcPr>
            <w:tcW w:w="2258" w:type="dxa"/>
            <w:tcBorders>
              <w:top w:val="single" w:sz="4" w:space="0" w:color="auto"/>
              <w:left w:val="single" w:sz="4" w:space="0" w:color="auto"/>
            </w:tcBorders>
            <w:tcMar>
              <w:top w:w="10" w:type="dxa"/>
              <w:bottom w:w="10" w:type="dxa"/>
            </w:tcMar>
            <w:vAlign w:val="center"/>
          </w:tcPr>
          <w:p w14:paraId="1EF2878C" w14:textId="77777777" w:rsidR="006561BA" w:rsidRDefault="005B4ED6">
            <w:pPr>
              <w:widowControl w:val="0"/>
              <w:shd w:val="clear" w:color="auto" w:fill="auto"/>
              <w:spacing w:after="0" w:line="240" w:lineRule="auto"/>
              <w:ind w:left="116"/>
              <w:jc w:val="left"/>
              <w:rPr>
                <w:rFonts w:ascii="Helvetica" w:eastAsia="Arial Unicode MS" w:hAnsi="Helvetica" w:cs="Helvetica"/>
                <w:color w:val="000000"/>
                <w:sz w:val="6"/>
                <w:szCs w:val="6"/>
              </w:rPr>
            </w:pPr>
            <w:r>
              <w:rPr>
                <w:rFonts w:ascii="Helvetica" w:hAnsi="Helvetica"/>
                <w:color w:val="212121"/>
                <w:sz w:val="6"/>
              </w:rPr>
              <w:t>Andre finansielle foretak</w:t>
            </w:r>
          </w:p>
        </w:tc>
        <w:tc>
          <w:tcPr>
            <w:tcW w:w="304" w:type="dxa"/>
            <w:tcBorders>
              <w:top w:val="single" w:sz="4" w:space="0" w:color="auto"/>
              <w:left w:val="single" w:sz="4" w:space="0" w:color="auto"/>
            </w:tcBorders>
            <w:tcMar>
              <w:top w:w="10" w:type="dxa"/>
              <w:bottom w:w="10" w:type="dxa"/>
            </w:tcMar>
            <w:vAlign w:val="center"/>
          </w:tcPr>
          <w:p w14:paraId="5946BD3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8" w:type="dxa"/>
            <w:tcBorders>
              <w:top w:val="single" w:sz="4" w:space="0" w:color="auto"/>
              <w:left w:val="single" w:sz="4" w:space="0" w:color="auto"/>
            </w:tcBorders>
            <w:tcMar>
              <w:top w:w="10" w:type="dxa"/>
              <w:bottom w:w="10" w:type="dxa"/>
            </w:tcMar>
            <w:vAlign w:val="center"/>
          </w:tcPr>
          <w:p w14:paraId="09D6633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left w:val="single" w:sz="4" w:space="0" w:color="auto"/>
            </w:tcBorders>
            <w:tcMar>
              <w:top w:w="10" w:type="dxa"/>
              <w:bottom w:w="10" w:type="dxa"/>
            </w:tcMar>
            <w:vAlign w:val="center"/>
          </w:tcPr>
          <w:p w14:paraId="00A811B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4ABC54D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360EF71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772A543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2DEDD5E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183354E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044C3FC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7C36F7A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63C6A28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tcMar>
              <w:top w:w="10" w:type="dxa"/>
              <w:bottom w:w="10" w:type="dxa"/>
            </w:tcMar>
            <w:vAlign w:val="center"/>
          </w:tcPr>
          <w:p w14:paraId="5655A9A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2F5A1D4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2F21C35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3D4FFAA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tcMar>
              <w:top w:w="10" w:type="dxa"/>
              <w:bottom w:w="10" w:type="dxa"/>
            </w:tcMar>
            <w:vAlign w:val="center"/>
          </w:tcPr>
          <w:p w14:paraId="404FEA4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54DA96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60D36D9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2A205F0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left w:val="single" w:sz="4" w:space="0" w:color="auto"/>
            </w:tcBorders>
            <w:tcMar>
              <w:top w:w="10" w:type="dxa"/>
              <w:bottom w:w="10" w:type="dxa"/>
            </w:tcMar>
            <w:vAlign w:val="center"/>
          </w:tcPr>
          <w:p w14:paraId="36E9435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2DCA21C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3E7D89D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711E7ED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left w:val="single" w:sz="4" w:space="0" w:color="auto"/>
            </w:tcBorders>
            <w:tcMar>
              <w:top w:w="10" w:type="dxa"/>
              <w:bottom w:w="10" w:type="dxa"/>
            </w:tcMar>
            <w:vAlign w:val="center"/>
          </w:tcPr>
          <w:p w14:paraId="39F591C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1CE5EFE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3C32749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76AFE41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left w:val="single" w:sz="4" w:space="0" w:color="auto"/>
            </w:tcBorders>
            <w:tcMar>
              <w:top w:w="10" w:type="dxa"/>
              <w:bottom w:w="10" w:type="dxa"/>
            </w:tcMar>
            <w:vAlign w:val="center"/>
          </w:tcPr>
          <w:p w14:paraId="54CDAC9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7162976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6E5680D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079983D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1822928E" w14:textId="77777777">
        <w:trPr>
          <w:trHeight w:val="20"/>
        </w:trPr>
        <w:tc>
          <w:tcPr>
            <w:tcW w:w="234" w:type="dxa"/>
            <w:tcBorders>
              <w:top w:val="single" w:sz="4" w:space="0" w:color="auto"/>
              <w:left w:val="single" w:sz="4" w:space="0" w:color="auto"/>
            </w:tcBorders>
            <w:tcMar>
              <w:top w:w="10" w:type="dxa"/>
              <w:bottom w:w="10" w:type="dxa"/>
            </w:tcMar>
            <w:vAlign w:val="center"/>
          </w:tcPr>
          <w:p w14:paraId="5002EA4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8</w:t>
            </w:r>
          </w:p>
        </w:tc>
        <w:tc>
          <w:tcPr>
            <w:tcW w:w="2258" w:type="dxa"/>
            <w:tcBorders>
              <w:top w:val="single" w:sz="4" w:space="0" w:color="auto"/>
              <w:left w:val="single" w:sz="4" w:space="0" w:color="auto"/>
            </w:tcBorders>
            <w:tcMar>
              <w:top w:w="10" w:type="dxa"/>
              <w:bottom w:w="10" w:type="dxa"/>
            </w:tcMar>
            <w:vAlign w:val="center"/>
          </w:tcPr>
          <w:p w14:paraId="1AE3A91A" w14:textId="77777777" w:rsidR="006561BA" w:rsidRDefault="005B4ED6">
            <w:pPr>
              <w:widowControl w:val="0"/>
              <w:shd w:val="clear" w:color="auto" w:fill="auto"/>
              <w:spacing w:after="0" w:line="240" w:lineRule="auto"/>
              <w:ind w:left="164"/>
              <w:jc w:val="left"/>
              <w:rPr>
                <w:rFonts w:ascii="Helvetica" w:eastAsia="Arial Unicode MS" w:hAnsi="Helvetica" w:cs="Helvetica"/>
                <w:color w:val="000000"/>
                <w:sz w:val="6"/>
                <w:szCs w:val="6"/>
              </w:rPr>
            </w:pPr>
            <w:r>
              <w:rPr>
                <w:rFonts w:ascii="Helvetica" w:hAnsi="Helvetica"/>
                <w:color w:val="212121"/>
                <w:sz w:val="6"/>
              </w:rPr>
              <w:t>hvorav verdipapirforetak</w:t>
            </w:r>
          </w:p>
        </w:tc>
        <w:tc>
          <w:tcPr>
            <w:tcW w:w="304" w:type="dxa"/>
            <w:tcBorders>
              <w:top w:val="single" w:sz="4" w:space="0" w:color="auto"/>
              <w:left w:val="single" w:sz="4" w:space="0" w:color="auto"/>
            </w:tcBorders>
            <w:tcMar>
              <w:top w:w="10" w:type="dxa"/>
              <w:bottom w:w="10" w:type="dxa"/>
            </w:tcMar>
            <w:vAlign w:val="center"/>
          </w:tcPr>
          <w:p w14:paraId="2ADAFA1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8" w:type="dxa"/>
            <w:tcBorders>
              <w:top w:val="single" w:sz="4" w:space="0" w:color="auto"/>
              <w:left w:val="single" w:sz="4" w:space="0" w:color="auto"/>
            </w:tcBorders>
            <w:tcMar>
              <w:top w:w="10" w:type="dxa"/>
              <w:bottom w:w="10" w:type="dxa"/>
            </w:tcMar>
            <w:vAlign w:val="center"/>
          </w:tcPr>
          <w:p w14:paraId="2DB97F0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404A0EB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742496D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3ABCA88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729B044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3FFF4C6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402362D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28938DE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3FB7887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7EFA59B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6551060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7060B26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48A7EE6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6D72DEF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6AE1280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5AC9CDF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0AF0525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40933E2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tcBorders>
            <w:tcMar>
              <w:top w:w="10" w:type="dxa"/>
              <w:bottom w:w="10" w:type="dxa"/>
            </w:tcMar>
            <w:vAlign w:val="center"/>
          </w:tcPr>
          <w:p w14:paraId="6BC5202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046EA5C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23D971B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67EC77C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tcBorders>
            <w:tcMar>
              <w:top w:w="10" w:type="dxa"/>
              <w:bottom w:w="10" w:type="dxa"/>
            </w:tcMar>
            <w:vAlign w:val="center"/>
          </w:tcPr>
          <w:p w14:paraId="75BD237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7406F30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49A57EF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6D04076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4E9D773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09F3C08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672D56A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51612DB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0D044EC8" w14:textId="77777777">
        <w:trPr>
          <w:trHeight w:val="20"/>
        </w:trPr>
        <w:tc>
          <w:tcPr>
            <w:tcW w:w="234" w:type="dxa"/>
            <w:tcBorders>
              <w:top w:val="single" w:sz="4" w:space="0" w:color="auto"/>
              <w:left w:val="single" w:sz="4" w:space="0" w:color="auto"/>
            </w:tcBorders>
            <w:tcMar>
              <w:top w:w="10" w:type="dxa"/>
              <w:bottom w:w="10" w:type="dxa"/>
            </w:tcMar>
            <w:vAlign w:val="center"/>
          </w:tcPr>
          <w:p w14:paraId="015D0E5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9</w:t>
            </w:r>
          </w:p>
        </w:tc>
        <w:tc>
          <w:tcPr>
            <w:tcW w:w="2258" w:type="dxa"/>
            <w:tcBorders>
              <w:top w:val="single" w:sz="4" w:space="0" w:color="auto"/>
              <w:left w:val="single" w:sz="4" w:space="0" w:color="auto"/>
            </w:tcBorders>
            <w:tcMar>
              <w:top w:w="10" w:type="dxa"/>
              <w:bottom w:w="10" w:type="dxa"/>
            </w:tcMar>
            <w:vAlign w:val="center"/>
          </w:tcPr>
          <w:p w14:paraId="69FC7872" w14:textId="77777777" w:rsidR="006561BA" w:rsidRDefault="005B4ED6">
            <w:pPr>
              <w:widowControl w:val="0"/>
              <w:shd w:val="clear" w:color="auto" w:fill="auto"/>
              <w:spacing w:after="0" w:line="240" w:lineRule="auto"/>
              <w:ind w:left="200"/>
              <w:jc w:val="left"/>
              <w:rPr>
                <w:rFonts w:ascii="Helvetica" w:eastAsia="Arial Unicode MS" w:hAnsi="Helvetica" w:cs="Helvetica"/>
                <w:color w:val="000000"/>
                <w:sz w:val="6"/>
                <w:szCs w:val="6"/>
              </w:rPr>
            </w:pPr>
            <w:r>
              <w:rPr>
                <w:rFonts w:ascii="Helvetica" w:hAnsi="Helvetica"/>
                <w:color w:val="212121"/>
                <w:sz w:val="6"/>
              </w:rPr>
              <w:t>Lån og forskudd</w:t>
            </w:r>
          </w:p>
        </w:tc>
        <w:tc>
          <w:tcPr>
            <w:tcW w:w="304" w:type="dxa"/>
            <w:tcBorders>
              <w:top w:val="single" w:sz="4" w:space="0" w:color="auto"/>
              <w:left w:val="single" w:sz="4" w:space="0" w:color="auto"/>
            </w:tcBorders>
            <w:tcMar>
              <w:top w:w="10" w:type="dxa"/>
              <w:bottom w:w="10" w:type="dxa"/>
            </w:tcMar>
            <w:vAlign w:val="center"/>
          </w:tcPr>
          <w:p w14:paraId="15A5A0E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8" w:type="dxa"/>
            <w:tcBorders>
              <w:top w:val="single" w:sz="4" w:space="0" w:color="auto"/>
              <w:left w:val="single" w:sz="4" w:space="0" w:color="auto"/>
            </w:tcBorders>
            <w:tcMar>
              <w:top w:w="10" w:type="dxa"/>
              <w:bottom w:w="10" w:type="dxa"/>
            </w:tcMar>
            <w:vAlign w:val="center"/>
          </w:tcPr>
          <w:p w14:paraId="0E19B98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0BEEFEB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6AAF167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59FE88F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14DA01A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0A7DBF1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1519301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0256046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38F3791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6F78945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7FDF8E3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3E5EDDD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58708A0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706CB02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14AE67B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01CD9D1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48104B6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3428A1C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tcBorders>
            <w:tcMar>
              <w:top w:w="10" w:type="dxa"/>
              <w:bottom w:w="10" w:type="dxa"/>
            </w:tcMar>
            <w:vAlign w:val="center"/>
          </w:tcPr>
          <w:p w14:paraId="15D3427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64A9634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5153C19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15377DC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tcBorders>
            <w:tcMar>
              <w:top w:w="10" w:type="dxa"/>
              <w:bottom w:w="10" w:type="dxa"/>
            </w:tcMar>
            <w:vAlign w:val="center"/>
          </w:tcPr>
          <w:p w14:paraId="0CE1EC2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522E57D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56ED60C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6BA65B3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6805BA7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3ECF930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3C48D3B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50EF726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2CED7532" w14:textId="77777777">
        <w:trPr>
          <w:trHeight w:val="20"/>
        </w:trPr>
        <w:tc>
          <w:tcPr>
            <w:tcW w:w="234" w:type="dxa"/>
            <w:tcBorders>
              <w:top w:val="single" w:sz="4" w:space="0" w:color="auto"/>
              <w:left w:val="single" w:sz="4" w:space="0" w:color="auto"/>
            </w:tcBorders>
            <w:tcMar>
              <w:top w:w="10" w:type="dxa"/>
              <w:bottom w:w="10" w:type="dxa"/>
            </w:tcMar>
            <w:vAlign w:val="center"/>
          </w:tcPr>
          <w:p w14:paraId="794F0A12"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10</w:t>
            </w:r>
          </w:p>
        </w:tc>
        <w:tc>
          <w:tcPr>
            <w:tcW w:w="2258" w:type="dxa"/>
            <w:tcBorders>
              <w:top w:val="single" w:sz="4" w:space="0" w:color="auto"/>
              <w:left w:val="single" w:sz="4" w:space="0" w:color="auto"/>
            </w:tcBorders>
            <w:tcMar>
              <w:top w:w="10" w:type="dxa"/>
              <w:bottom w:w="10" w:type="dxa"/>
            </w:tcMar>
            <w:vAlign w:val="center"/>
          </w:tcPr>
          <w:p w14:paraId="68425650" w14:textId="77777777" w:rsidR="006561BA" w:rsidRDefault="005B4ED6">
            <w:pPr>
              <w:widowControl w:val="0"/>
              <w:shd w:val="clear" w:color="auto" w:fill="auto"/>
              <w:spacing w:after="0" w:line="240" w:lineRule="auto"/>
              <w:ind w:left="200"/>
              <w:jc w:val="left"/>
              <w:rPr>
                <w:rFonts w:ascii="Helvetica" w:eastAsia="Arial Unicode MS" w:hAnsi="Helvetica" w:cs="Helvetica"/>
                <w:color w:val="000000"/>
                <w:sz w:val="6"/>
                <w:szCs w:val="6"/>
              </w:rPr>
            </w:pPr>
            <w:r>
              <w:rPr>
                <w:rFonts w:ascii="Helvetica" w:hAnsi="Helvetica"/>
                <w:color w:val="212121"/>
                <w:sz w:val="6"/>
              </w:rPr>
              <w:t>Gjeldsinstrumenter, herunder bruk av proveny</w:t>
            </w:r>
          </w:p>
        </w:tc>
        <w:tc>
          <w:tcPr>
            <w:tcW w:w="304" w:type="dxa"/>
            <w:tcBorders>
              <w:top w:val="single" w:sz="4" w:space="0" w:color="auto"/>
              <w:left w:val="single" w:sz="4" w:space="0" w:color="auto"/>
            </w:tcBorders>
            <w:tcMar>
              <w:top w:w="10" w:type="dxa"/>
              <w:bottom w:w="10" w:type="dxa"/>
            </w:tcMar>
            <w:vAlign w:val="center"/>
          </w:tcPr>
          <w:p w14:paraId="53F62BF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8" w:type="dxa"/>
            <w:tcBorders>
              <w:top w:val="single" w:sz="4" w:space="0" w:color="auto"/>
              <w:left w:val="single" w:sz="4" w:space="0" w:color="auto"/>
            </w:tcBorders>
            <w:tcMar>
              <w:top w:w="10" w:type="dxa"/>
              <w:bottom w:w="10" w:type="dxa"/>
            </w:tcMar>
            <w:vAlign w:val="center"/>
          </w:tcPr>
          <w:p w14:paraId="26020BC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3789E79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0" w:type="dxa"/>
            <w:tcBorders>
              <w:top w:val="single" w:sz="4" w:space="0" w:color="auto"/>
              <w:left w:val="single" w:sz="4" w:space="0" w:color="auto"/>
            </w:tcBorders>
            <w:tcMar>
              <w:top w:w="10" w:type="dxa"/>
              <w:bottom w:w="10" w:type="dxa"/>
            </w:tcMar>
            <w:vAlign w:val="center"/>
          </w:tcPr>
          <w:p w14:paraId="40859A9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4" w:type="dxa"/>
            <w:tcBorders>
              <w:top w:val="single" w:sz="4" w:space="0" w:color="auto"/>
              <w:left w:val="single" w:sz="4" w:space="0" w:color="auto"/>
            </w:tcBorders>
            <w:tcMar>
              <w:top w:w="10" w:type="dxa"/>
              <w:bottom w:w="10" w:type="dxa"/>
            </w:tcMar>
            <w:vAlign w:val="center"/>
          </w:tcPr>
          <w:p w14:paraId="60876DF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right w:val="single" w:sz="4" w:space="0" w:color="auto"/>
            </w:tcBorders>
          </w:tcPr>
          <w:p w14:paraId="4691720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54D0F26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6EEF39A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6A844B6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704EB3F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165B185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3FC1CD7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5" w:type="dxa"/>
            <w:tcBorders>
              <w:top w:val="single" w:sz="4" w:space="0" w:color="auto"/>
              <w:left w:val="single" w:sz="4" w:space="0" w:color="auto"/>
            </w:tcBorders>
            <w:tcMar>
              <w:top w:w="10" w:type="dxa"/>
              <w:bottom w:w="10" w:type="dxa"/>
            </w:tcMar>
            <w:vAlign w:val="center"/>
          </w:tcPr>
          <w:p w14:paraId="08F55FB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2" w:type="dxa"/>
            <w:tcBorders>
              <w:top w:val="single" w:sz="4" w:space="0" w:color="auto"/>
              <w:left w:val="single" w:sz="4" w:space="0" w:color="auto"/>
            </w:tcBorders>
            <w:tcMar>
              <w:top w:w="10" w:type="dxa"/>
              <w:bottom w:w="10" w:type="dxa"/>
            </w:tcMar>
            <w:vAlign w:val="center"/>
          </w:tcPr>
          <w:p w14:paraId="4865125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687D9C4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35E10F4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16132B0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7" w:type="dxa"/>
            <w:tcBorders>
              <w:top w:val="single" w:sz="4" w:space="0" w:color="auto"/>
              <w:left w:val="single" w:sz="4" w:space="0" w:color="auto"/>
            </w:tcBorders>
            <w:tcMar>
              <w:top w:w="10" w:type="dxa"/>
              <w:bottom w:w="10" w:type="dxa"/>
            </w:tcMar>
            <w:vAlign w:val="center"/>
          </w:tcPr>
          <w:p w14:paraId="78673D8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2BB1546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4" w:type="dxa"/>
            <w:tcBorders>
              <w:top w:val="single" w:sz="4" w:space="0" w:color="auto"/>
              <w:left w:val="single" w:sz="4" w:space="0" w:color="auto"/>
            </w:tcBorders>
            <w:tcMar>
              <w:top w:w="10" w:type="dxa"/>
              <w:bottom w:w="10" w:type="dxa"/>
            </w:tcMar>
            <w:vAlign w:val="center"/>
          </w:tcPr>
          <w:p w14:paraId="4CFF581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6" w:type="dxa"/>
            <w:tcBorders>
              <w:top w:val="single" w:sz="4" w:space="0" w:color="auto"/>
              <w:left w:val="single" w:sz="4" w:space="0" w:color="auto"/>
            </w:tcBorders>
            <w:tcMar>
              <w:top w:w="10" w:type="dxa"/>
              <w:bottom w:w="10" w:type="dxa"/>
            </w:tcMar>
            <w:vAlign w:val="center"/>
          </w:tcPr>
          <w:p w14:paraId="7AE278E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0" w:type="dxa"/>
            <w:tcBorders>
              <w:top w:val="single" w:sz="4" w:space="0" w:color="auto"/>
              <w:left w:val="single" w:sz="4" w:space="0" w:color="auto"/>
            </w:tcBorders>
            <w:tcMar>
              <w:top w:w="10" w:type="dxa"/>
              <w:bottom w:w="10" w:type="dxa"/>
            </w:tcMar>
            <w:vAlign w:val="center"/>
          </w:tcPr>
          <w:p w14:paraId="5D4582B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4EB3D0D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0" w:type="dxa"/>
            <w:tcBorders>
              <w:top w:val="single" w:sz="4" w:space="0" w:color="auto"/>
              <w:left w:val="single" w:sz="4" w:space="0" w:color="auto"/>
            </w:tcBorders>
            <w:tcMar>
              <w:top w:w="10" w:type="dxa"/>
              <w:bottom w:w="10" w:type="dxa"/>
            </w:tcMar>
            <w:vAlign w:val="center"/>
          </w:tcPr>
          <w:p w14:paraId="635F8A5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88" w:type="dxa"/>
            <w:tcBorders>
              <w:top w:val="single" w:sz="4" w:space="0" w:color="auto"/>
              <w:left w:val="single" w:sz="4" w:space="0" w:color="auto"/>
            </w:tcBorders>
            <w:tcMar>
              <w:top w:w="10" w:type="dxa"/>
              <w:bottom w:w="10" w:type="dxa"/>
            </w:tcMar>
            <w:vAlign w:val="center"/>
          </w:tcPr>
          <w:p w14:paraId="634B1B5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5364125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8" w:type="dxa"/>
            <w:tcBorders>
              <w:top w:val="single" w:sz="4" w:space="0" w:color="auto"/>
              <w:left w:val="single" w:sz="4" w:space="0" w:color="auto"/>
            </w:tcBorders>
            <w:tcMar>
              <w:top w:w="10" w:type="dxa"/>
              <w:bottom w:w="10" w:type="dxa"/>
            </w:tcMar>
            <w:vAlign w:val="center"/>
          </w:tcPr>
          <w:p w14:paraId="411FC57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96" w:type="dxa"/>
            <w:tcBorders>
              <w:top w:val="single" w:sz="4" w:space="0" w:color="auto"/>
              <w:left w:val="single" w:sz="4" w:space="0" w:color="auto"/>
            </w:tcBorders>
            <w:tcMar>
              <w:top w:w="10" w:type="dxa"/>
              <w:bottom w:w="10" w:type="dxa"/>
            </w:tcMar>
            <w:vAlign w:val="center"/>
          </w:tcPr>
          <w:p w14:paraId="7AE6E20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56" w:type="dxa"/>
            <w:tcBorders>
              <w:top w:val="single" w:sz="4" w:space="0" w:color="auto"/>
              <w:left w:val="single" w:sz="4" w:space="0" w:color="auto"/>
            </w:tcBorders>
            <w:tcMar>
              <w:top w:w="10" w:type="dxa"/>
              <w:bottom w:w="10" w:type="dxa"/>
            </w:tcMar>
            <w:vAlign w:val="center"/>
          </w:tcPr>
          <w:p w14:paraId="067A468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 w:type="dxa"/>
            <w:tcBorders>
              <w:top w:val="single" w:sz="4" w:space="0" w:color="auto"/>
              <w:left w:val="single" w:sz="4" w:space="0" w:color="auto"/>
            </w:tcBorders>
            <w:tcMar>
              <w:top w:w="10" w:type="dxa"/>
              <w:bottom w:w="10" w:type="dxa"/>
            </w:tcMar>
            <w:vAlign w:val="center"/>
          </w:tcPr>
          <w:p w14:paraId="1BF0084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627B3D5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44B13A2F" w14:textId="77777777">
        <w:trPr>
          <w:trHeight w:val="20"/>
        </w:trPr>
        <w:tc>
          <w:tcPr>
            <w:tcW w:w="234" w:type="dxa"/>
            <w:tcBorders>
              <w:top w:val="single" w:sz="4" w:space="0" w:color="auto"/>
              <w:left w:val="single" w:sz="4" w:space="0" w:color="auto"/>
            </w:tcBorders>
            <w:tcMar>
              <w:top w:w="10" w:type="dxa"/>
              <w:bottom w:w="10" w:type="dxa"/>
            </w:tcMar>
            <w:vAlign w:val="center"/>
          </w:tcPr>
          <w:p w14:paraId="2CB5CE4A"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11</w:t>
            </w:r>
          </w:p>
        </w:tc>
        <w:tc>
          <w:tcPr>
            <w:tcW w:w="2258" w:type="dxa"/>
            <w:tcBorders>
              <w:top w:val="single" w:sz="4" w:space="0" w:color="auto"/>
              <w:left w:val="single" w:sz="4" w:space="0" w:color="auto"/>
            </w:tcBorders>
            <w:tcMar>
              <w:top w:w="10" w:type="dxa"/>
              <w:bottom w:w="10" w:type="dxa"/>
            </w:tcMar>
            <w:vAlign w:val="center"/>
          </w:tcPr>
          <w:p w14:paraId="55B7BF87" w14:textId="77777777" w:rsidR="006561BA" w:rsidRDefault="005B4ED6">
            <w:pPr>
              <w:widowControl w:val="0"/>
              <w:shd w:val="clear" w:color="auto" w:fill="auto"/>
              <w:spacing w:after="0" w:line="240" w:lineRule="auto"/>
              <w:ind w:left="200"/>
              <w:jc w:val="left"/>
              <w:rPr>
                <w:rFonts w:ascii="Helvetica" w:eastAsia="Arial Unicode MS" w:hAnsi="Helvetica" w:cs="Helvetica"/>
                <w:color w:val="000000"/>
                <w:sz w:val="6"/>
                <w:szCs w:val="6"/>
              </w:rPr>
            </w:pPr>
            <w:r>
              <w:rPr>
                <w:rFonts w:ascii="Helvetica" w:hAnsi="Helvetica"/>
                <w:color w:val="212121"/>
                <w:sz w:val="6"/>
              </w:rPr>
              <w:t>Egenkapitalinstrumenter</w:t>
            </w:r>
          </w:p>
        </w:tc>
        <w:tc>
          <w:tcPr>
            <w:tcW w:w="304" w:type="dxa"/>
            <w:tcBorders>
              <w:top w:val="single" w:sz="4" w:space="0" w:color="auto"/>
              <w:left w:val="single" w:sz="4" w:space="0" w:color="auto"/>
            </w:tcBorders>
            <w:tcMar>
              <w:top w:w="10" w:type="dxa"/>
              <w:bottom w:w="10" w:type="dxa"/>
            </w:tcMar>
            <w:vAlign w:val="center"/>
          </w:tcPr>
          <w:p w14:paraId="053B854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8" w:type="dxa"/>
            <w:tcBorders>
              <w:top w:val="single" w:sz="4" w:space="0" w:color="auto"/>
              <w:left w:val="single" w:sz="4" w:space="0" w:color="auto"/>
            </w:tcBorders>
            <w:tcMar>
              <w:top w:w="10" w:type="dxa"/>
              <w:bottom w:w="10" w:type="dxa"/>
            </w:tcMar>
            <w:vAlign w:val="center"/>
          </w:tcPr>
          <w:p w14:paraId="5775739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left w:val="single" w:sz="4" w:space="0" w:color="auto"/>
            </w:tcBorders>
            <w:shd w:val="clear" w:color="auto" w:fill="000000" w:themeFill="text1"/>
            <w:tcMar>
              <w:top w:w="10" w:type="dxa"/>
              <w:bottom w:w="10" w:type="dxa"/>
            </w:tcMar>
            <w:vAlign w:val="center"/>
          </w:tcPr>
          <w:p w14:paraId="4FE191B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1BA1375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12D3B34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5E90B17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6FF5B8F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shd w:val="clear" w:color="auto" w:fill="000000" w:themeFill="text1"/>
          </w:tcPr>
          <w:p w14:paraId="40C5AA2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7A1E877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003EE70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0830A2A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shd w:val="clear" w:color="auto" w:fill="000000" w:themeFill="text1"/>
            <w:tcMar>
              <w:top w:w="10" w:type="dxa"/>
              <w:bottom w:w="10" w:type="dxa"/>
            </w:tcMar>
            <w:vAlign w:val="center"/>
          </w:tcPr>
          <w:p w14:paraId="4CDD78C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676E44E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0C56BA8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763D6CC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shd w:val="clear" w:color="auto" w:fill="000000" w:themeFill="text1"/>
            <w:tcMar>
              <w:top w:w="10" w:type="dxa"/>
              <w:bottom w:w="10" w:type="dxa"/>
            </w:tcMar>
            <w:vAlign w:val="center"/>
          </w:tcPr>
          <w:p w14:paraId="2D831BE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19D278D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3A717BC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2EA5A42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left w:val="single" w:sz="4" w:space="0" w:color="auto"/>
            </w:tcBorders>
            <w:shd w:val="clear" w:color="auto" w:fill="000000" w:themeFill="text1"/>
            <w:tcMar>
              <w:top w:w="10" w:type="dxa"/>
              <w:bottom w:w="10" w:type="dxa"/>
            </w:tcMar>
            <w:vAlign w:val="center"/>
          </w:tcPr>
          <w:p w14:paraId="239774D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046A1B9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75B0841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0FC8F85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left w:val="single" w:sz="4" w:space="0" w:color="auto"/>
            </w:tcBorders>
            <w:shd w:val="clear" w:color="auto" w:fill="000000" w:themeFill="text1"/>
            <w:tcMar>
              <w:top w:w="10" w:type="dxa"/>
              <w:bottom w:w="10" w:type="dxa"/>
            </w:tcMar>
            <w:vAlign w:val="center"/>
          </w:tcPr>
          <w:p w14:paraId="2BED120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40D9754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717408D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0B8506B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left w:val="single" w:sz="4" w:space="0" w:color="auto"/>
            </w:tcBorders>
            <w:shd w:val="clear" w:color="auto" w:fill="000000" w:themeFill="text1"/>
            <w:tcMar>
              <w:top w:w="10" w:type="dxa"/>
              <w:bottom w:w="10" w:type="dxa"/>
            </w:tcMar>
            <w:vAlign w:val="center"/>
          </w:tcPr>
          <w:p w14:paraId="095F5AD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2A2CEB6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1850C86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6E260C4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412F3C7D" w14:textId="77777777">
        <w:trPr>
          <w:trHeight w:val="20"/>
        </w:trPr>
        <w:tc>
          <w:tcPr>
            <w:tcW w:w="234" w:type="dxa"/>
            <w:tcBorders>
              <w:top w:val="single" w:sz="4" w:space="0" w:color="auto"/>
              <w:left w:val="single" w:sz="4" w:space="0" w:color="auto"/>
            </w:tcBorders>
            <w:tcMar>
              <w:top w:w="10" w:type="dxa"/>
              <w:bottom w:w="10" w:type="dxa"/>
            </w:tcMar>
            <w:vAlign w:val="center"/>
          </w:tcPr>
          <w:p w14:paraId="5E1200C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12</w:t>
            </w:r>
          </w:p>
        </w:tc>
        <w:tc>
          <w:tcPr>
            <w:tcW w:w="2258" w:type="dxa"/>
            <w:tcBorders>
              <w:top w:val="single" w:sz="4" w:space="0" w:color="auto"/>
              <w:left w:val="single" w:sz="4" w:space="0" w:color="auto"/>
            </w:tcBorders>
            <w:tcMar>
              <w:top w:w="10" w:type="dxa"/>
              <w:bottom w:w="10" w:type="dxa"/>
            </w:tcMar>
            <w:vAlign w:val="center"/>
          </w:tcPr>
          <w:p w14:paraId="73B5AF9B" w14:textId="77777777" w:rsidR="006561BA" w:rsidRDefault="005B4ED6">
            <w:pPr>
              <w:widowControl w:val="0"/>
              <w:shd w:val="clear" w:color="auto" w:fill="auto"/>
              <w:spacing w:after="0" w:line="240" w:lineRule="auto"/>
              <w:ind w:left="164"/>
              <w:jc w:val="left"/>
              <w:rPr>
                <w:rFonts w:ascii="Helvetica" w:eastAsia="Arial Unicode MS" w:hAnsi="Helvetica" w:cs="Helvetica"/>
                <w:color w:val="000000"/>
                <w:sz w:val="6"/>
                <w:szCs w:val="6"/>
              </w:rPr>
            </w:pPr>
            <w:r>
              <w:rPr>
                <w:rFonts w:ascii="Helvetica" w:hAnsi="Helvetica"/>
                <w:color w:val="212121"/>
                <w:sz w:val="6"/>
              </w:rPr>
              <w:t>hvorav forvaltningsselskaper</w:t>
            </w:r>
          </w:p>
        </w:tc>
        <w:tc>
          <w:tcPr>
            <w:tcW w:w="304" w:type="dxa"/>
            <w:tcBorders>
              <w:top w:val="single" w:sz="4" w:space="0" w:color="auto"/>
              <w:left w:val="single" w:sz="4" w:space="0" w:color="auto"/>
            </w:tcBorders>
            <w:tcMar>
              <w:top w:w="10" w:type="dxa"/>
              <w:bottom w:w="10" w:type="dxa"/>
            </w:tcMar>
            <w:vAlign w:val="center"/>
          </w:tcPr>
          <w:p w14:paraId="1C1EC62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8" w:type="dxa"/>
            <w:tcBorders>
              <w:top w:val="single" w:sz="4" w:space="0" w:color="auto"/>
              <w:left w:val="single" w:sz="4" w:space="0" w:color="auto"/>
            </w:tcBorders>
            <w:tcMar>
              <w:top w:w="10" w:type="dxa"/>
              <w:bottom w:w="10" w:type="dxa"/>
            </w:tcMar>
            <w:vAlign w:val="center"/>
          </w:tcPr>
          <w:p w14:paraId="63A5390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left w:val="single" w:sz="4" w:space="0" w:color="auto"/>
            </w:tcBorders>
            <w:tcMar>
              <w:top w:w="10" w:type="dxa"/>
              <w:bottom w:w="10" w:type="dxa"/>
            </w:tcMar>
            <w:vAlign w:val="center"/>
          </w:tcPr>
          <w:p w14:paraId="5488F65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255E4D2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2DC3A9B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4651A5D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45533DC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257703D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61DB408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334814D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6F54A87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tcMar>
              <w:top w:w="10" w:type="dxa"/>
              <w:bottom w:w="10" w:type="dxa"/>
            </w:tcMar>
            <w:vAlign w:val="center"/>
          </w:tcPr>
          <w:p w14:paraId="1DCEC83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20E31B9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43A5C87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4A07826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tcMar>
              <w:top w:w="10" w:type="dxa"/>
              <w:bottom w:w="10" w:type="dxa"/>
            </w:tcMar>
            <w:vAlign w:val="center"/>
          </w:tcPr>
          <w:p w14:paraId="1D234E3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6E7D4E4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5831DF8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0C58115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left w:val="single" w:sz="4" w:space="0" w:color="auto"/>
            </w:tcBorders>
            <w:tcMar>
              <w:top w:w="10" w:type="dxa"/>
              <w:bottom w:w="10" w:type="dxa"/>
            </w:tcMar>
            <w:vAlign w:val="center"/>
          </w:tcPr>
          <w:p w14:paraId="299DCFE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263EC67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514F7C8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7168DF3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left w:val="single" w:sz="4" w:space="0" w:color="auto"/>
            </w:tcBorders>
            <w:tcMar>
              <w:top w:w="10" w:type="dxa"/>
              <w:bottom w:w="10" w:type="dxa"/>
            </w:tcMar>
            <w:vAlign w:val="center"/>
          </w:tcPr>
          <w:p w14:paraId="5F49411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1851E04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1814BE2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6ECEF1B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left w:val="single" w:sz="4" w:space="0" w:color="auto"/>
            </w:tcBorders>
            <w:tcMar>
              <w:top w:w="10" w:type="dxa"/>
              <w:bottom w:w="10" w:type="dxa"/>
            </w:tcMar>
            <w:vAlign w:val="center"/>
          </w:tcPr>
          <w:p w14:paraId="141D0C9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397905C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72DE6B1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59C04BF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1AB9BD48" w14:textId="77777777">
        <w:trPr>
          <w:trHeight w:val="20"/>
        </w:trPr>
        <w:tc>
          <w:tcPr>
            <w:tcW w:w="234" w:type="dxa"/>
            <w:tcBorders>
              <w:top w:val="single" w:sz="4" w:space="0" w:color="auto"/>
              <w:left w:val="single" w:sz="4" w:space="0" w:color="auto"/>
            </w:tcBorders>
            <w:tcMar>
              <w:top w:w="10" w:type="dxa"/>
              <w:bottom w:w="10" w:type="dxa"/>
            </w:tcMar>
            <w:vAlign w:val="center"/>
          </w:tcPr>
          <w:p w14:paraId="4C30679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13</w:t>
            </w:r>
          </w:p>
        </w:tc>
        <w:tc>
          <w:tcPr>
            <w:tcW w:w="2258" w:type="dxa"/>
            <w:tcBorders>
              <w:top w:val="single" w:sz="4" w:space="0" w:color="auto"/>
              <w:left w:val="single" w:sz="4" w:space="0" w:color="auto"/>
            </w:tcBorders>
            <w:tcMar>
              <w:top w:w="10" w:type="dxa"/>
              <w:bottom w:w="10" w:type="dxa"/>
            </w:tcMar>
            <w:vAlign w:val="center"/>
          </w:tcPr>
          <w:p w14:paraId="7803FAED" w14:textId="77777777" w:rsidR="006561BA" w:rsidRDefault="005B4ED6">
            <w:pPr>
              <w:widowControl w:val="0"/>
              <w:shd w:val="clear" w:color="auto" w:fill="auto"/>
              <w:spacing w:after="0" w:line="240" w:lineRule="auto"/>
              <w:ind w:left="200"/>
              <w:jc w:val="left"/>
              <w:rPr>
                <w:rFonts w:ascii="Helvetica" w:eastAsia="Arial Unicode MS" w:hAnsi="Helvetica" w:cs="Helvetica"/>
                <w:color w:val="212121"/>
                <w:sz w:val="6"/>
                <w:szCs w:val="6"/>
              </w:rPr>
            </w:pPr>
            <w:r>
              <w:rPr>
                <w:rFonts w:ascii="Helvetica" w:hAnsi="Helvetica"/>
                <w:color w:val="212121"/>
                <w:sz w:val="6"/>
              </w:rPr>
              <w:t>Lån og forskudd</w:t>
            </w:r>
          </w:p>
        </w:tc>
        <w:tc>
          <w:tcPr>
            <w:tcW w:w="304" w:type="dxa"/>
            <w:tcBorders>
              <w:top w:val="single" w:sz="4" w:space="0" w:color="auto"/>
              <w:left w:val="single" w:sz="4" w:space="0" w:color="auto"/>
            </w:tcBorders>
            <w:tcMar>
              <w:top w:w="10" w:type="dxa"/>
              <w:bottom w:w="10" w:type="dxa"/>
            </w:tcMar>
            <w:vAlign w:val="center"/>
          </w:tcPr>
          <w:p w14:paraId="4BBE50D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8" w:type="dxa"/>
            <w:tcBorders>
              <w:top w:val="single" w:sz="4" w:space="0" w:color="auto"/>
              <w:left w:val="single" w:sz="4" w:space="0" w:color="auto"/>
            </w:tcBorders>
            <w:tcMar>
              <w:top w:w="10" w:type="dxa"/>
              <w:bottom w:w="10" w:type="dxa"/>
            </w:tcMar>
            <w:vAlign w:val="center"/>
          </w:tcPr>
          <w:p w14:paraId="5F2FC33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4661B60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2D92081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564CF50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616100D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616AC04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576035A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20F6D57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3867AD2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7C6AFEE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2FC2755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521C106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19AD0C3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1EB97B0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4CB2BE5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003C41C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22B36D8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587D4A1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tcBorders>
            <w:tcMar>
              <w:top w:w="10" w:type="dxa"/>
              <w:bottom w:w="10" w:type="dxa"/>
            </w:tcMar>
            <w:vAlign w:val="center"/>
          </w:tcPr>
          <w:p w14:paraId="598FC36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7B48DE1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357E4DF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4980C1A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tcBorders>
            <w:tcMar>
              <w:top w:w="10" w:type="dxa"/>
              <w:bottom w:w="10" w:type="dxa"/>
            </w:tcMar>
            <w:vAlign w:val="center"/>
          </w:tcPr>
          <w:p w14:paraId="6B914EB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4085039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49E88F1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79C6B5F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573F45D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3167B1E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7220F8D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75F6DE4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78E302DF" w14:textId="77777777">
        <w:trPr>
          <w:trHeight w:val="20"/>
        </w:trPr>
        <w:tc>
          <w:tcPr>
            <w:tcW w:w="234" w:type="dxa"/>
            <w:tcBorders>
              <w:top w:val="single" w:sz="4" w:space="0" w:color="auto"/>
              <w:left w:val="single" w:sz="4" w:space="0" w:color="auto"/>
            </w:tcBorders>
            <w:tcMar>
              <w:top w:w="10" w:type="dxa"/>
              <w:bottom w:w="10" w:type="dxa"/>
            </w:tcMar>
            <w:vAlign w:val="center"/>
          </w:tcPr>
          <w:p w14:paraId="629F404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14</w:t>
            </w:r>
          </w:p>
        </w:tc>
        <w:tc>
          <w:tcPr>
            <w:tcW w:w="2258" w:type="dxa"/>
            <w:tcBorders>
              <w:top w:val="single" w:sz="4" w:space="0" w:color="auto"/>
              <w:left w:val="single" w:sz="4" w:space="0" w:color="auto"/>
            </w:tcBorders>
            <w:tcMar>
              <w:top w:w="10" w:type="dxa"/>
              <w:bottom w:w="10" w:type="dxa"/>
            </w:tcMar>
            <w:vAlign w:val="center"/>
          </w:tcPr>
          <w:p w14:paraId="1270FA4C" w14:textId="77777777" w:rsidR="006561BA" w:rsidRDefault="005B4ED6">
            <w:pPr>
              <w:widowControl w:val="0"/>
              <w:shd w:val="clear" w:color="auto" w:fill="auto"/>
              <w:spacing w:after="0" w:line="240" w:lineRule="auto"/>
              <w:ind w:left="200"/>
              <w:jc w:val="left"/>
              <w:rPr>
                <w:rFonts w:ascii="Helvetica" w:eastAsia="Arial Unicode MS" w:hAnsi="Helvetica" w:cs="Helvetica"/>
                <w:color w:val="212121"/>
                <w:sz w:val="6"/>
                <w:szCs w:val="6"/>
              </w:rPr>
            </w:pPr>
            <w:r>
              <w:rPr>
                <w:rFonts w:ascii="Helvetica" w:hAnsi="Helvetica"/>
                <w:color w:val="212121"/>
                <w:sz w:val="6"/>
              </w:rPr>
              <w:t>Gjeldsinstrumenter, herunder bruk av proveny</w:t>
            </w:r>
          </w:p>
        </w:tc>
        <w:tc>
          <w:tcPr>
            <w:tcW w:w="304" w:type="dxa"/>
            <w:tcBorders>
              <w:top w:val="single" w:sz="4" w:space="0" w:color="auto"/>
              <w:left w:val="single" w:sz="4" w:space="0" w:color="auto"/>
            </w:tcBorders>
            <w:tcMar>
              <w:top w:w="10" w:type="dxa"/>
              <w:bottom w:w="10" w:type="dxa"/>
            </w:tcMar>
            <w:vAlign w:val="center"/>
          </w:tcPr>
          <w:p w14:paraId="133EF2A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8" w:type="dxa"/>
            <w:tcBorders>
              <w:top w:val="single" w:sz="4" w:space="0" w:color="auto"/>
              <w:left w:val="single" w:sz="4" w:space="0" w:color="auto"/>
            </w:tcBorders>
            <w:tcMar>
              <w:top w:w="10" w:type="dxa"/>
              <w:bottom w:w="10" w:type="dxa"/>
            </w:tcMar>
            <w:vAlign w:val="center"/>
          </w:tcPr>
          <w:p w14:paraId="70F0B21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5CEDBF2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0" w:type="dxa"/>
            <w:tcBorders>
              <w:top w:val="single" w:sz="4" w:space="0" w:color="auto"/>
              <w:left w:val="single" w:sz="4" w:space="0" w:color="auto"/>
            </w:tcBorders>
            <w:tcMar>
              <w:top w:w="10" w:type="dxa"/>
              <w:bottom w:w="10" w:type="dxa"/>
            </w:tcMar>
            <w:vAlign w:val="center"/>
          </w:tcPr>
          <w:p w14:paraId="27CB131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4" w:type="dxa"/>
            <w:tcBorders>
              <w:top w:val="single" w:sz="4" w:space="0" w:color="auto"/>
              <w:left w:val="single" w:sz="4" w:space="0" w:color="auto"/>
            </w:tcBorders>
            <w:tcMar>
              <w:top w:w="10" w:type="dxa"/>
              <w:bottom w:w="10" w:type="dxa"/>
            </w:tcMar>
            <w:vAlign w:val="center"/>
          </w:tcPr>
          <w:p w14:paraId="34A702C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right w:val="single" w:sz="4" w:space="0" w:color="auto"/>
            </w:tcBorders>
          </w:tcPr>
          <w:p w14:paraId="0621C44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58740F5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777E63B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46C5144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11A8316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7C7CF49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60BF53F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5" w:type="dxa"/>
            <w:tcBorders>
              <w:top w:val="single" w:sz="4" w:space="0" w:color="auto"/>
              <w:left w:val="single" w:sz="4" w:space="0" w:color="auto"/>
            </w:tcBorders>
            <w:tcMar>
              <w:top w:w="10" w:type="dxa"/>
              <w:bottom w:w="10" w:type="dxa"/>
            </w:tcMar>
            <w:vAlign w:val="center"/>
          </w:tcPr>
          <w:p w14:paraId="2704025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2" w:type="dxa"/>
            <w:tcBorders>
              <w:top w:val="single" w:sz="4" w:space="0" w:color="auto"/>
              <w:left w:val="single" w:sz="4" w:space="0" w:color="auto"/>
            </w:tcBorders>
            <w:tcMar>
              <w:top w:w="10" w:type="dxa"/>
              <w:bottom w:w="10" w:type="dxa"/>
            </w:tcMar>
            <w:vAlign w:val="center"/>
          </w:tcPr>
          <w:p w14:paraId="5FDBA45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083D8A4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3BEEC7B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5270B65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7" w:type="dxa"/>
            <w:tcBorders>
              <w:top w:val="single" w:sz="4" w:space="0" w:color="auto"/>
              <w:left w:val="single" w:sz="4" w:space="0" w:color="auto"/>
            </w:tcBorders>
            <w:tcMar>
              <w:top w:w="10" w:type="dxa"/>
              <w:bottom w:w="10" w:type="dxa"/>
            </w:tcMar>
            <w:vAlign w:val="center"/>
          </w:tcPr>
          <w:p w14:paraId="490FC89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7D8E863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4" w:type="dxa"/>
            <w:tcBorders>
              <w:top w:val="single" w:sz="4" w:space="0" w:color="auto"/>
              <w:left w:val="single" w:sz="4" w:space="0" w:color="auto"/>
            </w:tcBorders>
            <w:tcMar>
              <w:top w:w="10" w:type="dxa"/>
              <w:bottom w:w="10" w:type="dxa"/>
            </w:tcMar>
            <w:vAlign w:val="center"/>
          </w:tcPr>
          <w:p w14:paraId="5FC0E65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6" w:type="dxa"/>
            <w:tcBorders>
              <w:top w:val="single" w:sz="4" w:space="0" w:color="auto"/>
              <w:left w:val="single" w:sz="4" w:space="0" w:color="auto"/>
            </w:tcBorders>
            <w:tcMar>
              <w:top w:w="10" w:type="dxa"/>
              <w:bottom w:w="10" w:type="dxa"/>
            </w:tcMar>
            <w:vAlign w:val="center"/>
          </w:tcPr>
          <w:p w14:paraId="0652891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0" w:type="dxa"/>
            <w:tcBorders>
              <w:top w:val="single" w:sz="4" w:space="0" w:color="auto"/>
              <w:left w:val="single" w:sz="4" w:space="0" w:color="auto"/>
            </w:tcBorders>
            <w:tcMar>
              <w:top w:w="10" w:type="dxa"/>
              <w:bottom w:w="10" w:type="dxa"/>
            </w:tcMar>
            <w:vAlign w:val="center"/>
          </w:tcPr>
          <w:p w14:paraId="2761917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6515795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0" w:type="dxa"/>
            <w:tcBorders>
              <w:top w:val="single" w:sz="4" w:space="0" w:color="auto"/>
              <w:left w:val="single" w:sz="4" w:space="0" w:color="auto"/>
            </w:tcBorders>
            <w:tcMar>
              <w:top w:w="10" w:type="dxa"/>
              <w:bottom w:w="10" w:type="dxa"/>
            </w:tcMar>
            <w:vAlign w:val="center"/>
          </w:tcPr>
          <w:p w14:paraId="03DCB78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88" w:type="dxa"/>
            <w:tcBorders>
              <w:top w:val="single" w:sz="4" w:space="0" w:color="auto"/>
              <w:left w:val="single" w:sz="4" w:space="0" w:color="auto"/>
            </w:tcBorders>
            <w:tcMar>
              <w:top w:w="10" w:type="dxa"/>
              <w:bottom w:w="10" w:type="dxa"/>
            </w:tcMar>
            <w:vAlign w:val="center"/>
          </w:tcPr>
          <w:p w14:paraId="457A77D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0655126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8" w:type="dxa"/>
            <w:tcBorders>
              <w:top w:val="single" w:sz="4" w:space="0" w:color="auto"/>
              <w:left w:val="single" w:sz="4" w:space="0" w:color="auto"/>
            </w:tcBorders>
            <w:tcMar>
              <w:top w:w="10" w:type="dxa"/>
              <w:bottom w:w="10" w:type="dxa"/>
            </w:tcMar>
            <w:vAlign w:val="center"/>
          </w:tcPr>
          <w:p w14:paraId="08AEFCD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96" w:type="dxa"/>
            <w:tcBorders>
              <w:top w:val="single" w:sz="4" w:space="0" w:color="auto"/>
              <w:left w:val="single" w:sz="4" w:space="0" w:color="auto"/>
            </w:tcBorders>
            <w:tcMar>
              <w:top w:w="10" w:type="dxa"/>
              <w:bottom w:w="10" w:type="dxa"/>
            </w:tcMar>
            <w:vAlign w:val="center"/>
          </w:tcPr>
          <w:p w14:paraId="3C258EC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56" w:type="dxa"/>
            <w:tcBorders>
              <w:top w:val="single" w:sz="4" w:space="0" w:color="auto"/>
              <w:left w:val="single" w:sz="4" w:space="0" w:color="auto"/>
            </w:tcBorders>
            <w:tcMar>
              <w:top w:w="10" w:type="dxa"/>
              <w:bottom w:w="10" w:type="dxa"/>
            </w:tcMar>
            <w:vAlign w:val="center"/>
          </w:tcPr>
          <w:p w14:paraId="07E3529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 w:type="dxa"/>
            <w:tcBorders>
              <w:top w:val="single" w:sz="4" w:space="0" w:color="auto"/>
              <w:left w:val="single" w:sz="4" w:space="0" w:color="auto"/>
            </w:tcBorders>
            <w:tcMar>
              <w:top w:w="10" w:type="dxa"/>
              <w:bottom w:w="10" w:type="dxa"/>
            </w:tcMar>
            <w:vAlign w:val="center"/>
          </w:tcPr>
          <w:p w14:paraId="36E5479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14F7938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3DF50F1F" w14:textId="77777777">
        <w:trPr>
          <w:trHeight w:val="20"/>
        </w:trPr>
        <w:tc>
          <w:tcPr>
            <w:tcW w:w="234" w:type="dxa"/>
            <w:tcBorders>
              <w:top w:val="single" w:sz="4" w:space="0" w:color="auto"/>
              <w:left w:val="single" w:sz="4" w:space="0" w:color="auto"/>
            </w:tcBorders>
            <w:tcMar>
              <w:top w:w="10" w:type="dxa"/>
              <w:bottom w:w="10" w:type="dxa"/>
            </w:tcMar>
            <w:vAlign w:val="center"/>
          </w:tcPr>
          <w:p w14:paraId="37F20FA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15</w:t>
            </w:r>
          </w:p>
        </w:tc>
        <w:tc>
          <w:tcPr>
            <w:tcW w:w="2258" w:type="dxa"/>
            <w:tcBorders>
              <w:top w:val="single" w:sz="4" w:space="0" w:color="auto"/>
              <w:left w:val="single" w:sz="4" w:space="0" w:color="auto"/>
            </w:tcBorders>
            <w:tcMar>
              <w:top w:w="10" w:type="dxa"/>
              <w:bottom w:w="10" w:type="dxa"/>
            </w:tcMar>
            <w:vAlign w:val="center"/>
          </w:tcPr>
          <w:p w14:paraId="5C4EA5F9" w14:textId="77777777" w:rsidR="006561BA" w:rsidRDefault="005B4ED6">
            <w:pPr>
              <w:widowControl w:val="0"/>
              <w:shd w:val="clear" w:color="auto" w:fill="auto"/>
              <w:spacing w:after="0" w:line="240" w:lineRule="auto"/>
              <w:ind w:left="200"/>
              <w:jc w:val="left"/>
              <w:rPr>
                <w:rFonts w:ascii="Helvetica" w:eastAsia="Arial Unicode MS" w:hAnsi="Helvetica" w:cs="Helvetica"/>
                <w:color w:val="212121"/>
                <w:sz w:val="6"/>
                <w:szCs w:val="6"/>
              </w:rPr>
            </w:pPr>
            <w:r>
              <w:rPr>
                <w:rFonts w:ascii="Helvetica" w:hAnsi="Helvetica"/>
                <w:color w:val="212121"/>
                <w:sz w:val="6"/>
              </w:rPr>
              <w:t>Egenkapitalinstrumenter</w:t>
            </w:r>
          </w:p>
        </w:tc>
        <w:tc>
          <w:tcPr>
            <w:tcW w:w="304" w:type="dxa"/>
            <w:tcBorders>
              <w:top w:val="single" w:sz="4" w:space="0" w:color="auto"/>
              <w:left w:val="single" w:sz="4" w:space="0" w:color="auto"/>
            </w:tcBorders>
            <w:tcMar>
              <w:top w:w="10" w:type="dxa"/>
              <w:bottom w:w="10" w:type="dxa"/>
            </w:tcMar>
            <w:vAlign w:val="center"/>
          </w:tcPr>
          <w:p w14:paraId="50421F6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8" w:type="dxa"/>
            <w:tcBorders>
              <w:top w:val="single" w:sz="4" w:space="0" w:color="auto"/>
              <w:left w:val="single" w:sz="4" w:space="0" w:color="auto"/>
            </w:tcBorders>
            <w:tcMar>
              <w:top w:w="10" w:type="dxa"/>
              <w:bottom w:w="10" w:type="dxa"/>
            </w:tcMar>
            <w:vAlign w:val="center"/>
          </w:tcPr>
          <w:p w14:paraId="13BC1D2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left w:val="single" w:sz="4" w:space="0" w:color="auto"/>
            </w:tcBorders>
            <w:shd w:val="clear" w:color="auto" w:fill="000000" w:themeFill="text1"/>
            <w:tcMar>
              <w:top w:w="10" w:type="dxa"/>
              <w:bottom w:w="10" w:type="dxa"/>
            </w:tcMar>
            <w:vAlign w:val="center"/>
          </w:tcPr>
          <w:p w14:paraId="32B7D78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51D45F3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5B56710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1E3B6A3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6866BB2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shd w:val="clear" w:color="auto" w:fill="000000" w:themeFill="text1"/>
          </w:tcPr>
          <w:p w14:paraId="4827056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1C076E1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6417B6E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7CD1C05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shd w:val="clear" w:color="auto" w:fill="000000" w:themeFill="text1"/>
            <w:tcMar>
              <w:top w:w="10" w:type="dxa"/>
              <w:bottom w:w="10" w:type="dxa"/>
            </w:tcMar>
            <w:vAlign w:val="center"/>
          </w:tcPr>
          <w:p w14:paraId="15CCE1C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6FFEB28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1915104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581E8F9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shd w:val="clear" w:color="auto" w:fill="000000" w:themeFill="text1"/>
            <w:tcMar>
              <w:top w:w="10" w:type="dxa"/>
              <w:bottom w:w="10" w:type="dxa"/>
            </w:tcMar>
            <w:vAlign w:val="center"/>
          </w:tcPr>
          <w:p w14:paraId="27769FB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0CDA1AD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2645023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407232A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left w:val="single" w:sz="4" w:space="0" w:color="auto"/>
            </w:tcBorders>
            <w:shd w:val="clear" w:color="auto" w:fill="000000" w:themeFill="text1"/>
            <w:tcMar>
              <w:top w:w="10" w:type="dxa"/>
              <w:bottom w:w="10" w:type="dxa"/>
            </w:tcMar>
            <w:vAlign w:val="center"/>
          </w:tcPr>
          <w:p w14:paraId="780EC9A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6A5AC4F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3743F61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4545154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left w:val="single" w:sz="4" w:space="0" w:color="auto"/>
            </w:tcBorders>
            <w:shd w:val="clear" w:color="auto" w:fill="000000" w:themeFill="text1"/>
            <w:tcMar>
              <w:top w:w="10" w:type="dxa"/>
              <w:bottom w:w="10" w:type="dxa"/>
            </w:tcMar>
            <w:vAlign w:val="center"/>
          </w:tcPr>
          <w:p w14:paraId="064DB90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6EC02DE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5DAD505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5CEF91E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left w:val="single" w:sz="4" w:space="0" w:color="auto"/>
            </w:tcBorders>
            <w:shd w:val="clear" w:color="auto" w:fill="000000" w:themeFill="text1"/>
            <w:tcMar>
              <w:top w:w="10" w:type="dxa"/>
              <w:bottom w:w="10" w:type="dxa"/>
            </w:tcMar>
            <w:vAlign w:val="center"/>
          </w:tcPr>
          <w:p w14:paraId="6DBC967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76E54DB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55E424E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2C68724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62055A28" w14:textId="77777777">
        <w:trPr>
          <w:trHeight w:val="20"/>
        </w:trPr>
        <w:tc>
          <w:tcPr>
            <w:tcW w:w="234" w:type="dxa"/>
            <w:tcBorders>
              <w:top w:val="single" w:sz="4" w:space="0" w:color="auto"/>
              <w:left w:val="single" w:sz="4" w:space="0" w:color="auto"/>
            </w:tcBorders>
            <w:tcMar>
              <w:top w:w="10" w:type="dxa"/>
              <w:bottom w:w="10" w:type="dxa"/>
            </w:tcMar>
            <w:vAlign w:val="center"/>
          </w:tcPr>
          <w:p w14:paraId="7D51DF5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16</w:t>
            </w:r>
          </w:p>
        </w:tc>
        <w:tc>
          <w:tcPr>
            <w:tcW w:w="2258" w:type="dxa"/>
            <w:tcBorders>
              <w:top w:val="single" w:sz="4" w:space="0" w:color="auto"/>
              <w:left w:val="single" w:sz="4" w:space="0" w:color="auto"/>
            </w:tcBorders>
            <w:tcMar>
              <w:top w:w="10" w:type="dxa"/>
              <w:bottom w:w="10" w:type="dxa"/>
            </w:tcMar>
            <w:vAlign w:val="center"/>
          </w:tcPr>
          <w:p w14:paraId="48F30173" w14:textId="77777777" w:rsidR="006561BA" w:rsidRDefault="005B4ED6">
            <w:pPr>
              <w:widowControl w:val="0"/>
              <w:shd w:val="clear" w:color="auto" w:fill="auto"/>
              <w:spacing w:after="0" w:line="240" w:lineRule="auto"/>
              <w:ind w:left="164"/>
              <w:jc w:val="left"/>
              <w:rPr>
                <w:rFonts w:ascii="Helvetica" w:eastAsia="Arial Unicode MS" w:hAnsi="Helvetica" w:cs="Helvetica"/>
                <w:color w:val="000000"/>
                <w:sz w:val="6"/>
                <w:szCs w:val="6"/>
              </w:rPr>
            </w:pPr>
            <w:r>
              <w:rPr>
                <w:rFonts w:ascii="Helvetica" w:hAnsi="Helvetica"/>
                <w:color w:val="212121"/>
                <w:sz w:val="6"/>
              </w:rPr>
              <w:t>hvorav forsikringsforetak</w:t>
            </w:r>
          </w:p>
        </w:tc>
        <w:tc>
          <w:tcPr>
            <w:tcW w:w="304" w:type="dxa"/>
            <w:tcBorders>
              <w:top w:val="single" w:sz="4" w:space="0" w:color="auto"/>
              <w:left w:val="single" w:sz="4" w:space="0" w:color="auto"/>
            </w:tcBorders>
            <w:tcMar>
              <w:top w:w="10" w:type="dxa"/>
              <w:bottom w:w="10" w:type="dxa"/>
            </w:tcMar>
            <w:vAlign w:val="center"/>
          </w:tcPr>
          <w:p w14:paraId="2D8B6CA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8" w:type="dxa"/>
            <w:tcBorders>
              <w:top w:val="single" w:sz="4" w:space="0" w:color="auto"/>
              <w:left w:val="single" w:sz="4" w:space="0" w:color="auto"/>
            </w:tcBorders>
            <w:tcMar>
              <w:top w:w="10" w:type="dxa"/>
              <w:bottom w:w="10" w:type="dxa"/>
            </w:tcMar>
            <w:vAlign w:val="center"/>
          </w:tcPr>
          <w:p w14:paraId="58D2F36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left w:val="single" w:sz="4" w:space="0" w:color="auto"/>
            </w:tcBorders>
            <w:tcMar>
              <w:top w:w="10" w:type="dxa"/>
              <w:bottom w:w="10" w:type="dxa"/>
            </w:tcMar>
            <w:vAlign w:val="center"/>
          </w:tcPr>
          <w:p w14:paraId="2FD119A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03D2D87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4AC7262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551030C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692B8D5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46D94C8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195959F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13DD35C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2865772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tcMar>
              <w:top w:w="10" w:type="dxa"/>
              <w:bottom w:w="10" w:type="dxa"/>
            </w:tcMar>
            <w:vAlign w:val="center"/>
          </w:tcPr>
          <w:p w14:paraId="5798D4C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1D28C12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3F8782C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4CB03B2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tcMar>
              <w:top w:w="10" w:type="dxa"/>
              <w:bottom w:w="10" w:type="dxa"/>
            </w:tcMar>
            <w:vAlign w:val="center"/>
          </w:tcPr>
          <w:p w14:paraId="1FD9DF2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04526D1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692F5B8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58D80E6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left w:val="single" w:sz="4" w:space="0" w:color="auto"/>
            </w:tcBorders>
            <w:tcMar>
              <w:top w:w="10" w:type="dxa"/>
              <w:bottom w:w="10" w:type="dxa"/>
            </w:tcMar>
            <w:vAlign w:val="center"/>
          </w:tcPr>
          <w:p w14:paraId="73AD91F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64C6411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24BC19C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5F34A10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left w:val="single" w:sz="4" w:space="0" w:color="auto"/>
            </w:tcBorders>
            <w:tcMar>
              <w:top w:w="10" w:type="dxa"/>
              <w:bottom w:w="10" w:type="dxa"/>
            </w:tcMar>
            <w:vAlign w:val="center"/>
          </w:tcPr>
          <w:p w14:paraId="0112984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4168DCF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6EF1F5A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5368F72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left w:val="single" w:sz="4" w:space="0" w:color="auto"/>
            </w:tcBorders>
            <w:tcMar>
              <w:top w:w="10" w:type="dxa"/>
              <w:bottom w:w="10" w:type="dxa"/>
            </w:tcMar>
            <w:vAlign w:val="center"/>
          </w:tcPr>
          <w:p w14:paraId="7CDD9E8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5D169BD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4764A2E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7ACB3D8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1AC84407" w14:textId="77777777">
        <w:trPr>
          <w:trHeight w:val="20"/>
        </w:trPr>
        <w:tc>
          <w:tcPr>
            <w:tcW w:w="234" w:type="dxa"/>
            <w:tcBorders>
              <w:top w:val="single" w:sz="4" w:space="0" w:color="auto"/>
              <w:left w:val="single" w:sz="4" w:space="0" w:color="auto"/>
            </w:tcBorders>
            <w:tcMar>
              <w:top w:w="10" w:type="dxa"/>
              <w:bottom w:w="10" w:type="dxa"/>
            </w:tcMar>
            <w:vAlign w:val="center"/>
          </w:tcPr>
          <w:p w14:paraId="0260AE3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17</w:t>
            </w:r>
          </w:p>
        </w:tc>
        <w:tc>
          <w:tcPr>
            <w:tcW w:w="2258" w:type="dxa"/>
            <w:tcBorders>
              <w:top w:val="single" w:sz="4" w:space="0" w:color="auto"/>
              <w:left w:val="single" w:sz="4" w:space="0" w:color="auto"/>
            </w:tcBorders>
            <w:tcMar>
              <w:top w:w="10" w:type="dxa"/>
              <w:bottom w:w="10" w:type="dxa"/>
            </w:tcMar>
            <w:vAlign w:val="center"/>
          </w:tcPr>
          <w:p w14:paraId="5207325D" w14:textId="77777777" w:rsidR="006561BA" w:rsidRDefault="005B4ED6">
            <w:pPr>
              <w:widowControl w:val="0"/>
              <w:shd w:val="clear" w:color="auto" w:fill="auto"/>
              <w:spacing w:after="0" w:line="240" w:lineRule="auto"/>
              <w:ind w:left="200"/>
              <w:jc w:val="left"/>
              <w:rPr>
                <w:rFonts w:ascii="Helvetica" w:eastAsia="Arial Unicode MS" w:hAnsi="Helvetica" w:cs="Helvetica"/>
                <w:color w:val="212121"/>
                <w:sz w:val="6"/>
                <w:szCs w:val="6"/>
              </w:rPr>
            </w:pPr>
            <w:r>
              <w:rPr>
                <w:rFonts w:ascii="Helvetica" w:hAnsi="Helvetica"/>
                <w:color w:val="212121"/>
                <w:sz w:val="6"/>
              </w:rPr>
              <w:t>Lån og forskudd</w:t>
            </w:r>
          </w:p>
        </w:tc>
        <w:tc>
          <w:tcPr>
            <w:tcW w:w="304" w:type="dxa"/>
            <w:tcBorders>
              <w:top w:val="single" w:sz="4" w:space="0" w:color="auto"/>
              <w:left w:val="single" w:sz="4" w:space="0" w:color="auto"/>
            </w:tcBorders>
            <w:tcMar>
              <w:top w:w="10" w:type="dxa"/>
              <w:bottom w:w="10" w:type="dxa"/>
            </w:tcMar>
            <w:vAlign w:val="center"/>
          </w:tcPr>
          <w:p w14:paraId="79240C3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8" w:type="dxa"/>
            <w:tcBorders>
              <w:top w:val="single" w:sz="4" w:space="0" w:color="auto"/>
              <w:left w:val="single" w:sz="4" w:space="0" w:color="auto"/>
            </w:tcBorders>
            <w:tcMar>
              <w:top w:w="10" w:type="dxa"/>
              <w:bottom w:w="10" w:type="dxa"/>
            </w:tcMar>
            <w:vAlign w:val="center"/>
          </w:tcPr>
          <w:p w14:paraId="76F4FF6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2FF61A0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0F509C9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2294FD5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48C8B9D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578D696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6710A20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0423CC3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6C5D46B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516FEA2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4D7688D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576CCCE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03FD1B6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2011DAD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68057DC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35B788B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5D05E37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45F47BD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tcBorders>
            <w:tcMar>
              <w:top w:w="10" w:type="dxa"/>
              <w:bottom w:w="10" w:type="dxa"/>
            </w:tcMar>
            <w:vAlign w:val="center"/>
          </w:tcPr>
          <w:p w14:paraId="4F409E2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7CFF57D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6AD8C21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189BE6F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tcBorders>
            <w:tcMar>
              <w:top w:w="10" w:type="dxa"/>
              <w:bottom w:w="10" w:type="dxa"/>
            </w:tcMar>
            <w:vAlign w:val="center"/>
          </w:tcPr>
          <w:p w14:paraId="2FF88B7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6D0C1A9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046601E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5864DBE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305521F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4D04833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412A3B8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0C39A6F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4E7F36E9" w14:textId="77777777">
        <w:trPr>
          <w:trHeight w:val="20"/>
        </w:trPr>
        <w:tc>
          <w:tcPr>
            <w:tcW w:w="234" w:type="dxa"/>
            <w:tcBorders>
              <w:top w:val="single" w:sz="4" w:space="0" w:color="auto"/>
              <w:left w:val="single" w:sz="4" w:space="0" w:color="auto"/>
            </w:tcBorders>
            <w:tcMar>
              <w:top w:w="10" w:type="dxa"/>
              <w:bottom w:w="10" w:type="dxa"/>
            </w:tcMar>
            <w:vAlign w:val="center"/>
          </w:tcPr>
          <w:p w14:paraId="0FE68DA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18</w:t>
            </w:r>
          </w:p>
        </w:tc>
        <w:tc>
          <w:tcPr>
            <w:tcW w:w="2258" w:type="dxa"/>
            <w:tcBorders>
              <w:top w:val="single" w:sz="4" w:space="0" w:color="auto"/>
              <w:left w:val="single" w:sz="4" w:space="0" w:color="auto"/>
            </w:tcBorders>
            <w:tcMar>
              <w:top w:w="10" w:type="dxa"/>
              <w:bottom w:w="10" w:type="dxa"/>
            </w:tcMar>
            <w:vAlign w:val="center"/>
          </w:tcPr>
          <w:p w14:paraId="1AD4C943" w14:textId="77777777" w:rsidR="006561BA" w:rsidRDefault="005B4ED6">
            <w:pPr>
              <w:widowControl w:val="0"/>
              <w:shd w:val="clear" w:color="auto" w:fill="auto"/>
              <w:spacing w:after="0" w:line="240" w:lineRule="auto"/>
              <w:ind w:left="200"/>
              <w:jc w:val="left"/>
              <w:rPr>
                <w:rFonts w:ascii="Helvetica" w:eastAsia="Arial Unicode MS" w:hAnsi="Helvetica" w:cs="Helvetica"/>
                <w:color w:val="212121"/>
                <w:sz w:val="6"/>
                <w:szCs w:val="6"/>
              </w:rPr>
            </w:pPr>
            <w:r>
              <w:rPr>
                <w:rFonts w:ascii="Helvetica" w:hAnsi="Helvetica"/>
                <w:color w:val="212121"/>
                <w:sz w:val="6"/>
              </w:rPr>
              <w:t>Gjeldsinstrumenter, herunder bruk av proveny</w:t>
            </w:r>
          </w:p>
        </w:tc>
        <w:tc>
          <w:tcPr>
            <w:tcW w:w="304" w:type="dxa"/>
            <w:tcBorders>
              <w:top w:val="single" w:sz="4" w:space="0" w:color="auto"/>
              <w:left w:val="single" w:sz="4" w:space="0" w:color="auto"/>
            </w:tcBorders>
            <w:tcMar>
              <w:top w:w="10" w:type="dxa"/>
              <w:bottom w:w="10" w:type="dxa"/>
            </w:tcMar>
            <w:vAlign w:val="center"/>
          </w:tcPr>
          <w:p w14:paraId="7039CC6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8" w:type="dxa"/>
            <w:tcBorders>
              <w:top w:val="single" w:sz="4" w:space="0" w:color="auto"/>
              <w:left w:val="single" w:sz="4" w:space="0" w:color="auto"/>
            </w:tcBorders>
            <w:tcMar>
              <w:top w:w="10" w:type="dxa"/>
              <w:bottom w:w="10" w:type="dxa"/>
            </w:tcMar>
            <w:vAlign w:val="center"/>
          </w:tcPr>
          <w:p w14:paraId="74638D0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2A26C22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0" w:type="dxa"/>
            <w:tcBorders>
              <w:top w:val="single" w:sz="4" w:space="0" w:color="auto"/>
              <w:left w:val="single" w:sz="4" w:space="0" w:color="auto"/>
            </w:tcBorders>
            <w:tcMar>
              <w:top w:w="10" w:type="dxa"/>
              <w:bottom w:w="10" w:type="dxa"/>
            </w:tcMar>
            <w:vAlign w:val="center"/>
          </w:tcPr>
          <w:p w14:paraId="2BF22B7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4" w:type="dxa"/>
            <w:tcBorders>
              <w:top w:val="single" w:sz="4" w:space="0" w:color="auto"/>
              <w:left w:val="single" w:sz="4" w:space="0" w:color="auto"/>
            </w:tcBorders>
            <w:tcMar>
              <w:top w:w="10" w:type="dxa"/>
              <w:bottom w:w="10" w:type="dxa"/>
            </w:tcMar>
            <w:vAlign w:val="center"/>
          </w:tcPr>
          <w:p w14:paraId="0479D53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right w:val="single" w:sz="4" w:space="0" w:color="auto"/>
            </w:tcBorders>
          </w:tcPr>
          <w:p w14:paraId="50F54AD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6D43F15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628F7AE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356A4B4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49D6C37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4F14F8C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7297E61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5" w:type="dxa"/>
            <w:tcBorders>
              <w:top w:val="single" w:sz="4" w:space="0" w:color="auto"/>
              <w:left w:val="single" w:sz="4" w:space="0" w:color="auto"/>
            </w:tcBorders>
            <w:tcMar>
              <w:top w:w="10" w:type="dxa"/>
              <w:bottom w:w="10" w:type="dxa"/>
            </w:tcMar>
            <w:vAlign w:val="center"/>
          </w:tcPr>
          <w:p w14:paraId="4863FD3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2" w:type="dxa"/>
            <w:tcBorders>
              <w:top w:val="single" w:sz="4" w:space="0" w:color="auto"/>
              <w:left w:val="single" w:sz="4" w:space="0" w:color="auto"/>
            </w:tcBorders>
            <w:tcMar>
              <w:top w:w="10" w:type="dxa"/>
              <w:bottom w:w="10" w:type="dxa"/>
            </w:tcMar>
            <w:vAlign w:val="center"/>
          </w:tcPr>
          <w:p w14:paraId="3EF60B9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0028375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21DFCC0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21A26CE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7" w:type="dxa"/>
            <w:tcBorders>
              <w:top w:val="single" w:sz="4" w:space="0" w:color="auto"/>
              <w:left w:val="single" w:sz="4" w:space="0" w:color="auto"/>
            </w:tcBorders>
            <w:tcMar>
              <w:top w:w="10" w:type="dxa"/>
              <w:bottom w:w="10" w:type="dxa"/>
            </w:tcMar>
            <w:vAlign w:val="center"/>
          </w:tcPr>
          <w:p w14:paraId="6F38ABA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6C1E791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4" w:type="dxa"/>
            <w:tcBorders>
              <w:top w:val="single" w:sz="4" w:space="0" w:color="auto"/>
              <w:left w:val="single" w:sz="4" w:space="0" w:color="auto"/>
            </w:tcBorders>
            <w:tcMar>
              <w:top w:w="10" w:type="dxa"/>
              <w:bottom w:w="10" w:type="dxa"/>
            </w:tcMar>
            <w:vAlign w:val="center"/>
          </w:tcPr>
          <w:p w14:paraId="68193E2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6" w:type="dxa"/>
            <w:tcBorders>
              <w:top w:val="single" w:sz="4" w:space="0" w:color="auto"/>
              <w:left w:val="single" w:sz="4" w:space="0" w:color="auto"/>
            </w:tcBorders>
            <w:tcMar>
              <w:top w:w="10" w:type="dxa"/>
              <w:bottom w:w="10" w:type="dxa"/>
            </w:tcMar>
            <w:vAlign w:val="center"/>
          </w:tcPr>
          <w:p w14:paraId="2B72384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0" w:type="dxa"/>
            <w:tcBorders>
              <w:top w:val="single" w:sz="4" w:space="0" w:color="auto"/>
              <w:left w:val="single" w:sz="4" w:space="0" w:color="auto"/>
            </w:tcBorders>
            <w:tcMar>
              <w:top w:w="10" w:type="dxa"/>
              <w:bottom w:w="10" w:type="dxa"/>
            </w:tcMar>
            <w:vAlign w:val="center"/>
          </w:tcPr>
          <w:p w14:paraId="57E6F5E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5273A80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0" w:type="dxa"/>
            <w:tcBorders>
              <w:top w:val="single" w:sz="4" w:space="0" w:color="auto"/>
              <w:left w:val="single" w:sz="4" w:space="0" w:color="auto"/>
            </w:tcBorders>
            <w:tcMar>
              <w:top w:w="10" w:type="dxa"/>
              <w:bottom w:w="10" w:type="dxa"/>
            </w:tcMar>
            <w:vAlign w:val="center"/>
          </w:tcPr>
          <w:p w14:paraId="3A01247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88" w:type="dxa"/>
            <w:tcBorders>
              <w:top w:val="single" w:sz="4" w:space="0" w:color="auto"/>
              <w:left w:val="single" w:sz="4" w:space="0" w:color="auto"/>
            </w:tcBorders>
            <w:tcMar>
              <w:top w:w="10" w:type="dxa"/>
              <w:bottom w:w="10" w:type="dxa"/>
            </w:tcMar>
            <w:vAlign w:val="center"/>
          </w:tcPr>
          <w:p w14:paraId="58E033C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2C30527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8" w:type="dxa"/>
            <w:tcBorders>
              <w:top w:val="single" w:sz="4" w:space="0" w:color="auto"/>
              <w:left w:val="single" w:sz="4" w:space="0" w:color="auto"/>
            </w:tcBorders>
            <w:tcMar>
              <w:top w:w="10" w:type="dxa"/>
              <w:bottom w:w="10" w:type="dxa"/>
            </w:tcMar>
            <w:vAlign w:val="center"/>
          </w:tcPr>
          <w:p w14:paraId="54D9210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96" w:type="dxa"/>
            <w:tcBorders>
              <w:top w:val="single" w:sz="4" w:space="0" w:color="auto"/>
              <w:left w:val="single" w:sz="4" w:space="0" w:color="auto"/>
            </w:tcBorders>
            <w:tcMar>
              <w:top w:w="10" w:type="dxa"/>
              <w:bottom w:w="10" w:type="dxa"/>
            </w:tcMar>
            <w:vAlign w:val="center"/>
          </w:tcPr>
          <w:p w14:paraId="28D6174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56" w:type="dxa"/>
            <w:tcBorders>
              <w:top w:val="single" w:sz="4" w:space="0" w:color="auto"/>
              <w:left w:val="single" w:sz="4" w:space="0" w:color="auto"/>
            </w:tcBorders>
            <w:tcMar>
              <w:top w:w="10" w:type="dxa"/>
              <w:bottom w:w="10" w:type="dxa"/>
            </w:tcMar>
            <w:vAlign w:val="center"/>
          </w:tcPr>
          <w:p w14:paraId="384744E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 w:type="dxa"/>
            <w:tcBorders>
              <w:top w:val="single" w:sz="4" w:space="0" w:color="auto"/>
              <w:left w:val="single" w:sz="4" w:space="0" w:color="auto"/>
            </w:tcBorders>
            <w:tcMar>
              <w:top w:w="10" w:type="dxa"/>
              <w:bottom w:w="10" w:type="dxa"/>
            </w:tcMar>
            <w:vAlign w:val="center"/>
          </w:tcPr>
          <w:p w14:paraId="212A0F8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65A38DA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0FC1FF8C" w14:textId="77777777">
        <w:trPr>
          <w:trHeight w:val="20"/>
        </w:trPr>
        <w:tc>
          <w:tcPr>
            <w:tcW w:w="234" w:type="dxa"/>
            <w:tcBorders>
              <w:top w:val="single" w:sz="4" w:space="0" w:color="auto"/>
              <w:left w:val="single" w:sz="4" w:space="0" w:color="auto"/>
            </w:tcBorders>
            <w:tcMar>
              <w:top w:w="10" w:type="dxa"/>
              <w:bottom w:w="10" w:type="dxa"/>
            </w:tcMar>
            <w:vAlign w:val="center"/>
          </w:tcPr>
          <w:p w14:paraId="016A554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19</w:t>
            </w:r>
          </w:p>
        </w:tc>
        <w:tc>
          <w:tcPr>
            <w:tcW w:w="2258" w:type="dxa"/>
            <w:tcBorders>
              <w:top w:val="single" w:sz="4" w:space="0" w:color="auto"/>
              <w:left w:val="single" w:sz="4" w:space="0" w:color="auto"/>
            </w:tcBorders>
            <w:tcMar>
              <w:top w:w="10" w:type="dxa"/>
              <w:bottom w:w="10" w:type="dxa"/>
            </w:tcMar>
            <w:vAlign w:val="center"/>
          </w:tcPr>
          <w:p w14:paraId="6757177A" w14:textId="77777777" w:rsidR="006561BA" w:rsidRDefault="005B4ED6">
            <w:pPr>
              <w:widowControl w:val="0"/>
              <w:shd w:val="clear" w:color="auto" w:fill="auto"/>
              <w:spacing w:after="0" w:line="240" w:lineRule="auto"/>
              <w:ind w:left="200"/>
              <w:jc w:val="left"/>
              <w:rPr>
                <w:rFonts w:ascii="Helvetica" w:eastAsia="Arial Unicode MS" w:hAnsi="Helvetica" w:cs="Helvetica"/>
                <w:color w:val="212121"/>
                <w:sz w:val="6"/>
                <w:szCs w:val="6"/>
              </w:rPr>
            </w:pPr>
            <w:r>
              <w:rPr>
                <w:rFonts w:ascii="Helvetica" w:hAnsi="Helvetica"/>
                <w:color w:val="212121"/>
                <w:sz w:val="6"/>
              </w:rPr>
              <w:t>Egenkapitalinstrumenter</w:t>
            </w:r>
          </w:p>
        </w:tc>
        <w:tc>
          <w:tcPr>
            <w:tcW w:w="304" w:type="dxa"/>
            <w:tcBorders>
              <w:top w:val="single" w:sz="4" w:space="0" w:color="auto"/>
              <w:left w:val="single" w:sz="4" w:space="0" w:color="auto"/>
            </w:tcBorders>
            <w:tcMar>
              <w:top w:w="10" w:type="dxa"/>
              <w:bottom w:w="10" w:type="dxa"/>
            </w:tcMar>
            <w:vAlign w:val="center"/>
          </w:tcPr>
          <w:p w14:paraId="132C9F7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8" w:type="dxa"/>
            <w:tcBorders>
              <w:top w:val="single" w:sz="4" w:space="0" w:color="auto"/>
              <w:left w:val="single" w:sz="4" w:space="0" w:color="auto"/>
            </w:tcBorders>
            <w:tcMar>
              <w:top w:w="10" w:type="dxa"/>
              <w:bottom w:w="10" w:type="dxa"/>
            </w:tcMar>
            <w:vAlign w:val="center"/>
          </w:tcPr>
          <w:p w14:paraId="31EEEFC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left w:val="single" w:sz="4" w:space="0" w:color="auto"/>
            </w:tcBorders>
            <w:shd w:val="clear" w:color="auto" w:fill="000000" w:themeFill="text1"/>
            <w:tcMar>
              <w:top w:w="10" w:type="dxa"/>
              <w:bottom w:w="10" w:type="dxa"/>
            </w:tcMar>
            <w:vAlign w:val="center"/>
          </w:tcPr>
          <w:p w14:paraId="3672553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5B3B7B8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13FF3A3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41685A9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5B6754A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shd w:val="clear" w:color="auto" w:fill="000000" w:themeFill="text1"/>
          </w:tcPr>
          <w:p w14:paraId="26284F2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73728BD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0C6BF28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2442FD4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shd w:val="clear" w:color="auto" w:fill="000000" w:themeFill="text1"/>
            <w:tcMar>
              <w:top w:w="10" w:type="dxa"/>
              <w:bottom w:w="10" w:type="dxa"/>
            </w:tcMar>
            <w:vAlign w:val="center"/>
          </w:tcPr>
          <w:p w14:paraId="38FB726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2160723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0C0AACE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1097FC9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shd w:val="clear" w:color="auto" w:fill="000000" w:themeFill="text1"/>
            <w:tcMar>
              <w:top w:w="10" w:type="dxa"/>
              <w:bottom w:w="10" w:type="dxa"/>
            </w:tcMar>
            <w:vAlign w:val="center"/>
          </w:tcPr>
          <w:p w14:paraId="31C25BE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084BF94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65A7865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66D8A39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left w:val="single" w:sz="4" w:space="0" w:color="auto"/>
            </w:tcBorders>
            <w:shd w:val="clear" w:color="auto" w:fill="000000" w:themeFill="text1"/>
            <w:tcMar>
              <w:top w:w="10" w:type="dxa"/>
              <w:bottom w:w="10" w:type="dxa"/>
            </w:tcMar>
            <w:vAlign w:val="center"/>
          </w:tcPr>
          <w:p w14:paraId="2009EE9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3812086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26D9BF3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0A8AAD9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left w:val="single" w:sz="4" w:space="0" w:color="auto"/>
            </w:tcBorders>
            <w:shd w:val="clear" w:color="auto" w:fill="000000" w:themeFill="text1"/>
            <w:tcMar>
              <w:top w:w="10" w:type="dxa"/>
              <w:bottom w:w="10" w:type="dxa"/>
            </w:tcMar>
            <w:vAlign w:val="center"/>
          </w:tcPr>
          <w:p w14:paraId="0531CA8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6232722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44514FD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7E704AC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left w:val="single" w:sz="4" w:space="0" w:color="auto"/>
            </w:tcBorders>
            <w:shd w:val="clear" w:color="auto" w:fill="000000" w:themeFill="text1"/>
            <w:tcMar>
              <w:top w:w="10" w:type="dxa"/>
              <w:bottom w:w="10" w:type="dxa"/>
            </w:tcMar>
            <w:vAlign w:val="center"/>
          </w:tcPr>
          <w:p w14:paraId="34F2DC6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63FD9F1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13CD79D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4CC72AC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1C45E442" w14:textId="77777777">
        <w:trPr>
          <w:trHeight w:val="20"/>
        </w:trPr>
        <w:tc>
          <w:tcPr>
            <w:tcW w:w="234" w:type="dxa"/>
            <w:tcBorders>
              <w:top w:val="single" w:sz="4" w:space="0" w:color="auto"/>
              <w:left w:val="single" w:sz="4" w:space="0" w:color="auto"/>
            </w:tcBorders>
            <w:tcMar>
              <w:top w:w="10" w:type="dxa"/>
              <w:bottom w:w="10" w:type="dxa"/>
            </w:tcMar>
            <w:vAlign w:val="center"/>
          </w:tcPr>
          <w:p w14:paraId="2075681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20</w:t>
            </w:r>
          </w:p>
        </w:tc>
        <w:tc>
          <w:tcPr>
            <w:tcW w:w="2258" w:type="dxa"/>
            <w:tcBorders>
              <w:top w:val="single" w:sz="4" w:space="0" w:color="auto"/>
              <w:left w:val="single" w:sz="4" w:space="0" w:color="auto"/>
            </w:tcBorders>
            <w:tcMar>
              <w:top w:w="10" w:type="dxa"/>
              <w:bottom w:w="10" w:type="dxa"/>
            </w:tcMar>
            <w:vAlign w:val="center"/>
          </w:tcPr>
          <w:p w14:paraId="5327FA99" w14:textId="77777777" w:rsidR="006561BA" w:rsidRDefault="005B4ED6">
            <w:pPr>
              <w:widowControl w:val="0"/>
              <w:shd w:val="clear" w:color="auto" w:fill="auto"/>
              <w:spacing w:after="0" w:line="240" w:lineRule="auto"/>
              <w:ind w:left="80"/>
              <w:jc w:val="left"/>
              <w:rPr>
                <w:rFonts w:ascii="Helvetica" w:eastAsia="Arial Unicode MS" w:hAnsi="Helvetica" w:cs="Helvetica"/>
                <w:b/>
                <w:color w:val="000000"/>
                <w:sz w:val="6"/>
                <w:szCs w:val="6"/>
              </w:rPr>
            </w:pPr>
            <w:r>
              <w:rPr>
                <w:rFonts w:ascii="Helvetica" w:hAnsi="Helvetica"/>
                <w:b/>
                <w:color w:val="000000"/>
                <w:sz w:val="6"/>
              </w:rPr>
              <w:t>Ikke-finansielle foretak</w:t>
            </w:r>
          </w:p>
        </w:tc>
        <w:tc>
          <w:tcPr>
            <w:tcW w:w="304" w:type="dxa"/>
            <w:tcBorders>
              <w:top w:val="single" w:sz="4" w:space="0" w:color="auto"/>
              <w:left w:val="single" w:sz="4" w:space="0" w:color="auto"/>
            </w:tcBorders>
            <w:tcMar>
              <w:top w:w="10" w:type="dxa"/>
              <w:bottom w:w="10" w:type="dxa"/>
            </w:tcMar>
            <w:vAlign w:val="center"/>
          </w:tcPr>
          <w:p w14:paraId="3FC5A62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8" w:type="dxa"/>
            <w:tcBorders>
              <w:top w:val="single" w:sz="4" w:space="0" w:color="auto"/>
              <w:left w:val="single" w:sz="4" w:space="0" w:color="auto"/>
            </w:tcBorders>
            <w:tcMar>
              <w:top w:w="10" w:type="dxa"/>
              <w:bottom w:w="10" w:type="dxa"/>
            </w:tcMar>
            <w:vAlign w:val="center"/>
          </w:tcPr>
          <w:p w14:paraId="1C843FE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left w:val="single" w:sz="4" w:space="0" w:color="auto"/>
            </w:tcBorders>
            <w:tcMar>
              <w:top w:w="10" w:type="dxa"/>
              <w:bottom w:w="10" w:type="dxa"/>
            </w:tcMar>
            <w:vAlign w:val="center"/>
          </w:tcPr>
          <w:p w14:paraId="1895101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2996DD2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1BB0089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4B46BC1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73AA5E0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69E6EC3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5AFFFB2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2951E6F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4616AAF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tcMar>
              <w:top w:w="10" w:type="dxa"/>
              <w:bottom w:w="10" w:type="dxa"/>
            </w:tcMar>
            <w:vAlign w:val="center"/>
          </w:tcPr>
          <w:p w14:paraId="6EA9644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7379BC0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202E711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30B4790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tcMar>
              <w:top w:w="10" w:type="dxa"/>
              <w:bottom w:w="10" w:type="dxa"/>
            </w:tcMar>
            <w:vAlign w:val="center"/>
          </w:tcPr>
          <w:p w14:paraId="169327C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2669E64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47B3AAE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52B01E7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left w:val="single" w:sz="4" w:space="0" w:color="auto"/>
            </w:tcBorders>
            <w:tcMar>
              <w:top w:w="10" w:type="dxa"/>
              <w:bottom w:w="10" w:type="dxa"/>
            </w:tcMar>
            <w:vAlign w:val="center"/>
          </w:tcPr>
          <w:p w14:paraId="498E483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72758FF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2321E29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65FE49C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left w:val="single" w:sz="4" w:space="0" w:color="auto"/>
            </w:tcBorders>
            <w:tcMar>
              <w:top w:w="10" w:type="dxa"/>
              <w:bottom w:w="10" w:type="dxa"/>
            </w:tcMar>
            <w:vAlign w:val="center"/>
          </w:tcPr>
          <w:p w14:paraId="6760C3A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063F13F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3CEDE85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0DF6090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left w:val="single" w:sz="4" w:space="0" w:color="auto"/>
            </w:tcBorders>
            <w:tcMar>
              <w:top w:w="10" w:type="dxa"/>
              <w:bottom w:w="10" w:type="dxa"/>
            </w:tcMar>
            <w:vAlign w:val="center"/>
          </w:tcPr>
          <w:p w14:paraId="32C4FB5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49EB932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6D79D2E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759CD28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66E0B6C2" w14:textId="77777777">
        <w:trPr>
          <w:trHeight w:val="20"/>
        </w:trPr>
        <w:tc>
          <w:tcPr>
            <w:tcW w:w="234" w:type="dxa"/>
            <w:tcBorders>
              <w:top w:val="single" w:sz="4" w:space="0" w:color="auto"/>
              <w:left w:val="single" w:sz="4" w:space="0" w:color="auto"/>
            </w:tcBorders>
            <w:tcMar>
              <w:top w:w="10" w:type="dxa"/>
              <w:bottom w:w="10" w:type="dxa"/>
            </w:tcMar>
            <w:vAlign w:val="center"/>
          </w:tcPr>
          <w:p w14:paraId="40526FA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21</w:t>
            </w:r>
          </w:p>
        </w:tc>
        <w:tc>
          <w:tcPr>
            <w:tcW w:w="2258" w:type="dxa"/>
            <w:tcBorders>
              <w:top w:val="single" w:sz="4" w:space="0" w:color="auto"/>
              <w:left w:val="single" w:sz="4" w:space="0" w:color="auto"/>
            </w:tcBorders>
            <w:tcMar>
              <w:top w:w="10" w:type="dxa"/>
              <w:bottom w:w="10" w:type="dxa"/>
            </w:tcMar>
            <w:vAlign w:val="center"/>
          </w:tcPr>
          <w:p w14:paraId="35920B92" w14:textId="77777777" w:rsidR="006561BA" w:rsidRDefault="005B4ED6">
            <w:pPr>
              <w:widowControl w:val="0"/>
              <w:shd w:val="clear" w:color="auto" w:fill="auto"/>
              <w:spacing w:after="0" w:line="240" w:lineRule="auto"/>
              <w:ind w:left="164"/>
              <w:jc w:val="left"/>
              <w:rPr>
                <w:rFonts w:ascii="Helvetica" w:eastAsia="Arial Unicode MS" w:hAnsi="Helvetica" w:cs="Helvetica"/>
                <w:color w:val="212121"/>
                <w:sz w:val="6"/>
                <w:szCs w:val="6"/>
              </w:rPr>
            </w:pPr>
            <w:r>
              <w:rPr>
                <w:rFonts w:ascii="Helvetica" w:hAnsi="Helvetica"/>
                <w:color w:val="212121"/>
                <w:sz w:val="6"/>
              </w:rPr>
              <w:t>Lån og forskudd</w:t>
            </w:r>
          </w:p>
        </w:tc>
        <w:tc>
          <w:tcPr>
            <w:tcW w:w="304" w:type="dxa"/>
            <w:tcBorders>
              <w:top w:val="single" w:sz="4" w:space="0" w:color="auto"/>
              <w:left w:val="single" w:sz="4" w:space="0" w:color="auto"/>
            </w:tcBorders>
            <w:tcMar>
              <w:top w:w="10" w:type="dxa"/>
              <w:bottom w:w="10" w:type="dxa"/>
            </w:tcMar>
            <w:vAlign w:val="center"/>
          </w:tcPr>
          <w:p w14:paraId="3ED2B8D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8" w:type="dxa"/>
            <w:tcBorders>
              <w:top w:val="single" w:sz="4" w:space="0" w:color="auto"/>
              <w:left w:val="single" w:sz="4" w:space="0" w:color="auto"/>
            </w:tcBorders>
            <w:tcMar>
              <w:top w:w="10" w:type="dxa"/>
              <w:bottom w:w="10" w:type="dxa"/>
            </w:tcMar>
            <w:vAlign w:val="center"/>
          </w:tcPr>
          <w:p w14:paraId="3509803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4888D11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43C9422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1AFBCF3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49499D9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28307D0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673A66F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468BF1C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01C680E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374B3D0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5C71616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04B39DA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79B4616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180922F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318FAF2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703F5F4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4A38220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667D652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tcBorders>
            <w:tcMar>
              <w:top w:w="10" w:type="dxa"/>
              <w:bottom w:w="10" w:type="dxa"/>
            </w:tcMar>
            <w:vAlign w:val="center"/>
          </w:tcPr>
          <w:p w14:paraId="739DFB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0ECD27B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6F7A5C4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443392E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tcBorders>
            <w:tcMar>
              <w:top w:w="10" w:type="dxa"/>
              <w:bottom w:w="10" w:type="dxa"/>
            </w:tcMar>
            <w:vAlign w:val="center"/>
          </w:tcPr>
          <w:p w14:paraId="0997398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0986BDD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112CE99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030A50E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3DCF4C5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54B19BC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3CB2D64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33D3FEB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74DF0F45" w14:textId="77777777">
        <w:trPr>
          <w:trHeight w:val="20"/>
        </w:trPr>
        <w:tc>
          <w:tcPr>
            <w:tcW w:w="234" w:type="dxa"/>
            <w:tcBorders>
              <w:top w:val="single" w:sz="4" w:space="0" w:color="auto"/>
              <w:left w:val="single" w:sz="4" w:space="0" w:color="auto"/>
            </w:tcBorders>
            <w:tcMar>
              <w:top w:w="10" w:type="dxa"/>
              <w:bottom w:w="10" w:type="dxa"/>
            </w:tcMar>
            <w:vAlign w:val="center"/>
          </w:tcPr>
          <w:p w14:paraId="55D0145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22</w:t>
            </w:r>
          </w:p>
        </w:tc>
        <w:tc>
          <w:tcPr>
            <w:tcW w:w="2258" w:type="dxa"/>
            <w:tcBorders>
              <w:top w:val="single" w:sz="4" w:space="0" w:color="auto"/>
              <w:left w:val="single" w:sz="4" w:space="0" w:color="auto"/>
            </w:tcBorders>
            <w:tcMar>
              <w:top w:w="10" w:type="dxa"/>
              <w:bottom w:w="10" w:type="dxa"/>
            </w:tcMar>
            <w:vAlign w:val="center"/>
          </w:tcPr>
          <w:p w14:paraId="2AA9C5C5" w14:textId="77777777" w:rsidR="006561BA" w:rsidRDefault="005B4ED6">
            <w:pPr>
              <w:widowControl w:val="0"/>
              <w:shd w:val="clear" w:color="auto" w:fill="auto"/>
              <w:spacing w:after="0" w:line="240" w:lineRule="auto"/>
              <w:ind w:left="164"/>
              <w:jc w:val="left"/>
              <w:rPr>
                <w:rFonts w:ascii="Helvetica" w:eastAsia="Arial Unicode MS" w:hAnsi="Helvetica" w:cs="Helvetica"/>
                <w:color w:val="212121"/>
                <w:sz w:val="6"/>
                <w:szCs w:val="6"/>
              </w:rPr>
            </w:pPr>
            <w:r>
              <w:rPr>
                <w:rFonts w:ascii="Helvetica" w:hAnsi="Helvetica"/>
                <w:color w:val="212121"/>
                <w:sz w:val="6"/>
              </w:rPr>
              <w:t>Gjeldsinstrumenter, herunder bruk av proveny</w:t>
            </w:r>
          </w:p>
        </w:tc>
        <w:tc>
          <w:tcPr>
            <w:tcW w:w="304" w:type="dxa"/>
            <w:tcBorders>
              <w:top w:val="single" w:sz="4" w:space="0" w:color="auto"/>
              <w:left w:val="single" w:sz="4" w:space="0" w:color="auto"/>
            </w:tcBorders>
            <w:tcMar>
              <w:top w:w="10" w:type="dxa"/>
              <w:bottom w:w="10" w:type="dxa"/>
            </w:tcMar>
            <w:vAlign w:val="center"/>
          </w:tcPr>
          <w:p w14:paraId="4E14E0D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8" w:type="dxa"/>
            <w:tcBorders>
              <w:top w:val="single" w:sz="4" w:space="0" w:color="auto"/>
              <w:left w:val="single" w:sz="4" w:space="0" w:color="auto"/>
            </w:tcBorders>
            <w:tcMar>
              <w:top w:w="10" w:type="dxa"/>
              <w:bottom w:w="10" w:type="dxa"/>
            </w:tcMar>
            <w:vAlign w:val="center"/>
          </w:tcPr>
          <w:p w14:paraId="1201B25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66240D4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0" w:type="dxa"/>
            <w:tcBorders>
              <w:top w:val="single" w:sz="4" w:space="0" w:color="auto"/>
              <w:left w:val="single" w:sz="4" w:space="0" w:color="auto"/>
            </w:tcBorders>
            <w:tcMar>
              <w:top w:w="10" w:type="dxa"/>
              <w:bottom w:w="10" w:type="dxa"/>
            </w:tcMar>
            <w:vAlign w:val="center"/>
          </w:tcPr>
          <w:p w14:paraId="101E037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4" w:type="dxa"/>
            <w:tcBorders>
              <w:top w:val="single" w:sz="4" w:space="0" w:color="auto"/>
              <w:left w:val="single" w:sz="4" w:space="0" w:color="auto"/>
            </w:tcBorders>
            <w:tcMar>
              <w:top w:w="10" w:type="dxa"/>
              <w:bottom w:w="10" w:type="dxa"/>
            </w:tcMar>
            <w:vAlign w:val="center"/>
          </w:tcPr>
          <w:p w14:paraId="6A776ED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right w:val="single" w:sz="4" w:space="0" w:color="auto"/>
            </w:tcBorders>
          </w:tcPr>
          <w:p w14:paraId="02E488C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145EE24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171B7DF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14BB16E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6869CCD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3DE548A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2020E6A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5" w:type="dxa"/>
            <w:tcBorders>
              <w:top w:val="single" w:sz="4" w:space="0" w:color="auto"/>
              <w:left w:val="single" w:sz="4" w:space="0" w:color="auto"/>
            </w:tcBorders>
            <w:tcMar>
              <w:top w:w="10" w:type="dxa"/>
              <w:bottom w:w="10" w:type="dxa"/>
            </w:tcMar>
            <w:vAlign w:val="center"/>
          </w:tcPr>
          <w:p w14:paraId="293CEF5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2" w:type="dxa"/>
            <w:tcBorders>
              <w:top w:val="single" w:sz="4" w:space="0" w:color="auto"/>
              <w:left w:val="single" w:sz="4" w:space="0" w:color="auto"/>
            </w:tcBorders>
            <w:tcMar>
              <w:top w:w="10" w:type="dxa"/>
              <w:bottom w:w="10" w:type="dxa"/>
            </w:tcMar>
            <w:vAlign w:val="center"/>
          </w:tcPr>
          <w:p w14:paraId="21B73E5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0DE05A7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72FC4C0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53FE2BA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7" w:type="dxa"/>
            <w:tcBorders>
              <w:top w:val="single" w:sz="4" w:space="0" w:color="auto"/>
              <w:left w:val="single" w:sz="4" w:space="0" w:color="auto"/>
            </w:tcBorders>
            <w:tcMar>
              <w:top w:w="10" w:type="dxa"/>
              <w:bottom w:w="10" w:type="dxa"/>
            </w:tcMar>
            <w:vAlign w:val="center"/>
          </w:tcPr>
          <w:p w14:paraId="58DD374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399E6C9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4" w:type="dxa"/>
            <w:tcBorders>
              <w:top w:val="single" w:sz="4" w:space="0" w:color="auto"/>
              <w:left w:val="single" w:sz="4" w:space="0" w:color="auto"/>
            </w:tcBorders>
            <w:tcMar>
              <w:top w:w="10" w:type="dxa"/>
              <w:bottom w:w="10" w:type="dxa"/>
            </w:tcMar>
            <w:vAlign w:val="center"/>
          </w:tcPr>
          <w:p w14:paraId="0DB7E55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6" w:type="dxa"/>
            <w:tcBorders>
              <w:top w:val="single" w:sz="4" w:space="0" w:color="auto"/>
              <w:left w:val="single" w:sz="4" w:space="0" w:color="auto"/>
            </w:tcBorders>
            <w:tcMar>
              <w:top w:w="10" w:type="dxa"/>
              <w:bottom w:w="10" w:type="dxa"/>
            </w:tcMar>
            <w:vAlign w:val="center"/>
          </w:tcPr>
          <w:p w14:paraId="62E645A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0" w:type="dxa"/>
            <w:tcBorders>
              <w:top w:val="single" w:sz="4" w:space="0" w:color="auto"/>
              <w:left w:val="single" w:sz="4" w:space="0" w:color="auto"/>
            </w:tcBorders>
            <w:tcMar>
              <w:top w:w="10" w:type="dxa"/>
              <w:bottom w:w="10" w:type="dxa"/>
            </w:tcMar>
            <w:vAlign w:val="center"/>
          </w:tcPr>
          <w:p w14:paraId="370BB61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5756868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0" w:type="dxa"/>
            <w:tcBorders>
              <w:top w:val="single" w:sz="4" w:space="0" w:color="auto"/>
              <w:left w:val="single" w:sz="4" w:space="0" w:color="auto"/>
            </w:tcBorders>
            <w:tcMar>
              <w:top w:w="10" w:type="dxa"/>
              <w:bottom w:w="10" w:type="dxa"/>
            </w:tcMar>
            <w:vAlign w:val="center"/>
          </w:tcPr>
          <w:p w14:paraId="2D74870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88" w:type="dxa"/>
            <w:tcBorders>
              <w:top w:val="single" w:sz="4" w:space="0" w:color="auto"/>
              <w:left w:val="single" w:sz="4" w:space="0" w:color="auto"/>
            </w:tcBorders>
            <w:tcMar>
              <w:top w:w="10" w:type="dxa"/>
              <w:bottom w:w="10" w:type="dxa"/>
            </w:tcMar>
            <w:vAlign w:val="center"/>
          </w:tcPr>
          <w:p w14:paraId="6A6D973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094E501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8" w:type="dxa"/>
            <w:tcBorders>
              <w:top w:val="single" w:sz="4" w:space="0" w:color="auto"/>
              <w:left w:val="single" w:sz="4" w:space="0" w:color="auto"/>
            </w:tcBorders>
            <w:tcMar>
              <w:top w:w="10" w:type="dxa"/>
              <w:bottom w:w="10" w:type="dxa"/>
            </w:tcMar>
            <w:vAlign w:val="center"/>
          </w:tcPr>
          <w:p w14:paraId="1C62CCD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96" w:type="dxa"/>
            <w:tcBorders>
              <w:top w:val="single" w:sz="4" w:space="0" w:color="auto"/>
              <w:left w:val="single" w:sz="4" w:space="0" w:color="auto"/>
            </w:tcBorders>
            <w:tcMar>
              <w:top w:w="10" w:type="dxa"/>
              <w:bottom w:w="10" w:type="dxa"/>
            </w:tcMar>
            <w:vAlign w:val="center"/>
          </w:tcPr>
          <w:p w14:paraId="1559D33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56" w:type="dxa"/>
            <w:tcBorders>
              <w:top w:val="single" w:sz="4" w:space="0" w:color="auto"/>
              <w:left w:val="single" w:sz="4" w:space="0" w:color="auto"/>
            </w:tcBorders>
            <w:tcMar>
              <w:top w:w="10" w:type="dxa"/>
              <w:bottom w:w="10" w:type="dxa"/>
            </w:tcMar>
            <w:vAlign w:val="center"/>
          </w:tcPr>
          <w:p w14:paraId="3209914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 w:type="dxa"/>
            <w:tcBorders>
              <w:top w:val="single" w:sz="4" w:space="0" w:color="auto"/>
              <w:left w:val="single" w:sz="4" w:space="0" w:color="auto"/>
            </w:tcBorders>
            <w:tcMar>
              <w:top w:w="10" w:type="dxa"/>
              <w:bottom w:w="10" w:type="dxa"/>
            </w:tcMar>
            <w:vAlign w:val="center"/>
          </w:tcPr>
          <w:p w14:paraId="3417C4B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0EE150A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37801BCD" w14:textId="77777777">
        <w:trPr>
          <w:trHeight w:val="20"/>
        </w:trPr>
        <w:tc>
          <w:tcPr>
            <w:tcW w:w="234" w:type="dxa"/>
            <w:tcBorders>
              <w:top w:val="single" w:sz="4" w:space="0" w:color="auto"/>
              <w:left w:val="single" w:sz="4" w:space="0" w:color="auto"/>
            </w:tcBorders>
            <w:tcMar>
              <w:top w:w="10" w:type="dxa"/>
              <w:bottom w:w="10" w:type="dxa"/>
            </w:tcMar>
            <w:vAlign w:val="center"/>
          </w:tcPr>
          <w:p w14:paraId="2C59C1A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23</w:t>
            </w:r>
          </w:p>
        </w:tc>
        <w:tc>
          <w:tcPr>
            <w:tcW w:w="2258" w:type="dxa"/>
            <w:tcBorders>
              <w:top w:val="single" w:sz="4" w:space="0" w:color="auto"/>
              <w:left w:val="single" w:sz="4" w:space="0" w:color="auto"/>
            </w:tcBorders>
            <w:tcMar>
              <w:top w:w="10" w:type="dxa"/>
              <w:bottom w:w="10" w:type="dxa"/>
            </w:tcMar>
            <w:vAlign w:val="center"/>
          </w:tcPr>
          <w:p w14:paraId="0A66F99D" w14:textId="77777777" w:rsidR="006561BA" w:rsidRDefault="005B4ED6">
            <w:pPr>
              <w:widowControl w:val="0"/>
              <w:shd w:val="clear" w:color="auto" w:fill="auto"/>
              <w:spacing w:after="0" w:line="240" w:lineRule="auto"/>
              <w:ind w:left="164"/>
              <w:jc w:val="left"/>
              <w:rPr>
                <w:rFonts w:ascii="Helvetica" w:eastAsia="Arial Unicode MS" w:hAnsi="Helvetica" w:cs="Helvetica"/>
                <w:color w:val="212121"/>
                <w:sz w:val="6"/>
                <w:szCs w:val="6"/>
              </w:rPr>
            </w:pPr>
            <w:r>
              <w:rPr>
                <w:rFonts w:ascii="Helvetica" w:hAnsi="Helvetica"/>
                <w:color w:val="212121"/>
                <w:sz w:val="6"/>
              </w:rPr>
              <w:t>Egenkapitalinstrumenter</w:t>
            </w:r>
          </w:p>
        </w:tc>
        <w:tc>
          <w:tcPr>
            <w:tcW w:w="304" w:type="dxa"/>
            <w:tcBorders>
              <w:top w:val="single" w:sz="4" w:space="0" w:color="auto"/>
              <w:left w:val="single" w:sz="4" w:space="0" w:color="auto"/>
            </w:tcBorders>
            <w:tcMar>
              <w:top w:w="10" w:type="dxa"/>
              <w:bottom w:w="10" w:type="dxa"/>
            </w:tcMar>
            <w:vAlign w:val="center"/>
          </w:tcPr>
          <w:p w14:paraId="2B82BCA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8" w:type="dxa"/>
            <w:tcBorders>
              <w:top w:val="single" w:sz="4" w:space="0" w:color="auto"/>
              <w:left w:val="single" w:sz="4" w:space="0" w:color="auto"/>
            </w:tcBorders>
            <w:tcMar>
              <w:top w:w="10" w:type="dxa"/>
              <w:bottom w:w="10" w:type="dxa"/>
            </w:tcMar>
            <w:vAlign w:val="center"/>
          </w:tcPr>
          <w:p w14:paraId="518B0FA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left w:val="single" w:sz="4" w:space="0" w:color="auto"/>
            </w:tcBorders>
            <w:shd w:val="clear" w:color="auto" w:fill="000000" w:themeFill="text1"/>
            <w:tcMar>
              <w:top w:w="10" w:type="dxa"/>
              <w:bottom w:w="10" w:type="dxa"/>
            </w:tcMar>
            <w:vAlign w:val="center"/>
          </w:tcPr>
          <w:p w14:paraId="5EE3749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56FCD4A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3C76873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tcPr>
          <w:p w14:paraId="2A2E61E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tcBorders>
          </w:tcPr>
          <w:p w14:paraId="506EF71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tcBorders>
            <w:shd w:val="clear" w:color="auto" w:fill="000000" w:themeFill="text1"/>
          </w:tcPr>
          <w:p w14:paraId="4C0935B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tcBorders>
          </w:tcPr>
          <w:p w14:paraId="185DC46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604596D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68B878A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shd w:val="clear" w:color="auto" w:fill="000000" w:themeFill="text1"/>
            <w:tcMar>
              <w:top w:w="10" w:type="dxa"/>
              <w:bottom w:w="10" w:type="dxa"/>
            </w:tcMar>
            <w:vAlign w:val="center"/>
          </w:tcPr>
          <w:p w14:paraId="07F910C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tcBorders>
            <w:tcMar>
              <w:top w:w="10" w:type="dxa"/>
              <w:bottom w:w="10" w:type="dxa"/>
            </w:tcMar>
            <w:vAlign w:val="center"/>
          </w:tcPr>
          <w:p w14:paraId="790697E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0CFDAC4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7AC68D9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shd w:val="clear" w:color="auto" w:fill="000000" w:themeFill="text1"/>
            <w:tcMar>
              <w:top w:w="10" w:type="dxa"/>
              <w:bottom w:w="10" w:type="dxa"/>
            </w:tcMar>
            <w:vAlign w:val="center"/>
          </w:tcPr>
          <w:p w14:paraId="2E32880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6398B0B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73C0E75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4A7927D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shd w:val="clear" w:color="auto" w:fill="000000" w:themeFill="text1"/>
            <w:tcMar>
              <w:top w:w="10" w:type="dxa"/>
              <w:bottom w:w="10" w:type="dxa"/>
            </w:tcMar>
            <w:vAlign w:val="center"/>
          </w:tcPr>
          <w:p w14:paraId="24FB28F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tcBorders>
            <w:tcMar>
              <w:top w:w="10" w:type="dxa"/>
              <w:bottom w:w="10" w:type="dxa"/>
            </w:tcMar>
            <w:vAlign w:val="center"/>
          </w:tcPr>
          <w:p w14:paraId="525F8A3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3646047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37265B0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shd w:val="clear" w:color="auto" w:fill="000000" w:themeFill="text1"/>
            <w:tcMar>
              <w:top w:w="10" w:type="dxa"/>
              <w:bottom w:w="10" w:type="dxa"/>
            </w:tcMar>
            <w:vAlign w:val="center"/>
          </w:tcPr>
          <w:p w14:paraId="557F7A9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tcBorders>
            <w:tcMar>
              <w:top w:w="10" w:type="dxa"/>
              <w:bottom w:w="10" w:type="dxa"/>
            </w:tcMar>
            <w:vAlign w:val="center"/>
          </w:tcPr>
          <w:p w14:paraId="168F5C5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14D6026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71279F0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left w:val="single" w:sz="4" w:space="0" w:color="auto"/>
            </w:tcBorders>
            <w:shd w:val="clear" w:color="auto" w:fill="000000" w:themeFill="text1"/>
            <w:tcMar>
              <w:top w:w="10" w:type="dxa"/>
              <w:bottom w:w="10" w:type="dxa"/>
            </w:tcMar>
            <w:vAlign w:val="center"/>
          </w:tcPr>
          <w:p w14:paraId="180CDFC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40F1C87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16A4115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2F38F79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689E79CB" w14:textId="77777777">
        <w:trPr>
          <w:trHeight w:val="20"/>
        </w:trPr>
        <w:tc>
          <w:tcPr>
            <w:tcW w:w="234" w:type="dxa"/>
            <w:tcBorders>
              <w:top w:val="single" w:sz="4" w:space="0" w:color="auto"/>
              <w:left w:val="single" w:sz="4" w:space="0" w:color="auto"/>
            </w:tcBorders>
            <w:tcMar>
              <w:top w:w="10" w:type="dxa"/>
              <w:bottom w:w="10" w:type="dxa"/>
            </w:tcMar>
            <w:vAlign w:val="center"/>
          </w:tcPr>
          <w:p w14:paraId="48B7522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24</w:t>
            </w:r>
          </w:p>
        </w:tc>
        <w:tc>
          <w:tcPr>
            <w:tcW w:w="2258" w:type="dxa"/>
            <w:tcBorders>
              <w:top w:val="single" w:sz="4" w:space="0" w:color="auto"/>
              <w:left w:val="single" w:sz="4" w:space="0" w:color="auto"/>
            </w:tcBorders>
            <w:tcMar>
              <w:top w:w="10" w:type="dxa"/>
              <w:bottom w:w="10" w:type="dxa"/>
            </w:tcMar>
            <w:vAlign w:val="center"/>
          </w:tcPr>
          <w:p w14:paraId="3BD865DC" w14:textId="77777777" w:rsidR="006561BA" w:rsidRDefault="005B4ED6">
            <w:pPr>
              <w:widowControl w:val="0"/>
              <w:shd w:val="clear" w:color="auto" w:fill="auto"/>
              <w:spacing w:after="0" w:line="240" w:lineRule="auto"/>
              <w:ind w:left="80"/>
              <w:jc w:val="left"/>
              <w:rPr>
                <w:rFonts w:ascii="Helvetica" w:eastAsia="Arial Unicode MS" w:hAnsi="Helvetica" w:cs="Helvetica"/>
                <w:b/>
                <w:color w:val="000000"/>
                <w:sz w:val="6"/>
                <w:szCs w:val="6"/>
              </w:rPr>
            </w:pPr>
            <w:r>
              <w:rPr>
                <w:rFonts w:ascii="Helvetica" w:hAnsi="Helvetica"/>
                <w:b/>
                <w:color w:val="000000"/>
                <w:sz w:val="6"/>
              </w:rPr>
              <w:t>Husholdninger</w:t>
            </w:r>
          </w:p>
        </w:tc>
        <w:tc>
          <w:tcPr>
            <w:tcW w:w="304" w:type="dxa"/>
            <w:tcBorders>
              <w:top w:val="single" w:sz="4" w:space="0" w:color="auto"/>
              <w:left w:val="single" w:sz="4" w:space="0" w:color="auto"/>
            </w:tcBorders>
            <w:tcMar>
              <w:top w:w="10" w:type="dxa"/>
              <w:bottom w:w="10" w:type="dxa"/>
            </w:tcMar>
            <w:vAlign w:val="center"/>
          </w:tcPr>
          <w:p w14:paraId="77C876C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8" w:type="dxa"/>
            <w:tcBorders>
              <w:top w:val="single" w:sz="4" w:space="0" w:color="auto"/>
              <w:left w:val="single" w:sz="4" w:space="0" w:color="auto"/>
            </w:tcBorders>
            <w:tcMar>
              <w:top w:w="10" w:type="dxa"/>
              <w:bottom w:w="10" w:type="dxa"/>
            </w:tcMar>
            <w:vAlign w:val="center"/>
          </w:tcPr>
          <w:p w14:paraId="6081593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left w:val="single" w:sz="4" w:space="0" w:color="auto"/>
            </w:tcBorders>
            <w:tcMar>
              <w:top w:w="10" w:type="dxa"/>
              <w:bottom w:w="10" w:type="dxa"/>
            </w:tcMar>
            <w:vAlign w:val="center"/>
          </w:tcPr>
          <w:p w14:paraId="5D48009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2E4CC0B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right w:val="single" w:sz="4" w:space="0" w:color="auto"/>
            </w:tcBorders>
            <w:tcMar>
              <w:top w:w="10" w:type="dxa"/>
              <w:bottom w:w="10" w:type="dxa"/>
            </w:tcMar>
            <w:vAlign w:val="center"/>
          </w:tcPr>
          <w:p w14:paraId="5189BDA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tcPr>
          <w:p w14:paraId="2C3D06E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tcPr>
          <w:p w14:paraId="3C3ED35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tcPr>
          <w:p w14:paraId="513D868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tcPr>
          <w:p w14:paraId="405E69B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left w:val="single" w:sz="4" w:space="0" w:color="auto"/>
            </w:tcBorders>
            <w:shd w:val="clear" w:color="auto" w:fill="000000" w:themeFill="text1"/>
            <w:tcMar>
              <w:top w:w="10" w:type="dxa"/>
              <w:bottom w:w="10" w:type="dxa"/>
            </w:tcMar>
            <w:vAlign w:val="center"/>
          </w:tcPr>
          <w:p w14:paraId="010A83A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shd w:val="clear" w:color="auto" w:fill="000000" w:themeFill="text1"/>
            <w:tcMar>
              <w:top w:w="10" w:type="dxa"/>
              <w:bottom w:w="10" w:type="dxa"/>
            </w:tcMar>
            <w:vAlign w:val="center"/>
          </w:tcPr>
          <w:p w14:paraId="0B6A306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shd w:val="clear" w:color="auto" w:fill="000000" w:themeFill="text1"/>
            <w:tcMar>
              <w:top w:w="10" w:type="dxa"/>
              <w:bottom w:w="10" w:type="dxa"/>
            </w:tcMar>
            <w:vAlign w:val="center"/>
          </w:tcPr>
          <w:p w14:paraId="03D0C8B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shd w:val="clear" w:color="auto" w:fill="000000" w:themeFill="text1"/>
            <w:tcMar>
              <w:top w:w="10" w:type="dxa"/>
              <w:bottom w:w="10" w:type="dxa"/>
            </w:tcMar>
            <w:vAlign w:val="center"/>
          </w:tcPr>
          <w:p w14:paraId="7BB1419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tcBorders>
            <w:tcMar>
              <w:top w:w="10" w:type="dxa"/>
              <w:bottom w:w="10" w:type="dxa"/>
            </w:tcMar>
            <w:vAlign w:val="center"/>
          </w:tcPr>
          <w:p w14:paraId="5A2E91B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4798F6C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tcMar>
              <w:top w:w="10" w:type="dxa"/>
              <w:bottom w:w="10" w:type="dxa"/>
            </w:tcMar>
            <w:vAlign w:val="center"/>
          </w:tcPr>
          <w:p w14:paraId="523F9C8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6D64293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shd w:val="clear" w:color="auto" w:fill="000000" w:themeFill="text1"/>
            <w:tcMar>
              <w:top w:w="10" w:type="dxa"/>
              <w:bottom w:w="10" w:type="dxa"/>
            </w:tcMar>
            <w:vAlign w:val="center"/>
          </w:tcPr>
          <w:p w14:paraId="368E758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shd w:val="clear" w:color="auto" w:fill="000000" w:themeFill="text1"/>
            <w:tcMar>
              <w:top w:w="10" w:type="dxa"/>
              <w:bottom w:w="10" w:type="dxa"/>
            </w:tcMar>
            <w:vAlign w:val="center"/>
          </w:tcPr>
          <w:p w14:paraId="123FA5C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shd w:val="clear" w:color="auto" w:fill="000000" w:themeFill="text1"/>
            <w:tcMar>
              <w:top w:w="10" w:type="dxa"/>
              <w:bottom w:w="10" w:type="dxa"/>
            </w:tcMar>
            <w:vAlign w:val="center"/>
          </w:tcPr>
          <w:p w14:paraId="2EC7355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shd w:val="clear" w:color="auto" w:fill="000000" w:themeFill="text1"/>
            <w:tcMar>
              <w:top w:w="10" w:type="dxa"/>
              <w:bottom w:w="10" w:type="dxa"/>
            </w:tcMar>
            <w:vAlign w:val="center"/>
          </w:tcPr>
          <w:p w14:paraId="2B56C62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shd w:val="clear" w:color="auto" w:fill="000000" w:themeFill="text1"/>
            <w:tcMar>
              <w:top w:w="10" w:type="dxa"/>
              <w:bottom w:w="10" w:type="dxa"/>
            </w:tcMar>
            <w:vAlign w:val="center"/>
          </w:tcPr>
          <w:p w14:paraId="3AFC240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shd w:val="clear" w:color="auto" w:fill="000000" w:themeFill="text1"/>
            <w:tcMar>
              <w:top w:w="10" w:type="dxa"/>
              <w:bottom w:w="10" w:type="dxa"/>
            </w:tcMar>
            <w:vAlign w:val="center"/>
          </w:tcPr>
          <w:p w14:paraId="75FDF46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shd w:val="clear" w:color="auto" w:fill="000000" w:themeFill="text1"/>
            <w:tcMar>
              <w:top w:w="10" w:type="dxa"/>
              <w:bottom w:w="10" w:type="dxa"/>
            </w:tcMar>
            <w:vAlign w:val="center"/>
          </w:tcPr>
          <w:p w14:paraId="2A97176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shd w:val="clear" w:color="auto" w:fill="000000" w:themeFill="text1"/>
            <w:tcMar>
              <w:top w:w="10" w:type="dxa"/>
              <w:bottom w:w="10" w:type="dxa"/>
            </w:tcMar>
            <w:vAlign w:val="center"/>
          </w:tcPr>
          <w:p w14:paraId="01696C3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tcBorders>
            <w:tcMar>
              <w:top w:w="10" w:type="dxa"/>
              <w:bottom w:w="10" w:type="dxa"/>
            </w:tcMar>
            <w:vAlign w:val="center"/>
          </w:tcPr>
          <w:p w14:paraId="44692A6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118BD87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left w:val="single" w:sz="4" w:space="0" w:color="auto"/>
            </w:tcBorders>
            <w:tcMar>
              <w:top w:w="10" w:type="dxa"/>
              <w:bottom w:w="10" w:type="dxa"/>
            </w:tcMar>
            <w:vAlign w:val="center"/>
          </w:tcPr>
          <w:p w14:paraId="3CFCB4A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45AC7AC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04EF495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6ADE2E2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040D1749" w14:textId="77777777">
        <w:trPr>
          <w:trHeight w:val="20"/>
        </w:trPr>
        <w:tc>
          <w:tcPr>
            <w:tcW w:w="234" w:type="dxa"/>
            <w:tcBorders>
              <w:top w:val="single" w:sz="4" w:space="0" w:color="auto"/>
              <w:left w:val="single" w:sz="4" w:space="0" w:color="auto"/>
            </w:tcBorders>
            <w:tcMar>
              <w:top w:w="10" w:type="dxa"/>
              <w:bottom w:w="10" w:type="dxa"/>
            </w:tcMar>
            <w:vAlign w:val="center"/>
          </w:tcPr>
          <w:p w14:paraId="22B34DE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383838"/>
                <w:sz w:val="6"/>
              </w:rPr>
              <w:t>25</w:t>
            </w:r>
          </w:p>
        </w:tc>
        <w:tc>
          <w:tcPr>
            <w:tcW w:w="2258" w:type="dxa"/>
            <w:tcBorders>
              <w:top w:val="single" w:sz="4" w:space="0" w:color="auto"/>
              <w:left w:val="single" w:sz="4" w:space="0" w:color="auto"/>
            </w:tcBorders>
            <w:tcMar>
              <w:top w:w="10" w:type="dxa"/>
              <w:bottom w:w="10" w:type="dxa"/>
            </w:tcMar>
            <w:vAlign w:val="center"/>
          </w:tcPr>
          <w:p w14:paraId="53C0FCCC" w14:textId="77777777" w:rsidR="006561BA" w:rsidRDefault="005B4ED6">
            <w:pPr>
              <w:widowControl w:val="0"/>
              <w:shd w:val="clear" w:color="auto" w:fill="auto"/>
              <w:spacing w:after="0" w:line="240" w:lineRule="auto"/>
              <w:ind w:left="164"/>
              <w:jc w:val="left"/>
              <w:rPr>
                <w:rFonts w:ascii="Helvetica" w:eastAsia="Arial Unicode MS" w:hAnsi="Helvetica" w:cs="Helvetica"/>
                <w:color w:val="212121"/>
                <w:sz w:val="6"/>
                <w:szCs w:val="6"/>
              </w:rPr>
            </w:pPr>
            <w:r>
              <w:rPr>
                <w:rFonts w:ascii="Helvetica" w:hAnsi="Helvetica"/>
                <w:color w:val="212121"/>
                <w:sz w:val="6"/>
              </w:rPr>
              <w:t>hvorav lån med sikkerhet i boligeiendommer</w:t>
            </w:r>
          </w:p>
        </w:tc>
        <w:tc>
          <w:tcPr>
            <w:tcW w:w="304" w:type="dxa"/>
            <w:tcBorders>
              <w:top w:val="single" w:sz="4" w:space="0" w:color="auto"/>
              <w:left w:val="single" w:sz="4" w:space="0" w:color="auto"/>
            </w:tcBorders>
            <w:tcMar>
              <w:top w:w="10" w:type="dxa"/>
              <w:bottom w:w="10" w:type="dxa"/>
            </w:tcMar>
            <w:vAlign w:val="center"/>
          </w:tcPr>
          <w:p w14:paraId="2DAF027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8" w:type="dxa"/>
            <w:tcBorders>
              <w:top w:val="single" w:sz="4" w:space="0" w:color="auto"/>
              <w:left w:val="single" w:sz="4" w:space="0" w:color="auto"/>
            </w:tcBorders>
            <w:tcMar>
              <w:top w:w="10" w:type="dxa"/>
              <w:bottom w:w="10" w:type="dxa"/>
            </w:tcMar>
            <w:vAlign w:val="center"/>
          </w:tcPr>
          <w:p w14:paraId="2DFD64D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6D128A5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0" w:type="dxa"/>
            <w:tcBorders>
              <w:top w:val="single" w:sz="4" w:space="0" w:color="auto"/>
              <w:left w:val="single" w:sz="4" w:space="0" w:color="auto"/>
            </w:tcBorders>
            <w:tcMar>
              <w:top w:w="10" w:type="dxa"/>
              <w:bottom w:w="10" w:type="dxa"/>
            </w:tcMar>
            <w:vAlign w:val="center"/>
          </w:tcPr>
          <w:p w14:paraId="7B52C7B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4" w:type="dxa"/>
            <w:tcBorders>
              <w:top w:val="single" w:sz="4" w:space="0" w:color="auto"/>
              <w:left w:val="single" w:sz="4" w:space="0" w:color="auto"/>
              <w:right w:val="single" w:sz="4" w:space="0" w:color="auto"/>
            </w:tcBorders>
            <w:tcMar>
              <w:top w:w="10" w:type="dxa"/>
              <w:bottom w:w="10" w:type="dxa"/>
            </w:tcMar>
            <w:vAlign w:val="center"/>
          </w:tcPr>
          <w:p w14:paraId="31C548B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bottom w:val="single" w:sz="4" w:space="0" w:color="auto"/>
              <w:right w:val="single" w:sz="4" w:space="0" w:color="auto"/>
            </w:tcBorders>
          </w:tcPr>
          <w:p w14:paraId="78848BF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bottom w:val="single" w:sz="4" w:space="0" w:color="auto"/>
              <w:right w:val="single" w:sz="4" w:space="0" w:color="auto"/>
            </w:tcBorders>
          </w:tcPr>
          <w:p w14:paraId="0FF9A47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bottom w:val="single" w:sz="4" w:space="0" w:color="auto"/>
              <w:right w:val="single" w:sz="4" w:space="0" w:color="auto"/>
            </w:tcBorders>
          </w:tcPr>
          <w:p w14:paraId="77277C9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bottom w:val="single" w:sz="4" w:space="0" w:color="auto"/>
              <w:right w:val="single" w:sz="4" w:space="0" w:color="auto"/>
            </w:tcBorders>
          </w:tcPr>
          <w:p w14:paraId="40E477E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left w:val="single" w:sz="4" w:space="0" w:color="auto"/>
            </w:tcBorders>
            <w:shd w:val="clear" w:color="auto" w:fill="000000" w:themeFill="text1"/>
            <w:tcMar>
              <w:top w:w="10" w:type="dxa"/>
              <w:bottom w:w="10" w:type="dxa"/>
            </w:tcMar>
            <w:vAlign w:val="center"/>
          </w:tcPr>
          <w:p w14:paraId="17D82C3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shd w:val="clear" w:color="auto" w:fill="000000" w:themeFill="text1"/>
            <w:tcMar>
              <w:top w:w="10" w:type="dxa"/>
              <w:bottom w:w="10" w:type="dxa"/>
            </w:tcMar>
            <w:vAlign w:val="center"/>
          </w:tcPr>
          <w:p w14:paraId="5B23F66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shd w:val="clear" w:color="auto" w:fill="000000" w:themeFill="text1"/>
            <w:tcMar>
              <w:top w:w="10" w:type="dxa"/>
              <w:bottom w:w="10" w:type="dxa"/>
            </w:tcMar>
            <w:vAlign w:val="center"/>
          </w:tcPr>
          <w:p w14:paraId="0DB13D9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5" w:type="dxa"/>
            <w:shd w:val="clear" w:color="auto" w:fill="000000" w:themeFill="text1"/>
            <w:tcMar>
              <w:top w:w="10" w:type="dxa"/>
              <w:bottom w:w="10" w:type="dxa"/>
            </w:tcMar>
            <w:vAlign w:val="center"/>
          </w:tcPr>
          <w:p w14:paraId="63939D3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2" w:type="dxa"/>
            <w:tcBorders>
              <w:top w:val="single" w:sz="4" w:space="0" w:color="auto"/>
            </w:tcBorders>
            <w:tcMar>
              <w:top w:w="10" w:type="dxa"/>
              <w:bottom w:w="10" w:type="dxa"/>
            </w:tcMar>
            <w:vAlign w:val="center"/>
          </w:tcPr>
          <w:p w14:paraId="31035A5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68AE86A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0A7007C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06E78B6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7" w:type="dxa"/>
            <w:shd w:val="clear" w:color="auto" w:fill="000000" w:themeFill="text1"/>
            <w:tcMar>
              <w:top w:w="10" w:type="dxa"/>
              <w:bottom w:w="10" w:type="dxa"/>
            </w:tcMar>
            <w:vAlign w:val="center"/>
          </w:tcPr>
          <w:p w14:paraId="7BDCB38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shd w:val="clear" w:color="auto" w:fill="000000" w:themeFill="text1"/>
            <w:tcMar>
              <w:top w:w="10" w:type="dxa"/>
              <w:bottom w:w="10" w:type="dxa"/>
            </w:tcMar>
            <w:vAlign w:val="center"/>
          </w:tcPr>
          <w:p w14:paraId="5CE0479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4" w:type="dxa"/>
            <w:shd w:val="clear" w:color="auto" w:fill="000000" w:themeFill="text1"/>
            <w:tcMar>
              <w:top w:w="10" w:type="dxa"/>
              <w:bottom w:w="10" w:type="dxa"/>
            </w:tcMar>
            <w:vAlign w:val="center"/>
          </w:tcPr>
          <w:p w14:paraId="2326538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6" w:type="dxa"/>
            <w:shd w:val="clear" w:color="auto" w:fill="000000" w:themeFill="text1"/>
            <w:tcMar>
              <w:top w:w="10" w:type="dxa"/>
              <w:bottom w:w="10" w:type="dxa"/>
            </w:tcMar>
            <w:vAlign w:val="center"/>
          </w:tcPr>
          <w:p w14:paraId="105F315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0" w:type="dxa"/>
            <w:shd w:val="clear" w:color="auto" w:fill="000000" w:themeFill="text1"/>
            <w:tcMar>
              <w:top w:w="10" w:type="dxa"/>
              <w:bottom w:w="10" w:type="dxa"/>
            </w:tcMar>
            <w:vAlign w:val="center"/>
          </w:tcPr>
          <w:p w14:paraId="2EF3D10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shd w:val="clear" w:color="auto" w:fill="000000" w:themeFill="text1"/>
            <w:tcMar>
              <w:top w:w="10" w:type="dxa"/>
              <w:bottom w:w="10" w:type="dxa"/>
            </w:tcMar>
            <w:vAlign w:val="center"/>
          </w:tcPr>
          <w:p w14:paraId="5AA618B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0" w:type="dxa"/>
            <w:shd w:val="clear" w:color="auto" w:fill="000000" w:themeFill="text1"/>
            <w:tcMar>
              <w:top w:w="10" w:type="dxa"/>
              <w:bottom w:w="10" w:type="dxa"/>
            </w:tcMar>
            <w:vAlign w:val="center"/>
          </w:tcPr>
          <w:p w14:paraId="310FCA6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88" w:type="dxa"/>
            <w:shd w:val="clear" w:color="auto" w:fill="000000" w:themeFill="text1"/>
            <w:tcMar>
              <w:top w:w="10" w:type="dxa"/>
              <w:bottom w:w="10" w:type="dxa"/>
            </w:tcMar>
            <w:vAlign w:val="center"/>
          </w:tcPr>
          <w:p w14:paraId="45D5812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tcBorders>
            <w:tcMar>
              <w:top w:w="10" w:type="dxa"/>
              <w:bottom w:w="10" w:type="dxa"/>
            </w:tcMar>
            <w:vAlign w:val="center"/>
          </w:tcPr>
          <w:p w14:paraId="2AC9836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8" w:type="dxa"/>
            <w:tcBorders>
              <w:top w:val="single" w:sz="4" w:space="0" w:color="auto"/>
              <w:left w:val="single" w:sz="4" w:space="0" w:color="auto"/>
            </w:tcBorders>
            <w:tcMar>
              <w:top w:w="10" w:type="dxa"/>
              <w:bottom w:w="10" w:type="dxa"/>
            </w:tcMar>
            <w:vAlign w:val="center"/>
          </w:tcPr>
          <w:p w14:paraId="0FC3AB8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96" w:type="dxa"/>
            <w:tcBorders>
              <w:top w:val="single" w:sz="4" w:space="0" w:color="auto"/>
              <w:left w:val="single" w:sz="4" w:space="0" w:color="auto"/>
            </w:tcBorders>
            <w:tcMar>
              <w:top w:w="10" w:type="dxa"/>
              <w:bottom w:w="10" w:type="dxa"/>
            </w:tcMar>
            <w:vAlign w:val="center"/>
          </w:tcPr>
          <w:p w14:paraId="609896C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56" w:type="dxa"/>
            <w:tcBorders>
              <w:top w:val="single" w:sz="4" w:space="0" w:color="auto"/>
              <w:left w:val="single" w:sz="4" w:space="0" w:color="auto"/>
            </w:tcBorders>
            <w:tcMar>
              <w:top w:w="10" w:type="dxa"/>
              <w:bottom w:w="10" w:type="dxa"/>
            </w:tcMar>
            <w:vAlign w:val="center"/>
          </w:tcPr>
          <w:p w14:paraId="58DD8C1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 w:type="dxa"/>
            <w:tcBorders>
              <w:top w:val="single" w:sz="4" w:space="0" w:color="auto"/>
              <w:left w:val="single" w:sz="4" w:space="0" w:color="auto"/>
            </w:tcBorders>
            <w:tcMar>
              <w:top w:w="10" w:type="dxa"/>
              <w:bottom w:w="10" w:type="dxa"/>
            </w:tcMar>
            <w:vAlign w:val="center"/>
          </w:tcPr>
          <w:p w14:paraId="465322F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7E725AA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0D2E6D1D" w14:textId="77777777">
        <w:trPr>
          <w:trHeight w:val="20"/>
        </w:trPr>
        <w:tc>
          <w:tcPr>
            <w:tcW w:w="234" w:type="dxa"/>
            <w:tcBorders>
              <w:top w:val="single" w:sz="4" w:space="0" w:color="auto"/>
              <w:left w:val="single" w:sz="4" w:space="0" w:color="auto"/>
            </w:tcBorders>
            <w:tcMar>
              <w:top w:w="10" w:type="dxa"/>
              <w:bottom w:w="10" w:type="dxa"/>
            </w:tcMar>
            <w:vAlign w:val="center"/>
          </w:tcPr>
          <w:p w14:paraId="0542F1D0"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26</w:t>
            </w:r>
          </w:p>
        </w:tc>
        <w:tc>
          <w:tcPr>
            <w:tcW w:w="2258" w:type="dxa"/>
            <w:tcBorders>
              <w:top w:val="single" w:sz="4" w:space="0" w:color="auto"/>
              <w:left w:val="single" w:sz="4" w:space="0" w:color="auto"/>
            </w:tcBorders>
            <w:tcMar>
              <w:top w:w="10" w:type="dxa"/>
              <w:bottom w:w="10" w:type="dxa"/>
            </w:tcMar>
            <w:vAlign w:val="center"/>
          </w:tcPr>
          <w:p w14:paraId="74436511" w14:textId="77777777" w:rsidR="006561BA" w:rsidRDefault="005B4ED6">
            <w:pPr>
              <w:widowControl w:val="0"/>
              <w:shd w:val="clear" w:color="auto" w:fill="auto"/>
              <w:spacing w:after="0" w:line="240" w:lineRule="auto"/>
              <w:ind w:left="164"/>
              <w:jc w:val="left"/>
              <w:rPr>
                <w:rFonts w:ascii="Helvetica" w:eastAsia="Arial Unicode MS" w:hAnsi="Helvetica" w:cs="Helvetica"/>
                <w:color w:val="212121"/>
                <w:sz w:val="6"/>
                <w:szCs w:val="6"/>
              </w:rPr>
            </w:pPr>
            <w:r>
              <w:rPr>
                <w:rFonts w:ascii="Helvetica" w:hAnsi="Helvetica"/>
                <w:color w:val="212121"/>
                <w:sz w:val="6"/>
              </w:rPr>
              <w:t xml:space="preserve">hvorav lån til </w:t>
            </w:r>
            <w:proofErr w:type="spellStart"/>
            <w:r>
              <w:rPr>
                <w:rFonts w:ascii="Helvetica" w:hAnsi="Helvetica"/>
                <w:color w:val="212121"/>
                <w:sz w:val="6"/>
              </w:rPr>
              <w:t>byggrenovering</w:t>
            </w:r>
            <w:proofErr w:type="spellEnd"/>
          </w:p>
        </w:tc>
        <w:tc>
          <w:tcPr>
            <w:tcW w:w="304" w:type="dxa"/>
            <w:tcBorders>
              <w:top w:val="single" w:sz="4" w:space="0" w:color="auto"/>
              <w:left w:val="single" w:sz="4" w:space="0" w:color="auto"/>
            </w:tcBorders>
            <w:tcMar>
              <w:top w:w="10" w:type="dxa"/>
              <w:bottom w:w="10" w:type="dxa"/>
            </w:tcMar>
            <w:vAlign w:val="center"/>
          </w:tcPr>
          <w:p w14:paraId="5889395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8" w:type="dxa"/>
            <w:tcBorders>
              <w:top w:val="single" w:sz="4" w:space="0" w:color="auto"/>
              <w:left w:val="single" w:sz="4" w:space="0" w:color="auto"/>
            </w:tcBorders>
            <w:tcMar>
              <w:top w:w="10" w:type="dxa"/>
              <w:bottom w:w="10" w:type="dxa"/>
            </w:tcMar>
            <w:vAlign w:val="center"/>
          </w:tcPr>
          <w:p w14:paraId="23694AF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196DE4D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27EFB57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right w:val="single" w:sz="4" w:space="0" w:color="auto"/>
            </w:tcBorders>
            <w:tcMar>
              <w:top w:w="10" w:type="dxa"/>
              <w:bottom w:w="10" w:type="dxa"/>
            </w:tcMar>
            <w:vAlign w:val="center"/>
          </w:tcPr>
          <w:p w14:paraId="3210542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tcPr>
          <w:p w14:paraId="3779BE3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tcPr>
          <w:p w14:paraId="5483914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tcPr>
          <w:p w14:paraId="56696BA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tcPr>
          <w:p w14:paraId="25546A4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left w:val="single" w:sz="4" w:space="0" w:color="auto"/>
            </w:tcBorders>
            <w:shd w:val="clear" w:color="auto" w:fill="000000" w:themeFill="text1"/>
            <w:tcMar>
              <w:top w:w="10" w:type="dxa"/>
              <w:bottom w:w="10" w:type="dxa"/>
            </w:tcMar>
            <w:vAlign w:val="center"/>
          </w:tcPr>
          <w:p w14:paraId="327DA92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shd w:val="clear" w:color="auto" w:fill="000000" w:themeFill="text1"/>
            <w:tcMar>
              <w:top w:w="10" w:type="dxa"/>
              <w:bottom w:w="10" w:type="dxa"/>
            </w:tcMar>
            <w:vAlign w:val="center"/>
          </w:tcPr>
          <w:p w14:paraId="19CF90C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shd w:val="clear" w:color="auto" w:fill="000000" w:themeFill="text1"/>
            <w:tcMar>
              <w:top w:w="10" w:type="dxa"/>
              <w:bottom w:w="10" w:type="dxa"/>
            </w:tcMar>
            <w:vAlign w:val="center"/>
          </w:tcPr>
          <w:p w14:paraId="4AF1873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shd w:val="clear" w:color="auto" w:fill="000000" w:themeFill="text1"/>
            <w:tcMar>
              <w:top w:w="10" w:type="dxa"/>
              <w:bottom w:w="10" w:type="dxa"/>
            </w:tcMar>
            <w:vAlign w:val="center"/>
          </w:tcPr>
          <w:p w14:paraId="2EDE3FC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tcBorders>
            <w:tcMar>
              <w:top w:w="10" w:type="dxa"/>
              <w:bottom w:w="10" w:type="dxa"/>
            </w:tcMar>
            <w:vAlign w:val="center"/>
          </w:tcPr>
          <w:p w14:paraId="1F41582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28DEFBF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0D746CD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467FA26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shd w:val="clear" w:color="auto" w:fill="000000" w:themeFill="text1"/>
            <w:tcMar>
              <w:top w:w="10" w:type="dxa"/>
              <w:bottom w:w="10" w:type="dxa"/>
            </w:tcMar>
            <w:vAlign w:val="center"/>
          </w:tcPr>
          <w:p w14:paraId="2987569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shd w:val="clear" w:color="auto" w:fill="000000" w:themeFill="text1"/>
            <w:tcMar>
              <w:top w:w="10" w:type="dxa"/>
              <w:bottom w:w="10" w:type="dxa"/>
            </w:tcMar>
            <w:vAlign w:val="center"/>
          </w:tcPr>
          <w:p w14:paraId="48129A2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shd w:val="clear" w:color="auto" w:fill="000000" w:themeFill="text1"/>
            <w:tcMar>
              <w:top w:w="10" w:type="dxa"/>
              <w:bottom w:w="10" w:type="dxa"/>
            </w:tcMar>
            <w:vAlign w:val="center"/>
          </w:tcPr>
          <w:p w14:paraId="0CB0B13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shd w:val="clear" w:color="auto" w:fill="000000" w:themeFill="text1"/>
            <w:tcMar>
              <w:top w:w="10" w:type="dxa"/>
              <w:bottom w:w="10" w:type="dxa"/>
            </w:tcMar>
            <w:vAlign w:val="center"/>
          </w:tcPr>
          <w:p w14:paraId="718A9BA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shd w:val="clear" w:color="auto" w:fill="000000" w:themeFill="text1"/>
            <w:tcMar>
              <w:top w:w="10" w:type="dxa"/>
              <w:bottom w:w="10" w:type="dxa"/>
            </w:tcMar>
            <w:vAlign w:val="center"/>
          </w:tcPr>
          <w:p w14:paraId="6D81993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shd w:val="clear" w:color="auto" w:fill="000000" w:themeFill="text1"/>
            <w:tcMar>
              <w:top w:w="10" w:type="dxa"/>
              <w:bottom w:w="10" w:type="dxa"/>
            </w:tcMar>
            <w:vAlign w:val="center"/>
          </w:tcPr>
          <w:p w14:paraId="1FDF236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shd w:val="clear" w:color="auto" w:fill="000000" w:themeFill="text1"/>
            <w:tcMar>
              <w:top w:w="10" w:type="dxa"/>
              <w:bottom w:w="10" w:type="dxa"/>
            </w:tcMar>
            <w:vAlign w:val="center"/>
          </w:tcPr>
          <w:p w14:paraId="4E5DF33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shd w:val="clear" w:color="auto" w:fill="000000" w:themeFill="text1"/>
            <w:tcMar>
              <w:top w:w="10" w:type="dxa"/>
              <w:bottom w:w="10" w:type="dxa"/>
            </w:tcMar>
            <w:vAlign w:val="center"/>
          </w:tcPr>
          <w:p w14:paraId="05488C2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tcBorders>
            <w:tcMar>
              <w:top w:w="10" w:type="dxa"/>
              <w:bottom w:w="10" w:type="dxa"/>
            </w:tcMar>
            <w:vAlign w:val="center"/>
          </w:tcPr>
          <w:p w14:paraId="4B3581B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5EBE499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451AB06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2BED306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456613D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7813083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0F22C2EE" w14:textId="77777777">
        <w:trPr>
          <w:trHeight w:val="20"/>
        </w:trPr>
        <w:tc>
          <w:tcPr>
            <w:tcW w:w="234" w:type="dxa"/>
            <w:tcBorders>
              <w:top w:val="single" w:sz="4" w:space="0" w:color="auto"/>
              <w:left w:val="single" w:sz="4" w:space="0" w:color="auto"/>
            </w:tcBorders>
            <w:tcMar>
              <w:top w:w="10" w:type="dxa"/>
              <w:bottom w:w="10" w:type="dxa"/>
            </w:tcMar>
            <w:vAlign w:val="center"/>
          </w:tcPr>
          <w:p w14:paraId="491CAA4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27</w:t>
            </w:r>
          </w:p>
        </w:tc>
        <w:tc>
          <w:tcPr>
            <w:tcW w:w="2258" w:type="dxa"/>
            <w:tcBorders>
              <w:top w:val="single" w:sz="4" w:space="0" w:color="auto"/>
              <w:left w:val="single" w:sz="4" w:space="0" w:color="auto"/>
            </w:tcBorders>
            <w:tcMar>
              <w:top w:w="10" w:type="dxa"/>
              <w:bottom w:w="10" w:type="dxa"/>
            </w:tcMar>
            <w:vAlign w:val="center"/>
          </w:tcPr>
          <w:p w14:paraId="6BBC6CB5" w14:textId="77777777" w:rsidR="006561BA" w:rsidRDefault="005B4ED6">
            <w:pPr>
              <w:widowControl w:val="0"/>
              <w:shd w:val="clear" w:color="auto" w:fill="auto"/>
              <w:spacing w:after="0" w:line="240" w:lineRule="auto"/>
              <w:ind w:left="164"/>
              <w:jc w:val="left"/>
              <w:rPr>
                <w:rFonts w:ascii="Helvetica" w:eastAsia="Arial Unicode MS" w:hAnsi="Helvetica" w:cs="Helvetica"/>
                <w:color w:val="212121"/>
                <w:sz w:val="6"/>
                <w:szCs w:val="6"/>
              </w:rPr>
            </w:pPr>
            <w:r>
              <w:rPr>
                <w:rFonts w:ascii="Helvetica" w:hAnsi="Helvetica"/>
                <w:color w:val="212121"/>
                <w:sz w:val="6"/>
              </w:rPr>
              <w:t>hvorav billån</w:t>
            </w:r>
          </w:p>
        </w:tc>
        <w:tc>
          <w:tcPr>
            <w:tcW w:w="304" w:type="dxa"/>
            <w:tcBorders>
              <w:top w:val="single" w:sz="4" w:space="0" w:color="auto"/>
              <w:left w:val="single" w:sz="4" w:space="0" w:color="auto"/>
            </w:tcBorders>
            <w:shd w:val="clear" w:color="auto" w:fill="000000" w:themeFill="text1"/>
            <w:tcMar>
              <w:top w:w="10" w:type="dxa"/>
              <w:bottom w:w="10" w:type="dxa"/>
            </w:tcMar>
            <w:vAlign w:val="center"/>
          </w:tcPr>
          <w:p w14:paraId="36A3479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8" w:type="dxa"/>
            <w:tcBorders>
              <w:top w:val="single" w:sz="4" w:space="0" w:color="auto"/>
              <w:left w:val="single" w:sz="4" w:space="0" w:color="auto"/>
            </w:tcBorders>
            <w:shd w:val="clear" w:color="auto" w:fill="000000" w:themeFill="text1"/>
            <w:tcMar>
              <w:top w:w="10" w:type="dxa"/>
              <w:bottom w:w="10" w:type="dxa"/>
            </w:tcMar>
            <w:vAlign w:val="center"/>
          </w:tcPr>
          <w:p w14:paraId="30FDBAE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shd w:val="clear" w:color="auto" w:fill="000000" w:themeFill="text1"/>
            <w:tcMar>
              <w:top w:w="10" w:type="dxa"/>
              <w:bottom w:w="10" w:type="dxa"/>
            </w:tcMar>
            <w:vAlign w:val="center"/>
          </w:tcPr>
          <w:p w14:paraId="10F8FED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shd w:val="clear" w:color="auto" w:fill="000000" w:themeFill="text1"/>
            <w:tcMar>
              <w:top w:w="10" w:type="dxa"/>
              <w:bottom w:w="10" w:type="dxa"/>
            </w:tcMar>
            <w:vAlign w:val="center"/>
          </w:tcPr>
          <w:p w14:paraId="3B55A22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shd w:val="clear" w:color="auto" w:fill="000000" w:themeFill="text1"/>
            <w:tcMar>
              <w:top w:w="10" w:type="dxa"/>
              <w:bottom w:w="10" w:type="dxa"/>
            </w:tcMar>
            <w:vAlign w:val="center"/>
          </w:tcPr>
          <w:p w14:paraId="5F39708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tcBorders>
            <w:shd w:val="clear" w:color="auto" w:fill="000000" w:themeFill="text1"/>
          </w:tcPr>
          <w:p w14:paraId="399FC3A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tcBorders>
            <w:shd w:val="clear" w:color="auto" w:fill="000000" w:themeFill="text1"/>
          </w:tcPr>
          <w:p w14:paraId="41212C1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tcBorders>
            <w:shd w:val="clear" w:color="auto" w:fill="000000" w:themeFill="text1"/>
          </w:tcPr>
          <w:p w14:paraId="30A4589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tcBorders>
            <w:shd w:val="clear" w:color="auto" w:fill="000000" w:themeFill="text1"/>
          </w:tcPr>
          <w:p w14:paraId="2BE6D56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shd w:val="clear" w:color="auto" w:fill="000000" w:themeFill="text1"/>
            <w:tcMar>
              <w:top w:w="10" w:type="dxa"/>
              <w:bottom w:w="10" w:type="dxa"/>
            </w:tcMar>
            <w:vAlign w:val="center"/>
          </w:tcPr>
          <w:p w14:paraId="519657C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shd w:val="clear" w:color="auto" w:fill="000000" w:themeFill="text1"/>
            <w:tcMar>
              <w:top w:w="10" w:type="dxa"/>
              <w:bottom w:w="10" w:type="dxa"/>
            </w:tcMar>
            <w:vAlign w:val="center"/>
          </w:tcPr>
          <w:p w14:paraId="0FB2CC2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shd w:val="clear" w:color="auto" w:fill="000000" w:themeFill="text1"/>
            <w:tcMar>
              <w:top w:w="10" w:type="dxa"/>
              <w:bottom w:w="10" w:type="dxa"/>
            </w:tcMar>
            <w:vAlign w:val="center"/>
          </w:tcPr>
          <w:p w14:paraId="594DEF7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shd w:val="clear" w:color="auto" w:fill="000000" w:themeFill="text1"/>
            <w:tcMar>
              <w:top w:w="10" w:type="dxa"/>
              <w:bottom w:w="10" w:type="dxa"/>
            </w:tcMar>
            <w:vAlign w:val="center"/>
          </w:tcPr>
          <w:p w14:paraId="1DE8B48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tcBorders>
            <w:shd w:val="clear" w:color="auto" w:fill="000000" w:themeFill="text1"/>
            <w:tcMar>
              <w:top w:w="10" w:type="dxa"/>
              <w:bottom w:w="10" w:type="dxa"/>
            </w:tcMar>
            <w:vAlign w:val="center"/>
          </w:tcPr>
          <w:p w14:paraId="0361472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shd w:val="clear" w:color="auto" w:fill="000000" w:themeFill="text1"/>
            <w:tcMar>
              <w:top w:w="10" w:type="dxa"/>
              <w:bottom w:w="10" w:type="dxa"/>
            </w:tcMar>
            <w:vAlign w:val="center"/>
          </w:tcPr>
          <w:p w14:paraId="45F4576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shd w:val="clear" w:color="auto" w:fill="000000" w:themeFill="text1"/>
            <w:tcMar>
              <w:top w:w="10" w:type="dxa"/>
              <w:bottom w:w="10" w:type="dxa"/>
            </w:tcMar>
            <w:vAlign w:val="center"/>
          </w:tcPr>
          <w:p w14:paraId="49CAAE6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shd w:val="clear" w:color="auto" w:fill="000000" w:themeFill="text1"/>
            <w:tcMar>
              <w:top w:w="10" w:type="dxa"/>
              <w:bottom w:w="10" w:type="dxa"/>
            </w:tcMar>
            <w:vAlign w:val="center"/>
          </w:tcPr>
          <w:p w14:paraId="7F91ECB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shd w:val="clear" w:color="auto" w:fill="000000" w:themeFill="text1"/>
            <w:tcMar>
              <w:top w:w="10" w:type="dxa"/>
              <w:bottom w:w="10" w:type="dxa"/>
            </w:tcMar>
            <w:vAlign w:val="center"/>
          </w:tcPr>
          <w:p w14:paraId="1C337BB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shd w:val="clear" w:color="auto" w:fill="000000" w:themeFill="text1"/>
            <w:tcMar>
              <w:top w:w="10" w:type="dxa"/>
              <w:bottom w:w="10" w:type="dxa"/>
            </w:tcMar>
            <w:vAlign w:val="center"/>
          </w:tcPr>
          <w:p w14:paraId="7E1D840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shd w:val="clear" w:color="auto" w:fill="000000" w:themeFill="text1"/>
            <w:tcMar>
              <w:top w:w="10" w:type="dxa"/>
              <w:bottom w:w="10" w:type="dxa"/>
            </w:tcMar>
            <w:vAlign w:val="center"/>
          </w:tcPr>
          <w:p w14:paraId="4D5EE00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shd w:val="clear" w:color="auto" w:fill="000000" w:themeFill="text1"/>
            <w:tcMar>
              <w:top w:w="10" w:type="dxa"/>
              <w:bottom w:w="10" w:type="dxa"/>
            </w:tcMar>
            <w:vAlign w:val="center"/>
          </w:tcPr>
          <w:p w14:paraId="4BC449B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shd w:val="clear" w:color="auto" w:fill="000000" w:themeFill="text1"/>
            <w:tcMar>
              <w:top w:w="10" w:type="dxa"/>
              <w:bottom w:w="10" w:type="dxa"/>
            </w:tcMar>
            <w:vAlign w:val="center"/>
          </w:tcPr>
          <w:p w14:paraId="444D235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shd w:val="clear" w:color="auto" w:fill="000000" w:themeFill="text1"/>
            <w:tcMar>
              <w:top w:w="10" w:type="dxa"/>
              <w:bottom w:w="10" w:type="dxa"/>
            </w:tcMar>
            <w:vAlign w:val="center"/>
          </w:tcPr>
          <w:p w14:paraId="5E52628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shd w:val="clear" w:color="auto" w:fill="000000" w:themeFill="text1"/>
            <w:tcMar>
              <w:top w:w="10" w:type="dxa"/>
              <w:bottom w:w="10" w:type="dxa"/>
            </w:tcMar>
            <w:vAlign w:val="center"/>
          </w:tcPr>
          <w:p w14:paraId="1999BFC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shd w:val="clear" w:color="auto" w:fill="000000" w:themeFill="text1"/>
            <w:tcMar>
              <w:top w:w="10" w:type="dxa"/>
              <w:bottom w:w="10" w:type="dxa"/>
            </w:tcMar>
            <w:vAlign w:val="center"/>
          </w:tcPr>
          <w:p w14:paraId="3A5F627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tcBorders>
            <w:shd w:val="clear" w:color="auto" w:fill="auto"/>
            <w:tcMar>
              <w:top w:w="10" w:type="dxa"/>
              <w:bottom w:w="10" w:type="dxa"/>
            </w:tcMar>
            <w:vAlign w:val="center"/>
          </w:tcPr>
          <w:p w14:paraId="7850CD3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shd w:val="clear" w:color="auto" w:fill="auto"/>
            <w:tcMar>
              <w:top w:w="10" w:type="dxa"/>
              <w:bottom w:w="10" w:type="dxa"/>
            </w:tcMar>
            <w:vAlign w:val="center"/>
          </w:tcPr>
          <w:p w14:paraId="4EDD7EF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shd w:val="clear" w:color="auto" w:fill="auto"/>
            <w:tcMar>
              <w:top w:w="10" w:type="dxa"/>
              <w:bottom w:w="10" w:type="dxa"/>
            </w:tcMar>
            <w:vAlign w:val="center"/>
          </w:tcPr>
          <w:p w14:paraId="225D78D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shd w:val="clear" w:color="auto" w:fill="auto"/>
            <w:tcMar>
              <w:top w:w="10" w:type="dxa"/>
              <w:bottom w:w="10" w:type="dxa"/>
            </w:tcMar>
            <w:vAlign w:val="center"/>
          </w:tcPr>
          <w:p w14:paraId="76F0B9A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shd w:val="clear" w:color="auto" w:fill="auto"/>
            <w:tcMar>
              <w:top w:w="10" w:type="dxa"/>
              <w:bottom w:w="10" w:type="dxa"/>
            </w:tcMar>
            <w:vAlign w:val="center"/>
          </w:tcPr>
          <w:p w14:paraId="0C0EF95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shd w:val="clear" w:color="auto" w:fill="auto"/>
            <w:tcMar>
              <w:top w:w="10" w:type="dxa"/>
              <w:bottom w:w="10" w:type="dxa"/>
            </w:tcMar>
            <w:vAlign w:val="center"/>
          </w:tcPr>
          <w:p w14:paraId="35801E9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356CCC07" w14:textId="77777777">
        <w:trPr>
          <w:trHeight w:val="20"/>
        </w:trPr>
        <w:tc>
          <w:tcPr>
            <w:tcW w:w="234" w:type="dxa"/>
            <w:tcBorders>
              <w:top w:val="single" w:sz="4" w:space="0" w:color="auto"/>
              <w:left w:val="single" w:sz="4" w:space="0" w:color="auto"/>
            </w:tcBorders>
            <w:tcMar>
              <w:top w:w="10" w:type="dxa"/>
              <w:bottom w:w="10" w:type="dxa"/>
            </w:tcMar>
            <w:vAlign w:val="center"/>
          </w:tcPr>
          <w:p w14:paraId="439CD4CA"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28</w:t>
            </w:r>
          </w:p>
        </w:tc>
        <w:tc>
          <w:tcPr>
            <w:tcW w:w="2258" w:type="dxa"/>
            <w:tcBorders>
              <w:top w:val="single" w:sz="4" w:space="0" w:color="auto"/>
              <w:left w:val="single" w:sz="4" w:space="0" w:color="auto"/>
            </w:tcBorders>
            <w:tcMar>
              <w:top w:w="10" w:type="dxa"/>
              <w:bottom w:w="10" w:type="dxa"/>
            </w:tcMar>
            <w:vAlign w:val="center"/>
          </w:tcPr>
          <w:p w14:paraId="729C294A" w14:textId="77777777" w:rsidR="006561BA" w:rsidRDefault="005B4ED6">
            <w:pPr>
              <w:widowControl w:val="0"/>
              <w:shd w:val="clear" w:color="auto" w:fill="auto"/>
              <w:spacing w:after="0" w:line="240" w:lineRule="auto"/>
              <w:ind w:left="80"/>
              <w:jc w:val="left"/>
              <w:rPr>
                <w:rFonts w:ascii="Helvetica" w:eastAsia="Arial Unicode MS" w:hAnsi="Helvetica" w:cs="Helvetica"/>
                <w:b/>
                <w:color w:val="000000"/>
                <w:sz w:val="6"/>
                <w:szCs w:val="6"/>
              </w:rPr>
            </w:pPr>
            <w:r>
              <w:rPr>
                <w:rFonts w:ascii="Helvetica" w:hAnsi="Helvetica"/>
                <w:b/>
                <w:color w:val="000000"/>
                <w:sz w:val="6"/>
              </w:rPr>
              <w:t>Finansiering til lokale myndigheter</w:t>
            </w:r>
          </w:p>
        </w:tc>
        <w:tc>
          <w:tcPr>
            <w:tcW w:w="304" w:type="dxa"/>
            <w:tcBorders>
              <w:top w:val="single" w:sz="4" w:space="0" w:color="auto"/>
              <w:left w:val="single" w:sz="4" w:space="0" w:color="auto"/>
            </w:tcBorders>
            <w:tcMar>
              <w:top w:w="10" w:type="dxa"/>
              <w:bottom w:w="10" w:type="dxa"/>
            </w:tcMar>
            <w:vAlign w:val="center"/>
          </w:tcPr>
          <w:p w14:paraId="6BE8E8E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8" w:type="dxa"/>
            <w:tcBorders>
              <w:top w:val="single" w:sz="4" w:space="0" w:color="auto"/>
              <w:left w:val="single" w:sz="4" w:space="0" w:color="auto"/>
            </w:tcBorders>
            <w:tcMar>
              <w:top w:w="10" w:type="dxa"/>
              <w:bottom w:w="10" w:type="dxa"/>
            </w:tcMar>
            <w:vAlign w:val="center"/>
          </w:tcPr>
          <w:p w14:paraId="613BCAD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4DE1B41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66C66DE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6572524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left w:val="single" w:sz="4" w:space="0" w:color="auto"/>
              <w:right w:val="single" w:sz="4" w:space="0" w:color="auto"/>
            </w:tcBorders>
          </w:tcPr>
          <w:p w14:paraId="6DCBBCE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left w:val="single" w:sz="4" w:space="0" w:color="auto"/>
            </w:tcBorders>
          </w:tcPr>
          <w:p w14:paraId="3C1A792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left w:val="single" w:sz="4" w:space="0" w:color="auto"/>
            </w:tcBorders>
          </w:tcPr>
          <w:p w14:paraId="5EA5BC0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left w:val="single" w:sz="4" w:space="0" w:color="auto"/>
            </w:tcBorders>
          </w:tcPr>
          <w:p w14:paraId="172B5EF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left w:val="single" w:sz="4" w:space="0" w:color="auto"/>
            </w:tcBorders>
            <w:tcMar>
              <w:top w:w="10" w:type="dxa"/>
              <w:bottom w:w="10" w:type="dxa"/>
            </w:tcMar>
            <w:vAlign w:val="center"/>
          </w:tcPr>
          <w:p w14:paraId="75E6FE5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left w:val="single" w:sz="4" w:space="0" w:color="auto"/>
            </w:tcBorders>
            <w:tcMar>
              <w:top w:w="10" w:type="dxa"/>
              <w:bottom w:w="10" w:type="dxa"/>
            </w:tcMar>
            <w:vAlign w:val="center"/>
          </w:tcPr>
          <w:p w14:paraId="39B792C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left w:val="single" w:sz="4" w:space="0" w:color="auto"/>
            </w:tcBorders>
            <w:tcMar>
              <w:top w:w="10" w:type="dxa"/>
              <w:bottom w:w="10" w:type="dxa"/>
            </w:tcMar>
            <w:vAlign w:val="center"/>
          </w:tcPr>
          <w:p w14:paraId="5286302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left w:val="single" w:sz="4" w:space="0" w:color="auto"/>
            </w:tcBorders>
            <w:tcMar>
              <w:top w:w="10" w:type="dxa"/>
              <w:bottom w:w="10" w:type="dxa"/>
            </w:tcMar>
            <w:vAlign w:val="center"/>
          </w:tcPr>
          <w:p w14:paraId="00F26F4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6FA3131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5E1F2FB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6D76823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766EE9D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left w:val="single" w:sz="4" w:space="0" w:color="auto"/>
            </w:tcBorders>
            <w:tcMar>
              <w:top w:w="10" w:type="dxa"/>
              <w:bottom w:w="10" w:type="dxa"/>
            </w:tcMar>
            <w:vAlign w:val="center"/>
          </w:tcPr>
          <w:p w14:paraId="180E109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left w:val="single" w:sz="4" w:space="0" w:color="auto"/>
            </w:tcBorders>
            <w:tcMar>
              <w:top w:w="10" w:type="dxa"/>
              <w:bottom w:w="10" w:type="dxa"/>
            </w:tcMar>
            <w:vAlign w:val="center"/>
          </w:tcPr>
          <w:p w14:paraId="6E9E18F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left w:val="single" w:sz="4" w:space="0" w:color="auto"/>
            </w:tcBorders>
            <w:tcMar>
              <w:top w:w="10" w:type="dxa"/>
              <w:bottom w:w="10" w:type="dxa"/>
            </w:tcMar>
            <w:vAlign w:val="center"/>
          </w:tcPr>
          <w:p w14:paraId="42316FF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left w:val="single" w:sz="4" w:space="0" w:color="auto"/>
            </w:tcBorders>
            <w:tcMar>
              <w:top w:w="10" w:type="dxa"/>
              <w:bottom w:w="10" w:type="dxa"/>
            </w:tcMar>
            <w:vAlign w:val="center"/>
          </w:tcPr>
          <w:p w14:paraId="7DA1FAD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left w:val="single" w:sz="4" w:space="0" w:color="auto"/>
            </w:tcBorders>
            <w:tcMar>
              <w:top w:w="10" w:type="dxa"/>
              <w:bottom w:w="10" w:type="dxa"/>
            </w:tcMar>
            <w:vAlign w:val="center"/>
          </w:tcPr>
          <w:p w14:paraId="4A22458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left w:val="single" w:sz="4" w:space="0" w:color="auto"/>
            </w:tcBorders>
            <w:tcMar>
              <w:top w:w="10" w:type="dxa"/>
              <w:bottom w:w="10" w:type="dxa"/>
            </w:tcMar>
            <w:vAlign w:val="center"/>
          </w:tcPr>
          <w:p w14:paraId="1FD24A7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left w:val="single" w:sz="4" w:space="0" w:color="auto"/>
            </w:tcBorders>
            <w:tcMar>
              <w:top w:w="10" w:type="dxa"/>
              <w:bottom w:w="10" w:type="dxa"/>
            </w:tcMar>
            <w:vAlign w:val="center"/>
          </w:tcPr>
          <w:p w14:paraId="617EE1A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left w:val="single" w:sz="4" w:space="0" w:color="auto"/>
            </w:tcBorders>
            <w:tcMar>
              <w:top w:w="10" w:type="dxa"/>
              <w:bottom w:w="10" w:type="dxa"/>
            </w:tcMar>
            <w:vAlign w:val="center"/>
          </w:tcPr>
          <w:p w14:paraId="5BA3FFF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3D9F6BF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27FDB64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4B46899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6C18A6B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08BFA96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3BD354E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659BA2D2" w14:textId="77777777">
        <w:trPr>
          <w:trHeight w:val="20"/>
        </w:trPr>
        <w:tc>
          <w:tcPr>
            <w:tcW w:w="234" w:type="dxa"/>
            <w:tcBorders>
              <w:top w:val="single" w:sz="4" w:space="0" w:color="auto"/>
              <w:left w:val="single" w:sz="4" w:space="0" w:color="auto"/>
            </w:tcBorders>
            <w:tcMar>
              <w:top w:w="10" w:type="dxa"/>
              <w:bottom w:w="10" w:type="dxa"/>
            </w:tcMar>
            <w:vAlign w:val="center"/>
          </w:tcPr>
          <w:p w14:paraId="29DC058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29</w:t>
            </w:r>
          </w:p>
        </w:tc>
        <w:tc>
          <w:tcPr>
            <w:tcW w:w="2258" w:type="dxa"/>
            <w:tcBorders>
              <w:top w:val="single" w:sz="4" w:space="0" w:color="auto"/>
              <w:left w:val="single" w:sz="4" w:space="0" w:color="auto"/>
            </w:tcBorders>
            <w:tcMar>
              <w:top w:w="10" w:type="dxa"/>
              <w:bottom w:w="10" w:type="dxa"/>
            </w:tcMar>
            <w:vAlign w:val="center"/>
          </w:tcPr>
          <w:p w14:paraId="78CCF5D7" w14:textId="77777777" w:rsidR="006561BA" w:rsidRDefault="005B4ED6">
            <w:pPr>
              <w:widowControl w:val="0"/>
              <w:shd w:val="clear" w:color="auto" w:fill="auto"/>
              <w:spacing w:after="0" w:line="240" w:lineRule="auto"/>
              <w:ind w:left="164"/>
              <w:jc w:val="left"/>
              <w:rPr>
                <w:rFonts w:ascii="Helvetica" w:eastAsia="Arial Unicode MS" w:hAnsi="Helvetica" w:cs="Helvetica"/>
                <w:color w:val="212121"/>
                <w:sz w:val="6"/>
                <w:szCs w:val="6"/>
              </w:rPr>
            </w:pPr>
            <w:r>
              <w:rPr>
                <w:rFonts w:ascii="Helvetica" w:hAnsi="Helvetica"/>
                <w:color w:val="212121"/>
                <w:sz w:val="6"/>
              </w:rPr>
              <w:t>Boligfinansiering</w:t>
            </w:r>
          </w:p>
        </w:tc>
        <w:tc>
          <w:tcPr>
            <w:tcW w:w="304" w:type="dxa"/>
            <w:tcBorders>
              <w:top w:val="single" w:sz="4" w:space="0" w:color="auto"/>
              <w:left w:val="single" w:sz="4" w:space="0" w:color="auto"/>
            </w:tcBorders>
            <w:tcMar>
              <w:top w:w="10" w:type="dxa"/>
              <w:bottom w:w="10" w:type="dxa"/>
            </w:tcMar>
            <w:vAlign w:val="center"/>
          </w:tcPr>
          <w:p w14:paraId="6A00253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8" w:type="dxa"/>
            <w:tcBorders>
              <w:top w:val="single" w:sz="4" w:space="0" w:color="auto"/>
              <w:left w:val="single" w:sz="4" w:space="0" w:color="auto"/>
            </w:tcBorders>
            <w:tcMar>
              <w:top w:w="10" w:type="dxa"/>
              <w:bottom w:w="10" w:type="dxa"/>
            </w:tcMar>
            <w:vAlign w:val="center"/>
          </w:tcPr>
          <w:p w14:paraId="22A1001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158DE41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tcBorders>
            <w:tcMar>
              <w:top w:w="10" w:type="dxa"/>
              <w:bottom w:w="10" w:type="dxa"/>
            </w:tcMar>
            <w:vAlign w:val="center"/>
          </w:tcPr>
          <w:p w14:paraId="7F7385B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tcBorders>
            <w:tcMar>
              <w:top w:w="10" w:type="dxa"/>
              <w:bottom w:w="10" w:type="dxa"/>
            </w:tcMar>
            <w:vAlign w:val="center"/>
          </w:tcPr>
          <w:p w14:paraId="0DDCBA8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right w:val="single" w:sz="4" w:space="0" w:color="auto"/>
            </w:tcBorders>
          </w:tcPr>
          <w:p w14:paraId="67EBD39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5D20EA7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52CFFAA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Pr>
          <w:p w14:paraId="0FCF923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29290EA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2723681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145C40C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tcBorders>
            <w:tcMar>
              <w:top w:w="10" w:type="dxa"/>
              <w:bottom w:w="10" w:type="dxa"/>
            </w:tcMar>
            <w:vAlign w:val="center"/>
          </w:tcPr>
          <w:p w14:paraId="322CC0C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tcBorders>
            <w:tcMar>
              <w:top w:w="10" w:type="dxa"/>
              <w:bottom w:w="10" w:type="dxa"/>
            </w:tcMar>
            <w:vAlign w:val="center"/>
          </w:tcPr>
          <w:p w14:paraId="79ED0AA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tcBorders>
            <w:tcMar>
              <w:top w:w="10" w:type="dxa"/>
              <w:bottom w:w="10" w:type="dxa"/>
            </w:tcMar>
            <w:vAlign w:val="center"/>
          </w:tcPr>
          <w:p w14:paraId="15BF945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tcBorders>
            <w:tcMar>
              <w:top w:w="10" w:type="dxa"/>
              <w:bottom w:w="10" w:type="dxa"/>
            </w:tcMar>
            <w:vAlign w:val="center"/>
          </w:tcPr>
          <w:p w14:paraId="71ABCE5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tcBorders>
            <w:tcMar>
              <w:top w:w="10" w:type="dxa"/>
              <w:bottom w:w="10" w:type="dxa"/>
            </w:tcMar>
            <w:vAlign w:val="center"/>
          </w:tcPr>
          <w:p w14:paraId="6718950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tcBorders>
            <w:tcMar>
              <w:top w:w="10" w:type="dxa"/>
              <w:bottom w:w="10" w:type="dxa"/>
            </w:tcMar>
            <w:vAlign w:val="center"/>
          </w:tcPr>
          <w:p w14:paraId="351B412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71A06EA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tcBorders>
            <w:tcMar>
              <w:top w:w="10" w:type="dxa"/>
              <w:bottom w:w="10" w:type="dxa"/>
            </w:tcMar>
            <w:vAlign w:val="center"/>
          </w:tcPr>
          <w:p w14:paraId="32C200E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tcBorders>
            <w:tcMar>
              <w:top w:w="10" w:type="dxa"/>
              <w:bottom w:w="10" w:type="dxa"/>
            </w:tcMar>
            <w:vAlign w:val="center"/>
          </w:tcPr>
          <w:p w14:paraId="57AA01C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tcBorders>
            <w:tcMar>
              <w:top w:w="10" w:type="dxa"/>
              <w:bottom w:w="10" w:type="dxa"/>
            </w:tcMar>
            <w:vAlign w:val="center"/>
          </w:tcPr>
          <w:p w14:paraId="3012F0E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tcBorders>
            <w:tcMar>
              <w:top w:w="10" w:type="dxa"/>
              <w:bottom w:w="10" w:type="dxa"/>
            </w:tcMar>
            <w:vAlign w:val="center"/>
          </w:tcPr>
          <w:p w14:paraId="61B1B8C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tcBorders>
            <w:tcMar>
              <w:top w:w="10" w:type="dxa"/>
              <w:bottom w:w="10" w:type="dxa"/>
            </w:tcMar>
            <w:vAlign w:val="center"/>
          </w:tcPr>
          <w:p w14:paraId="7A0B37E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tcBorders>
            <w:tcMar>
              <w:top w:w="10" w:type="dxa"/>
              <w:bottom w:w="10" w:type="dxa"/>
            </w:tcMar>
            <w:vAlign w:val="center"/>
          </w:tcPr>
          <w:p w14:paraId="1B6BC7C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tcBorders>
            <w:tcMar>
              <w:top w:w="10" w:type="dxa"/>
              <w:bottom w:w="10" w:type="dxa"/>
            </w:tcMar>
            <w:vAlign w:val="center"/>
          </w:tcPr>
          <w:p w14:paraId="10DBB55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tcBorders>
            <w:tcMar>
              <w:top w:w="10" w:type="dxa"/>
              <w:bottom w:w="10" w:type="dxa"/>
            </w:tcMar>
            <w:vAlign w:val="center"/>
          </w:tcPr>
          <w:p w14:paraId="57C8D69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tcBorders>
            <w:tcMar>
              <w:top w:w="10" w:type="dxa"/>
              <w:bottom w:w="10" w:type="dxa"/>
            </w:tcMar>
            <w:vAlign w:val="center"/>
          </w:tcPr>
          <w:p w14:paraId="4EDC849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tcBorders>
            <w:tcMar>
              <w:top w:w="10" w:type="dxa"/>
              <w:bottom w:w="10" w:type="dxa"/>
            </w:tcMar>
            <w:vAlign w:val="center"/>
          </w:tcPr>
          <w:p w14:paraId="7CD68D3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tcBorders>
            <w:tcMar>
              <w:top w:w="10" w:type="dxa"/>
              <w:bottom w:w="10" w:type="dxa"/>
            </w:tcMar>
            <w:vAlign w:val="center"/>
          </w:tcPr>
          <w:p w14:paraId="4DF5197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4EDF3FB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r w:rsidR="006561BA" w14:paraId="370F58D0" w14:textId="77777777">
        <w:trPr>
          <w:trHeight w:val="20"/>
        </w:trPr>
        <w:tc>
          <w:tcPr>
            <w:tcW w:w="234" w:type="dxa"/>
            <w:tcBorders>
              <w:top w:val="single" w:sz="4" w:space="0" w:color="auto"/>
              <w:left w:val="single" w:sz="4" w:space="0" w:color="auto"/>
            </w:tcBorders>
            <w:tcMar>
              <w:top w:w="10" w:type="dxa"/>
              <w:bottom w:w="10" w:type="dxa"/>
            </w:tcMar>
            <w:vAlign w:val="center"/>
          </w:tcPr>
          <w:p w14:paraId="1EC2489A"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30</w:t>
            </w:r>
          </w:p>
        </w:tc>
        <w:tc>
          <w:tcPr>
            <w:tcW w:w="2258" w:type="dxa"/>
            <w:tcBorders>
              <w:top w:val="single" w:sz="4" w:space="0" w:color="auto"/>
              <w:left w:val="single" w:sz="4" w:space="0" w:color="auto"/>
            </w:tcBorders>
            <w:tcMar>
              <w:top w:w="10" w:type="dxa"/>
              <w:bottom w:w="10" w:type="dxa"/>
            </w:tcMar>
            <w:vAlign w:val="center"/>
          </w:tcPr>
          <w:p w14:paraId="1E680E85" w14:textId="77777777" w:rsidR="006561BA" w:rsidRDefault="005B4ED6">
            <w:pPr>
              <w:widowControl w:val="0"/>
              <w:shd w:val="clear" w:color="auto" w:fill="auto"/>
              <w:spacing w:after="0" w:line="240" w:lineRule="auto"/>
              <w:ind w:left="164"/>
              <w:jc w:val="left"/>
              <w:rPr>
                <w:rFonts w:ascii="Helvetica" w:eastAsia="Arial Unicode MS" w:hAnsi="Helvetica" w:cs="Helvetica"/>
                <w:color w:val="212121"/>
                <w:sz w:val="6"/>
                <w:szCs w:val="6"/>
              </w:rPr>
            </w:pPr>
            <w:r>
              <w:rPr>
                <w:rFonts w:ascii="Helvetica" w:hAnsi="Helvetica"/>
                <w:color w:val="212121"/>
                <w:sz w:val="6"/>
              </w:rPr>
              <w:t>Annen finansiering av lokale myndigheter</w:t>
            </w:r>
          </w:p>
        </w:tc>
        <w:tc>
          <w:tcPr>
            <w:tcW w:w="304" w:type="dxa"/>
            <w:tcBorders>
              <w:top w:val="single" w:sz="4" w:space="0" w:color="auto"/>
              <w:left w:val="single" w:sz="4" w:space="0" w:color="auto"/>
            </w:tcBorders>
            <w:tcMar>
              <w:top w:w="10" w:type="dxa"/>
              <w:bottom w:w="10" w:type="dxa"/>
            </w:tcMar>
            <w:vAlign w:val="center"/>
          </w:tcPr>
          <w:p w14:paraId="1901BE3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8" w:type="dxa"/>
            <w:tcBorders>
              <w:top w:val="single" w:sz="4" w:space="0" w:color="auto"/>
              <w:left w:val="single" w:sz="4" w:space="0" w:color="auto"/>
            </w:tcBorders>
            <w:tcMar>
              <w:top w:w="10" w:type="dxa"/>
              <w:bottom w:w="10" w:type="dxa"/>
            </w:tcMar>
            <w:vAlign w:val="center"/>
          </w:tcPr>
          <w:p w14:paraId="72EBED4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5FFB4CD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0" w:type="dxa"/>
            <w:tcBorders>
              <w:top w:val="single" w:sz="4" w:space="0" w:color="auto"/>
              <w:left w:val="single" w:sz="4" w:space="0" w:color="auto"/>
            </w:tcBorders>
            <w:tcMar>
              <w:top w:w="10" w:type="dxa"/>
              <w:bottom w:w="10" w:type="dxa"/>
            </w:tcMar>
            <w:vAlign w:val="center"/>
          </w:tcPr>
          <w:p w14:paraId="46C05C1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4" w:type="dxa"/>
            <w:tcBorders>
              <w:top w:val="single" w:sz="4" w:space="0" w:color="auto"/>
              <w:left w:val="single" w:sz="4" w:space="0" w:color="auto"/>
            </w:tcBorders>
            <w:tcMar>
              <w:top w:w="10" w:type="dxa"/>
              <w:bottom w:w="10" w:type="dxa"/>
            </w:tcMar>
            <w:vAlign w:val="center"/>
          </w:tcPr>
          <w:p w14:paraId="5C99420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right w:val="single" w:sz="4" w:space="0" w:color="auto"/>
            </w:tcBorders>
          </w:tcPr>
          <w:p w14:paraId="7E8713C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1F0EC88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1530D4D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0D61189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60FA0BD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73A4F18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19D37BC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5" w:type="dxa"/>
            <w:tcBorders>
              <w:top w:val="single" w:sz="4" w:space="0" w:color="auto"/>
              <w:left w:val="single" w:sz="4" w:space="0" w:color="auto"/>
            </w:tcBorders>
            <w:tcMar>
              <w:top w:w="10" w:type="dxa"/>
              <w:bottom w:w="10" w:type="dxa"/>
            </w:tcMar>
            <w:vAlign w:val="center"/>
          </w:tcPr>
          <w:p w14:paraId="614034C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2" w:type="dxa"/>
            <w:tcBorders>
              <w:top w:val="single" w:sz="4" w:space="0" w:color="auto"/>
              <w:left w:val="single" w:sz="4" w:space="0" w:color="auto"/>
            </w:tcBorders>
            <w:tcMar>
              <w:top w:w="10" w:type="dxa"/>
              <w:bottom w:w="10" w:type="dxa"/>
            </w:tcMar>
            <w:vAlign w:val="center"/>
          </w:tcPr>
          <w:p w14:paraId="77353B3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502E6C8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20072B8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4E1D866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7" w:type="dxa"/>
            <w:tcBorders>
              <w:top w:val="single" w:sz="4" w:space="0" w:color="auto"/>
              <w:left w:val="single" w:sz="4" w:space="0" w:color="auto"/>
            </w:tcBorders>
            <w:tcMar>
              <w:top w:w="10" w:type="dxa"/>
              <w:bottom w:w="10" w:type="dxa"/>
            </w:tcMar>
            <w:vAlign w:val="center"/>
          </w:tcPr>
          <w:p w14:paraId="5DB9E54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3F9D8FB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4" w:type="dxa"/>
            <w:tcBorders>
              <w:top w:val="single" w:sz="4" w:space="0" w:color="auto"/>
              <w:left w:val="single" w:sz="4" w:space="0" w:color="auto"/>
            </w:tcBorders>
            <w:tcMar>
              <w:top w:w="10" w:type="dxa"/>
              <w:bottom w:w="10" w:type="dxa"/>
            </w:tcMar>
            <w:vAlign w:val="center"/>
          </w:tcPr>
          <w:p w14:paraId="1A9E23F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6" w:type="dxa"/>
            <w:tcBorders>
              <w:top w:val="single" w:sz="4" w:space="0" w:color="auto"/>
              <w:left w:val="single" w:sz="4" w:space="0" w:color="auto"/>
            </w:tcBorders>
            <w:tcMar>
              <w:top w:w="10" w:type="dxa"/>
              <w:bottom w:w="10" w:type="dxa"/>
            </w:tcMar>
            <w:vAlign w:val="center"/>
          </w:tcPr>
          <w:p w14:paraId="3FD56F3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0" w:type="dxa"/>
            <w:tcBorders>
              <w:top w:val="single" w:sz="4" w:space="0" w:color="auto"/>
              <w:left w:val="single" w:sz="4" w:space="0" w:color="auto"/>
            </w:tcBorders>
            <w:tcMar>
              <w:top w:w="10" w:type="dxa"/>
              <w:bottom w:w="10" w:type="dxa"/>
            </w:tcMar>
            <w:vAlign w:val="center"/>
          </w:tcPr>
          <w:p w14:paraId="7A18D10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25179B9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0" w:type="dxa"/>
            <w:tcBorders>
              <w:top w:val="single" w:sz="4" w:space="0" w:color="auto"/>
              <w:left w:val="single" w:sz="4" w:space="0" w:color="auto"/>
            </w:tcBorders>
            <w:tcMar>
              <w:top w:w="10" w:type="dxa"/>
              <w:bottom w:w="10" w:type="dxa"/>
            </w:tcMar>
            <w:vAlign w:val="center"/>
          </w:tcPr>
          <w:p w14:paraId="15B7A8C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88" w:type="dxa"/>
            <w:tcBorders>
              <w:top w:val="single" w:sz="4" w:space="0" w:color="auto"/>
              <w:left w:val="single" w:sz="4" w:space="0" w:color="auto"/>
            </w:tcBorders>
            <w:tcMar>
              <w:top w:w="10" w:type="dxa"/>
              <w:bottom w:w="10" w:type="dxa"/>
            </w:tcMar>
            <w:vAlign w:val="center"/>
          </w:tcPr>
          <w:p w14:paraId="41D2760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4206593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8" w:type="dxa"/>
            <w:tcBorders>
              <w:top w:val="single" w:sz="4" w:space="0" w:color="auto"/>
              <w:left w:val="single" w:sz="4" w:space="0" w:color="auto"/>
            </w:tcBorders>
            <w:tcMar>
              <w:top w:w="10" w:type="dxa"/>
              <w:bottom w:w="10" w:type="dxa"/>
            </w:tcMar>
            <w:vAlign w:val="center"/>
          </w:tcPr>
          <w:p w14:paraId="089A2E3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96" w:type="dxa"/>
            <w:tcBorders>
              <w:top w:val="single" w:sz="4" w:space="0" w:color="auto"/>
              <w:left w:val="single" w:sz="4" w:space="0" w:color="auto"/>
            </w:tcBorders>
            <w:tcMar>
              <w:top w:w="10" w:type="dxa"/>
              <w:bottom w:w="10" w:type="dxa"/>
            </w:tcMar>
            <w:vAlign w:val="center"/>
          </w:tcPr>
          <w:p w14:paraId="1DEB982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56" w:type="dxa"/>
            <w:tcBorders>
              <w:top w:val="single" w:sz="4" w:space="0" w:color="auto"/>
              <w:left w:val="single" w:sz="4" w:space="0" w:color="auto"/>
            </w:tcBorders>
            <w:tcMar>
              <w:top w:w="10" w:type="dxa"/>
              <w:bottom w:w="10" w:type="dxa"/>
            </w:tcMar>
            <w:vAlign w:val="center"/>
          </w:tcPr>
          <w:p w14:paraId="72399F8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 w:type="dxa"/>
            <w:tcBorders>
              <w:top w:val="single" w:sz="4" w:space="0" w:color="auto"/>
              <w:left w:val="single" w:sz="4" w:space="0" w:color="auto"/>
            </w:tcBorders>
            <w:tcMar>
              <w:top w:w="10" w:type="dxa"/>
              <w:bottom w:w="10" w:type="dxa"/>
            </w:tcMar>
            <w:vAlign w:val="center"/>
          </w:tcPr>
          <w:p w14:paraId="27AB070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6739FF9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4B09044A" w14:textId="77777777">
        <w:trPr>
          <w:trHeight w:val="20"/>
        </w:trPr>
        <w:tc>
          <w:tcPr>
            <w:tcW w:w="234" w:type="dxa"/>
            <w:tcBorders>
              <w:top w:val="single" w:sz="4" w:space="0" w:color="auto"/>
              <w:left w:val="single" w:sz="4" w:space="0" w:color="auto"/>
            </w:tcBorders>
            <w:tcMar>
              <w:top w:w="10" w:type="dxa"/>
              <w:bottom w:w="10" w:type="dxa"/>
            </w:tcMar>
            <w:vAlign w:val="center"/>
          </w:tcPr>
          <w:p w14:paraId="62CF014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31</w:t>
            </w:r>
          </w:p>
        </w:tc>
        <w:tc>
          <w:tcPr>
            <w:tcW w:w="2258" w:type="dxa"/>
            <w:tcBorders>
              <w:top w:val="single" w:sz="4" w:space="0" w:color="auto"/>
              <w:left w:val="single" w:sz="4" w:space="0" w:color="auto"/>
            </w:tcBorders>
            <w:tcMar>
              <w:top w:w="10" w:type="dxa"/>
              <w:bottom w:w="10" w:type="dxa"/>
            </w:tcMar>
            <w:vAlign w:val="center"/>
          </w:tcPr>
          <w:p w14:paraId="3A71A35E" w14:textId="77777777" w:rsidR="006561BA" w:rsidRDefault="005B4ED6">
            <w:pPr>
              <w:widowControl w:val="0"/>
              <w:shd w:val="clear" w:color="auto" w:fill="auto"/>
              <w:spacing w:after="0" w:line="240" w:lineRule="auto"/>
              <w:ind w:left="80"/>
              <w:jc w:val="left"/>
              <w:rPr>
                <w:rFonts w:ascii="Helvetica" w:eastAsia="Arial Unicode MS" w:hAnsi="Helvetica" w:cs="Helvetica"/>
                <w:b/>
                <w:color w:val="000000"/>
                <w:sz w:val="6"/>
                <w:szCs w:val="6"/>
              </w:rPr>
            </w:pPr>
            <w:r>
              <w:rPr>
                <w:rFonts w:ascii="Helvetica" w:hAnsi="Helvetica"/>
                <w:b/>
                <w:color w:val="000000"/>
                <w:sz w:val="6"/>
              </w:rPr>
              <w:t>Overtatte sikkerheter: bolig- og næringseiendommer</w:t>
            </w:r>
          </w:p>
        </w:tc>
        <w:tc>
          <w:tcPr>
            <w:tcW w:w="304" w:type="dxa"/>
            <w:tcBorders>
              <w:top w:val="single" w:sz="4" w:space="0" w:color="auto"/>
              <w:left w:val="single" w:sz="4" w:space="0" w:color="auto"/>
            </w:tcBorders>
            <w:tcMar>
              <w:top w:w="10" w:type="dxa"/>
              <w:bottom w:w="10" w:type="dxa"/>
            </w:tcMar>
            <w:vAlign w:val="center"/>
          </w:tcPr>
          <w:p w14:paraId="3495100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8" w:type="dxa"/>
            <w:tcBorders>
              <w:top w:val="single" w:sz="4" w:space="0" w:color="auto"/>
              <w:left w:val="single" w:sz="4" w:space="0" w:color="auto"/>
            </w:tcBorders>
            <w:tcMar>
              <w:top w:w="10" w:type="dxa"/>
              <w:bottom w:w="10" w:type="dxa"/>
            </w:tcMar>
            <w:vAlign w:val="center"/>
          </w:tcPr>
          <w:p w14:paraId="5595F12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74515FF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0" w:type="dxa"/>
            <w:tcBorders>
              <w:top w:val="single" w:sz="4" w:space="0" w:color="auto"/>
              <w:left w:val="single" w:sz="4" w:space="0" w:color="auto"/>
            </w:tcBorders>
            <w:tcMar>
              <w:top w:w="10" w:type="dxa"/>
              <w:bottom w:w="10" w:type="dxa"/>
            </w:tcMar>
            <w:vAlign w:val="center"/>
          </w:tcPr>
          <w:p w14:paraId="70DBC87E"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4" w:type="dxa"/>
            <w:tcBorders>
              <w:top w:val="single" w:sz="4" w:space="0" w:color="auto"/>
              <w:left w:val="single" w:sz="4" w:space="0" w:color="auto"/>
            </w:tcBorders>
            <w:tcMar>
              <w:top w:w="10" w:type="dxa"/>
              <w:bottom w:w="10" w:type="dxa"/>
            </w:tcMar>
            <w:vAlign w:val="center"/>
          </w:tcPr>
          <w:p w14:paraId="3AA77F7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right w:val="single" w:sz="4" w:space="0" w:color="auto"/>
            </w:tcBorders>
          </w:tcPr>
          <w:p w14:paraId="46D29FA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19446B5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70D6CAF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Pr>
          <w:p w14:paraId="7B36125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646A89E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6639CF0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52C7B3B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5" w:type="dxa"/>
            <w:tcBorders>
              <w:top w:val="single" w:sz="4" w:space="0" w:color="auto"/>
              <w:left w:val="single" w:sz="4" w:space="0" w:color="auto"/>
            </w:tcBorders>
            <w:tcMar>
              <w:top w:w="10" w:type="dxa"/>
              <w:bottom w:w="10" w:type="dxa"/>
            </w:tcMar>
            <w:vAlign w:val="center"/>
          </w:tcPr>
          <w:p w14:paraId="5245E5C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2" w:type="dxa"/>
            <w:tcBorders>
              <w:top w:val="single" w:sz="4" w:space="0" w:color="auto"/>
              <w:left w:val="single" w:sz="4" w:space="0" w:color="auto"/>
            </w:tcBorders>
            <w:tcMar>
              <w:top w:w="10" w:type="dxa"/>
              <w:bottom w:w="10" w:type="dxa"/>
            </w:tcMar>
            <w:vAlign w:val="center"/>
          </w:tcPr>
          <w:p w14:paraId="5E8C873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12" w:type="dxa"/>
            <w:tcBorders>
              <w:top w:val="single" w:sz="4" w:space="0" w:color="auto"/>
              <w:left w:val="single" w:sz="4" w:space="0" w:color="auto"/>
            </w:tcBorders>
            <w:tcMar>
              <w:top w:w="10" w:type="dxa"/>
              <w:bottom w:w="10" w:type="dxa"/>
            </w:tcMar>
            <w:vAlign w:val="center"/>
          </w:tcPr>
          <w:p w14:paraId="502B275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8" w:type="dxa"/>
            <w:tcBorders>
              <w:top w:val="single" w:sz="4" w:space="0" w:color="auto"/>
              <w:left w:val="single" w:sz="4" w:space="0" w:color="auto"/>
            </w:tcBorders>
            <w:tcMar>
              <w:top w:w="10" w:type="dxa"/>
              <w:bottom w:w="10" w:type="dxa"/>
            </w:tcMar>
            <w:vAlign w:val="center"/>
          </w:tcPr>
          <w:p w14:paraId="2291D5F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tcBorders>
            <w:tcMar>
              <w:top w:w="10" w:type="dxa"/>
              <w:bottom w:w="10" w:type="dxa"/>
            </w:tcMar>
            <w:vAlign w:val="center"/>
          </w:tcPr>
          <w:p w14:paraId="4FCAC4B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7" w:type="dxa"/>
            <w:tcBorders>
              <w:top w:val="single" w:sz="4" w:space="0" w:color="auto"/>
              <w:left w:val="single" w:sz="4" w:space="0" w:color="auto"/>
            </w:tcBorders>
            <w:tcMar>
              <w:top w:w="10" w:type="dxa"/>
              <w:bottom w:w="10" w:type="dxa"/>
            </w:tcMar>
            <w:vAlign w:val="center"/>
          </w:tcPr>
          <w:p w14:paraId="30E8913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6517DFC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4" w:type="dxa"/>
            <w:tcBorders>
              <w:top w:val="single" w:sz="4" w:space="0" w:color="auto"/>
              <w:left w:val="single" w:sz="4" w:space="0" w:color="auto"/>
            </w:tcBorders>
            <w:tcMar>
              <w:top w:w="10" w:type="dxa"/>
              <w:bottom w:w="10" w:type="dxa"/>
            </w:tcMar>
            <w:vAlign w:val="center"/>
          </w:tcPr>
          <w:p w14:paraId="5FF14F6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06" w:type="dxa"/>
            <w:tcBorders>
              <w:top w:val="single" w:sz="4" w:space="0" w:color="auto"/>
              <w:left w:val="single" w:sz="4" w:space="0" w:color="auto"/>
            </w:tcBorders>
            <w:tcMar>
              <w:top w:w="10" w:type="dxa"/>
              <w:bottom w:w="10" w:type="dxa"/>
            </w:tcMar>
            <w:vAlign w:val="center"/>
          </w:tcPr>
          <w:p w14:paraId="4780086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0" w:type="dxa"/>
            <w:tcBorders>
              <w:top w:val="single" w:sz="4" w:space="0" w:color="auto"/>
              <w:left w:val="single" w:sz="4" w:space="0" w:color="auto"/>
            </w:tcBorders>
            <w:tcMar>
              <w:top w:w="10" w:type="dxa"/>
              <w:bottom w:w="10" w:type="dxa"/>
            </w:tcMar>
            <w:vAlign w:val="center"/>
          </w:tcPr>
          <w:p w14:paraId="15CEECB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24" w:type="dxa"/>
            <w:tcBorders>
              <w:top w:val="single" w:sz="4" w:space="0" w:color="auto"/>
              <w:left w:val="single" w:sz="4" w:space="0" w:color="auto"/>
            </w:tcBorders>
            <w:tcMar>
              <w:top w:w="10" w:type="dxa"/>
              <w:bottom w:w="10" w:type="dxa"/>
            </w:tcMar>
            <w:vAlign w:val="center"/>
          </w:tcPr>
          <w:p w14:paraId="3E5B58FB"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60" w:type="dxa"/>
            <w:tcBorders>
              <w:top w:val="single" w:sz="4" w:space="0" w:color="auto"/>
              <w:left w:val="single" w:sz="4" w:space="0" w:color="auto"/>
            </w:tcBorders>
            <w:tcMar>
              <w:top w:w="10" w:type="dxa"/>
              <w:bottom w:w="10" w:type="dxa"/>
            </w:tcMar>
            <w:vAlign w:val="center"/>
          </w:tcPr>
          <w:p w14:paraId="517179B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88" w:type="dxa"/>
            <w:tcBorders>
              <w:top w:val="single" w:sz="4" w:space="0" w:color="auto"/>
              <w:left w:val="single" w:sz="4" w:space="0" w:color="auto"/>
            </w:tcBorders>
            <w:tcMar>
              <w:top w:w="10" w:type="dxa"/>
              <w:bottom w:w="10" w:type="dxa"/>
            </w:tcMar>
            <w:vAlign w:val="center"/>
          </w:tcPr>
          <w:p w14:paraId="0958185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336" w:type="dxa"/>
            <w:tcBorders>
              <w:top w:val="single" w:sz="4" w:space="0" w:color="auto"/>
              <w:left w:val="single" w:sz="4" w:space="0" w:color="auto"/>
            </w:tcBorders>
            <w:tcMar>
              <w:top w:w="10" w:type="dxa"/>
              <w:bottom w:w="10" w:type="dxa"/>
            </w:tcMar>
            <w:vAlign w:val="center"/>
          </w:tcPr>
          <w:p w14:paraId="13AB4CF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68" w:type="dxa"/>
            <w:tcBorders>
              <w:top w:val="single" w:sz="4" w:space="0" w:color="auto"/>
              <w:left w:val="single" w:sz="4" w:space="0" w:color="auto"/>
            </w:tcBorders>
            <w:tcMar>
              <w:top w:w="10" w:type="dxa"/>
              <w:bottom w:w="10" w:type="dxa"/>
            </w:tcMar>
            <w:vAlign w:val="center"/>
          </w:tcPr>
          <w:p w14:paraId="2DB3E3B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96" w:type="dxa"/>
            <w:tcBorders>
              <w:top w:val="single" w:sz="4" w:space="0" w:color="auto"/>
              <w:left w:val="single" w:sz="4" w:space="0" w:color="auto"/>
            </w:tcBorders>
            <w:tcMar>
              <w:top w:w="10" w:type="dxa"/>
              <w:bottom w:w="10" w:type="dxa"/>
            </w:tcMar>
            <w:vAlign w:val="center"/>
          </w:tcPr>
          <w:p w14:paraId="6933AA5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56" w:type="dxa"/>
            <w:tcBorders>
              <w:top w:val="single" w:sz="4" w:space="0" w:color="auto"/>
              <w:left w:val="single" w:sz="4" w:space="0" w:color="auto"/>
            </w:tcBorders>
            <w:tcMar>
              <w:top w:w="10" w:type="dxa"/>
              <w:bottom w:w="10" w:type="dxa"/>
            </w:tcMar>
            <w:vAlign w:val="center"/>
          </w:tcPr>
          <w:p w14:paraId="7E1B852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284" w:type="dxa"/>
            <w:tcBorders>
              <w:top w:val="single" w:sz="4" w:space="0" w:color="auto"/>
              <w:left w:val="single" w:sz="4" w:space="0" w:color="auto"/>
            </w:tcBorders>
            <w:tcMar>
              <w:top w:w="10" w:type="dxa"/>
              <w:bottom w:w="10" w:type="dxa"/>
            </w:tcMar>
            <w:vAlign w:val="center"/>
          </w:tcPr>
          <w:p w14:paraId="00D115E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20" w:type="dxa"/>
            <w:tcBorders>
              <w:top w:val="single" w:sz="4" w:space="0" w:color="auto"/>
              <w:left w:val="single" w:sz="4" w:space="0" w:color="auto"/>
              <w:right w:val="single" w:sz="4" w:space="0" w:color="auto"/>
            </w:tcBorders>
            <w:tcMar>
              <w:top w:w="10" w:type="dxa"/>
              <w:bottom w:w="10" w:type="dxa"/>
            </w:tcMar>
            <w:vAlign w:val="center"/>
          </w:tcPr>
          <w:p w14:paraId="7042BAE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r>
      <w:tr w:rsidR="006561BA" w14:paraId="57CB12D6" w14:textId="77777777">
        <w:trPr>
          <w:trHeight w:val="20"/>
        </w:trPr>
        <w:tc>
          <w:tcPr>
            <w:tcW w:w="234"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33F65E2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212121"/>
                <w:sz w:val="6"/>
              </w:rPr>
              <w:t>32</w:t>
            </w:r>
          </w:p>
        </w:tc>
        <w:tc>
          <w:tcPr>
            <w:tcW w:w="2258"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0D85EA43" w14:textId="77777777" w:rsidR="006561BA" w:rsidRDefault="005B4ED6">
            <w:pPr>
              <w:widowControl w:val="0"/>
              <w:shd w:val="clear" w:color="auto" w:fill="auto"/>
              <w:spacing w:after="0" w:line="240" w:lineRule="auto"/>
              <w:jc w:val="left"/>
              <w:rPr>
                <w:rFonts w:ascii="Helvetica" w:eastAsia="Arial Unicode MS" w:hAnsi="Helvetica" w:cs="Helvetica"/>
                <w:b/>
                <w:color w:val="000000"/>
                <w:sz w:val="6"/>
                <w:szCs w:val="6"/>
              </w:rPr>
            </w:pPr>
            <w:r>
              <w:rPr>
                <w:rFonts w:ascii="Helvetica" w:hAnsi="Helvetica"/>
                <w:b/>
                <w:color w:val="000000"/>
                <w:sz w:val="6"/>
              </w:rPr>
              <w:t>Samlet GAR for eiendeler</w:t>
            </w:r>
          </w:p>
        </w:tc>
        <w:tc>
          <w:tcPr>
            <w:tcW w:w="304"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6578D0B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8"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66ED295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3358F04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0"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7606108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4"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61B420B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right w:val="single" w:sz="4" w:space="0" w:color="auto"/>
            </w:tcBorders>
            <w:shd w:val="clear" w:color="auto" w:fill="DCEBF7"/>
          </w:tcPr>
          <w:p w14:paraId="5658166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tcBorders>
            <w:shd w:val="clear" w:color="auto" w:fill="DCEBF7"/>
          </w:tcPr>
          <w:p w14:paraId="0C61167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tcBorders>
            <w:shd w:val="clear" w:color="auto" w:fill="DCEBF7"/>
          </w:tcPr>
          <w:p w14:paraId="03A67B1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tcBorders>
            <w:shd w:val="clear" w:color="auto" w:fill="DCEBF7"/>
          </w:tcPr>
          <w:p w14:paraId="24CBED6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3E5E708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481030D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302F096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5"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178908C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2"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7F22183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2"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5A0743E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63C5CE6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368C80E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7"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4739702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018FC93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0427A01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7F35936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0"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4563F3B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2688CD3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6935200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8"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361B7C9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36"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5787C64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68"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0ECF9E8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6"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4E01E5C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56"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39D9E93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284" w:type="dxa"/>
            <w:tcBorders>
              <w:top w:val="single" w:sz="4" w:space="0" w:color="auto"/>
              <w:left w:val="single" w:sz="4" w:space="0" w:color="auto"/>
              <w:bottom w:val="single" w:sz="4" w:space="0" w:color="auto"/>
            </w:tcBorders>
            <w:shd w:val="clear" w:color="auto" w:fill="DCEBF7"/>
            <w:tcMar>
              <w:top w:w="10" w:type="dxa"/>
              <w:bottom w:w="10" w:type="dxa"/>
            </w:tcMar>
            <w:vAlign w:val="center"/>
          </w:tcPr>
          <w:p w14:paraId="77D5244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0" w:type="dxa"/>
            <w:tcBorders>
              <w:top w:val="single" w:sz="4" w:space="0" w:color="auto"/>
              <w:left w:val="single" w:sz="4" w:space="0" w:color="auto"/>
              <w:bottom w:val="single" w:sz="4" w:space="0" w:color="auto"/>
              <w:right w:val="single" w:sz="4" w:space="0" w:color="auto"/>
            </w:tcBorders>
            <w:shd w:val="clear" w:color="auto" w:fill="DCEBF7"/>
            <w:tcMar>
              <w:top w:w="10" w:type="dxa"/>
              <w:bottom w:w="10" w:type="dxa"/>
            </w:tcMar>
            <w:vAlign w:val="center"/>
          </w:tcPr>
          <w:p w14:paraId="46DE435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bl>
    <w:p w14:paraId="249E8398" w14:textId="77777777" w:rsidR="006561BA" w:rsidRDefault="005B4ED6">
      <w:pPr>
        <w:pStyle w:val="Para"/>
        <w:spacing w:line="240" w:lineRule="auto"/>
        <w:jc w:val="left"/>
      </w:pPr>
      <w:r>
        <w:br w:type="page"/>
      </w:r>
    </w:p>
    <w:p w14:paraId="702B2E9D" w14:textId="77777777" w:rsidR="006561BA" w:rsidRDefault="005B4ED6">
      <w:pPr>
        <w:pStyle w:val="AnnexNumberedText"/>
        <w:spacing w:after="300"/>
        <w:ind w:left="279" w:hanging="279"/>
      </w:pPr>
      <w:r>
        <w:lastRenderedPageBreak/>
        <w:t>5.</w:t>
      </w:r>
      <w:r>
        <w:rPr>
          <w:b/>
        </w:rPr>
        <w:tab/>
        <w:t>KPI for eksponeringer utenfor balansen</w:t>
      </w:r>
    </w:p>
    <w:tbl>
      <w:tblPr>
        <w:tblOverlap w:val="never"/>
        <w:tblW w:w="0" w:type="auto"/>
        <w:tblInd w:w="279" w:type="dxa"/>
        <w:tblLayout w:type="fixed"/>
        <w:tblCellMar>
          <w:left w:w="10" w:type="dxa"/>
          <w:right w:w="10" w:type="dxa"/>
        </w:tblCellMar>
        <w:tblLook w:val="04A0" w:firstRow="1" w:lastRow="0" w:firstColumn="1" w:lastColumn="0" w:noHBand="0" w:noVBand="1"/>
      </w:tblPr>
      <w:tblGrid>
        <w:gridCol w:w="127"/>
        <w:gridCol w:w="2206"/>
        <w:gridCol w:w="324"/>
        <w:gridCol w:w="410"/>
        <w:gridCol w:w="410"/>
        <w:gridCol w:w="42"/>
        <w:gridCol w:w="448"/>
        <w:gridCol w:w="421"/>
        <w:gridCol w:w="316"/>
        <w:gridCol w:w="22"/>
        <w:gridCol w:w="338"/>
        <w:gridCol w:w="410"/>
        <w:gridCol w:w="433"/>
        <w:gridCol w:w="316"/>
        <w:gridCol w:w="22"/>
        <w:gridCol w:w="338"/>
        <w:gridCol w:w="403"/>
        <w:gridCol w:w="439"/>
        <w:gridCol w:w="316"/>
        <w:gridCol w:w="353"/>
        <w:gridCol w:w="404"/>
        <w:gridCol w:w="446"/>
        <w:gridCol w:w="316"/>
        <w:gridCol w:w="359"/>
        <w:gridCol w:w="22"/>
        <w:gridCol w:w="382"/>
        <w:gridCol w:w="433"/>
        <w:gridCol w:w="324"/>
        <w:gridCol w:w="359"/>
        <w:gridCol w:w="408"/>
        <w:gridCol w:w="380"/>
        <w:gridCol w:w="52"/>
        <w:gridCol w:w="329"/>
        <w:gridCol w:w="406"/>
        <w:gridCol w:w="410"/>
        <w:gridCol w:w="484"/>
        <w:gridCol w:w="449"/>
      </w:tblGrid>
      <w:tr w:rsidR="006561BA" w14:paraId="67DAF44E" w14:textId="77777777">
        <w:tc>
          <w:tcPr>
            <w:tcW w:w="2333" w:type="dxa"/>
            <w:gridSpan w:val="2"/>
            <w:tcMar>
              <w:top w:w="10" w:type="dxa"/>
              <w:bottom w:w="10" w:type="dxa"/>
            </w:tcMar>
          </w:tcPr>
          <w:p w14:paraId="43A8396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324"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27AF856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000000"/>
                <w:sz w:val="7"/>
              </w:rPr>
              <w:t>a</w:t>
            </w:r>
          </w:p>
        </w:tc>
        <w:tc>
          <w:tcPr>
            <w:tcW w:w="410"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139E925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212121"/>
                <w:sz w:val="7"/>
              </w:rPr>
              <w:t>b</w:t>
            </w:r>
          </w:p>
        </w:tc>
        <w:tc>
          <w:tcPr>
            <w:tcW w:w="452" w:type="dxa"/>
            <w:gridSpan w:val="2"/>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45611B7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212121"/>
                <w:sz w:val="7"/>
              </w:rPr>
              <w:t>c</w:t>
            </w:r>
          </w:p>
        </w:tc>
        <w:tc>
          <w:tcPr>
            <w:tcW w:w="448"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3966F0A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000000"/>
                <w:sz w:val="7"/>
              </w:rPr>
              <w:t>d</w:t>
            </w:r>
          </w:p>
        </w:tc>
        <w:tc>
          <w:tcPr>
            <w:tcW w:w="421"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3D2C1E40"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212121"/>
                <w:sz w:val="7"/>
              </w:rPr>
              <w:t>e</w:t>
            </w:r>
          </w:p>
        </w:tc>
        <w:tc>
          <w:tcPr>
            <w:tcW w:w="338" w:type="dxa"/>
            <w:gridSpan w:val="2"/>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60914B53"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000000"/>
                <w:sz w:val="7"/>
              </w:rPr>
              <w:t>f</w:t>
            </w:r>
          </w:p>
        </w:tc>
        <w:tc>
          <w:tcPr>
            <w:tcW w:w="338"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4103935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000000"/>
                <w:sz w:val="7"/>
              </w:rPr>
              <w:t>g</w:t>
            </w:r>
          </w:p>
        </w:tc>
        <w:tc>
          <w:tcPr>
            <w:tcW w:w="410"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4137F819"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212121"/>
                <w:sz w:val="7"/>
              </w:rPr>
              <w:t>h</w:t>
            </w:r>
          </w:p>
        </w:tc>
        <w:tc>
          <w:tcPr>
            <w:tcW w:w="433"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1B35B73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000000"/>
                <w:sz w:val="7"/>
              </w:rPr>
              <w:t>i</w:t>
            </w:r>
          </w:p>
        </w:tc>
        <w:tc>
          <w:tcPr>
            <w:tcW w:w="338" w:type="dxa"/>
            <w:gridSpan w:val="2"/>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76C2948A"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000000"/>
                <w:sz w:val="7"/>
              </w:rPr>
              <w:t>j</w:t>
            </w:r>
          </w:p>
        </w:tc>
        <w:tc>
          <w:tcPr>
            <w:tcW w:w="338"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21C970F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000000"/>
                <w:sz w:val="7"/>
              </w:rPr>
              <w:t>k</w:t>
            </w:r>
          </w:p>
        </w:tc>
        <w:tc>
          <w:tcPr>
            <w:tcW w:w="403"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4800615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000000"/>
                <w:sz w:val="7"/>
              </w:rPr>
              <w:t>l</w:t>
            </w:r>
          </w:p>
        </w:tc>
        <w:tc>
          <w:tcPr>
            <w:tcW w:w="439"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51A23E3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212121"/>
                <w:sz w:val="7"/>
              </w:rPr>
              <w:t>m</w:t>
            </w:r>
          </w:p>
        </w:tc>
        <w:tc>
          <w:tcPr>
            <w:tcW w:w="316"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583A6D8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212121"/>
                <w:sz w:val="7"/>
              </w:rPr>
              <w:t>n</w:t>
            </w:r>
          </w:p>
        </w:tc>
        <w:tc>
          <w:tcPr>
            <w:tcW w:w="353"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54886C7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000000"/>
                <w:sz w:val="7"/>
              </w:rPr>
              <w:t>o</w:t>
            </w:r>
          </w:p>
        </w:tc>
        <w:tc>
          <w:tcPr>
            <w:tcW w:w="404"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10B619AE"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212121"/>
                <w:sz w:val="7"/>
              </w:rPr>
              <w:t>p</w:t>
            </w:r>
          </w:p>
        </w:tc>
        <w:tc>
          <w:tcPr>
            <w:tcW w:w="446"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3503D2C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212121"/>
                <w:sz w:val="7"/>
              </w:rPr>
              <w:t>q</w:t>
            </w:r>
          </w:p>
        </w:tc>
        <w:tc>
          <w:tcPr>
            <w:tcW w:w="316"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6EB9AFF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212121"/>
                <w:sz w:val="7"/>
              </w:rPr>
              <w:t>r</w:t>
            </w:r>
          </w:p>
        </w:tc>
        <w:tc>
          <w:tcPr>
            <w:tcW w:w="381" w:type="dxa"/>
            <w:gridSpan w:val="2"/>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64A1C112"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212121"/>
                <w:sz w:val="7"/>
              </w:rPr>
              <w:t>s</w:t>
            </w:r>
          </w:p>
        </w:tc>
        <w:tc>
          <w:tcPr>
            <w:tcW w:w="382"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2C78BE0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000000"/>
                <w:sz w:val="7"/>
              </w:rPr>
              <w:t>t</w:t>
            </w:r>
          </w:p>
        </w:tc>
        <w:tc>
          <w:tcPr>
            <w:tcW w:w="433"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2F201C3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000000"/>
                <w:sz w:val="7"/>
              </w:rPr>
              <w:t>u</w:t>
            </w:r>
          </w:p>
        </w:tc>
        <w:tc>
          <w:tcPr>
            <w:tcW w:w="324"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7DE750D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000000"/>
                <w:sz w:val="7"/>
              </w:rPr>
              <w:t>v</w:t>
            </w:r>
          </w:p>
        </w:tc>
        <w:tc>
          <w:tcPr>
            <w:tcW w:w="359"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2E15CA7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212121"/>
                <w:sz w:val="7"/>
              </w:rPr>
              <w:t>w</w:t>
            </w:r>
          </w:p>
        </w:tc>
        <w:tc>
          <w:tcPr>
            <w:tcW w:w="408"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1504CFB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000000"/>
                <w:sz w:val="7"/>
              </w:rPr>
              <w:t>x</w:t>
            </w:r>
          </w:p>
        </w:tc>
        <w:tc>
          <w:tcPr>
            <w:tcW w:w="380"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74A221F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212121"/>
                <w:sz w:val="7"/>
              </w:rPr>
              <w:t>z</w:t>
            </w:r>
          </w:p>
        </w:tc>
        <w:tc>
          <w:tcPr>
            <w:tcW w:w="381" w:type="dxa"/>
            <w:gridSpan w:val="2"/>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0AFE8D5A"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proofErr w:type="spellStart"/>
            <w:r>
              <w:rPr>
                <w:rFonts w:ascii="Helvetica" w:hAnsi="Helvetica"/>
                <w:color w:val="000000"/>
                <w:sz w:val="7"/>
              </w:rPr>
              <w:t>aa</w:t>
            </w:r>
            <w:proofErr w:type="spellEnd"/>
          </w:p>
        </w:tc>
        <w:tc>
          <w:tcPr>
            <w:tcW w:w="406"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6281703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212121"/>
                <w:sz w:val="7"/>
              </w:rPr>
              <w:t>ab</w:t>
            </w:r>
          </w:p>
        </w:tc>
        <w:tc>
          <w:tcPr>
            <w:tcW w:w="410"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1ABAC281"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proofErr w:type="spellStart"/>
            <w:r>
              <w:rPr>
                <w:rFonts w:ascii="Helvetica" w:hAnsi="Helvetica"/>
                <w:color w:val="212121"/>
                <w:sz w:val="7"/>
              </w:rPr>
              <w:t>ac</w:t>
            </w:r>
            <w:proofErr w:type="spellEnd"/>
          </w:p>
        </w:tc>
        <w:tc>
          <w:tcPr>
            <w:tcW w:w="484"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09C47E2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212121"/>
                <w:sz w:val="7"/>
              </w:rPr>
              <w:t>ad</w:t>
            </w:r>
          </w:p>
        </w:tc>
        <w:tc>
          <w:tcPr>
            <w:tcW w:w="449"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52281C85"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proofErr w:type="spellStart"/>
            <w:r>
              <w:rPr>
                <w:rFonts w:ascii="Helvetica" w:hAnsi="Helvetica"/>
                <w:color w:val="212121"/>
                <w:sz w:val="7"/>
              </w:rPr>
              <w:t>ae</w:t>
            </w:r>
            <w:proofErr w:type="spellEnd"/>
          </w:p>
        </w:tc>
      </w:tr>
      <w:tr w:rsidR="006561BA" w14:paraId="0FC3E0CA" w14:textId="77777777">
        <w:tc>
          <w:tcPr>
            <w:tcW w:w="2333" w:type="dxa"/>
            <w:gridSpan w:val="2"/>
            <w:tcBorders>
              <w:top w:val="single" w:sz="4" w:space="0" w:color="auto"/>
              <w:left w:val="single" w:sz="4" w:space="0" w:color="auto"/>
            </w:tcBorders>
            <w:tcMar>
              <w:top w:w="10" w:type="dxa"/>
              <w:bottom w:w="10" w:type="dxa"/>
            </w:tcMar>
          </w:tcPr>
          <w:p w14:paraId="55DB33F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11724" w:type="dxa"/>
            <w:gridSpan w:val="35"/>
            <w:tcBorders>
              <w:top w:val="single" w:sz="4" w:space="0" w:color="auto"/>
              <w:left w:val="single" w:sz="4" w:space="0" w:color="auto"/>
              <w:right w:val="single" w:sz="4" w:space="0" w:color="auto"/>
            </w:tcBorders>
            <w:shd w:val="clear" w:color="auto" w:fill="B5B5B5"/>
            <w:tcMar>
              <w:top w:w="10" w:type="dxa"/>
              <w:bottom w:w="10" w:type="dxa"/>
            </w:tcMar>
            <w:vAlign w:val="center"/>
          </w:tcPr>
          <w:p w14:paraId="55649C0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212121"/>
                <w:sz w:val="7"/>
              </w:rPr>
              <w:t>Referansedato for opplysningene T</w:t>
            </w:r>
          </w:p>
        </w:tc>
      </w:tr>
      <w:tr w:rsidR="006561BA" w:rsidRPr="00980A19" w14:paraId="7878FB9F" w14:textId="77777777">
        <w:tc>
          <w:tcPr>
            <w:tcW w:w="2333" w:type="dxa"/>
            <w:gridSpan w:val="2"/>
            <w:tcBorders>
              <w:left w:val="single" w:sz="4" w:space="0" w:color="auto"/>
            </w:tcBorders>
            <w:tcMar>
              <w:top w:w="10" w:type="dxa"/>
              <w:bottom w:w="10" w:type="dxa"/>
            </w:tcMar>
          </w:tcPr>
          <w:p w14:paraId="68936A17" w14:textId="77777777" w:rsidR="006561BA" w:rsidRDefault="006561BA">
            <w:pPr>
              <w:widowControl w:val="0"/>
              <w:shd w:val="clear" w:color="auto" w:fill="auto"/>
              <w:spacing w:after="0" w:line="240" w:lineRule="auto"/>
              <w:jc w:val="left"/>
              <w:rPr>
                <w:rFonts w:ascii="Helvetica" w:eastAsia="Arial Unicode MS" w:hAnsi="Helvetica" w:cs="Helvetica"/>
                <w:b/>
                <w:color w:val="000000"/>
                <w:sz w:val="7"/>
                <w:szCs w:val="7"/>
                <w:lang w:val="en-US"/>
              </w:rPr>
            </w:pPr>
          </w:p>
        </w:tc>
        <w:tc>
          <w:tcPr>
            <w:tcW w:w="2055" w:type="dxa"/>
            <w:gridSpan w:val="6"/>
            <w:tcBorders>
              <w:top w:val="single" w:sz="4" w:space="0" w:color="auto"/>
              <w:left w:val="single" w:sz="4" w:space="0" w:color="auto"/>
            </w:tcBorders>
            <w:shd w:val="clear" w:color="auto" w:fill="B5B5B5"/>
            <w:tcMar>
              <w:top w:w="10" w:type="dxa"/>
              <w:bottom w:w="10" w:type="dxa"/>
            </w:tcMar>
            <w:vAlign w:val="center"/>
          </w:tcPr>
          <w:p w14:paraId="7A59E3D8"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7"/>
                <w:szCs w:val="7"/>
              </w:rPr>
            </w:pPr>
            <w:r>
              <w:rPr>
                <w:rFonts w:ascii="Helvetica" w:hAnsi="Helvetica"/>
                <w:b/>
                <w:color w:val="000000"/>
                <w:sz w:val="7"/>
              </w:rPr>
              <w:t>Begrensning av klimaendringer (CCM)</w:t>
            </w:r>
          </w:p>
        </w:tc>
        <w:tc>
          <w:tcPr>
            <w:tcW w:w="1519" w:type="dxa"/>
            <w:gridSpan w:val="5"/>
            <w:tcBorders>
              <w:top w:val="single" w:sz="4" w:space="0" w:color="auto"/>
              <w:left w:val="single" w:sz="4" w:space="0" w:color="auto"/>
            </w:tcBorders>
            <w:shd w:val="clear" w:color="auto" w:fill="B5B5B5"/>
            <w:tcMar>
              <w:top w:w="10" w:type="dxa"/>
              <w:bottom w:w="10" w:type="dxa"/>
            </w:tcMar>
            <w:vAlign w:val="center"/>
          </w:tcPr>
          <w:p w14:paraId="6586E075"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7"/>
                <w:szCs w:val="7"/>
              </w:rPr>
            </w:pPr>
            <w:r>
              <w:rPr>
                <w:rFonts w:ascii="Helvetica" w:hAnsi="Helvetica"/>
                <w:b/>
                <w:color w:val="000000"/>
                <w:sz w:val="7"/>
              </w:rPr>
              <w:t>Tilpasning til klimaendringer (CCA)</w:t>
            </w:r>
          </w:p>
        </w:tc>
        <w:tc>
          <w:tcPr>
            <w:tcW w:w="1518" w:type="dxa"/>
            <w:gridSpan w:val="5"/>
            <w:tcBorders>
              <w:top w:val="single" w:sz="4" w:space="0" w:color="auto"/>
              <w:left w:val="single" w:sz="4" w:space="0" w:color="auto"/>
            </w:tcBorders>
            <w:shd w:val="clear" w:color="auto" w:fill="B5B5B5"/>
            <w:tcMar>
              <w:top w:w="10" w:type="dxa"/>
              <w:bottom w:w="10" w:type="dxa"/>
            </w:tcMar>
            <w:vAlign w:val="center"/>
          </w:tcPr>
          <w:p w14:paraId="025DE69D"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7"/>
                <w:szCs w:val="7"/>
              </w:rPr>
            </w:pPr>
            <w:r>
              <w:rPr>
                <w:rFonts w:ascii="Helvetica" w:hAnsi="Helvetica"/>
                <w:b/>
                <w:color w:val="000000"/>
                <w:sz w:val="7"/>
              </w:rPr>
              <w:t>Vann- og havressurser (WTR)</w:t>
            </w:r>
          </w:p>
        </w:tc>
        <w:tc>
          <w:tcPr>
            <w:tcW w:w="1519" w:type="dxa"/>
            <w:gridSpan w:val="4"/>
            <w:tcBorders>
              <w:top w:val="single" w:sz="4" w:space="0" w:color="auto"/>
              <w:left w:val="single" w:sz="4" w:space="0" w:color="auto"/>
            </w:tcBorders>
            <w:shd w:val="clear" w:color="auto" w:fill="B5B5B5"/>
            <w:tcMar>
              <w:top w:w="10" w:type="dxa"/>
              <w:bottom w:w="10" w:type="dxa"/>
            </w:tcMar>
            <w:vAlign w:val="center"/>
          </w:tcPr>
          <w:p w14:paraId="6764BD0B"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7"/>
                <w:szCs w:val="7"/>
              </w:rPr>
            </w:pPr>
            <w:r>
              <w:rPr>
                <w:rFonts w:ascii="Helvetica" w:hAnsi="Helvetica"/>
                <w:b/>
                <w:color w:val="000000"/>
                <w:sz w:val="7"/>
              </w:rPr>
              <w:t>Sirkulær økonomi (CE)</w:t>
            </w:r>
          </w:p>
        </w:tc>
        <w:tc>
          <w:tcPr>
            <w:tcW w:w="1512" w:type="dxa"/>
            <w:gridSpan w:val="5"/>
            <w:tcBorders>
              <w:top w:val="single" w:sz="4" w:space="0" w:color="auto"/>
              <w:left w:val="single" w:sz="4" w:space="0" w:color="auto"/>
            </w:tcBorders>
            <w:shd w:val="clear" w:color="auto" w:fill="B5B5B5"/>
            <w:tcMar>
              <w:top w:w="10" w:type="dxa"/>
              <w:bottom w:w="10" w:type="dxa"/>
            </w:tcMar>
            <w:vAlign w:val="center"/>
          </w:tcPr>
          <w:p w14:paraId="1EB54F0E"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7"/>
                <w:szCs w:val="7"/>
              </w:rPr>
            </w:pPr>
            <w:r>
              <w:rPr>
                <w:rFonts w:ascii="Helvetica" w:hAnsi="Helvetica"/>
                <w:b/>
                <w:color w:val="000000"/>
                <w:sz w:val="7"/>
              </w:rPr>
              <w:t>Forurensning (PPC)</w:t>
            </w:r>
          </w:p>
        </w:tc>
        <w:tc>
          <w:tcPr>
            <w:tcW w:w="1523" w:type="dxa"/>
            <w:gridSpan w:val="5"/>
            <w:tcBorders>
              <w:top w:val="single" w:sz="4" w:space="0" w:color="auto"/>
              <w:left w:val="single" w:sz="4" w:space="0" w:color="auto"/>
            </w:tcBorders>
            <w:shd w:val="clear" w:color="auto" w:fill="B5B5B5"/>
            <w:tcMar>
              <w:top w:w="10" w:type="dxa"/>
              <w:bottom w:w="10" w:type="dxa"/>
            </w:tcMar>
            <w:vAlign w:val="center"/>
          </w:tcPr>
          <w:p w14:paraId="2CA68076" w14:textId="77777777" w:rsidR="006561BA" w:rsidRDefault="005B4ED6">
            <w:pPr>
              <w:widowControl w:val="0"/>
              <w:shd w:val="clear" w:color="auto" w:fill="auto"/>
              <w:spacing w:after="0" w:line="240" w:lineRule="auto"/>
              <w:jc w:val="center"/>
              <w:rPr>
                <w:rFonts w:ascii="Helvetica" w:eastAsia="Arial Unicode MS" w:hAnsi="Helvetica" w:cs="Helvetica"/>
                <w:b/>
                <w:color w:val="000000"/>
                <w:sz w:val="7"/>
                <w:szCs w:val="7"/>
              </w:rPr>
            </w:pPr>
            <w:r>
              <w:rPr>
                <w:rFonts w:ascii="Helvetica" w:hAnsi="Helvetica"/>
                <w:b/>
                <w:color w:val="000000"/>
                <w:sz w:val="7"/>
              </w:rPr>
              <w:t>Biologisk mangfold og økosystemer (BIO)</w:t>
            </w:r>
          </w:p>
        </w:tc>
        <w:tc>
          <w:tcPr>
            <w:tcW w:w="2078" w:type="dxa"/>
            <w:gridSpan w:val="5"/>
            <w:tcBorders>
              <w:top w:val="single" w:sz="4" w:space="0" w:color="auto"/>
              <w:left w:val="single" w:sz="4" w:space="0" w:color="auto"/>
              <w:right w:val="single" w:sz="4" w:space="0" w:color="auto"/>
            </w:tcBorders>
            <w:shd w:val="clear" w:color="auto" w:fill="B5B5B5"/>
            <w:tcMar>
              <w:top w:w="10" w:type="dxa"/>
              <w:bottom w:w="10" w:type="dxa"/>
            </w:tcMar>
            <w:vAlign w:val="center"/>
          </w:tcPr>
          <w:p w14:paraId="0A9B0770" w14:textId="77777777" w:rsidR="006561BA" w:rsidRPr="00770AA2" w:rsidRDefault="005B4ED6">
            <w:pPr>
              <w:widowControl w:val="0"/>
              <w:shd w:val="clear" w:color="auto" w:fill="auto"/>
              <w:spacing w:after="0" w:line="240" w:lineRule="auto"/>
              <w:jc w:val="center"/>
              <w:rPr>
                <w:rFonts w:ascii="Helvetica" w:eastAsia="Arial Unicode MS" w:hAnsi="Helvetica" w:cs="Helvetica"/>
                <w:b/>
                <w:color w:val="000000"/>
                <w:sz w:val="7"/>
                <w:szCs w:val="7"/>
                <w:lang w:val="en-US"/>
              </w:rPr>
            </w:pPr>
            <w:r w:rsidRPr="00770AA2">
              <w:rPr>
                <w:rFonts w:ascii="Helvetica" w:hAnsi="Helvetica"/>
                <w:b/>
                <w:color w:val="000000"/>
                <w:sz w:val="7"/>
                <w:lang w:val="en-US"/>
              </w:rPr>
              <w:t>SUM (CCM + CCA + WTR + CE + PPC + BIO)</w:t>
            </w:r>
          </w:p>
        </w:tc>
      </w:tr>
      <w:tr w:rsidR="006561BA" w14:paraId="539282B6" w14:textId="77777777">
        <w:tc>
          <w:tcPr>
            <w:tcW w:w="2333" w:type="dxa"/>
            <w:gridSpan w:val="2"/>
            <w:vMerge w:val="restart"/>
            <w:tcBorders>
              <w:left w:val="single" w:sz="4" w:space="0" w:color="auto"/>
            </w:tcBorders>
            <w:tcMar>
              <w:top w:w="10" w:type="dxa"/>
              <w:bottom w:w="10" w:type="dxa"/>
            </w:tcMar>
            <w:vAlign w:val="center"/>
          </w:tcPr>
          <w:p w14:paraId="5459FBD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sidRPr="00EA1A00">
              <w:rPr>
                <w:rFonts w:ascii="Helvetica" w:hAnsi="Helvetica"/>
                <w:color w:val="auto"/>
                <w:sz w:val="7"/>
              </w:rPr>
              <w:t>% (i forhold til samlede eiendeler utenfor balansen som omfattes av taksonomien)</w:t>
            </w:r>
          </w:p>
        </w:tc>
        <w:tc>
          <w:tcPr>
            <w:tcW w:w="2055" w:type="dxa"/>
            <w:gridSpan w:val="6"/>
            <w:tcBorders>
              <w:top w:val="single" w:sz="4" w:space="0" w:color="auto"/>
              <w:left w:val="single" w:sz="4" w:space="0" w:color="auto"/>
            </w:tcBorders>
            <w:tcMar>
              <w:top w:w="10" w:type="dxa"/>
              <w:bottom w:w="10" w:type="dxa"/>
            </w:tcMar>
            <w:vAlign w:val="center"/>
          </w:tcPr>
          <w:p w14:paraId="1B1F7BB1" w14:textId="77777777" w:rsidR="006561BA" w:rsidRPr="003000C6" w:rsidRDefault="005B4ED6">
            <w:pPr>
              <w:widowControl w:val="0"/>
              <w:shd w:val="clear" w:color="auto" w:fill="auto"/>
              <w:spacing w:after="0" w:line="240" w:lineRule="auto"/>
              <w:jc w:val="center"/>
              <w:rPr>
                <w:rFonts w:ascii="Helvetica" w:eastAsia="Arial Unicode MS" w:hAnsi="Helvetica" w:cs="Helvetica"/>
                <w:color w:val="auto"/>
                <w:sz w:val="7"/>
                <w:szCs w:val="7"/>
              </w:rPr>
            </w:pPr>
            <w:r w:rsidRPr="003000C6">
              <w:rPr>
                <w:rFonts w:ascii="Helvetica" w:hAnsi="Helvetica"/>
                <w:color w:val="auto"/>
                <w:sz w:val="7"/>
              </w:rPr>
              <w:t>Andel av samlede dekkede eiendeler som finansierer taksonomirelevante sektorer (som er omfattet av taksonomien)</w:t>
            </w:r>
          </w:p>
        </w:tc>
        <w:tc>
          <w:tcPr>
            <w:tcW w:w="1519" w:type="dxa"/>
            <w:gridSpan w:val="5"/>
            <w:tcBorders>
              <w:top w:val="single" w:sz="4" w:space="0" w:color="auto"/>
              <w:left w:val="single" w:sz="4" w:space="0" w:color="auto"/>
            </w:tcBorders>
            <w:tcMar>
              <w:top w:w="10" w:type="dxa"/>
              <w:bottom w:w="10" w:type="dxa"/>
            </w:tcMar>
            <w:vAlign w:val="center"/>
          </w:tcPr>
          <w:p w14:paraId="21D8F032" w14:textId="77777777" w:rsidR="006561BA" w:rsidRPr="003000C6" w:rsidRDefault="005B4ED6">
            <w:pPr>
              <w:widowControl w:val="0"/>
              <w:shd w:val="clear" w:color="auto" w:fill="auto"/>
              <w:spacing w:after="0" w:line="240" w:lineRule="auto"/>
              <w:jc w:val="center"/>
              <w:rPr>
                <w:rFonts w:ascii="Helvetica" w:eastAsia="Arial Unicode MS" w:hAnsi="Helvetica" w:cs="Helvetica"/>
                <w:color w:val="auto"/>
                <w:sz w:val="7"/>
                <w:szCs w:val="7"/>
              </w:rPr>
            </w:pPr>
            <w:r w:rsidRPr="003000C6">
              <w:rPr>
                <w:rFonts w:ascii="Helvetica" w:hAnsi="Helvetica"/>
                <w:color w:val="auto"/>
                <w:sz w:val="7"/>
              </w:rPr>
              <w:t>Andel av samlede dekkede eiendeler som finansierer taksonomirelevante sektorer (som er omfattet av taksonomien)</w:t>
            </w:r>
          </w:p>
        </w:tc>
        <w:tc>
          <w:tcPr>
            <w:tcW w:w="1518" w:type="dxa"/>
            <w:gridSpan w:val="5"/>
            <w:tcBorders>
              <w:top w:val="single" w:sz="4" w:space="0" w:color="auto"/>
              <w:left w:val="single" w:sz="4" w:space="0" w:color="auto"/>
            </w:tcBorders>
            <w:tcMar>
              <w:top w:w="10" w:type="dxa"/>
              <w:bottom w:w="10" w:type="dxa"/>
            </w:tcMar>
            <w:vAlign w:val="center"/>
          </w:tcPr>
          <w:p w14:paraId="1A837F2A" w14:textId="77777777" w:rsidR="006561BA" w:rsidRPr="003000C6" w:rsidRDefault="005B4ED6">
            <w:pPr>
              <w:widowControl w:val="0"/>
              <w:shd w:val="clear" w:color="auto" w:fill="auto"/>
              <w:spacing w:after="0" w:line="240" w:lineRule="auto"/>
              <w:jc w:val="center"/>
              <w:rPr>
                <w:rFonts w:ascii="Helvetica" w:eastAsia="Arial Unicode MS" w:hAnsi="Helvetica" w:cs="Helvetica"/>
                <w:color w:val="auto"/>
                <w:sz w:val="7"/>
                <w:szCs w:val="7"/>
              </w:rPr>
            </w:pPr>
            <w:r w:rsidRPr="003000C6">
              <w:rPr>
                <w:rFonts w:ascii="Helvetica" w:hAnsi="Helvetica"/>
                <w:color w:val="auto"/>
                <w:sz w:val="7"/>
              </w:rPr>
              <w:t>Andel av samlede dekkede eiendeler som finansierer taksonomirelevante sektorer (som er omfattet av taksonomien)</w:t>
            </w:r>
          </w:p>
        </w:tc>
        <w:tc>
          <w:tcPr>
            <w:tcW w:w="1519" w:type="dxa"/>
            <w:gridSpan w:val="4"/>
            <w:tcBorders>
              <w:top w:val="single" w:sz="4" w:space="0" w:color="auto"/>
              <w:left w:val="single" w:sz="4" w:space="0" w:color="auto"/>
            </w:tcBorders>
            <w:tcMar>
              <w:top w:w="10" w:type="dxa"/>
              <w:bottom w:w="10" w:type="dxa"/>
            </w:tcMar>
            <w:vAlign w:val="center"/>
          </w:tcPr>
          <w:p w14:paraId="41B22F4C" w14:textId="77777777" w:rsidR="006561BA" w:rsidRPr="003000C6" w:rsidRDefault="005B4ED6">
            <w:pPr>
              <w:widowControl w:val="0"/>
              <w:shd w:val="clear" w:color="auto" w:fill="auto"/>
              <w:spacing w:after="0" w:line="240" w:lineRule="auto"/>
              <w:jc w:val="center"/>
              <w:rPr>
                <w:rFonts w:ascii="Helvetica" w:eastAsia="Arial Unicode MS" w:hAnsi="Helvetica" w:cs="Helvetica"/>
                <w:color w:val="auto"/>
                <w:sz w:val="7"/>
                <w:szCs w:val="7"/>
              </w:rPr>
            </w:pPr>
            <w:r w:rsidRPr="003000C6">
              <w:rPr>
                <w:rFonts w:ascii="Helvetica" w:hAnsi="Helvetica"/>
                <w:color w:val="auto"/>
                <w:sz w:val="7"/>
              </w:rPr>
              <w:t>Andel av samlede dekkede eiendeler som finansierer taksonomirelevante sektorer (som er omfattet av taksonomien)</w:t>
            </w:r>
          </w:p>
        </w:tc>
        <w:tc>
          <w:tcPr>
            <w:tcW w:w="1512" w:type="dxa"/>
            <w:gridSpan w:val="5"/>
            <w:tcBorders>
              <w:top w:val="single" w:sz="4" w:space="0" w:color="auto"/>
              <w:left w:val="single" w:sz="4" w:space="0" w:color="auto"/>
            </w:tcBorders>
            <w:tcMar>
              <w:top w:w="10" w:type="dxa"/>
              <w:bottom w:w="10" w:type="dxa"/>
            </w:tcMar>
            <w:vAlign w:val="center"/>
          </w:tcPr>
          <w:p w14:paraId="6BCD438F"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212121"/>
                <w:sz w:val="7"/>
              </w:rPr>
              <w:t>Andel av samlede dekkede eiendeler som finansierer taksonomirelevante sektorer (som er omfattet av taksonomien)</w:t>
            </w:r>
          </w:p>
        </w:tc>
        <w:tc>
          <w:tcPr>
            <w:tcW w:w="1523" w:type="dxa"/>
            <w:gridSpan w:val="5"/>
            <w:tcBorders>
              <w:top w:val="single" w:sz="4" w:space="0" w:color="auto"/>
              <w:left w:val="single" w:sz="4" w:space="0" w:color="auto"/>
            </w:tcBorders>
            <w:tcMar>
              <w:top w:w="10" w:type="dxa"/>
              <w:bottom w:w="10" w:type="dxa"/>
            </w:tcMar>
            <w:vAlign w:val="center"/>
          </w:tcPr>
          <w:p w14:paraId="3CA5B3B2"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212121"/>
                <w:sz w:val="7"/>
              </w:rPr>
              <w:t>Andel av samlede dekkede eiendeler som finansierer taksonomirelevante sektorer (som er omfattet av taksonomien)</w:t>
            </w:r>
          </w:p>
        </w:tc>
        <w:tc>
          <w:tcPr>
            <w:tcW w:w="2078" w:type="dxa"/>
            <w:gridSpan w:val="5"/>
            <w:tcBorders>
              <w:top w:val="single" w:sz="4" w:space="0" w:color="auto"/>
              <w:left w:val="single" w:sz="4" w:space="0" w:color="auto"/>
              <w:right w:val="single" w:sz="4" w:space="0" w:color="auto"/>
            </w:tcBorders>
            <w:tcMar>
              <w:top w:w="10" w:type="dxa"/>
              <w:bottom w:w="10" w:type="dxa"/>
            </w:tcMar>
            <w:vAlign w:val="center"/>
          </w:tcPr>
          <w:p w14:paraId="3BEB7920"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212121"/>
                <w:sz w:val="7"/>
              </w:rPr>
              <w:t>Andel av samlede dekkede eiendeler som finansierer taksonomirelevante sektorer (som er omfattet av taksonomien)</w:t>
            </w:r>
          </w:p>
        </w:tc>
      </w:tr>
      <w:tr w:rsidR="006561BA" w14:paraId="383331E1" w14:textId="77777777">
        <w:tc>
          <w:tcPr>
            <w:tcW w:w="2333" w:type="dxa"/>
            <w:gridSpan w:val="2"/>
            <w:vMerge/>
            <w:tcBorders>
              <w:left w:val="single" w:sz="4" w:space="0" w:color="auto"/>
            </w:tcBorders>
            <w:tcMar>
              <w:top w:w="10" w:type="dxa"/>
              <w:bottom w:w="10" w:type="dxa"/>
            </w:tcMar>
            <w:vAlign w:val="center"/>
          </w:tcPr>
          <w:p w14:paraId="36AD61E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324" w:type="dxa"/>
            <w:tcBorders>
              <w:left w:val="single" w:sz="4" w:space="0" w:color="auto"/>
            </w:tcBorders>
            <w:tcMar>
              <w:top w:w="10" w:type="dxa"/>
              <w:bottom w:w="10" w:type="dxa"/>
            </w:tcMar>
            <w:vAlign w:val="center"/>
          </w:tcPr>
          <w:p w14:paraId="34918FF8"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7"/>
                <w:szCs w:val="7"/>
              </w:rPr>
            </w:pPr>
          </w:p>
        </w:tc>
        <w:tc>
          <w:tcPr>
            <w:tcW w:w="1731" w:type="dxa"/>
            <w:gridSpan w:val="5"/>
            <w:tcBorders>
              <w:top w:val="single" w:sz="4" w:space="0" w:color="auto"/>
              <w:left w:val="single" w:sz="4" w:space="0" w:color="auto"/>
            </w:tcBorders>
            <w:tcMar>
              <w:top w:w="10" w:type="dxa"/>
              <w:bottom w:w="10" w:type="dxa"/>
            </w:tcMar>
            <w:vAlign w:val="center"/>
          </w:tcPr>
          <w:p w14:paraId="4F4CE7A6"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212121"/>
                <w:sz w:val="7"/>
              </w:rPr>
              <w:t>Andel av samlede dekkede eiendeler som finansierer taksonomirelevante sektorer (taksonomiforenlige)</w:t>
            </w:r>
          </w:p>
        </w:tc>
        <w:tc>
          <w:tcPr>
            <w:tcW w:w="316" w:type="dxa"/>
            <w:tcBorders>
              <w:left w:val="single" w:sz="4" w:space="0" w:color="auto"/>
            </w:tcBorders>
            <w:tcMar>
              <w:top w:w="10" w:type="dxa"/>
              <w:bottom w:w="10" w:type="dxa"/>
            </w:tcMar>
            <w:vAlign w:val="center"/>
          </w:tcPr>
          <w:p w14:paraId="545F9AE1"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7"/>
                <w:szCs w:val="7"/>
              </w:rPr>
            </w:pPr>
          </w:p>
        </w:tc>
        <w:tc>
          <w:tcPr>
            <w:tcW w:w="1203" w:type="dxa"/>
            <w:gridSpan w:val="4"/>
            <w:tcBorders>
              <w:top w:val="single" w:sz="4" w:space="0" w:color="auto"/>
              <w:left w:val="single" w:sz="4" w:space="0" w:color="auto"/>
            </w:tcBorders>
            <w:tcMar>
              <w:top w:w="10" w:type="dxa"/>
              <w:bottom w:w="10" w:type="dxa"/>
            </w:tcMar>
            <w:vAlign w:val="center"/>
          </w:tcPr>
          <w:p w14:paraId="72C57FD4"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212121"/>
                <w:sz w:val="7"/>
              </w:rPr>
              <w:t>Andel av samlede dekkede eiendeler som finansierer taksonomirelevante sektorer (taksonomiforenlige)</w:t>
            </w:r>
          </w:p>
        </w:tc>
        <w:tc>
          <w:tcPr>
            <w:tcW w:w="316" w:type="dxa"/>
            <w:tcBorders>
              <w:left w:val="single" w:sz="4" w:space="0" w:color="auto"/>
            </w:tcBorders>
            <w:tcMar>
              <w:top w:w="10" w:type="dxa"/>
              <w:bottom w:w="10" w:type="dxa"/>
            </w:tcMar>
            <w:vAlign w:val="center"/>
          </w:tcPr>
          <w:p w14:paraId="1DC5DCE8"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7"/>
                <w:szCs w:val="7"/>
              </w:rPr>
            </w:pPr>
          </w:p>
        </w:tc>
        <w:tc>
          <w:tcPr>
            <w:tcW w:w="1202" w:type="dxa"/>
            <w:gridSpan w:val="4"/>
            <w:tcBorders>
              <w:top w:val="single" w:sz="4" w:space="0" w:color="auto"/>
              <w:left w:val="single" w:sz="4" w:space="0" w:color="auto"/>
            </w:tcBorders>
            <w:tcMar>
              <w:top w:w="10" w:type="dxa"/>
              <w:bottom w:w="10" w:type="dxa"/>
            </w:tcMar>
            <w:vAlign w:val="center"/>
          </w:tcPr>
          <w:p w14:paraId="4AB8718B"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212121"/>
                <w:sz w:val="7"/>
              </w:rPr>
              <w:t>Andel av samlede dekkede eiendeler som finansierer taksonomirelevante sektorer (taksonomiforenlige)</w:t>
            </w:r>
          </w:p>
        </w:tc>
        <w:tc>
          <w:tcPr>
            <w:tcW w:w="316" w:type="dxa"/>
            <w:tcBorders>
              <w:left w:val="single" w:sz="4" w:space="0" w:color="auto"/>
            </w:tcBorders>
            <w:tcMar>
              <w:top w:w="10" w:type="dxa"/>
              <w:bottom w:w="10" w:type="dxa"/>
            </w:tcMar>
            <w:vAlign w:val="center"/>
          </w:tcPr>
          <w:p w14:paraId="20E8C35B"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7"/>
                <w:szCs w:val="7"/>
              </w:rPr>
            </w:pPr>
          </w:p>
        </w:tc>
        <w:tc>
          <w:tcPr>
            <w:tcW w:w="1203" w:type="dxa"/>
            <w:gridSpan w:val="3"/>
            <w:tcBorders>
              <w:top w:val="single" w:sz="4" w:space="0" w:color="auto"/>
              <w:left w:val="single" w:sz="4" w:space="0" w:color="auto"/>
            </w:tcBorders>
            <w:tcMar>
              <w:top w:w="10" w:type="dxa"/>
              <w:bottom w:w="10" w:type="dxa"/>
            </w:tcMar>
            <w:vAlign w:val="center"/>
          </w:tcPr>
          <w:p w14:paraId="1C9B3614"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212121"/>
                <w:sz w:val="7"/>
              </w:rPr>
              <w:t>Andel av samlede dekkede eiendeler som finansierer taksonomirelevante sektorer (taksonomiforenlige)</w:t>
            </w:r>
          </w:p>
        </w:tc>
        <w:tc>
          <w:tcPr>
            <w:tcW w:w="316" w:type="dxa"/>
            <w:tcBorders>
              <w:left w:val="single" w:sz="4" w:space="0" w:color="auto"/>
            </w:tcBorders>
            <w:tcMar>
              <w:top w:w="10" w:type="dxa"/>
              <w:bottom w:w="10" w:type="dxa"/>
            </w:tcMar>
            <w:vAlign w:val="center"/>
          </w:tcPr>
          <w:p w14:paraId="097663B4"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7"/>
                <w:szCs w:val="7"/>
              </w:rPr>
            </w:pPr>
          </w:p>
        </w:tc>
        <w:tc>
          <w:tcPr>
            <w:tcW w:w="1196" w:type="dxa"/>
            <w:gridSpan w:val="4"/>
            <w:tcBorders>
              <w:top w:val="single" w:sz="4" w:space="0" w:color="auto"/>
              <w:left w:val="single" w:sz="4" w:space="0" w:color="auto"/>
            </w:tcBorders>
            <w:tcMar>
              <w:top w:w="10" w:type="dxa"/>
              <w:bottom w:w="10" w:type="dxa"/>
            </w:tcMar>
            <w:vAlign w:val="center"/>
          </w:tcPr>
          <w:p w14:paraId="1DDB99FA"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212121"/>
                <w:sz w:val="7"/>
              </w:rPr>
              <w:t>Andel av samlede dekkede eiendeler som finansierer taksonomirelevante sektorer (taksonomiforenlige)</w:t>
            </w:r>
          </w:p>
        </w:tc>
        <w:tc>
          <w:tcPr>
            <w:tcW w:w="324" w:type="dxa"/>
            <w:tcBorders>
              <w:left w:val="single" w:sz="4" w:space="0" w:color="auto"/>
            </w:tcBorders>
            <w:tcMar>
              <w:top w:w="10" w:type="dxa"/>
              <w:bottom w:w="10" w:type="dxa"/>
            </w:tcMar>
            <w:vAlign w:val="center"/>
          </w:tcPr>
          <w:p w14:paraId="0CAEDE65"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7"/>
                <w:szCs w:val="7"/>
              </w:rPr>
            </w:pPr>
          </w:p>
        </w:tc>
        <w:tc>
          <w:tcPr>
            <w:tcW w:w="1199" w:type="dxa"/>
            <w:gridSpan w:val="4"/>
            <w:tcBorders>
              <w:top w:val="single" w:sz="4" w:space="0" w:color="auto"/>
              <w:left w:val="single" w:sz="4" w:space="0" w:color="auto"/>
            </w:tcBorders>
            <w:tcMar>
              <w:top w:w="10" w:type="dxa"/>
              <w:bottom w:w="10" w:type="dxa"/>
            </w:tcMar>
            <w:vAlign w:val="center"/>
          </w:tcPr>
          <w:p w14:paraId="2B96829D"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212121"/>
                <w:sz w:val="7"/>
              </w:rPr>
              <w:t>Andel av samlede dekkede eiendeler som finansierer taksonomirelevante sektorer (taksonomiforenlige)</w:t>
            </w:r>
          </w:p>
        </w:tc>
        <w:tc>
          <w:tcPr>
            <w:tcW w:w="329" w:type="dxa"/>
            <w:tcBorders>
              <w:left w:val="single" w:sz="4" w:space="0" w:color="auto"/>
            </w:tcBorders>
            <w:tcMar>
              <w:top w:w="10" w:type="dxa"/>
              <w:bottom w:w="10" w:type="dxa"/>
            </w:tcMar>
            <w:vAlign w:val="center"/>
          </w:tcPr>
          <w:p w14:paraId="481D842C" w14:textId="77777777" w:rsidR="006561BA" w:rsidRPr="00770AA2" w:rsidRDefault="006561BA">
            <w:pPr>
              <w:widowControl w:val="0"/>
              <w:shd w:val="clear" w:color="auto" w:fill="auto"/>
              <w:spacing w:after="0" w:line="240" w:lineRule="auto"/>
              <w:jc w:val="center"/>
              <w:rPr>
                <w:rFonts w:ascii="Helvetica" w:eastAsia="Arial Unicode MS" w:hAnsi="Helvetica" w:cs="Helvetica"/>
                <w:color w:val="000000"/>
                <w:sz w:val="7"/>
                <w:szCs w:val="7"/>
              </w:rPr>
            </w:pPr>
          </w:p>
        </w:tc>
        <w:tc>
          <w:tcPr>
            <w:tcW w:w="1749" w:type="dxa"/>
            <w:gridSpan w:val="4"/>
            <w:tcBorders>
              <w:top w:val="single" w:sz="4" w:space="0" w:color="auto"/>
              <w:left w:val="single" w:sz="4" w:space="0" w:color="auto"/>
              <w:right w:val="single" w:sz="4" w:space="0" w:color="auto"/>
            </w:tcBorders>
            <w:tcMar>
              <w:top w:w="10" w:type="dxa"/>
              <w:bottom w:w="10" w:type="dxa"/>
            </w:tcMar>
            <w:vAlign w:val="center"/>
          </w:tcPr>
          <w:p w14:paraId="2F645C3C"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212121"/>
                <w:sz w:val="7"/>
              </w:rPr>
              <w:t>Andel av samlede dekkede eiendeler som finansierer taksonomirelevante sektorer (taksonomiforenlige)</w:t>
            </w:r>
          </w:p>
        </w:tc>
      </w:tr>
      <w:tr w:rsidR="006561BA" w14:paraId="172DD24C" w14:textId="77777777">
        <w:tc>
          <w:tcPr>
            <w:tcW w:w="2333" w:type="dxa"/>
            <w:gridSpan w:val="2"/>
            <w:vMerge/>
            <w:tcBorders>
              <w:left w:val="single" w:sz="4" w:space="0" w:color="auto"/>
            </w:tcBorders>
            <w:tcMar>
              <w:top w:w="10" w:type="dxa"/>
              <w:bottom w:w="10" w:type="dxa"/>
            </w:tcMar>
          </w:tcPr>
          <w:p w14:paraId="1F0D548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324" w:type="dxa"/>
            <w:tcBorders>
              <w:left w:val="single" w:sz="4" w:space="0" w:color="auto"/>
            </w:tcBorders>
            <w:tcMar>
              <w:top w:w="10" w:type="dxa"/>
              <w:bottom w:w="10" w:type="dxa"/>
            </w:tcMar>
            <w:vAlign w:val="center"/>
          </w:tcPr>
          <w:p w14:paraId="5D70F6C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410" w:type="dxa"/>
            <w:tcBorders>
              <w:left w:val="single" w:sz="4" w:space="0" w:color="auto"/>
            </w:tcBorders>
            <w:tcMar>
              <w:top w:w="10" w:type="dxa"/>
              <w:bottom w:w="10" w:type="dxa"/>
            </w:tcMar>
            <w:vAlign w:val="center"/>
          </w:tcPr>
          <w:p w14:paraId="51B7A5B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410" w:type="dxa"/>
            <w:tcBorders>
              <w:top w:val="single" w:sz="4" w:space="0" w:color="auto"/>
              <w:left w:val="single" w:sz="4" w:space="0" w:color="auto"/>
            </w:tcBorders>
            <w:tcMar>
              <w:top w:w="10" w:type="dxa"/>
              <w:bottom w:w="10" w:type="dxa"/>
            </w:tcMar>
            <w:vAlign w:val="center"/>
          </w:tcPr>
          <w:p w14:paraId="0D5DB953"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7"/>
                <w:szCs w:val="7"/>
              </w:rPr>
            </w:pPr>
            <w:r>
              <w:rPr>
                <w:rFonts w:ascii="Helvetica" w:hAnsi="Helvetica"/>
                <w:color w:val="212121"/>
                <w:sz w:val="7"/>
              </w:rPr>
              <w:t>Hvorav bruk av proveny</w:t>
            </w:r>
          </w:p>
        </w:tc>
        <w:tc>
          <w:tcPr>
            <w:tcW w:w="490" w:type="dxa"/>
            <w:gridSpan w:val="2"/>
            <w:tcBorders>
              <w:top w:val="single" w:sz="4" w:space="0" w:color="auto"/>
              <w:left w:val="single" w:sz="4" w:space="0" w:color="auto"/>
            </w:tcBorders>
            <w:tcMar>
              <w:top w:w="10" w:type="dxa"/>
              <w:bottom w:w="10" w:type="dxa"/>
            </w:tcMar>
            <w:vAlign w:val="center"/>
          </w:tcPr>
          <w:p w14:paraId="5F9B5614"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7"/>
                <w:szCs w:val="7"/>
              </w:rPr>
            </w:pPr>
            <w:r>
              <w:rPr>
                <w:rFonts w:ascii="Helvetica" w:hAnsi="Helvetica"/>
                <w:color w:val="212121"/>
                <w:sz w:val="7"/>
              </w:rPr>
              <w:t>Hvorav omstilling</w:t>
            </w:r>
          </w:p>
        </w:tc>
        <w:tc>
          <w:tcPr>
            <w:tcW w:w="421" w:type="dxa"/>
            <w:tcBorders>
              <w:top w:val="single" w:sz="4" w:space="0" w:color="auto"/>
              <w:left w:val="single" w:sz="4" w:space="0" w:color="auto"/>
            </w:tcBorders>
            <w:tcMar>
              <w:top w:w="10" w:type="dxa"/>
              <w:bottom w:w="10" w:type="dxa"/>
            </w:tcMar>
            <w:vAlign w:val="center"/>
          </w:tcPr>
          <w:p w14:paraId="65422E8E"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7"/>
                <w:szCs w:val="7"/>
              </w:rPr>
            </w:pPr>
            <w:r>
              <w:rPr>
                <w:rFonts w:ascii="Helvetica" w:hAnsi="Helvetica"/>
                <w:color w:val="212121"/>
                <w:sz w:val="7"/>
              </w:rPr>
              <w:t>Hvorav muliggjørende</w:t>
            </w:r>
          </w:p>
        </w:tc>
        <w:tc>
          <w:tcPr>
            <w:tcW w:w="316" w:type="dxa"/>
            <w:tcBorders>
              <w:left w:val="single" w:sz="4" w:space="0" w:color="auto"/>
            </w:tcBorders>
            <w:tcMar>
              <w:top w:w="10" w:type="dxa"/>
              <w:bottom w:w="10" w:type="dxa"/>
            </w:tcMar>
            <w:vAlign w:val="center"/>
          </w:tcPr>
          <w:p w14:paraId="3700F001"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360" w:type="dxa"/>
            <w:gridSpan w:val="2"/>
            <w:tcBorders>
              <w:left w:val="single" w:sz="4" w:space="0" w:color="auto"/>
            </w:tcBorders>
            <w:tcMar>
              <w:top w:w="10" w:type="dxa"/>
              <w:bottom w:w="10" w:type="dxa"/>
            </w:tcMar>
            <w:vAlign w:val="center"/>
          </w:tcPr>
          <w:p w14:paraId="3A0417D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410" w:type="dxa"/>
            <w:tcBorders>
              <w:top w:val="single" w:sz="4" w:space="0" w:color="auto"/>
              <w:left w:val="single" w:sz="4" w:space="0" w:color="auto"/>
            </w:tcBorders>
            <w:tcMar>
              <w:top w:w="10" w:type="dxa"/>
              <w:bottom w:w="10" w:type="dxa"/>
            </w:tcMar>
            <w:vAlign w:val="center"/>
          </w:tcPr>
          <w:p w14:paraId="4A13D698"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7"/>
                <w:szCs w:val="7"/>
              </w:rPr>
            </w:pPr>
            <w:r>
              <w:rPr>
                <w:rFonts w:ascii="Helvetica" w:hAnsi="Helvetica"/>
                <w:color w:val="212121"/>
                <w:sz w:val="7"/>
              </w:rPr>
              <w:t>Hvorav bruk av proveny</w:t>
            </w:r>
          </w:p>
        </w:tc>
        <w:tc>
          <w:tcPr>
            <w:tcW w:w="433" w:type="dxa"/>
            <w:tcBorders>
              <w:top w:val="single" w:sz="4" w:space="0" w:color="auto"/>
              <w:left w:val="single" w:sz="4" w:space="0" w:color="auto"/>
            </w:tcBorders>
            <w:tcMar>
              <w:top w:w="10" w:type="dxa"/>
              <w:bottom w:w="10" w:type="dxa"/>
            </w:tcMar>
            <w:vAlign w:val="center"/>
          </w:tcPr>
          <w:p w14:paraId="761C5B3C"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7"/>
                <w:szCs w:val="7"/>
              </w:rPr>
            </w:pPr>
            <w:r>
              <w:rPr>
                <w:rFonts w:ascii="Helvetica" w:hAnsi="Helvetica"/>
                <w:color w:val="212121"/>
                <w:sz w:val="7"/>
              </w:rPr>
              <w:t>Hvorav muliggjørende</w:t>
            </w:r>
          </w:p>
        </w:tc>
        <w:tc>
          <w:tcPr>
            <w:tcW w:w="316" w:type="dxa"/>
            <w:tcBorders>
              <w:left w:val="single" w:sz="4" w:space="0" w:color="auto"/>
            </w:tcBorders>
            <w:tcMar>
              <w:top w:w="10" w:type="dxa"/>
              <w:bottom w:w="10" w:type="dxa"/>
            </w:tcMar>
            <w:vAlign w:val="center"/>
          </w:tcPr>
          <w:p w14:paraId="38E4FAB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360" w:type="dxa"/>
            <w:gridSpan w:val="2"/>
            <w:tcBorders>
              <w:left w:val="single" w:sz="4" w:space="0" w:color="auto"/>
            </w:tcBorders>
            <w:tcMar>
              <w:top w:w="10" w:type="dxa"/>
              <w:bottom w:w="10" w:type="dxa"/>
            </w:tcMar>
            <w:vAlign w:val="center"/>
          </w:tcPr>
          <w:p w14:paraId="43732A4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403" w:type="dxa"/>
            <w:tcBorders>
              <w:top w:val="single" w:sz="4" w:space="0" w:color="auto"/>
              <w:left w:val="single" w:sz="4" w:space="0" w:color="auto"/>
            </w:tcBorders>
            <w:tcMar>
              <w:top w:w="10" w:type="dxa"/>
              <w:bottom w:w="10" w:type="dxa"/>
            </w:tcMar>
            <w:vAlign w:val="center"/>
          </w:tcPr>
          <w:p w14:paraId="342AB46C"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7"/>
                <w:szCs w:val="7"/>
              </w:rPr>
            </w:pPr>
            <w:r>
              <w:rPr>
                <w:rFonts w:ascii="Helvetica" w:hAnsi="Helvetica"/>
                <w:color w:val="212121"/>
                <w:sz w:val="7"/>
              </w:rPr>
              <w:t>Hvorav bruk av proveny</w:t>
            </w:r>
          </w:p>
        </w:tc>
        <w:tc>
          <w:tcPr>
            <w:tcW w:w="439" w:type="dxa"/>
            <w:tcBorders>
              <w:top w:val="single" w:sz="4" w:space="0" w:color="auto"/>
              <w:left w:val="single" w:sz="4" w:space="0" w:color="auto"/>
            </w:tcBorders>
            <w:tcMar>
              <w:top w:w="10" w:type="dxa"/>
              <w:bottom w:w="10" w:type="dxa"/>
            </w:tcMar>
            <w:vAlign w:val="center"/>
          </w:tcPr>
          <w:p w14:paraId="65587504"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7"/>
                <w:szCs w:val="7"/>
              </w:rPr>
            </w:pPr>
            <w:r>
              <w:rPr>
                <w:rFonts w:ascii="Helvetica" w:hAnsi="Helvetica"/>
                <w:color w:val="212121"/>
                <w:sz w:val="7"/>
              </w:rPr>
              <w:t>Hvorav muliggjørende</w:t>
            </w:r>
          </w:p>
        </w:tc>
        <w:tc>
          <w:tcPr>
            <w:tcW w:w="316" w:type="dxa"/>
            <w:tcBorders>
              <w:left w:val="single" w:sz="4" w:space="0" w:color="auto"/>
            </w:tcBorders>
            <w:tcMar>
              <w:top w:w="10" w:type="dxa"/>
              <w:bottom w:w="10" w:type="dxa"/>
            </w:tcMar>
          </w:tcPr>
          <w:p w14:paraId="0D8DF5D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353" w:type="dxa"/>
            <w:tcBorders>
              <w:left w:val="single" w:sz="4" w:space="0" w:color="auto"/>
            </w:tcBorders>
            <w:tcMar>
              <w:top w:w="10" w:type="dxa"/>
              <w:bottom w:w="10" w:type="dxa"/>
            </w:tcMar>
          </w:tcPr>
          <w:p w14:paraId="1A1E103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404" w:type="dxa"/>
            <w:tcBorders>
              <w:top w:val="single" w:sz="4" w:space="0" w:color="auto"/>
              <w:left w:val="single" w:sz="4" w:space="0" w:color="auto"/>
            </w:tcBorders>
            <w:tcMar>
              <w:top w:w="10" w:type="dxa"/>
              <w:bottom w:w="10" w:type="dxa"/>
            </w:tcMar>
            <w:vAlign w:val="center"/>
          </w:tcPr>
          <w:p w14:paraId="0E606A78"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7"/>
                <w:szCs w:val="7"/>
              </w:rPr>
            </w:pPr>
            <w:r>
              <w:rPr>
                <w:rFonts w:ascii="Helvetica" w:hAnsi="Helvetica"/>
                <w:color w:val="212121"/>
                <w:sz w:val="7"/>
              </w:rPr>
              <w:t>Hvorav bruk av proveny</w:t>
            </w:r>
          </w:p>
        </w:tc>
        <w:tc>
          <w:tcPr>
            <w:tcW w:w="446" w:type="dxa"/>
            <w:tcBorders>
              <w:top w:val="single" w:sz="4" w:space="0" w:color="auto"/>
              <w:left w:val="single" w:sz="4" w:space="0" w:color="auto"/>
            </w:tcBorders>
            <w:tcMar>
              <w:top w:w="10" w:type="dxa"/>
              <w:bottom w:w="10" w:type="dxa"/>
            </w:tcMar>
            <w:vAlign w:val="center"/>
          </w:tcPr>
          <w:p w14:paraId="23E12D53"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7"/>
                <w:szCs w:val="7"/>
              </w:rPr>
            </w:pPr>
            <w:r>
              <w:rPr>
                <w:rFonts w:ascii="Helvetica" w:hAnsi="Helvetica"/>
                <w:color w:val="212121"/>
                <w:sz w:val="7"/>
              </w:rPr>
              <w:t>Hvorav muliggjørende</w:t>
            </w:r>
          </w:p>
        </w:tc>
        <w:tc>
          <w:tcPr>
            <w:tcW w:w="316" w:type="dxa"/>
            <w:tcBorders>
              <w:left w:val="single" w:sz="4" w:space="0" w:color="auto"/>
            </w:tcBorders>
            <w:tcMar>
              <w:top w:w="10" w:type="dxa"/>
              <w:bottom w:w="10" w:type="dxa"/>
            </w:tcMar>
            <w:vAlign w:val="center"/>
          </w:tcPr>
          <w:p w14:paraId="109497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359" w:type="dxa"/>
            <w:tcBorders>
              <w:left w:val="single" w:sz="4" w:space="0" w:color="auto"/>
            </w:tcBorders>
            <w:tcMar>
              <w:top w:w="10" w:type="dxa"/>
              <w:bottom w:w="10" w:type="dxa"/>
            </w:tcMar>
            <w:vAlign w:val="center"/>
          </w:tcPr>
          <w:p w14:paraId="2F8BAF7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404" w:type="dxa"/>
            <w:gridSpan w:val="2"/>
            <w:tcBorders>
              <w:top w:val="single" w:sz="4" w:space="0" w:color="auto"/>
              <w:left w:val="single" w:sz="4" w:space="0" w:color="auto"/>
            </w:tcBorders>
            <w:tcMar>
              <w:top w:w="10" w:type="dxa"/>
              <w:bottom w:w="10" w:type="dxa"/>
            </w:tcMar>
            <w:vAlign w:val="center"/>
          </w:tcPr>
          <w:p w14:paraId="1CD796D1"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7"/>
                <w:szCs w:val="7"/>
              </w:rPr>
            </w:pPr>
            <w:r>
              <w:rPr>
                <w:rFonts w:ascii="Helvetica" w:hAnsi="Helvetica"/>
                <w:color w:val="212121"/>
                <w:sz w:val="7"/>
              </w:rPr>
              <w:t>Hvorav bruk av proveny</w:t>
            </w:r>
          </w:p>
        </w:tc>
        <w:tc>
          <w:tcPr>
            <w:tcW w:w="433" w:type="dxa"/>
            <w:tcBorders>
              <w:top w:val="single" w:sz="4" w:space="0" w:color="auto"/>
              <w:left w:val="single" w:sz="4" w:space="0" w:color="auto"/>
            </w:tcBorders>
            <w:tcMar>
              <w:top w:w="10" w:type="dxa"/>
              <w:bottom w:w="10" w:type="dxa"/>
            </w:tcMar>
            <w:vAlign w:val="center"/>
          </w:tcPr>
          <w:p w14:paraId="15C18BF2"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7"/>
                <w:szCs w:val="7"/>
              </w:rPr>
            </w:pPr>
            <w:r>
              <w:rPr>
                <w:rFonts w:ascii="Helvetica" w:hAnsi="Helvetica"/>
                <w:color w:val="212121"/>
                <w:sz w:val="7"/>
              </w:rPr>
              <w:t>Hvorav muliggjørende</w:t>
            </w:r>
          </w:p>
        </w:tc>
        <w:tc>
          <w:tcPr>
            <w:tcW w:w="324" w:type="dxa"/>
            <w:tcBorders>
              <w:left w:val="single" w:sz="4" w:space="0" w:color="auto"/>
            </w:tcBorders>
            <w:tcMar>
              <w:top w:w="10" w:type="dxa"/>
              <w:bottom w:w="10" w:type="dxa"/>
            </w:tcMar>
            <w:vAlign w:val="center"/>
          </w:tcPr>
          <w:p w14:paraId="3D22895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359" w:type="dxa"/>
            <w:tcBorders>
              <w:left w:val="single" w:sz="4" w:space="0" w:color="auto"/>
            </w:tcBorders>
            <w:tcMar>
              <w:top w:w="10" w:type="dxa"/>
              <w:bottom w:w="10" w:type="dxa"/>
            </w:tcMar>
            <w:vAlign w:val="center"/>
          </w:tcPr>
          <w:p w14:paraId="70FBEB4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408" w:type="dxa"/>
            <w:tcBorders>
              <w:top w:val="single" w:sz="4" w:space="0" w:color="auto"/>
              <w:left w:val="single" w:sz="4" w:space="0" w:color="auto"/>
            </w:tcBorders>
            <w:tcMar>
              <w:top w:w="10" w:type="dxa"/>
              <w:bottom w:w="10" w:type="dxa"/>
            </w:tcMar>
            <w:vAlign w:val="center"/>
          </w:tcPr>
          <w:p w14:paraId="0B7DFBBB"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7"/>
                <w:szCs w:val="7"/>
              </w:rPr>
            </w:pPr>
            <w:r>
              <w:rPr>
                <w:rFonts w:ascii="Helvetica" w:hAnsi="Helvetica"/>
                <w:color w:val="212121"/>
                <w:sz w:val="7"/>
              </w:rPr>
              <w:t>Hvorav bruk av proveny</w:t>
            </w:r>
          </w:p>
        </w:tc>
        <w:tc>
          <w:tcPr>
            <w:tcW w:w="432" w:type="dxa"/>
            <w:gridSpan w:val="2"/>
            <w:tcBorders>
              <w:top w:val="single" w:sz="4" w:space="0" w:color="auto"/>
              <w:left w:val="single" w:sz="4" w:space="0" w:color="auto"/>
            </w:tcBorders>
            <w:tcMar>
              <w:top w:w="10" w:type="dxa"/>
              <w:bottom w:w="10" w:type="dxa"/>
            </w:tcMar>
            <w:vAlign w:val="center"/>
          </w:tcPr>
          <w:p w14:paraId="7B2EEF00"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7"/>
                <w:szCs w:val="7"/>
              </w:rPr>
            </w:pPr>
            <w:r>
              <w:rPr>
                <w:rFonts w:ascii="Helvetica" w:hAnsi="Helvetica"/>
                <w:color w:val="212121"/>
                <w:sz w:val="7"/>
              </w:rPr>
              <w:t>Hvorav muliggjørende</w:t>
            </w:r>
          </w:p>
        </w:tc>
        <w:tc>
          <w:tcPr>
            <w:tcW w:w="329" w:type="dxa"/>
            <w:tcBorders>
              <w:left w:val="single" w:sz="4" w:space="0" w:color="auto"/>
            </w:tcBorders>
            <w:tcMar>
              <w:top w:w="10" w:type="dxa"/>
              <w:bottom w:w="10" w:type="dxa"/>
            </w:tcMar>
            <w:vAlign w:val="center"/>
          </w:tcPr>
          <w:p w14:paraId="5293CA6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406" w:type="dxa"/>
            <w:tcBorders>
              <w:left w:val="single" w:sz="4" w:space="0" w:color="auto"/>
              <w:right w:val="single" w:sz="4" w:space="0" w:color="auto"/>
            </w:tcBorders>
            <w:tcMar>
              <w:top w:w="10" w:type="dxa"/>
              <w:bottom w:w="10" w:type="dxa"/>
            </w:tcMar>
            <w:vAlign w:val="center"/>
          </w:tcPr>
          <w:p w14:paraId="0AC9F2D9" w14:textId="77777777" w:rsidR="006561BA" w:rsidRDefault="006561BA">
            <w:pPr>
              <w:widowControl w:val="0"/>
              <w:shd w:val="clear" w:color="auto" w:fill="auto"/>
              <w:tabs>
                <w:tab w:val="left" w:pos="777"/>
              </w:tabs>
              <w:spacing w:after="0" w:line="240" w:lineRule="auto"/>
              <w:jc w:val="left"/>
              <w:rPr>
                <w:rFonts w:ascii="Helvetica" w:eastAsia="Arial Unicode MS" w:hAnsi="Helvetica" w:cs="Helvetica"/>
                <w:color w:val="000000"/>
                <w:sz w:val="7"/>
                <w:szCs w:val="7"/>
                <w:lang w:val="en-US"/>
              </w:rPr>
            </w:pPr>
          </w:p>
        </w:tc>
        <w:tc>
          <w:tcPr>
            <w:tcW w:w="410" w:type="dxa"/>
            <w:tcBorders>
              <w:top w:val="single" w:sz="4" w:space="0" w:color="auto"/>
              <w:left w:val="single" w:sz="4" w:space="0" w:color="auto"/>
              <w:right w:val="single" w:sz="4" w:space="0" w:color="auto"/>
            </w:tcBorders>
            <w:tcMar>
              <w:top w:w="10" w:type="dxa"/>
              <w:bottom w:w="10" w:type="dxa"/>
            </w:tcMar>
            <w:vAlign w:val="center"/>
          </w:tcPr>
          <w:p w14:paraId="00761F3D"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7"/>
                <w:szCs w:val="7"/>
              </w:rPr>
            </w:pPr>
            <w:r>
              <w:rPr>
                <w:rFonts w:ascii="Helvetica" w:hAnsi="Helvetica"/>
                <w:color w:val="212121"/>
                <w:sz w:val="7"/>
              </w:rPr>
              <w:t>Hvorav bruk av proveny</w:t>
            </w:r>
          </w:p>
        </w:tc>
        <w:tc>
          <w:tcPr>
            <w:tcW w:w="484" w:type="dxa"/>
            <w:tcBorders>
              <w:top w:val="single" w:sz="4" w:space="0" w:color="auto"/>
              <w:left w:val="single" w:sz="4" w:space="0" w:color="auto"/>
              <w:right w:val="single" w:sz="4" w:space="0" w:color="auto"/>
            </w:tcBorders>
            <w:tcMar>
              <w:top w:w="10" w:type="dxa"/>
              <w:bottom w:w="10" w:type="dxa"/>
            </w:tcMar>
            <w:vAlign w:val="center"/>
          </w:tcPr>
          <w:p w14:paraId="4E9927AC" w14:textId="77777777" w:rsidR="006561BA" w:rsidRDefault="005B4ED6">
            <w:pPr>
              <w:widowControl w:val="0"/>
              <w:shd w:val="clear" w:color="auto" w:fill="auto"/>
              <w:tabs>
                <w:tab w:val="left" w:pos="614"/>
              </w:tabs>
              <w:spacing w:after="0" w:line="240" w:lineRule="auto"/>
              <w:jc w:val="left"/>
              <w:rPr>
                <w:rFonts w:ascii="Helvetica" w:eastAsia="Arial Unicode MS" w:hAnsi="Helvetica" w:cs="Helvetica"/>
                <w:color w:val="000000"/>
                <w:sz w:val="7"/>
                <w:szCs w:val="7"/>
              </w:rPr>
            </w:pPr>
            <w:r>
              <w:rPr>
                <w:rFonts w:ascii="Helvetica" w:hAnsi="Helvetica"/>
                <w:color w:val="212121"/>
                <w:sz w:val="7"/>
              </w:rPr>
              <w:t>Hvorav omstilling</w:t>
            </w:r>
          </w:p>
        </w:tc>
        <w:tc>
          <w:tcPr>
            <w:tcW w:w="449" w:type="dxa"/>
            <w:tcBorders>
              <w:top w:val="single" w:sz="4" w:space="0" w:color="auto"/>
              <w:left w:val="single" w:sz="4" w:space="0" w:color="auto"/>
              <w:right w:val="single" w:sz="4" w:space="0" w:color="auto"/>
            </w:tcBorders>
            <w:tcMar>
              <w:top w:w="10" w:type="dxa"/>
              <w:bottom w:w="10" w:type="dxa"/>
            </w:tcMar>
            <w:vAlign w:val="center"/>
          </w:tcPr>
          <w:p w14:paraId="6493DA62"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7"/>
                <w:szCs w:val="7"/>
              </w:rPr>
            </w:pPr>
            <w:r>
              <w:rPr>
                <w:rFonts w:ascii="Helvetica" w:hAnsi="Helvetica"/>
                <w:color w:val="212121"/>
                <w:sz w:val="7"/>
              </w:rPr>
              <w:t>Hvorav muliggjørende</w:t>
            </w:r>
          </w:p>
        </w:tc>
      </w:tr>
      <w:tr w:rsidR="006561BA" w14:paraId="635B0341" w14:textId="77777777">
        <w:tc>
          <w:tcPr>
            <w:tcW w:w="127" w:type="dxa"/>
            <w:tcBorders>
              <w:top w:val="single" w:sz="4" w:space="0" w:color="auto"/>
              <w:left w:val="single" w:sz="4" w:space="0" w:color="auto"/>
            </w:tcBorders>
            <w:tcMar>
              <w:top w:w="10" w:type="dxa"/>
              <w:bottom w:w="10" w:type="dxa"/>
            </w:tcMar>
          </w:tcPr>
          <w:p w14:paraId="53E96847"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212121"/>
                <w:sz w:val="7"/>
              </w:rPr>
              <w:t>1</w:t>
            </w:r>
          </w:p>
        </w:tc>
        <w:tc>
          <w:tcPr>
            <w:tcW w:w="2206" w:type="dxa"/>
            <w:tcBorders>
              <w:top w:val="single" w:sz="4" w:space="0" w:color="auto"/>
              <w:left w:val="single" w:sz="4" w:space="0" w:color="auto"/>
            </w:tcBorders>
            <w:tcMar>
              <w:top w:w="10" w:type="dxa"/>
              <w:bottom w:w="10" w:type="dxa"/>
            </w:tcMar>
          </w:tcPr>
          <w:p w14:paraId="3C524E40"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7"/>
                <w:szCs w:val="7"/>
              </w:rPr>
            </w:pPr>
            <w:r>
              <w:rPr>
                <w:rFonts w:ascii="Helvetica" w:hAnsi="Helvetica"/>
                <w:color w:val="212121"/>
                <w:sz w:val="7"/>
              </w:rPr>
              <w:t xml:space="preserve">Finansielle garantier (KPI for </w:t>
            </w:r>
            <w:proofErr w:type="spellStart"/>
            <w:r>
              <w:rPr>
                <w:rFonts w:ascii="Helvetica" w:hAnsi="Helvetica"/>
                <w:color w:val="212121"/>
                <w:sz w:val="7"/>
              </w:rPr>
              <w:t>FinGuar</w:t>
            </w:r>
            <w:proofErr w:type="spellEnd"/>
            <w:r>
              <w:rPr>
                <w:rFonts w:ascii="Helvetica" w:hAnsi="Helvetica"/>
                <w:color w:val="212121"/>
                <w:sz w:val="7"/>
              </w:rPr>
              <w:t>)</w:t>
            </w:r>
          </w:p>
        </w:tc>
        <w:tc>
          <w:tcPr>
            <w:tcW w:w="324" w:type="dxa"/>
            <w:tcBorders>
              <w:top w:val="single" w:sz="4" w:space="0" w:color="auto"/>
              <w:left w:val="single" w:sz="4" w:space="0" w:color="auto"/>
            </w:tcBorders>
            <w:tcMar>
              <w:top w:w="10" w:type="dxa"/>
              <w:bottom w:w="10" w:type="dxa"/>
            </w:tcMar>
          </w:tcPr>
          <w:p w14:paraId="3C90BAA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410" w:type="dxa"/>
            <w:tcBorders>
              <w:top w:val="single" w:sz="4" w:space="0" w:color="auto"/>
              <w:left w:val="single" w:sz="4" w:space="0" w:color="auto"/>
            </w:tcBorders>
            <w:tcMar>
              <w:top w:w="10" w:type="dxa"/>
              <w:bottom w:w="10" w:type="dxa"/>
            </w:tcMar>
          </w:tcPr>
          <w:p w14:paraId="1755648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410" w:type="dxa"/>
            <w:tcBorders>
              <w:top w:val="single" w:sz="4" w:space="0" w:color="auto"/>
              <w:left w:val="single" w:sz="4" w:space="0" w:color="auto"/>
            </w:tcBorders>
            <w:tcMar>
              <w:top w:w="10" w:type="dxa"/>
              <w:bottom w:w="10" w:type="dxa"/>
            </w:tcMar>
          </w:tcPr>
          <w:p w14:paraId="41FD2F15"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490" w:type="dxa"/>
            <w:gridSpan w:val="2"/>
            <w:tcBorders>
              <w:top w:val="single" w:sz="4" w:space="0" w:color="auto"/>
              <w:left w:val="single" w:sz="4" w:space="0" w:color="auto"/>
            </w:tcBorders>
            <w:tcMar>
              <w:top w:w="10" w:type="dxa"/>
              <w:bottom w:w="10" w:type="dxa"/>
            </w:tcMar>
          </w:tcPr>
          <w:p w14:paraId="2904156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421" w:type="dxa"/>
            <w:tcBorders>
              <w:top w:val="single" w:sz="4" w:space="0" w:color="auto"/>
              <w:left w:val="single" w:sz="4" w:space="0" w:color="auto"/>
            </w:tcBorders>
            <w:tcMar>
              <w:top w:w="10" w:type="dxa"/>
              <w:bottom w:w="10" w:type="dxa"/>
            </w:tcMar>
          </w:tcPr>
          <w:p w14:paraId="1CB57239"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316" w:type="dxa"/>
            <w:tcBorders>
              <w:top w:val="single" w:sz="4" w:space="0" w:color="auto"/>
              <w:left w:val="single" w:sz="4" w:space="0" w:color="auto"/>
            </w:tcBorders>
            <w:tcMar>
              <w:top w:w="10" w:type="dxa"/>
              <w:bottom w:w="10" w:type="dxa"/>
            </w:tcMar>
          </w:tcPr>
          <w:p w14:paraId="77EBC6D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360" w:type="dxa"/>
            <w:gridSpan w:val="2"/>
            <w:tcBorders>
              <w:top w:val="single" w:sz="4" w:space="0" w:color="auto"/>
              <w:left w:val="single" w:sz="4" w:space="0" w:color="auto"/>
            </w:tcBorders>
            <w:tcMar>
              <w:top w:w="10" w:type="dxa"/>
              <w:bottom w:w="10" w:type="dxa"/>
            </w:tcMar>
          </w:tcPr>
          <w:p w14:paraId="2B378FD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410" w:type="dxa"/>
            <w:tcBorders>
              <w:top w:val="single" w:sz="4" w:space="0" w:color="auto"/>
              <w:left w:val="single" w:sz="4" w:space="0" w:color="auto"/>
            </w:tcBorders>
            <w:tcMar>
              <w:top w:w="10" w:type="dxa"/>
              <w:bottom w:w="10" w:type="dxa"/>
            </w:tcMar>
          </w:tcPr>
          <w:p w14:paraId="0D967A2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433" w:type="dxa"/>
            <w:tcBorders>
              <w:top w:val="single" w:sz="4" w:space="0" w:color="auto"/>
              <w:left w:val="single" w:sz="4" w:space="0" w:color="auto"/>
            </w:tcBorders>
            <w:tcMar>
              <w:top w:w="10" w:type="dxa"/>
              <w:bottom w:w="10" w:type="dxa"/>
            </w:tcMar>
          </w:tcPr>
          <w:p w14:paraId="60D83F5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316" w:type="dxa"/>
            <w:tcBorders>
              <w:top w:val="single" w:sz="4" w:space="0" w:color="auto"/>
              <w:left w:val="single" w:sz="4" w:space="0" w:color="auto"/>
            </w:tcBorders>
            <w:tcMar>
              <w:top w:w="10" w:type="dxa"/>
              <w:bottom w:w="10" w:type="dxa"/>
            </w:tcMar>
          </w:tcPr>
          <w:p w14:paraId="630205E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360" w:type="dxa"/>
            <w:gridSpan w:val="2"/>
            <w:tcBorders>
              <w:top w:val="single" w:sz="4" w:space="0" w:color="auto"/>
              <w:left w:val="single" w:sz="4" w:space="0" w:color="auto"/>
            </w:tcBorders>
            <w:tcMar>
              <w:top w:w="10" w:type="dxa"/>
              <w:bottom w:w="10" w:type="dxa"/>
            </w:tcMar>
          </w:tcPr>
          <w:p w14:paraId="5FA86174"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403" w:type="dxa"/>
            <w:tcBorders>
              <w:top w:val="single" w:sz="4" w:space="0" w:color="auto"/>
              <w:left w:val="single" w:sz="4" w:space="0" w:color="auto"/>
            </w:tcBorders>
            <w:tcMar>
              <w:top w:w="10" w:type="dxa"/>
              <w:bottom w:w="10" w:type="dxa"/>
            </w:tcMar>
          </w:tcPr>
          <w:p w14:paraId="59AF7B6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439" w:type="dxa"/>
            <w:tcBorders>
              <w:top w:val="single" w:sz="4" w:space="0" w:color="auto"/>
              <w:left w:val="single" w:sz="4" w:space="0" w:color="auto"/>
            </w:tcBorders>
            <w:tcMar>
              <w:top w:w="10" w:type="dxa"/>
              <w:bottom w:w="10" w:type="dxa"/>
            </w:tcMar>
          </w:tcPr>
          <w:p w14:paraId="3C1D02B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316" w:type="dxa"/>
            <w:tcBorders>
              <w:top w:val="single" w:sz="4" w:space="0" w:color="auto"/>
              <w:left w:val="single" w:sz="4" w:space="0" w:color="auto"/>
            </w:tcBorders>
            <w:tcMar>
              <w:top w:w="10" w:type="dxa"/>
              <w:bottom w:w="10" w:type="dxa"/>
            </w:tcMar>
          </w:tcPr>
          <w:p w14:paraId="3FFE157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353" w:type="dxa"/>
            <w:tcBorders>
              <w:top w:val="single" w:sz="4" w:space="0" w:color="auto"/>
              <w:left w:val="single" w:sz="4" w:space="0" w:color="auto"/>
            </w:tcBorders>
            <w:tcMar>
              <w:top w:w="10" w:type="dxa"/>
              <w:bottom w:w="10" w:type="dxa"/>
            </w:tcMar>
          </w:tcPr>
          <w:p w14:paraId="1189B6FF"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404" w:type="dxa"/>
            <w:tcBorders>
              <w:top w:val="single" w:sz="4" w:space="0" w:color="auto"/>
              <w:left w:val="single" w:sz="4" w:space="0" w:color="auto"/>
            </w:tcBorders>
            <w:tcMar>
              <w:top w:w="10" w:type="dxa"/>
              <w:bottom w:w="10" w:type="dxa"/>
            </w:tcMar>
          </w:tcPr>
          <w:p w14:paraId="6B3DFC6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446" w:type="dxa"/>
            <w:tcBorders>
              <w:top w:val="single" w:sz="4" w:space="0" w:color="auto"/>
              <w:left w:val="single" w:sz="4" w:space="0" w:color="auto"/>
            </w:tcBorders>
            <w:tcMar>
              <w:top w:w="10" w:type="dxa"/>
              <w:bottom w:w="10" w:type="dxa"/>
            </w:tcMar>
          </w:tcPr>
          <w:p w14:paraId="4409A662"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316" w:type="dxa"/>
            <w:tcBorders>
              <w:top w:val="single" w:sz="4" w:space="0" w:color="auto"/>
              <w:left w:val="single" w:sz="4" w:space="0" w:color="auto"/>
            </w:tcBorders>
            <w:tcMar>
              <w:top w:w="10" w:type="dxa"/>
              <w:bottom w:w="10" w:type="dxa"/>
            </w:tcMar>
          </w:tcPr>
          <w:p w14:paraId="4140CDD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359" w:type="dxa"/>
            <w:tcBorders>
              <w:top w:val="single" w:sz="4" w:space="0" w:color="auto"/>
              <w:left w:val="single" w:sz="4" w:space="0" w:color="auto"/>
            </w:tcBorders>
            <w:tcMar>
              <w:top w:w="10" w:type="dxa"/>
              <w:bottom w:w="10" w:type="dxa"/>
            </w:tcMar>
          </w:tcPr>
          <w:p w14:paraId="6E25EC4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404" w:type="dxa"/>
            <w:gridSpan w:val="2"/>
            <w:tcBorders>
              <w:top w:val="single" w:sz="4" w:space="0" w:color="auto"/>
              <w:left w:val="single" w:sz="4" w:space="0" w:color="auto"/>
            </w:tcBorders>
            <w:tcMar>
              <w:top w:w="10" w:type="dxa"/>
              <w:bottom w:w="10" w:type="dxa"/>
            </w:tcMar>
          </w:tcPr>
          <w:p w14:paraId="3FE62F98"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433" w:type="dxa"/>
            <w:tcBorders>
              <w:top w:val="single" w:sz="4" w:space="0" w:color="auto"/>
              <w:left w:val="single" w:sz="4" w:space="0" w:color="auto"/>
            </w:tcBorders>
            <w:tcMar>
              <w:top w:w="10" w:type="dxa"/>
              <w:bottom w:w="10" w:type="dxa"/>
            </w:tcMar>
          </w:tcPr>
          <w:p w14:paraId="7CBC9EED"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324" w:type="dxa"/>
            <w:tcBorders>
              <w:top w:val="single" w:sz="4" w:space="0" w:color="auto"/>
              <w:left w:val="single" w:sz="4" w:space="0" w:color="auto"/>
            </w:tcBorders>
            <w:tcMar>
              <w:top w:w="10" w:type="dxa"/>
              <w:bottom w:w="10" w:type="dxa"/>
            </w:tcMar>
          </w:tcPr>
          <w:p w14:paraId="6B29D99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359" w:type="dxa"/>
            <w:tcBorders>
              <w:top w:val="single" w:sz="4" w:space="0" w:color="auto"/>
              <w:left w:val="single" w:sz="4" w:space="0" w:color="auto"/>
            </w:tcBorders>
            <w:tcMar>
              <w:top w:w="10" w:type="dxa"/>
              <w:bottom w:w="10" w:type="dxa"/>
            </w:tcMar>
          </w:tcPr>
          <w:p w14:paraId="3F8D5A7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408" w:type="dxa"/>
            <w:tcBorders>
              <w:top w:val="single" w:sz="4" w:space="0" w:color="auto"/>
              <w:left w:val="single" w:sz="4" w:space="0" w:color="auto"/>
            </w:tcBorders>
            <w:tcMar>
              <w:top w:w="10" w:type="dxa"/>
              <w:bottom w:w="10" w:type="dxa"/>
            </w:tcMar>
          </w:tcPr>
          <w:p w14:paraId="2CD51EC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432" w:type="dxa"/>
            <w:gridSpan w:val="2"/>
            <w:tcBorders>
              <w:top w:val="single" w:sz="4" w:space="0" w:color="auto"/>
              <w:left w:val="single" w:sz="4" w:space="0" w:color="auto"/>
            </w:tcBorders>
            <w:tcMar>
              <w:top w:w="10" w:type="dxa"/>
              <w:bottom w:w="10" w:type="dxa"/>
            </w:tcMar>
          </w:tcPr>
          <w:p w14:paraId="070AF9C3"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329" w:type="dxa"/>
            <w:tcBorders>
              <w:top w:val="single" w:sz="4" w:space="0" w:color="auto"/>
              <w:left w:val="single" w:sz="4" w:space="0" w:color="auto"/>
            </w:tcBorders>
            <w:tcMar>
              <w:top w:w="10" w:type="dxa"/>
              <w:bottom w:w="10" w:type="dxa"/>
            </w:tcMar>
          </w:tcPr>
          <w:p w14:paraId="4B1C612A"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406" w:type="dxa"/>
            <w:tcBorders>
              <w:top w:val="single" w:sz="4" w:space="0" w:color="auto"/>
              <w:left w:val="single" w:sz="4" w:space="0" w:color="auto"/>
            </w:tcBorders>
            <w:tcMar>
              <w:top w:w="10" w:type="dxa"/>
              <w:bottom w:w="10" w:type="dxa"/>
            </w:tcMar>
          </w:tcPr>
          <w:p w14:paraId="1AC8725C"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410" w:type="dxa"/>
            <w:tcBorders>
              <w:top w:val="single" w:sz="4" w:space="0" w:color="auto"/>
              <w:left w:val="single" w:sz="4" w:space="0" w:color="auto"/>
            </w:tcBorders>
            <w:tcMar>
              <w:top w:w="10" w:type="dxa"/>
              <w:bottom w:w="10" w:type="dxa"/>
            </w:tcMar>
          </w:tcPr>
          <w:p w14:paraId="16D7EEB1"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484" w:type="dxa"/>
            <w:tcBorders>
              <w:top w:val="single" w:sz="4" w:space="0" w:color="auto"/>
              <w:left w:val="single" w:sz="4" w:space="0" w:color="auto"/>
            </w:tcBorders>
            <w:tcMar>
              <w:top w:w="10" w:type="dxa"/>
              <w:bottom w:w="10" w:type="dxa"/>
            </w:tcMar>
          </w:tcPr>
          <w:p w14:paraId="74ECC9C6"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c>
          <w:tcPr>
            <w:tcW w:w="449" w:type="dxa"/>
            <w:tcBorders>
              <w:top w:val="single" w:sz="4" w:space="0" w:color="auto"/>
              <w:left w:val="single" w:sz="4" w:space="0" w:color="auto"/>
              <w:right w:val="single" w:sz="4" w:space="0" w:color="auto"/>
            </w:tcBorders>
            <w:tcMar>
              <w:top w:w="10" w:type="dxa"/>
              <w:bottom w:w="10" w:type="dxa"/>
            </w:tcMar>
          </w:tcPr>
          <w:p w14:paraId="3B05AA17"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7"/>
                <w:szCs w:val="7"/>
              </w:rPr>
            </w:pPr>
          </w:p>
        </w:tc>
      </w:tr>
      <w:tr w:rsidR="006561BA" w14:paraId="26469796" w14:textId="77777777">
        <w:tc>
          <w:tcPr>
            <w:tcW w:w="127" w:type="dxa"/>
            <w:tcBorders>
              <w:top w:val="single" w:sz="4" w:space="0" w:color="auto"/>
              <w:left w:val="single" w:sz="4" w:space="0" w:color="auto"/>
              <w:bottom w:val="single" w:sz="4" w:space="0" w:color="auto"/>
            </w:tcBorders>
            <w:tcMar>
              <w:top w:w="10" w:type="dxa"/>
              <w:bottom w:w="10" w:type="dxa"/>
            </w:tcMar>
          </w:tcPr>
          <w:p w14:paraId="3598B8B8" w14:textId="77777777" w:rsidR="006561BA" w:rsidRDefault="005B4ED6">
            <w:pPr>
              <w:widowControl w:val="0"/>
              <w:shd w:val="clear" w:color="auto" w:fill="auto"/>
              <w:spacing w:after="0" w:line="240" w:lineRule="auto"/>
              <w:jc w:val="center"/>
              <w:rPr>
                <w:rFonts w:ascii="Helvetica" w:eastAsia="Arial Unicode MS" w:hAnsi="Helvetica" w:cs="Helvetica"/>
                <w:color w:val="000000"/>
                <w:sz w:val="7"/>
                <w:szCs w:val="7"/>
              </w:rPr>
            </w:pPr>
            <w:r>
              <w:rPr>
                <w:rFonts w:ascii="Helvetica" w:hAnsi="Helvetica"/>
                <w:color w:val="212121"/>
                <w:sz w:val="7"/>
              </w:rPr>
              <w:t>2</w:t>
            </w:r>
          </w:p>
        </w:tc>
        <w:tc>
          <w:tcPr>
            <w:tcW w:w="2206" w:type="dxa"/>
            <w:tcBorders>
              <w:top w:val="single" w:sz="4" w:space="0" w:color="auto"/>
              <w:left w:val="single" w:sz="4" w:space="0" w:color="auto"/>
              <w:bottom w:val="single" w:sz="4" w:space="0" w:color="auto"/>
            </w:tcBorders>
            <w:tcMar>
              <w:top w:w="10" w:type="dxa"/>
              <w:bottom w:w="10" w:type="dxa"/>
            </w:tcMar>
          </w:tcPr>
          <w:p w14:paraId="3EF33818"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7"/>
                <w:szCs w:val="7"/>
              </w:rPr>
            </w:pPr>
            <w:r>
              <w:rPr>
                <w:rFonts w:ascii="Helvetica" w:hAnsi="Helvetica"/>
                <w:color w:val="212121"/>
                <w:sz w:val="7"/>
              </w:rPr>
              <w:t xml:space="preserve">Forvaltningskapital (KPI for </w:t>
            </w:r>
            <w:proofErr w:type="spellStart"/>
            <w:r>
              <w:rPr>
                <w:rFonts w:ascii="Helvetica" w:hAnsi="Helvetica"/>
                <w:color w:val="212121"/>
                <w:sz w:val="7"/>
              </w:rPr>
              <w:t>AuM</w:t>
            </w:r>
            <w:proofErr w:type="spellEnd"/>
            <w:r>
              <w:rPr>
                <w:rFonts w:ascii="Helvetica" w:hAnsi="Helvetica"/>
                <w:color w:val="212121"/>
                <w:sz w:val="7"/>
              </w:rPr>
              <w:t>)</w:t>
            </w:r>
          </w:p>
        </w:tc>
        <w:tc>
          <w:tcPr>
            <w:tcW w:w="324" w:type="dxa"/>
            <w:tcBorders>
              <w:top w:val="single" w:sz="4" w:space="0" w:color="auto"/>
              <w:left w:val="single" w:sz="4" w:space="0" w:color="auto"/>
              <w:bottom w:val="single" w:sz="4" w:space="0" w:color="auto"/>
            </w:tcBorders>
            <w:tcMar>
              <w:top w:w="10" w:type="dxa"/>
              <w:bottom w:w="10" w:type="dxa"/>
            </w:tcMar>
          </w:tcPr>
          <w:p w14:paraId="13BBD4F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410" w:type="dxa"/>
            <w:tcBorders>
              <w:top w:val="single" w:sz="4" w:space="0" w:color="auto"/>
              <w:left w:val="single" w:sz="4" w:space="0" w:color="auto"/>
              <w:bottom w:val="single" w:sz="4" w:space="0" w:color="auto"/>
            </w:tcBorders>
            <w:tcMar>
              <w:top w:w="10" w:type="dxa"/>
              <w:bottom w:w="10" w:type="dxa"/>
            </w:tcMar>
          </w:tcPr>
          <w:p w14:paraId="27E62FA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410" w:type="dxa"/>
            <w:tcBorders>
              <w:top w:val="single" w:sz="4" w:space="0" w:color="auto"/>
              <w:left w:val="single" w:sz="4" w:space="0" w:color="auto"/>
              <w:bottom w:val="single" w:sz="4" w:space="0" w:color="auto"/>
            </w:tcBorders>
            <w:tcMar>
              <w:top w:w="10" w:type="dxa"/>
              <w:bottom w:w="10" w:type="dxa"/>
            </w:tcMar>
          </w:tcPr>
          <w:p w14:paraId="44BEA8F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490" w:type="dxa"/>
            <w:gridSpan w:val="2"/>
            <w:tcBorders>
              <w:top w:val="single" w:sz="4" w:space="0" w:color="auto"/>
              <w:left w:val="single" w:sz="4" w:space="0" w:color="auto"/>
              <w:bottom w:val="single" w:sz="4" w:space="0" w:color="auto"/>
            </w:tcBorders>
            <w:tcMar>
              <w:top w:w="10" w:type="dxa"/>
              <w:bottom w:w="10" w:type="dxa"/>
            </w:tcMar>
          </w:tcPr>
          <w:p w14:paraId="6164749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421" w:type="dxa"/>
            <w:tcBorders>
              <w:top w:val="single" w:sz="4" w:space="0" w:color="auto"/>
              <w:left w:val="single" w:sz="4" w:space="0" w:color="auto"/>
              <w:bottom w:val="single" w:sz="4" w:space="0" w:color="auto"/>
            </w:tcBorders>
            <w:tcMar>
              <w:top w:w="10" w:type="dxa"/>
              <w:bottom w:w="10" w:type="dxa"/>
            </w:tcMar>
          </w:tcPr>
          <w:p w14:paraId="65D926B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316" w:type="dxa"/>
            <w:tcBorders>
              <w:top w:val="single" w:sz="4" w:space="0" w:color="auto"/>
              <w:left w:val="single" w:sz="4" w:space="0" w:color="auto"/>
              <w:bottom w:val="single" w:sz="4" w:space="0" w:color="auto"/>
            </w:tcBorders>
            <w:tcMar>
              <w:top w:w="10" w:type="dxa"/>
              <w:bottom w:w="10" w:type="dxa"/>
            </w:tcMar>
          </w:tcPr>
          <w:p w14:paraId="56AFD36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360" w:type="dxa"/>
            <w:gridSpan w:val="2"/>
            <w:tcBorders>
              <w:top w:val="single" w:sz="4" w:space="0" w:color="auto"/>
              <w:left w:val="single" w:sz="4" w:space="0" w:color="auto"/>
              <w:bottom w:val="single" w:sz="4" w:space="0" w:color="auto"/>
            </w:tcBorders>
            <w:tcMar>
              <w:top w:w="10" w:type="dxa"/>
              <w:bottom w:w="10" w:type="dxa"/>
            </w:tcMar>
          </w:tcPr>
          <w:p w14:paraId="324D55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410" w:type="dxa"/>
            <w:tcBorders>
              <w:top w:val="single" w:sz="4" w:space="0" w:color="auto"/>
              <w:left w:val="single" w:sz="4" w:space="0" w:color="auto"/>
              <w:bottom w:val="single" w:sz="4" w:space="0" w:color="auto"/>
            </w:tcBorders>
            <w:tcMar>
              <w:top w:w="10" w:type="dxa"/>
              <w:bottom w:w="10" w:type="dxa"/>
            </w:tcMar>
          </w:tcPr>
          <w:p w14:paraId="5BDCD07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433" w:type="dxa"/>
            <w:tcBorders>
              <w:top w:val="single" w:sz="4" w:space="0" w:color="auto"/>
              <w:left w:val="single" w:sz="4" w:space="0" w:color="auto"/>
              <w:bottom w:val="single" w:sz="4" w:space="0" w:color="auto"/>
            </w:tcBorders>
            <w:tcMar>
              <w:top w:w="10" w:type="dxa"/>
              <w:bottom w:w="10" w:type="dxa"/>
            </w:tcMar>
          </w:tcPr>
          <w:p w14:paraId="4135964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316" w:type="dxa"/>
            <w:tcBorders>
              <w:top w:val="single" w:sz="4" w:space="0" w:color="auto"/>
              <w:left w:val="single" w:sz="4" w:space="0" w:color="auto"/>
              <w:bottom w:val="single" w:sz="4" w:space="0" w:color="auto"/>
            </w:tcBorders>
            <w:tcMar>
              <w:top w:w="10" w:type="dxa"/>
              <w:bottom w:w="10" w:type="dxa"/>
            </w:tcMar>
          </w:tcPr>
          <w:p w14:paraId="3FD22A9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360" w:type="dxa"/>
            <w:gridSpan w:val="2"/>
            <w:tcBorders>
              <w:top w:val="single" w:sz="4" w:space="0" w:color="auto"/>
              <w:left w:val="single" w:sz="4" w:space="0" w:color="auto"/>
              <w:bottom w:val="single" w:sz="4" w:space="0" w:color="auto"/>
            </w:tcBorders>
            <w:tcMar>
              <w:top w:w="10" w:type="dxa"/>
              <w:bottom w:w="10" w:type="dxa"/>
            </w:tcMar>
          </w:tcPr>
          <w:p w14:paraId="7CB8705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403" w:type="dxa"/>
            <w:tcBorders>
              <w:top w:val="single" w:sz="4" w:space="0" w:color="auto"/>
              <w:left w:val="single" w:sz="4" w:space="0" w:color="auto"/>
              <w:bottom w:val="single" w:sz="4" w:space="0" w:color="auto"/>
            </w:tcBorders>
            <w:tcMar>
              <w:top w:w="10" w:type="dxa"/>
              <w:bottom w:w="10" w:type="dxa"/>
            </w:tcMar>
          </w:tcPr>
          <w:p w14:paraId="4ABAAE1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439" w:type="dxa"/>
            <w:tcBorders>
              <w:top w:val="single" w:sz="4" w:space="0" w:color="auto"/>
              <w:left w:val="single" w:sz="4" w:space="0" w:color="auto"/>
              <w:bottom w:val="single" w:sz="4" w:space="0" w:color="auto"/>
            </w:tcBorders>
            <w:tcMar>
              <w:top w:w="10" w:type="dxa"/>
              <w:bottom w:w="10" w:type="dxa"/>
            </w:tcMar>
          </w:tcPr>
          <w:p w14:paraId="76B6A01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316" w:type="dxa"/>
            <w:tcBorders>
              <w:top w:val="single" w:sz="4" w:space="0" w:color="auto"/>
              <w:left w:val="single" w:sz="4" w:space="0" w:color="auto"/>
              <w:bottom w:val="single" w:sz="4" w:space="0" w:color="auto"/>
            </w:tcBorders>
            <w:tcMar>
              <w:top w:w="10" w:type="dxa"/>
              <w:bottom w:w="10" w:type="dxa"/>
            </w:tcMar>
          </w:tcPr>
          <w:p w14:paraId="57299C5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353" w:type="dxa"/>
            <w:tcBorders>
              <w:top w:val="single" w:sz="4" w:space="0" w:color="auto"/>
              <w:left w:val="single" w:sz="4" w:space="0" w:color="auto"/>
              <w:bottom w:val="single" w:sz="4" w:space="0" w:color="auto"/>
            </w:tcBorders>
            <w:tcMar>
              <w:top w:w="10" w:type="dxa"/>
              <w:bottom w:w="10" w:type="dxa"/>
            </w:tcMar>
          </w:tcPr>
          <w:p w14:paraId="725F1F0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404" w:type="dxa"/>
            <w:tcBorders>
              <w:top w:val="single" w:sz="4" w:space="0" w:color="auto"/>
              <w:left w:val="single" w:sz="4" w:space="0" w:color="auto"/>
              <w:bottom w:val="single" w:sz="4" w:space="0" w:color="auto"/>
            </w:tcBorders>
            <w:tcMar>
              <w:top w:w="10" w:type="dxa"/>
              <w:bottom w:w="10" w:type="dxa"/>
            </w:tcMar>
          </w:tcPr>
          <w:p w14:paraId="46371C1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446" w:type="dxa"/>
            <w:tcBorders>
              <w:top w:val="single" w:sz="4" w:space="0" w:color="auto"/>
              <w:left w:val="single" w:sz="4" w:space="0" w:color="auto"/>
              <w:bottom w:val="single" w:sz="4" w:space="0" w:color="auto"/>
            </w:tcBorders>
            <w:tcMar>
              <w:top w:w="10" w:type="dxa"/>
              <w:bottom w:w="10" w:type="dxa"/>
            </w:tcMar>
          </w:tcPr>
          <w:p w14:paraId="4B3CE38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316" w:type="dxa"/>
            <w:tcBorders>
              <w:top w:val="single" w:sz="4" w:space="0" w:color="auto"/>
              <w:left w:val="single" w:sz="4" w:space="0" w:color="auto"/>
              <w:bottom w:val="single" w:sz="4" w:space="0" w:color="auto"/>
            </w:tcBorders>
            <w:tcMar>
              <w:top w:w="10" w:type="dxa"/>
              <w:bottom w:w="10" w:type="dxa"/>
            </w:tcMar>
          </w:tcPr>
          <w:p w14:paraId="79F1E86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359" w:type="dxa"/>
            <w:tcBorders>
              <w:top w:val="single" w:sz="4" w:space="0" w:color="auto"/>
              <w:left w:val="single" w:sz="4" w:space="0" w:color="auto"/>
              <w:bottom w:val="single" w:sz="4" w:space="0" w:color="auto"/>
            </w:tcBorders>
            <w:tcMar>
              <w:top w:w="10" w:type="dxa"/>
              <w:bottom w:w="10" w:type="dxa"/>
            </w:tcMar>
          </w:tcPr>
          <w:p w14:paraId="506E2F0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404" w:type="dxa"/>
            <w:gridSpan w:val="2"/>
            <w:tcBorders>
              <w:top w:val="single" w:sz="4" w:space="0" w:color="auto"/>
              <w:left w:val="single" w:sz="4" w:space="0" w:color="auto"/>
              <w:bottom w:val="single" w:sz="4" w:space="0" w:color="auto"/>
            </w:tcBorders>
            <w:tcMar>
              <w:top w:w="10" w:type="dxa"/>
              <w:bottom w:w="10" w:type="dxa"/>
            </w:tcMar>
          </w:tcPr>
          <w:p w14:paraId="2E10125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433" w:type="dxa"/>
            <w:tcBorders>
              <w:top w:val="single" w:sz="4" w:space="0" w:color="auto"/>
              <w:left w:val="single" w:sz="4" w:space="0" w:color="auto"/>
              <w:bottom w:val="single" w:sz="4" w:space="0" w:color="auto"/>
            </w:tcBorders>
            <w:tcMar>
              <w:top w:w="10" w:type="dxa"/>
              <w:bottom w:w="10" w:type="dxa"/>
            </w:tcMar>
          </w:tcPr>
          <w:p w14:paraId="399D514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324" w:type="dxa"/>
            <w:tcBorders>
              <w:top w:val="single" w:sz="4" w:space="0" w:color="auto"/>
              <w:left w:val="single" w:sz="4" w:space="0" w:color="auto"/>
              <w:bottom w:val="single" w:sz="4" w:space="0" w:color="auto"/>
            </w:tcBorders>
            <w:tcMar>
              <w:top w:w="10" w:type="dxa"/>
              <w:bottom w:w="10" w:type="dxa"/>
            </w:tcMar>
          </w:tcPr>
          <w:p w14:paraId="6344D6C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359" w:type="dxa"/>
            <w:tcBorders>
              <w:top w:val="single" w:sz="4" w:space="0" w:color="auto"/>
              <w:left w:val="single" w:sz="4" w:space="0" w:color="auto"/>
              <w:bottom w:val="single" w:sz="4" w:space="0" w:color="auto"/>
            </w:tcBorders>
            <w:tcMar>
              <w:top w:w="10" w:type="dxa"/>
              <w:bottom w:w="10" w:type="dxa"/>
            </w:tcMar>
          </w:tcPr>
          <w:p w14:paraId="62F182E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408" w:type="dxa"/>
            <w:tcBorders>
              <w:top w:val="single" w:sz="4" w:space="0" w:color="auto"/>
              <w:left w:val="single" w:sz="4" w:space="0" w:color="auto"/>
              <w:bottom w:val="single" w:sz="4" w:space="0" w:color="auto"/>
            </w:tcBorders>
            <w:tcMar>
              <w:top w:w="10" w:type="dxa"/>
              <w:bottom w:w="10" w:type="dxa"/>
            </w:tcMar>
          </w:tcPr>
          <w:p w14:paraId="66372770"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432" w:type="dxa"/>
            <w:gridSpan w:val="2"/>
            <w:tcBorders>
              <w:top w:val="single" w:sz="4" w:space="0" w:color="auto"/>
              <w:left w:val="single" w:sz="4" w:space="0" w:color="auto"/>
              <w:bottom w:val="single" w:sz="4" w:space="0" w:color="auto"/>
            </w:tcBorders>
            <w:tcMar>
              <w:top w:w="10" w:type="dxa"/>
              <w:bottom w:w="10" w:type="dxa"/>
            </w:tcMar>
          </w:tcPr>
          <w:p w14:paraId="6CF0DFE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329" w:type="dxa"/>
            <w:tcBorders>
              <w:top w:val="single" w:sz="4" w:space="0" w:color="auto"/>
              <w:left w:val="single" w:sz="4" w:space="0" w:color="auto"/>
              <w:bottom w:val="single" w:sz="4" w:space="0" w:color="auto"/>
            </w:tcBorders>
            <w:tcMar>
              <w:top w:w="10" w:type="dxa"/>
              <w:bottom w:w="10" w:type="dxa"/>
            </w:tcMar>
          </w:tcPr>
          <w:p w14:paraId="6FC9C60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406" w:type="dxa"/>
            <w:tcBorders>
              <w:top w:val="single" w:sz="4" w:space="0" w:color="auto"/>
              <w:left w:val="single" w:sz="4" w:space="0" w:color="auto"/>
              <w:bottom w:val="single" w:sz="4" w:space="0" w:color="auto"/>
            </w:tcBorders>
            <w:tcMar>
              <w:top w:w="10" w:type="dxa"/>
              <w:bottom w:w="10" w:type="dxa"/>
            </w:tcMar>
          </w:tcPr>
          <w:p w14:paraId="2ABEEE2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410" w:type="dxa"/>
            <w:tcBorders>
              <w:top w:val="single" w:sz="4" w:space="0" w:color="auto"/>
              <w:left w:val="single" w:sz="4" w:space="0" w:color="auto"/>
              <w:bottom w:val="single" w:sz="4" w:space="0" w:color="auto"/>
            </w:tcBorders>
            <w:tcMar>
              <w:top w:w="10" w:type="dxa"/>
              <w:bottom w:w="10" w:type="dxa"/>
            </w:tcMar>
          </w:tcPr>
          <w:p w14:paraId="79C358D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484" w:type="dxa"/>
            <w:tcBorders>
              <w:top w:val="single" w:sz="4" w:space="0" w:color="auto"/>
              <w:left w:val="single" w:sz="4" w:space="0" w:color="auto"/>
              <w:bottom w:val="single" w:sz="4" w:space="0" w:color="auto"/>
            </w:tcBorders>
            <w:tcMar>
              <w:top w:w="10" w:type="dxa"/>
              <w:bottom w:w="10" w:type="dxa"/>
            </w:tcMar>
          </w:tcPr>
          <w:p w14:paraId="5634D21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c>
          <w:tcPr>
            <w:tcW w:w="449" w:type="dxa"/>
            <w:tcBorders>
              <w:top w:val="single" w:sz="4" w:space="0" w:color="auto"/>
              <w:left w:val="single" w:sz="4" w:space="0" w:color="auto"/>
              <w:bottom w:val="single" w:sz="4" w:space="0" w:color="auto"/>
              <w:right w:val="single" w:sz="4" w:space="0" w:color="auto"/>
            </w:tcBorders>
            <w:tcMar>
              <w:top w:w="10" w:type="dxa"/>
              <w:bottom w:w="10" w:type="dxa"/>
            </w:tcMar>
          </w:tcPr>
          <w:p w14:paraId="436C214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7"/>
                <w:szCs w:val="7"/>
                <w:lang w:val="en-US"/>
              </w:rPr>
            </w:pPr>
          </w:p>
        </w:tc>
      </w:tr>
      <w:tr w:rsidR="006561BA" w14:paraId="5547EA43" w14:textId="77777777">
        <w:tc>
          <w:tcPr>
            <w:tcW w:w="127" w:type="dxa"/>
            <w:tcBorders>
              <w:top w:val="single" w:sz="4" w:space="0" w:color="auto"/>
            </w:tcBorders>
            <w:tcMar>
              <w:top w:w="10" w:type="dxa"/>
              <w:bottom w:w="10" w:type="dxa"/>
            </w:tcMar>
          </w:tcPr>
          <w:p w14:paraId="7D321EB2" w14:textId="77777777" w:rsidR="006561BA" w:rsidRDefault="006561BA">
            <w:pPr>
              <w:widowControl w:val="0"/>
              <w:shd w:val="clear" w:color="auto" w:fill="auto"/>
              <w:spacing w:after="0" w:line="240" w:lineRule="auto"/>
              <w:jc w:val="center"/>
              <w:rPr>
                <w:rFonts w:ascii="Helvetica" w:eastAsia="Arial Unicode MS" w:hAnsi="Helvetica" w:cs="Helvetica"/>
                <w:color w:val="212121"/>
                <w:sz w:val="6"/>
                <w:szCs w:val="6"/>
                <w:lang w:val="en-US"/>
              </w:rPr>
            </w:pPr>
          </w:p>
        </w:tc>
        <w:tc>
          <w:tcPr>
            <w:tcW w:w="2206" w:type="dxa"/>
            <w:tcBorders>
              <w:top w:val="single" w:sz="4" w:space="0" w:color="auto"/>
            </w:tcBorders>
            <w:tcMar>
              <w:top w:w="10" w:type="dxa"/>
              <w:bottom w:w="10" w:type="dxa"/>
            </w:tcMar>
          </w:tcPr>
          <w:p w14:paraId="06D07E44" w14:textId="77777777" w:rsidR="006561BA" w:rsidRDefault="005B4ED6" w:rsidP="00770728">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1. Institusjonen skal i denne malen opplyse om KPI-ene for GAR for eksponeringer utenfor balansen (finansielle garantier og eiendeler under forvaltning) beregnet på grunnlag av dataene framlagt i mal 1, om dekkede eiendeler, ved anvendelse av formlene i denne malen.</w:t>
            </w:r>
          </w:p>
          <w:p w14:paraId="0788A3E3" w14:textId="77777777" w:rsidR="006561BA" w:rsidRDefault="005B4ED6" w:rsidP="00770728">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2. Institusjonen skal duplisere denne malen for å offentliggjøre KPI-er for beholdninger og strømmer for eksponeringer utenfor balansen.</w:t>
            </w:r>
          </w:p>
        </w:tc>
        <w:tc>
          <w:tcPr>
            <w:tcW w:w="324" w:type="dxa"/>
            <w:tcBorders>
              <w:top w:val="single" w:sz="4" w:space="0" w:color="auto"/>
            </w:tcBorders>
            <w:tcMar>
              <w:top w:w="10" w:type="dxa"/>
              <w:bottom w:w="10" w:type="dxa"/>
            </w:tcMar>
          </w:tcPr>
          <w:p w14:paraId="20040340" w14:textId="77777777" w:rsidR="006561BA" w:rsidRPr="00770AA2" w:rsidRDefault="006561BA">
            <w:pPr>
              <w:widowControl w:val="0"/>
              <w:shd w:val="clear" w:color="auto" w:fill="auto"/>
              <w:spacing w:after="0" w:line="240" w:lineRule="auto"/>
              <w:jc w:val="left"/>
              <w:rPr>
                <w:rFonts w:ascii="Helvetica" w:eastAsia="Arial Unicode MS" w:hAnsi="Helvetica" w:cs="Helvetica"/>
                <w:color w:val="000000"/>
                <w:sz w:val="6"/>
                <w:szCs w:val="6"/>
              </w:rPr>
            </w:pPr>
          </w:p>
        </w:tc>
        <w:tc>
          <w:tcPr>
            <w:tcW w:w="410" w:type="dxa"/>
            <w:tcBorders>
              <w:top w:val="single" w:sz="4" w:space="0" w:color="auto"/>
            </w:tcBorders>
            <w:tcMar>
              <w:top w:w="10" w:type="dxa"/>
              <w:bottom w:w="10" w:type="dxa"/>
            </w:tcMar>
            <w:vAlign w:val="center"/>
          </w:tcPr>
          <w:p w14:paraId="54FD622D" w14:textId="77777777" w:rsidR="006561BA" w:rsidRDefault="005B4ED6">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x</w:t>
            </w:r>
          </w:p>
        </w:tc>
        <w:tc>
          <w:tcPr>
            <w:tcW w:w="410" w:type="dxa"/>
            <w:tcBorders>
              <w:top w:val="single" w:sz="4" w:space="0" w:color="auto"/>
            </w:tcBorders>
            <w:tcMar>
              <w:top w:w="10" w:type="dxa"/>
              <w:bottom w:w="10" w:type="dxa"/>
            </w:tcMar>
          </w:tcPr>
          <w:p w14:paraId="17AC2D78"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90" w:type="dxa"/>
            <w:gridSpan w:val="2"/>
            <w:tcBorders>
              <w:top w:val="single" w:sz="4" w:space="0" w:color="auto"/>
            </w:tcBorders>
            <w:tcMar>
              <w:top w:w="10" w:type="dxa"/>
              <w:bottom w:w="10" w:type="dxa"/>
            </w:tcMar>
          </w:tcPr>
          <w:p w14:paraId="4359154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21" w:type="dxa"/>
            <w:tcBorders>
              <w:top w:val="single" w:sz="4" w:space="0" w:color="auto"/>
            </w:tcBorders>
            <w:tcMar>
              <w:top w:w="10" w:type="dxa"/>
              <w:bottom w:w="10" w:type="dxa"/>
            </w:tcMar>
          </w:tcPr>
          <w:p w14:paraId="4B91557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6" w:type="dxa"/>
            <w:tcBorders>
              <w:top w:val="single" w:sz="4" w:space="0" w:color="auto"/>
            </w:tcBorders>
            <w:tcMar>
              <w:top w:w="10" w:type="dxa"/>
              <w:bottom w:w="10" w:type="dxa"/>
            </w:tcMar>
          </w:tcPr>
          <w:p w14:paraId="2187F9C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gridSpan w:val="2"/>
            <w:tcBorders>
              <w:top w:val="single" w:sz="4" w:space="0" w:color="auto"/>
            </w:tcBorders>
            <w:tcMar>
              <w:top w:w="10" w:type="dxa"/>
              <w:bottom w:w="10" w:type="dxa"/>
            </w:tcMar>
          </w:tcPr>
          <w:p w14:paraId="788597A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0" w:type="dxa"/>
            <w:tcBorders>
              <w:top w:val="single" w:sz="4" w:space="0" w:color="auto"/>
            </w:tcBorders>
            <w:tcMar>
              <w:top w:w="10" w:type="dxa"/>
              <w:bottom w:w="10" w:type="dxa"/>
            </w:tcMar>
          </w:tcPr>
          <w:p w14:paraId="3817345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3" w:type="dxa"/>
            <w:tcBorders>
              <w:top w:val="single" w:sz="4" w:space="0" w:color="auto"/>
            </w:tcBorders>
            <w:tcMar>
              <w:top w:w="10" w:type="dxa"/>
              <w:bottom w:w="10" w:type="dxa"/>
            </w:tcMar>
          </w:tcPr>
          <w:p w14:paraId="6D3FA54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6" w:type="dxa"/>
            <w:tcBorders>
              <w:top w:val="single" w:sz="4" w:space="0" w:color="auto"/>
            </w:tcBorders>
            <w:tcMar>
              <w:top w:w="10" w:type="dxa"/>
              <w:bottom w:w="10" w:type="dxa"/>
            </w:tcMar>
          </w:tcPr>
          <w:p w14:paraId="3DB46D0F"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60" w:type="dxa"/>
            <w:gridSpan w:val="2"/>
            <w:tcBorders>
              <w:top w:val="single" w:sz="4" w:space="0" w:color="auto"/>
            </w:tcBorders>
            <w:tcMar>
              <w:top w:w="10" w:type="dxa"/>
              <w:bottom w:w="10" w:type="dxa"/>
            </w:tcMar>
          </w:tcPr>
          <w:p w14:paraId="4DC8B16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3" w:type="dxa"/>
            <w:tcBorders>
              <w:top w:val="single" w:sz="4" w:space="0" w:color="auto"/>
            </w:tcBorders>
            <w:tcMar>
              <w:top w:w="10" w:type="dxa"/>
              <w:bottom w:w="10" w:type="dxa"/>
            </w:tcMar>
          </w:tcPr>
          <w:p w14:paraId="274A141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9" w:type="dxa"/>
            <w:tcBorders>
              <w:top w:val="single" w:sz="4" w:space="0" w:color="auto"/>
            </w:tcBorders>
            <w:tcMar>
              <w:top w:w="10" w:type="dxa"/>
              <w:bottom w:w="10" w:type="dxa"/>
            </w:tcMar>
          </w:tcPr>
          <w:p w14:paraId="5FF23449"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6" w:type="dxa"/>
            <w:tcBorders>
              <w:top w:val="single" w:sz="4" w:space="0" w:color="auto"/>
            </w:tcBorders>
            <w:tcMar>
              <w:top w:w="10" w:type="dxa"/>
              <w:bottom w:w="10" w:type="dxa"/>
            </w:tcMar>
          </w:tcPr>
          <w:p w14:paraId="69CCC49C"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3" w:type="dxa"/>
            <w:tcBorders>
              <w:top w:val="single" w:sz="4" w:space="0" w:color="auto"/>
            </w:tcBorders>
            <w:tcMar>
              <w:top w:w="10" w:type="dxa"/>
              <w:bottom w:w="10" w:type="dxa"/>
            </w:tcMar>
          </w:tcPr>
          <w:p w14:paraId="6F9F8AAE"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tcBorders>
              <w:top w:val="single" w:sz="4" w:space="0" w:color="auto"/>
            </w:tcBorders>
            <w:tcMar>
              <w:top w:w="10" w:type="dxa"/>
              <w:bottom w:w="10" w:type="dxa"/>
            </w:tcMar>
          </w:tcPr>
          <w:p w14:paraId="569838A2"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6" w:type="dxa"/>
            <w:tcBorders>
              <w:top w:val="single" w:sz="4" w:space="0" w:color="auto"/>
            </w:tcBorders>
            <w:tcMar>
              <w:top w:w="10" w:type="dxa"/>
              <w:bottom w:w="10" w:type="dxa"/>
            </w:tcMar>
          </w:tcPr>
          <w:p w14:paraId="28C18FC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16" w:type="dxa"/>
            <w:tcBorders>
              <w:top w:val="single" w:sz="4" w:space="0" w:color="auto"/>
            </w:tcBorders>
            <w:tcMar>
              <w:top w:w="10" w:type="dxa"/>
              <w:bottom w:w="10" w:type="dxa"/>
            </w:tcMar>
          </w:tcPr>
          <w:p w14:paraId="24B54824"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9" w:type="dxa"/>
            <w:tcBorders>
              <w:top w:val="single" w:sz="4" w:space="0" w:color="auto"/>
            </w:tcBorders>
            <w:tcMar>
              <w:top w:w="10" w:type="dxa"/>
              <w:bottom w:w="10" w:type="dxa"/>
            </w:tcMar>
          </w:tcPr>
          <w:p w14:paraId="599D632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4" w:type="dxa"/>
            <w:gridSpan w:val="2"/>
            <w:tcBorders>
              <w:top w:val="single" w:sz="4" w:space="0" w:color="auto"/>
            </w:tcBorders>
            <w:tcMar>
              <w:top w:w="10" w:type="dxa"/>
              <w:bottom w:w="10" w:type="dxa"/>
            </w:tcMar>
          </w:tcPr>
          <w:p w14:paraId="05F25D8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3" w:type="dxa"/>
            <w:tcBorders>
              <w:top w:val="single" w:sz="4" w:space="0" w:color="auto"/>
            </w:tcBorders>
            <w:tcMar>
              <w:top w:w="10" w:type="dxa"/>
              <w:bottom w:w="10" w:type="dxa"/>
            </w:tcMar>
          </w:tcPr>
          <w:p w14:paraId="3DFA2BD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4" w:type="dxa"/>
            <w:tcBorders>
              <w:top w:val="single" w:sz="4" w:space="0" w:color="auto"/>
            </w:tcBorders>
            <w:tcMar>
              <w:top w:w="10" w:type="dxa"/>
              <w:bottom w:w="10" w:type="dxa"/>
            </w:tcMar>
          </w:tcPr>
          <w:p w14:paraId="41712C0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59" w:type="dxa"/>
            <w:tcBorders>
              <w:top w:val="single" w:sz="4" w:space="0" w:color="auto"/>
            </w:tcBorders>
            <w:tcMar>
              <w:top w:w="10" w:type="dxa"/>
              <w:bottom w:w="10" w:type="dxa"/>
            </w:tcMar>
          </w:tcPr>
          <w:p w14:paraId="2DB3D11B"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8" w:type="dxa"/>
            <w:tcBorders>
              <w:top w:val="single" w:sz="4" w:space="0" w:color="auto"/>
            </w:tcBorders>
            <w:tcMar>
              <w:top w:w="10" w:type="dxa"/>
              <w:bottom w:w="10" w:type="dxa"/>
            </w:tcMar>
          </w:tcPr>
          <w:p w14:paraId="6669BF3D"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32" w:type="dxa"/>
            <w:gridSpan w:val="2"/>
            <w:tcBorders>
              <w:top w:val="single" w:sz="4" w:space="0" w:color="auto"/>
            </w:tcBorders>
            <w:tcMar>
              <w:top w:w="10" w:type="dxa"/>
              <w:bottom w:w="10" w:type="dxa"/>
            </w:tcMar>
          </w:tcPr>
          <w:p w14:paraId="01DA7D7A"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329" w:type="dxa"/>
            <w:tcBorders>
              <w:top w:val="single" w:sz="4" w:space="0" w:color="auto"/>
            </w:tcBorders>
            <w:tcMar>
              <w:top w:w="10" w:type="dxa"/>
              <w:bottom w:w="10" w:type="dxa"/>
            </w:tcMar>
          </w:tcPr>
          <w:p w14:paraId="360C5D8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06" w:type="dxa"/>
            <w:tcBorders>
              <w:top w:val="single" w:sz="4" w:space="0" w:color="auto"/>
            </w:tcBorders>
            <w:tcMar>
              <w:top w:w="10" w:type="dxa"/>
              <w:bottom w:w="10" w:type="dxa"/>
            </w:tcMar>
          </w:tcPr>
          <w:p w14:paraId="136CE455"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10" w:type="dxa"/>
            <w:tcBorders>
              <w:top w:val="single" w:sz="4" w:space="0" w:color="auto"/>
            </w:tcBorders>
            <w:tcMar>
              <w:top w:w="10" w:type="dxa"/>
              <w:bottom w:w="10" w:type="dxa"/>
            </w:tcMar>
          </w:tcPr>
          <w:p w14:paraId="538044A7"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84" w:type="dxa"/>
            <w:tcBorders>
              <w:top w:val="single" w:sz="4" w:space="0" w:color="auto"/>
            </w:tcBorders>
            <w:tcMar>
              <w:top w:w="10" w:type="dxa"/>
              <w:bottom w:w="10" w:type="dxa"/>
            </w:tcMar>
          </w:tcPr>
          <w:p w14:paraId="7AD6A836"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c>
          <w:tcPr>
            <w:tcW w:w="449" w:type="dxa"/>
            <w:tcBorders>
              <w:top w:val="single" w:sz="4" w:space="0" w:color="auto"/>
            </w:tcBorders>
            <w:tcMar>
              <w:top w:w="10" w:type="dxa"/>
              <w:bottom w:w="10" w:type="dxa"/>
            </w:tcMar>
          </w:tcPr>
          <w:p w14:paraId="18000EE3" w14:textId="77777777" w:rsidR="006561BA" w:rsidRDefault="006561BA">
            <w:pPr>
              <w:widowControl w:val="0"/>
              <w:shd w:val="clear" w:color="auto" w:fill="auto"/>
              <w:spacing w:after="0" w:line="240" w:lineRule="auto"/>
              <w:jc w:val="left"/>
              <w:rPr>
                <w:rFonts w:ascii="Helvetica" w:eastAsia="Arial Unicode MS" w:hAnsi="Helvetica" w:cs="Helvetica"/>
                <w:color w:val="000000"/>
                <w:sz w:val="6"/>
                <w:szCs w:val="6"/>
                <w:lang w:val="en-US"/>
              </w:rPr>
            </w:pPr>
          </w:p>
        </w:tc>
      </w:tr>
    </w:tbl>
    <w:p w14:paraId="42F2F756" w14:textId="77777777" w:rsidR="006561BA" w:rsidRDefault="005B4ED6">
      <w:pPr>
        <w:pStyle w:val="Para"/>
        <w:spacing w:line="240" w:lineRule="auto"/>
        <w:jc w:val="left"/>
      </w:pPr>
      <w:r>
        <w:br w:type="page"/>
      </w:r>
    </w:p>
    <w:p w14:paraId="7E0786C4" w14:textId="77777777" w:rsidR="006561BA" w:rsidRDefault="005B4ED6">
      <w:pPr>
        <w:pStyle w:val="AnnexNumberedText"/>
        <w:spacing w:after="300"/>
        <w:ind w:left="279" w:hanging="279"/>
      </w:pPr>
      <w:r>
        <w:lastRenderedPageBreak/>
        <w:t>6.</w:t>
      </w:r>
      <w:r>
        <w:rPr>
          <w:b/>
        </w:rPr>
        <w:tab/>
        <w:t>KPI for gebyr- og provisjonsinntekter fra andre tjenester enn utlån og kapitalforvaltning</w:t>
      </w:r>
    </w:p>
    <w:tbl>
      <w:tblPr>
        <w:tblOverlap w:val="never"/>
        <w:tblW w:w="0" w:type="auto"/>
        <w:tblInd w:w="279" w:type="dxa"/>
        <w:tblLayout w:type="fixed"/>
        <w:tblCellMar>
          <w:left w:w="10" w:type="dxa"/>
          <w:right w:w="10" w:type="dxa"/>
        </w:tblCellMar>
        <w:tblLook w:val="04A0" w:firstRow="1" w:lastRow="0" w:firstColumn="1" w:lastColumn="0" w:noHBand="0" w:noVBand="1"/>
      </w:tblPr>
      <w:tblGrid>
        <w:gridCol w:w="132"/>
        <w:gridCol w:w="2523"/>
        <w:gridCol w:w="307"/>
        <w:gridCol w:w="362"/>
        <w:gridCol w:w="468"/>
        <w:gridCol w:w="544"/>
        <w:gridCol w:w="596"/>
        <w:gridCol w:w="362"/>
        <w:gridCol w:w="92"/>
        <w:gridCol w:w="313"/>
        <w:gridCol w:w="141"/>
        <w:gridCol w:w="454"/>
        <w:gridCol w:w="362"/>
        <w:gridCol w:w="468"/>
        <w:gridCol w:w="595"/>
        <w:gridCol w:w="362"/>
        <w:gridCol w:w="474"/>
        <w:gridCol w:w="595"/>
        <w:gridCol w:w="362"/>
        <w:gridCol w:w="474"/>
        <w:gridCol w:w="595"/>
        <w:gridCol w:w="362"/>
        <w:gridCol w:w="468"/>
        <w:gridCol w:w="475"/>
        <w:gridCol w:w="124"/>
        <w:gridCol w:w="352"/>
        <w:gridCol w:w="14"/>
        <w:gridCol w:w="462"/>
        <w:gridCol w:w="544"/>
        <w:gridCol w:w="658"/>
      </w:tblGrid>
      <w:tr w:rsidR="006561BA" w14:paraId="32E16B33" w14:textId="77777777">
        <w:tc>
          <w:tcPr>
            <w:tcW w:w="2655" w:type="dxa"/>
            <w:gridSpan w:val="2"/>
            <w:vAlign w:val="center"/>
          </w:tcPr>
          <w:p w14:paraId="01C9F5F5" w14:textId="77777777" w:rsidR="006561BA" w:rsidRPr="00770AA2" w:rsidRDefault="006561BA">
            <w:pPr>
              <w:widowControl w:val="0"/>
              <w:shd w:val="clear" w:color="auto" w:fill="auto"/>
              <w:spacing w:after="0" w:line="240" w:lineRule="auto"/>
              <w:rPr>
                <w:rFonts w:ascii="Helvetica" w:eastAsia="Arial Unicode MS" w:hAnsi="Helvetica" w:cs="Times New Roman"/>
                <w:color w:val="000000"/>
                <w:sz w:val="6"/>
                <w:szCs w:val="6"/>
              </w:rPr>
            </w:pPr>
          </w:p>
        </w:tc>
        <w:tc>
          <w:tcPr>
            <w:tcW w:w="307" w:type="dxa"/>
            <w:tcBorders>
              <w:top w:val="single" w:sz="4" w:space="0" w:color="auto"/>
              <w:left w:val="single" w:sz="4" w:space="0" w:color="auto"/>
              <w:bottom w:val="single" w:sz="4" w:space="0" w:color="auto"/>
              <w:right w:val="single" w:sz="4" w:space="0" w:color="auto"/>
            </w:tcBorders>
            <w:vAlign w:val="center"/>
          </w:tcPr>
          <w:p w14:paraId="3BED6915"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sz w:val="6"/>
                <w:szCs w:val="6"/>
              </w:rPr>
            </w:pPr>
            <w:r>
              <w:rPr>
                <w:rFonts w:ascii="Helvetica" w:hAnsi="Helvetica"/>
                <w:color w:val="000000"/>
                <w:sz w:val="6"/>
              </w:rPr>
              <w:t>a</w:t>
            </w:r>
          </w:p>
        </w:tc>
        <w:tc>
          <w:tcPr>
            <w:tcW w:w="362" w:type="dxa"/>
            <w:tcBorders>
              <w:top w:val="single" w:sz="4" w:space="0" w:color="auto"/>
              <w:left w:val="single" w:sz="4" w:space="0" w:color="auto"/>
              <w:bottom w:val="single" w:sz="4" w:space="0" w:color="auto"/>
              <w:right w:val="single" w:sz="4" w:space="0" w:color="auto"/>
            </w:tcBorders>
            <w:vAlign w:val="center"/>
          </w:tcPr>
          <w:p w14:paraId="1DE52380"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sz w:val="6"/>
                <w:szCs w:val="6"/>
              </w:rPr>
            </w:pPr>
            <w:r>
              <w:rPr>
                <w:rFonts w:ascii="Helvetica" w:hAnsi="Helvetica"/>
                <w:color w:val="000000"/>
                <w:sz w:val="6"/>
              </w:rPr>
              <w:t>b</w:t>
            </w:r>
          </w:p>
        </w:tc>
        <w:tc>
          <w:tcPr>
            <w:tcW w:w="468" w:type="dxa"/>
            <w:tcBorders>
              <w:top w:val="single" w:sz="4" w:space="0" w:color="auto"/>
              <w:left w:val="single" w:sz="4" w:space="0" w:color="auto"/>
              <w:bottom w:val="single" w:sz="4" w:space="0" w:color="auto"/>
              <w:right w:val="single" w:sz="4" w:space="0" w:color="auto"/>
            </w:tcBorders>
            <w:vAlign w:val="center"/>
          </w:tcPr>
          <w:p w14:paraId="7A8F99F2"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sz w:val="6"/>
                <w:szCs w:val="6"/>
              </w:rPr>
            </w:pPr>
            <w:r>
              <w:rPr>
                <w:rFonts w:ascii="Helvetica" w:hAnsi="Helvetica"/>
                <w:color w:val="000000"/>
                <w:sz w:val="6"/>
              </w:rPr>
              <w:t>c</w:t>
            </w:r>
          </w:p>
        </w:tc>
        <w:tc>
          <w:tcPr>
            <w:tcW w:w="544" w:type="dxa"/>
            <w:tcBorders>
              <w:top w:val="single" w:sz="4" w:space="0" w:color="auto"/>
              <w:left w:val="single" w:sz="4" w:space="0" w:color="auto"/>
              <w:bottom w:val="single" w:sz="4" w:space="0" w:color="auto"/>
              <w:right w:val="single" w:sz="4" w:space="0" w:color="auto"/>
            </w:tcBorders>
            <w:vAlign w:val="center"/>
          </w:tcPr>
          <w:p w14:paraId="7211DECF"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sz w:val="6"/>
                <w:szCs w:val="6"/>
              </w:rPr>
            </w:pPr>
            <w:r>
              <w:rPr>
                <w:rFonts w:ascii="Helvetica" w:hAnsi="Helvetica"/>
                <w:color w:val="000000"/>
                <w:sz w:val="6"/>
              </w:rPr>
              <w:t>d</w:t>
            </w:r>
          </w:p>
        </w:tc>
        <w:tc>
          <w:tcPr>
            <w:tcW w:w="596" w:type="dxa"/>
            <w:tcBorders>
              <w:top w:val="single" w:sz="4" w:space="0" w:color="auto"/>
              <w:left w:val="single" w:sz="4" w:space="0" w:color="auto"/>
              <w:bottom w:val="single" w:sz="4" w:space="0" w:color="auto"/>
              <w:right w:val="single" w:sz="4" w:space="0" w:color="auto"/>
            </w:tcBorders>
            <w:vAlign w:val="center"/>
          </w:tcPr>
          <w:p w14:paraId="329D9BD1"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sz w:val="6"/>
                <w:szCs w:val="6"/>
              </w:rPr>
            </w:pPr>
            <w:r>
              <w:rPr>
                <w:rFonts w:ascii="Helvetica" w:hAnsi="Helvetica"/>
                <w:color w:val="000000"/>
                <w:sz w:val="6"/>
              </w:rPr>
              <w:t>e</w:t>
            </w:r>
          </w:p>
        </w:tc>
        <w:tc>
          <w:tcPr>
            <w:tcW w:w="454" w:type="dxa"/>
            <w:gridSpan w:val="2"/>
            <w:tcBorders>
              <w:top w:val="single" w:sz="4" w:space="0" w:color="auto"/>
              <w:left w:val="single" w:sz="4" w:space="0" w:color="auto"/>
              <w:bottom w:val="single" w:sz="4" w:space="0" w:color="auto"/>
              <w:right w:val="single" w:sz="4" w:space="0" w:color="auto"/>
            </w:tcBorders>
            <w:vAlign w:val="center"/>
          </w:tcPr>
          <w:p w14:paraId="636F7B10"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sz w:val="6"/>
                <w:szCs w:val="6"/>
              </w:rPr>
            </w:pPr>
            <w:r>
              <w:rPr>
                <w:rFonts w:ascii="Helvetica" w:hAnsi="Helvetica"/>
                <w:color w:val="212121"/>
                <w:sz w:val="6"/>
              </w:rPr>
              <w:t>f</w:t>
            </w:r>
          </w:p>
        </w:tc>
        <w:tc>
          <w:tcPr>
            <w:tcW w:w="454" w:type="dxa"/>
            <w:gridSpan w:val="2"/>
            <w:tcBorders>
              <w:top w:val="single" w:sz="4" w:space="0" w:color="auto"/>
              <w:left w:val="single" w:sz="4" w:space="0" w:color="auto"/>
              <w:bottom w:val="single" w:sz="4" w:space="0" w:color="auto"/>
              <w:right w:val="single" w:sz="4" w:space="0" w:color="auto"/>
            </w:tcBorders>
            <w:vAlign w:val="center"/>
          </w:tcPr>
          <w:p w14:paraId="46D1025C"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sz w:val="6"/>
                <w:szCs w:val="6"/>
              </w:rPr>
            </w:pPr>
            <w:r>
              <w:rPr>
                <w:rFonts w:ascii="Helvetica" w:hAnsi="Helvetica"/>
                <w:color w:val="000000"/>
                <w:sz w:val="6"/>
              </w:rPr>
              <w:t>g</w:t>
            </w:r>
          </w:p>
        </w:tc>
        <w:tc>
          <w:tcPr>
            <w:tcW w:w="454" w:type="dxa"/>
            <w:tcBorders>
              <w:top w:val="single" w:sz="4" w:space="0" w:color="auto"/>
              <w:left w:val="single" w:sz="4" w:space="0" w:color="auto"/>
              <w:bottom w:val="single" w:sz="4" w:space="0" w:color="auto"/>
              <w:right w:val="single" w:sz="4" w:space="0" w:color="auto"/>
            </w:tcBorders>
            <w:vAlign w:val="center"/>
          </w:tcPr>
          <w:p w14:paraId="5B544C53"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sz w:val="6"/>
                <w:szCs w:val="6"/>
              </w:rPr>
            </w:pPr>
            <w:r>
              <w:rPr>
                <w:rFonts w:ascii="Helvetica" w:hAnsi="Helvetica"/>
                <w:color w:val="000000"/>
                <w:sz w:val="6"/>
              </w:rPr>
              <w:t>h</w:t>
            </w:r>
          </w:p>
        </w:tc>
        <w:tc>
          <w:tcPr>
            <w:tcW w:w="362" w:type="dxa"/>
            <w:tcBorders>
              <w:top w:val="single" w:sz="4" w:space="0" w:color="auto"/>
              <w:left w:val="single" w:sz="4" w:space="0" w:color="auto"/>
              <w:bottom w:val="single" w:sz="4" w:space="0" w:color="auto"/>
              <w:right w:val="single" w:sz="4" w:space="0" w:color="auto"/>
            </w:tcBorders>
            <w:vAlign w:val="center"/>
          </w:tcPr>
          <w:p w14:paraId="4C01023D"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sz w:val="6"/>
                <w:szCs w:val="6"/>
              </w:rPr>
            </w:pPr>
            <w:r>
              <w:rPr>
                <w:rFonts w:ascii="Helvetica" w:hAnsi="Helvetica"/>
                <w:color w:val="000000"/>
                <w:sz w:val="6"/>
              </w:rPr>
              <w:t>i</w:t>
            </w:r>
          </w:p>
        </w:tc>
        <w:tc>
          <w:tcPr>
            <w:tcW w:w="468" w:type="dxa"/>
            <w:tcBorders>
              <w:top w:val="single" w:sz="4" w:space="0" w:color="auto"/>
              <w:left w:val="single" w:sz="4" w:space="0" w:color="auto"/>
              <w:bottom w:val="single" w:sz="4" w:space="0" w:color="auto"/>
              <w:right w:val="single" w:sz="4" w:space="0" w:color="auto"/>
            </w:tcBorders>
            <w:vAlign w:val="center"/>
          </w:tcPr>
          <w:p w14:paraId="5DBFC230"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sz w:val="6"/>
                <w:szCs w:val="6"/>
              </w:rPr>
            </w:pPr>
            <w:r>
              <w:rPr>
                <w:rFonts w:ascii="Helvetica" w:hAnsi="Helvetica"/>
                <w:color w:val="000000"/>
                <w:sz w:val="6"/>
              </w:rPr>
              <w:t>j</w:t>
            </w:r>
          </w:p>
        </w:tc>
        <w:tc>
          <w:tcPr>
            <w:tcW w:w="595" w:type="dxa"/>
            <w:tcBorders>
              <w:top w:val="single" w:sz="4" w:space="0" w:color="auto"/>
              <w:left w:val="single" w:sz="4" w:space="0" w:color="auto"/>
              <w:bottom w:val="single" w:sz="4" w:space="0" w:color="auto"/>
              <w:right w:val="single" w:sz="4" w:space="0" w:color="auto"/>
            </w:tcBorders>
            <w:vAlign w:val="center"/>
          </w:tcPr>
          <w:p w14:paraId="20899816"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sz w:val="6"/>
                <w:szCs w:val="6"/>
              </w:rPr>
            </w:pPr>
            <w:r>
              <w:rPr>
                <w:rFonts w:ascii="Helvetica" w:hAnsi="Helvetica"/>
                <w:color w:val="000000"/>
                <w:sz w:val="6"/>
              </w:rPr>
              <w:t>k</w:t>
            </w:r>
          </w:p>
        </w:tc>
        <w:tc>
          <w:tcPr>
            <w:tcW w:w="362" w:type="dxa"/>
            <w:tcBorders>
              <w:top w:val="single" w:sz="4" w:space="0" w:color="auto"/>
              <w:left w:val="single" w:sz="4" w:space="0" w:color="auto"/>
              <w:bottom w:val="single" w:sz="4" w:space="0" w:color="auto"/>
              <w:right w:val="single" w:sz="4" w:space="0" w:color="auto"/>
            </w:tcBorders>
            <w:vAlign w:val="center"/>
          </w:tcPr>
          <w:p w14:paraId="599C4601"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sz w:val="6"/>
                <w:szCs w:val="6"/>
              </w:rPr>
            </w:pPr>
            <w:r>
              <w:rPr>
                <w:rFonts w:ascii="Helvetica" w:hAnsi="Helvetica"/>
                <w:color w:val="000000"/>
                <w:sz w:val="6"/>
              </w:rPr>
              <w:t>l</w:t>
            </w:r>
          </w:p>
        </w:tc>
        <w:tc>
          <w:tcPr>
            <w:tcW w:w="474" w:type="dxa"/>
            <w:tcBorders>
              <w:top w:val="single" w:sz="4" w:space="0" w:color="auto"/>
              <w:left w:val="single" w:sz="4" w:space="0" w:color="auto"/>
              <w:bottom w:val="single" w:sz="4" w:space="0" w:color="auto"/>
              <w:right w:val="single" w:sz="4" w:space="0" w:color="auto"/>
            </w:tcBorders>
            <w:vAlign w:val="center"/>
          </w:tcPr>
          <w:p w14:paraId="5B366F2D"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sz w:val="6"/>
                <w:szCs w:val="6"/>
              </w:rPr>
            </w:pPr>
            <w:r>
              <w:rPr>
                <w:rFonts w:ascii="Helvetica" w:hAnsi="Helvetica"/>
                <w:color w:val="000000"/>
                <w:sz w:val="6"/>
              </w:rPr>
              <w:t>m</w:t>
            </w:r>
          </w:p>
        </w:tc>
        <w:tc>
          <w:tcPr>
            <w:tcW w:w="595" w:type="dxa"/>
            <w:tcBorders>
              <w:top w:val="single" w:sz="4" w:space="0" w:color="auto"/>
              <w:left w:val="single" w:sz="4" w:space="0" w:color="auto"/>
              <w:bottom w:val="single" w:sz="4" w:space="0" w:color="auto"/>
              <w:right w:val="single" w:sz="4" w:space="0" w:color="auto"/>
            </w:tcBorders>
            <w:vAlign w:val="center"/>
          </w:tcPr>
          <w:p w14:paraId="5253F0E1"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sz w:val="6"/>
                <w:szCs w:val="6"/>
              </w:rPr>
            </w:pPr>
            <w:r>
              <w:rPr>
                <w:rFonts w:ascii="Helvetica" w:hAnsi="Helvetica"/>
                <w:color w:val="000000"/>
                <w:sz w:val="6"/>
              </w:rPr>
              <w:t>n</w:t>
            </w:r>
          </w:p>
        </w:tc>
        <w:tc>
          <w:tcPr>
            <w:tcW w:w="362" w:type="dxa"/>
            <w:tcBorders>
              <w:top w:val="single" w:sz="4" w:space="0" w:color="auto"/>
              <w:left w:val="single" w:sz="4" w:space="0" w:color="auto"/>
              <w:bottom w:val="single" w:sz="4" w:space="0" w:color="auto"/>
              <w:right w:val="single" w:sz="4" w:space="0" w:color="auto"/>
            </w:tcBorders>
            <w:vAlign w:val="center"/>
          </w:tcPr>
          <w:p w14:paraId="794CD847"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sz w:val="6"/>
                <w:szCs w:val="6"/>
              </w:rPr>
            </w:pPr>
            <w:r>
              <w:rPr>
                <w:rFonts w:ascii="Helvetica" w:hAnsi="Helvetica"/>
                <w:color w:val="000000"/>
                <w:sz w:val="6"/>
              </w:rPr>
              <w:t>o</w:t>
            </w:r>
          </w:p>
        </w:tc>
        <w:tc>
          <w:tcPr>
            <w:tcW w:w="474" w:type="dxa"/>
            <w:tcBorders>
              <w:top w:val="single" w:sz="4" w:space="0" w:color="auto"/>
              <w:left w:val="single" w:sz="4" w:space="0" w:color="auto"/>
              <w:bottom w:val="single" w:sz="4" w:space="0" w:color="auto"/>
              <w:right w:val="single" w:sz="4" w:space="0" w:color="auto"/>
            </w:tcBorders>
            <w:vAlign w:val="center"/>
          </w:tcPr>
          <w:p w14:paraId="14121541"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sz w:val="6"/>
                <w:szCs w:val="6"/>
              </w:rPr>
            </w:pPr>
            <w:r>
              <w:rPr>
                <w:rFonts w:ascii="Helvetica" w:hAnsi="Helvetica"/>
                <w:color w:val="000000"/>
                <w:sz w:val="6"/>
              </w:rPr>
              <w:t>p</w:t>
            </w:r>
          </w:p>
        </w:tc>
        <w:tc>
          <w:tcPr>
            <w:tcW w:w="595" w:type="dxa"/>
            <w:tcBorders>
              <w:top w:val="single" w:sz="4" w:space="0" w:color="auto"/>
              <w:left w:val="single" w:sz="4" w:space="0" w:color="auto"/>
              <w:bottom w:val="single" w:sz="4" w:space="0" w:color="auto"/>
              <w:right w:val="single" w:sz="4" w:space="0" w:color="auto"/>
            </w:tcBorders>
            <w:vAlign w:val="center"/>
          </w:tcPr>
          <w:p w14:paraId="14C62307"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sz w:val="6"/>
                <w:szCs w:val="6"/>
              </w:rPr>
            </w:pPr>
            <w:r>
              <w:rPr>
                <w:rFonts w:ascii="Helvetica" w:hAnsi="Helvetica"/>
                <w:color w:val="000000"/>
                <w:sz w:val="6"/>
              </w:rPr>
              <w:t>q</w:t>
            </w:r>
          </w:p>
        </w:tc>
        <w:tc>
          <w:tcPr>
            <w:tcW w:w="362" w:type="dxa"/>
            <w:tcBorders>
              <w:top w:val="single" w:sz="4" w:space="0" w:color="auto"/>
              <w:left w:val="single" w:sz="4" w:space="0" w:color="auto"/>
              <w:bottom w:val="single" w:sz="4" w:space="0" w:color="auto"/>
              <w:right w:val="single" w:sz="4" w:space="0" w:color="auto"/>
            </w:tcBorders>
            <w:vAlign w:val="center"/>
          </w:tcPr>
          <w:p w14:paraId="103A70CE"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sz w:val="6"/>
                <w:szCs w:val="6"/>
              </w:rPr>
            </w:pPr>
            <w:r>
              <w:rPr>
                <w:rFonts w:ascii="Helvetica" w:hAnsi="Helvetica"/>
                <w:color w:val="000000"/>
                <w:sz w:val="6"/>
              </w:rPr>
              <w:t>r</w:t>
            </w:r>
          </w:p>
        </w:tc>
        <w:tc>
          <w:tcPr>
            <w:tcW w:w="468" w:type="dxa"/>
            <w:tcBorders>
              <w:top w:val="single" w:sz="4" w:space="0" w:color="auto"/>
              <w:left w:val="single" w:sz="4" w:space="0" w:color="auto"/>
              <w:bottom w:val="single" w:sz="4" w:space="0" w:color="auto"/>
              <w:right w:val="single" w:sz="4" w:space="0" w:color="auto"/>
            </w:tcBorders>
            <w:vAlign w:val="center"/>
          </w:tcPr>
          <w:p w14:paraId="2D063739"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sz w:val="6"/>
                <w:szCs w:val="6"/>
              </w:rPr>
            </w:pPr>
            <w:r>
              <w:rPr>
                <w:rFonts w:ascii="Helvetica" w:hAnsi="Helvetica"/>
                <w:color w:val="000000"/>
                <w:sz w:val="6"/>
              </w:rPr>
              <w:t>s</w:t>
            </w:r>
          </w:p>
        </w:tc>
        <w:tc>
          <w:tcPr>
            <w:tcW w:w="475" w:type="dxa"/>
            <w:tcBorders>
              <w:top w:val="single" w:sz="4" w:space="0" w:color="auto"/>
              <w:left w:val="single" w:sz="4" w:space="0" w:color="auto"/>
              <w:bottom w:val="single" w:sz="4" w:space="0" w:color="auto"/>
              <w:right w:val="single" w:sz="4" w:space="0" w:color="auto"/>
            </w:tcBorders>
            <w:vAlign w:val="center"/>
          </w:tcPr>
          <w:p w14:paraId="62815BDF" w14:textId="77777777" w:rsidR="006561BA" w:rsidRDefault="005B4ED6">
            <w:pPr>
              <w:widowControl w:val="0"/>
              <w:shd w:val="clear" w:color="auto" w:fill="auto"/>
              <w:tabs>
                <w:tab w:val="left" w:pos="554"/>
              </w:tabs>
              <w:spacing w:after="0" w:line="240" w:lineRule="auto"/>
              <w:jc w:val="center"/>
              <w:rPr>
                <w:rFonts w:ascii="Helvetica" w:eastAsia="Arial Unicode MS" w:hAnsi="Helvetica" w:cs="Times New Roman"/>
                <w:color w:val="000000"/>
                <w:sz w:val="6"/>
                <w:szCs w:val="6"/>
              </w:rPr>
            </w:pPr>
            <w:r>
              <w:rPr>
                <w:rFonts w:ascii="Helvetica" w:hAnsi="Helvetica"/>
                <w:color w:val="000000"/>
                <w:sz w:val="6"/>
              </w:rPr>
              <w:t>t</w:t>
            </w:r>
          </w:p>
        </w:tc>
        <w:tc>
          <w:tcPr>
            <w:tcW w:w="476" w:type="dxa"/>
            <w:gridSpan w:val="2"/>
            <w:tcBorders>
              <w:top w:val="single" w:sz="4" w:space="0" w:color="auto"/>
              <w:left w:val="single" w:sz="4" w:space="0" w:color="auto"/>
              <w:bottom w:val="single" w:sz="4" w:space="0" w:color="auto"/>
              <w:right w:val="single" w:sz="4" w:space="0" w:color="auto"/>
            </w:tcBorders>
            <w:vAlign w:val="center"/>
          </w:tcPr>
          <w:p w14:paraId="17AE75DF" w14:textId="77777777" w:rsidR="006561BA" w:rsidRDefault="005B4ED6">
            <w:pPr>
              <w:widowControl w:val="0"/>
              <w:shd w:val="clear" w:color="auto" w:fill="auto"/>
              <w:tabs>
                <w:tab w:val="left" w:pos="554"/>
              </w:tabs>
              <w:spacing w:after="0" w:line="240" w:lineRule="auto"/>
              <w:jc w:val="center"/>
              <w:rPr>
                <w:rFonts w:ascii="Helvetica" w:eastAsia="Arial Unicode MS" w:hAnsi="Helvetica" w:cs="Times New Roman"/>
                <w:color w:val="000000"/>
                <w:sz w:val="6"/>
                <w:szCs w:val="6"/>
              </w:rPr>
            </w:pPr>
            <w:r>
              <w:rPr>
                <w:rFonts w:ascii="Helvetica" w:hAnsi="Helvetica"/>
                <w:color w:val="000000"/>
                <w:sz w:val="6"/>
              </w:rPr>
              <w:t>u</w:t>
            </w:r>
          </w:p>
        </w:tc>
        <w:tc>
          <w:tcPr>
            <w:tcW w:w="476" w:type="dxa"/>
            <w:gridSpan w:val="2"/>
            <w:tcBorders>
              <w:top w:val="single" w:sz="4" w:space="0" w:color="auto"/>
              <w:left w:val="single" w:sz="4" w:space="0" w:color="auto"/>
              <w:bottom w:val="single" w:sz="4" w:space="0" w:color="auto"/>
              <w:right w:val="single" w:sz="4" w:space="0" w:color="auto"/>
            </w:tcBorders>
            <w:vAlign w:val="center"/>
          </w:tcPr>
          <w:p w14:paraId="1AECA928" w14:textId="77777777" w:rsidR="006561BA" w:rsidRDefault="005B4ED6">
            <w:pPr>
              <w:widowControl w:val="0"/>
              <w:shd w:val="clear" w:color="auto" w:fill="auto"/>
              <w:tabs>
                <w:tab w:val="left" w:pos="554"/>
              </w:tabs>
              <w:spacing w:after="0" w:line="240" w:lineRule="auto"/>
              <w:jc w:val="center"/>
              <w:rPr>
                <w:rFonts w:ascii="Helvetica" w:eastAsia="Arial Unicode MS" w:hAnsi="Helvetica" w:cs="Times New Roman"/>
                <w:color w:val="000000"/>
                <w:sz w:val="6"/>
                <w:szCs w:val="6"/>
              </w:rPr>
            </w:pPr>
            <w:r>
              <w:rPr>
                <w:rFonts w:ascii="Helvetica" w:hAnsi="Helvetica"/>
                <w:color w:val="000000"/>
                <w:sz w:val="6"/>
              </w:rPr>
              <w:t>v</w:t>
            </w:r>
          </w:p>
        </w:tc>
        <w:tc>
          <w:tcPr>
            <w:tcW w:w="544" w:type="dxa"/>
            <w:tcBorders>
              <w:top w:val="single" w:sz="4" w:space="0" w:color="auto"/>
              <w:left w:val="single" w:sz="4" w:space="0" w:color="auto"/>
              <w:bottom w:val="single" w:sz="4" w:space="0" w:color="auto"/>
              <w:right w:val="single" w:sz="4" w:space="0" w:color="auto"/>
            </w:tcBorders>
            <w:vAlign w:val="center"/>
          </w:tcPr>
          <w:p w14:paraId="04221F67"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sz w:val="6"/>
                <w:szCs w:val="6"/>
              </w:rPr>
            </w:pPr>
            <w:r>
              <w:rPr>
                <w:rFonts w:ascii="Helvetica" w:hAnsi="Helvetica"/>
                <w:color w:val="000000"/>
                <w:sz w:val="6"/>
              </w:rPr>
              <w:t>w</w:t>
            </w:r>
          </w:p>
        </w:tc>
        <w:tc>
          <w:tcPr>
            <w:tcW w:w="658" w:type="dxa"/>
            <w:tcBorders>
              <w:top w:val="single" w:sz="4" w:space="0" w:color="auto"/>
              <w:left w:val="single" w:sz="4" w:space="0" w:color="auto"/>
              <w:bottom w:val="single" w:sz="4" w:space="0" w:color="auto"/>
              <w:right w:val="single" w:sz="4" w:space="0" w:color="auto"/>
            </w:tcBorders>
            <w:vAlign w:val="center"/>
          </w:tcPr>
          <w:p w14:paraId="2C1B6AEA"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sz w:val="6"/>
                <w:szCs w:val="6"/>
              </w:rPr>
            </w:pPr>
            <w:r>
              <w:rPr>
                <w:rFonts w:ascii="Helvetica" w:hAnsi="Helvetica"/>
                <w:color w:val="000000"/>
                <w:sz w:val="6"/>
              </w:rPr>
              <w:t>x</w:t>
            </w:r>
          </w:p>
        </w:tc>
      </w:tr>
      <w:tr w:rsidR="00A635E4" w:rsidRPr="00A635E4" w14:paraId="0BE9FF62" w14:textId="77777777">
        <w:tc>
          <w:tcPr>
            <w:tcW w:w="2655" w:type="dxa"/>
            <w:gridSpan w:val="2"/>
            <w:vMerge w:val="restart"/>
            <w:tcBorders>
              <w:top w:val="single" w:sz="4" w:space="0" w:color="auto"/>
              <w:left w:val="single" w:sz="4" w:space="0" w:color="auto"/>
            </w:tcBorders>
            <w:vAlign w:val="center"/>
          </w:tcPr>
          <w:p w14:paraId="0CDA555A" w14:textId="77777777" w:rsidR="006561BA" w:rsidRPr="00A635E4" w:rsidRDefault="006561BA">
            <w:pPr>
              <w:widowControl w:val="0"/>
              <w:shd w:val="clear" w:color="auto" w:fill="auto"/>
              <w:spacing w:after="0" w:line="240" w:lineRule="auto"/>
              <w:rPr>
                <w:rFonts w:ascii="Helvetica" w:eastAsia="Arial Unicode MS" w:hAnsi="Helvetica" w:cs="Times New Roman"/>
                <w:color w:val="auto"/>
                <w:sz w:val="6"/>
                <w:szCs w:val="6"/>
                <w:lang w:val="en-US"/>
              </w:rPr>
            </w:pPr>
          </w:p>
        </w:tc>
        <w:tc>
          <w:tcPr>
            <w:tcW w:w="11385" w:type="dxa"/>
            <w:gridSpan w:val="28"/>
            <w:tcBorders>
              <w:top w:val="single" w:sz="4" w:space="0" w:color="auto"/>
              <w:left w:val="single" w:sz="4" w:space="0" w:color="auto"/>
              <w:right w:val="single" w:sz="4" w:space="0" w:color="auto"/>
            </w:tcBorders>
            <w:vAlign w:val="center"/>
          </w:tcPr>
          <w:p w14:paraId="2F091EA9"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KPI for gebyrer og provisjoner – Referansedato for opplysningene T</w:t>
            </w:r>
          </w:p>
        </w:tc>
      </w:tr>
      <w:tr w:rsidR="00A635E4" w:rsidRPr="00980A19" w14:paraId="19A669B6" w14:textId="77777777">
        <w:tc>
          <w:tcPr>
            <w:tcW w:w="2655" w:type="dxa"/>
            <w:gridSpan w:val="2"/>
            <w:vMerge/>
            <w:tcBorders>
              <w:left w:val="single" w:sz="4" w:space="0" w:color="auto"/>
            </w:tcBorders>
            <w:vAlign w:val="center"/>
          </w:tcPr>
          <w:p w14:paraId="2AF6F8BE" w14:textId="77777777" w:rsidR="006561BA" w:rsidRPr="00A635E4" w:rsidRDefault="006561BA">
            <w:pPr>
              <w:widowControl w:val="0"/>
              <w:shd w:val="clear" w:color="auto" w:fill="auto"/>
              <w:spacing w:after="0" w:line="240" w:lineRule="auto"/>
              <w:rPr>
                <w:rFonts w:ascii="Helvetica" w:eastAsia="Arial Unicode MS" w:hAnsi="Helvetica" w:cs="Times New Roman"/>
                <w:color w:val="auto"/>
                <w:sz w:val="6"/>
                <w:szCs w:val="6"/>
              </w:rPr>
            </w:pPr>
          </w:p>
        </w:tc>
        <w:tc>
          <w:tcPr>
            <w:tcW w:w="307" w:type="dxa"/>
            <w:vMerge w:val="restart"/>
            <w:tcBorders>
              <w:top w:val="single" w:sz="4" w:space="0" w:color="auto"/>
              <w:left w:val="single" w:sz="4" w:space="0" w:color="auto"/>
            </w:tcBorders>
            <w:vAlign w:val="center"/>
          </w:tcPr>
          <w:p w14:paraId="5FB155F5"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Sum (millioner euro)</w:t>
            </w:r>
          </w:p>
        </w:tc>
        <w:tc>
          <w:tcPr>
            <w:tcW w:w="1970" w:type="dxa"/>
            <w:gridSpan w:val="4"/>
            <w:tcBorders>
              <w:top w:val="single" w:sz="4" w:space="0" w:color="auto"/>
              <w:left w:val="single" w:sz="4" w:space="0" w:color="auto"/>
            </w:tcBorders>
            <w:vAlign w:val="center"/>
          </w:tcPr>
          <w:p w14:paraId="313B760A"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b/>
                <w:color w:val="auto"/>
                <w:sz w:val="6"/>
                <w:szCs w:val="6"/>
              </w:rPr>
            </w:pPr>
            <w:r w:rsidRPr="00A635E4">
              <w:rPr>
                <w:rFonts w:ascii="Helvetica" w:hAnsi="Helvetica"/>
                <w:b/>
                <w:color w:val="auto"/>
                <w:sz w:val="6"/>
              </w:rPr>
              <w:t>Begrensning av klimaendringer (CCM)</w:t>
            </w:r>
          </w:p>
        </w:tc>
        <w:tc>
          <w:tcPr>
            <w:tcW w:w="1362" w:type="dxa"/>
            <w:gridSpan w:val="5"/>
            <w:tcBorders>
              <w:top w:val="single" w:sz="4" w:space="0" w:color="auto"/>
              <w:left w:val="single" w:sz="4" w:space="0" w:color="auto"/>
            </w:tcBorders>
            <w:vAlign w:val="center"/>
          </w:tcPr>
          <w:p w14:paraId="512C35E6"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b/>
                <w:color w:val="auto"/>
                <w:sz w:val="6"/>
                <w:szCs w:val="6"/>
              </w:rPr>
            </w:pPr>
            <w:r w:rsidRPr="00A635E4">
              <w:rPr>
                <w:rFonts w:ascii="Helvetica" w:hAnsi="Helvetica"/>
                <w:b/>
                <w:color w:val="auto"/>
                <w:sz w:val="6"/>
              </w:rPr>
              <w:t>Tilpasning til klimaendringer (CCA)</w:t>
            </w:r>
          </w:p>
        </w:tc>
        <w:tc>
          <w:tcPr>
            <w:tcW w:w="1425" w:type="dxa"/>
            <w:gridSpan w:val="3"/>
            <w:tcBorders>
              <w:top w:val="single" w:sz="4" w:space="0" w:color="auto"/>
              <w:left w:val="single" w:sz="4" w:space="0" w:color="auto"/>
            </w:tcBorders>
            <w:vAlign w:val="center"/>
          </w:tcPr>
          <w:p w14:paraId="281C9159"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b/>
                <w:color w:val="auto"/>
                <w:sz w:val="6"/>
                <w:szCs w:val="6"/>
              </w:rPr>
            </w:pPr>
            <w:r w:rsidRPr="00A635E4">
              <w:rPr>
                <w:rFonts w:ascii="Helvetica" w:hAnsi="Helvetica"/>
                <w:b/>
                <w:color w:val="auto"/>
                <w:sz w:val="6"/>
              </w:rPr>
              <w:t>Vann- og havressurser (WTR)</w:t>
            </w:r>
          </w:p>
        </w:tc>
        <w:tc>
          <w:tcPr>
            <w:tcW w:w="1431" w:type="dxa"/>
            <w:gridSpan w:val="3"/>
            <w:tcBorders>
              <w:top w:val="single" w:sz="4" w:space="0" w:color="auto"/>
              <w:left w:val="single" w:sz="4" w:space="0" w:color="auto"/>
            </w:tcBorders>
            <w:vAlign w:val="center"/>
          </w:tcPr>
          <w:p w14:paraId="6B00C02C"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b/>
                <w:color w:val="auto"/>
                <w:sz w:val="6"/>
                <w:szCs w:val="6"/>
              </w:rPr>
            </w:pPr>
            <w:r w:rsidRPr="00A635E4">
              <w:rPr>
                <w:rFonts w:ascii="Helvetica" w:hAnsi="Helvetica"/>
                <w:b/>
                <w:color w:val="auto"/>
                <w:sz w:val="6"/>
              </w:rPr>
              <w:t>Sirkulær økonomi (CE)</w:t>
            </w:r>
          </w:p>
        </w:tc>
        <w:tc>
          <w:tcPr>
            <w:tcW w:w="1431" w:type="dxa"/>
            <w:gridSpan w:val="3"/>
            <w:tcBorders>
              <w:top w:val="single" w:sz="4" w:space="0" w:color="auto"/>
              <w:left w:val="single" w:sz="4" w:space="0" w:color="auto"/>
            </w:tcBorders>
            <w:vAlign w:val="center"/>
          </w:tcPr>
          <w:p w14:paraId="16D944B5"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b/>
                <w:color w:val="auto"/>
                <w:sz w:val="6"/>
                <w:szCs w:val="6"/>
              </w:rPr>
            </w:pPr>
            <w:r w:rsidRPr="00A635E4">
              <w:rPr>
                <w:rFonts w:ascii="Helvetica" w:hAnsi="Helvetica"/>
                <w:b/>
                <w:color w:val="auto"/>
                <w:sz w:val="6"/>
              </w:rPr>
              <w:t>Forurensning (PPC)</w:t>
            </w:r>
          </w:p>
        </w:tc>
        <w:tc>
          <w:tcPr>
            <w:tcW w:w="1429" w:type="dxa"/>
            <w:gridSpan w:val="4"/>
            <w:tcBorders>
              <w:top w:val="single" w:sz="4" w:space="0" w:color="auto"/>
              <w:left w:val="single" w:sz="4" w:space="0" w:color="auto"/>
            </w:tcBorders>
            <w:vAlign w:val="center"/>
          </w:tcPr>
          <w:p w14:paraId="282D9CD0"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b/>
                <w:color w:val="auto"/>
                <w:sz w:val="6"/>
                <w:szCs w:val="6"/>
              </w:rPr>
            </w:pPr>
            <w:r w:rsidRPr="00A635E4">
              <w:rPr>
                <w:rFonts w:ascii="Helvetica" w:hAnsi="Helvetica"/>
                <w:b/>
                <w:color w:val="auto"/>
                <w:sz w:val="6"/>
              </w:rPr>
              <w:t>Biologisk mangfold og økosystemer (BIO)</w:t>
            </w:r>
          </w:p>
        </w:tc>
        <w:tc>
          <w:tcPr>
            <w:tcW w:w="2030" w:type="dxa"/>
            <w:gridSpan w:val="5"/>
            <w:tcBorders>
              <w:top w:val="single" w:sz="4" w:space="0" w:color="auto"/>
              <w:left w:val="single" w:sz="4" w:space="0" w:color="auto"/>
              <w:right w:val="single" w:sz="4" w:space="0" w:color="auto"/>
            </w:tcBorders>
            <w:vAlign w:val="center"/>
          </w:tcPr>
          <w:p w14:paraId="78E58EDB"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b/>
                <w:color w:val="auto"/>
                <w:sz w:val="6"/>
                <w:szCs w:val="6"/>
                <w:lang w:val="en-US"/>
              </w:rPr>
            </w:pPr>
            <w:r w:rsidRPr="00A635E4">
              <w:rPr>
                <w:rFonts w:ascii="Helvetica" w:hAnsi="Helvetica"/>
                <w:b/>
                <w:color w:val="auto"/>
                <w:sz w:val="6"/>
                <w:lang w:val="en-US"/>
              </w:rPr>
              <w:t>SUM (CCM + CCA + WTR + CE + PPC + BIO)</w:t>
            </w:r>
          </w:p>
        </w:tc>
      </w:tr>
      <w:tr w:rsidR="00A635E4" w:rsidRPr="00A635E4" w14:paraId="6483337E" w14:textId="77777777">
        <w:tc>
          <w:tcPr>
            <w:tcW w:w="2655" w:type="dxa"/>
            <w:gridSpan w:val="2"/>
            <w:vMerge/>
            <w:tcBorders>
              <w:left w:val="single" w:sz="4" w:space="0" w:color="auto"/>
            </w:tcBorders>
            <w:vAlign w:val="center"/>
          </w:tcPr>
          <w:p w14:paraId="2032323A" w14:textId="77777777" w:rsidR="006561BA" w:rsidRPr="00A635E4" w:rsidRDefault="006561BA">
            <w:pPr>
              <w:widowControl w:val="0"/>
              <w:shd w:val="clear" w:color="auto" w:fill="auto"/>
              <w:spacing w:after="0" w:line="240" w:lineRule="auto"/>
              <w:rPr>
                <w:rFonts w:ascii="Helvetica" w:eastAsia="Arial Unicode MS" w:hAnsi="Helvetica" w:cs="Times New Roman"/>
                <w:color w:val="auto"/>
                <w:sz w:val="6"/>
                <w:szCs w:val="6"/>
                <w:lang w:val="en-US"/>
              </w:rPr>
            </w:pPr>
          </w:p>
        </w:tc>
        <w:tc>
          <w:tcPr>
            <w:tcW w:w="307" w:type="dxa"/>
            <w:vMerge/>
            <w:tcBorders>
              <w:left w:val="single" w:sz="4" w:space="0" w:color="auto"/>
            </w:tcBorders>
            <w:vAlign w:val="center"/>
          </w:tcPr>
          <w:p w14:paraId="40BD9D02"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1970" w:type="dxa"/>
            <w:gridSpan w:val="4"/>
            <w:tcBorders>
              <w:top w:val="single" w:sz="4" w:space="0" w:color="auto"/>
              <w:left w:val="single" w:sz="4" w:space="0" w:color="auto"/>
            </w:tcBorders>
            <w:vAlign w:val="center"/>
          </w:tcPr>
          <w:p w14:paraId="453D2992"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Hvorav mot taksonomirelevante sektorer (%) (omfattet av taksonomien)</w:t>
            </w:r>
          </w:p>
        </w:tc>
        <w:tc>
          <w:tcPr>
            <w:tcW w:w="1362" w:type="dxa"/>
            <w:gridSpan w:val="5"/>
            <w:tcBorders>
              <w:top w:val="single" w:sz="4" w:space="0" w:color="auto"/>
              <w:left w:val="single" w:sz="4" w:space="0" w:color="auto"/>
            </w:tcBorders>
            <w:vAlign w:val="center"/>
          </w:tcPr>
          <w:p w14:paraId="5670A9B1"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Hvorav mot taksonomirelevante sektorer (%) (omfattet av taksonomien)</w:t>
            </w:r>
          </w:p>
        </w:tc>
        <w:tc>
          <w:tcPr>
            <w:tcW w:w="1425" w:type="dxa"/>
            <w:gridSpan w:val="3"/>
            <w:tcBorders>
              <w:top w:val="single" w:sz="4" w:space="0" w:color="auto"/>
              <w:left w:val="single" w:sz="4" w:space="0" w:color="auto"/>
            </w:tcBorders>
            <w:vAlign w:val="center"/>
          </w:tcPr>
          <w:p w14:paraId="3B2ADB78"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Hvorav mot taksonomirelevante sektorer (%) (omfattet av taksonomien)</w:t>
            </w:r>
          </w:p>
        </w:tc>
        <w:tc>
          <w:tcPr>
            <w:tcW w:w="1431" w:type="dxa"/>
            <w:gridSpan w:val="3"/>
            <w:tcBorders>
              <w:top w:val="single" w:sz="4" w:space="0" w:color="auto"/>
              <w:left w:val="single" w:sz="4" w:space="0" w:color="auto"/>
            </w:tcBorders>
            <w:vAlign w:val="center"/>
          </w:tcPr>
          <w:p w14:paraId="76326135"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Hvorav mot taksonomirelevante sektorer (%) (omfattet av taksonomien)</w:t>
            </w:r>
          </w:p>
        </w:tc>
        <w:tc>
          <w:tcPr>
            <w:tcW w:w="1431" w:type="dxa"/>
            <w:gridSpan w:val="3"/>
            <w:tcBorders>
              <w:top w:val="single" w:sz="4" w:space="0" w:color="auto"/>
              <w:left w:val="single" w:sz="4" w:space="0" w:color="auto"/>
            </w:tcBorders>
            <w:vAlign w:val="center"/>
          </w:tcPr>
          <w:p w14:paraId="05C82D90"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Hvorav mot taksonomirelevante sektorer (%) (omfattet av taksonomien)</w:t>
            </w:r>
          </w:p>
        </w:tc>
        <w:tc>
          <w:tcPr>
            <w:tcW w:w="1429" w:type="dxa"/>
            <w:gridSpan w:val="4"/>
            <w:tcBorders>
              <w:top w:val="single" w:sz="4" w:space="0" w:color="auto"/>
              <w:left w:val="single" w:sz="4" w:space="0" w:color="auto"/>
            </w:tcBorders>
            <w:vAlign w:val="center"/>
          </w:tcPr>
          <w:p w14:paraId="6B8891CD"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Hvorav mot taksonomirelevante sektorer (%) (omfattet av taksonomien)</w:t>
            </w:r>
          </w:p>
        </w:tc>
        <w:tc>
          <w:tcPr>
            <w:tcW w:w="2030" w:type="dxa"/>
            <w:gridSpan w:val="5"/>
            <w:tcBorders>
              <w:top w:val="single" w:sz="4" w:space="0" w:color="auto"/>
              <w:left w:val="single" w:sz="4" w:space="0" w:color="auto"/>
              <w:right w:val="single" w:sz="4" w:space="0" w:color="auto"/>
            </w:tcBorders>
            <w:vAlign w:val="center"/>
          </w:tcPr>
          <w:p w14:paraId="714E50EB"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Hvorav mot taksonomirelevante sektorer (%) (omfattet av taksonomien)</w:t>
            </w:r>
          </w:p>
        </w:tc>
      </w:tr>
      <w:tr w:rsidR="00A635E4" w:rsidRPr="00A635E4" w14:paraId="2C8D8547" w14:textId="77777777">
        <w:tc>
          <w:tcPr>
            <w:tcW w:w="2655" w:type="dxa"/>
            <w:gridSpan w:val="2"/>
            <w:vMerge/>
            <w:tcBorders>
              <w:left w:val="single" w:sz="4" w:space="0" w:color="auto"/>
            </w:tcBorders>
            <w:vAlign w:val="center"/>
          </w:tcPr>
          <w:p w14:paraId="185B46D0" w14:textId="77777777" w:rsidR="006561BA" w:rsidRPr="00A635E4" w:rsidRDefault="006561BA">
            <w:pPr>
              <w:widowControl w:val="0"/>
              <w:shd w:val="clear" w:color="auto" w:fill="auto"/>
              <w:spacing w:after="0" w:line="240" w:lineRule="auto"/>
              <w:rPr>
                <w:rFonts w:ascii="Helvetica" w:eastAsia="Arial Unicode MS" w:hAnsi="Helvetica" w:cs="Times New Roman"/>
                <w:color w:val="auto"/>
                <w:sz w:val="6"/>
                <w:szCs w:val="6"/>
              </w:rPr>
            </w:pPr>
          </w:p>
        </w:tc>
        <w:tc>
          <w:tcPr>
            <w:tcW w:w="307" w:type="dxa"/>
            <w:vMerge/>
            <w:tcBorders>
              <w:left w:val="single" w:sz="4" w:space="0" w:color="auto"/>
            </w:tcBorders>
            <w:vAlign w:val="center"/>
          </w:tcPr>
          <w:p w14:paraId="00B84B78"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62" w:type="dxa"/>
            <w:tcBorders>
              <w:left w:val="single" w:sz="4" w:space="0" w:color="auto"/>
            </w:tcBorders>
            <w:vAlign w:val="center"/>
          </w:tcPr>
          <w:p w14:paraId="3933ED05"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1608" w:type="dxa"/>
            <w:gridSpan w:val="3"/>
            <w:tcBorders>
              <w:top w:val="single" w:sz="4" w:space="0" w:color="auto"/>
              <w:left w:val="single" w:sz="4" w:space="0" w:color="auto"/>
            </w:tcBorders>
            <w:vAlign w:val="center"/>
          </w:tcPr>
          <w:p w14:paraId="1818BC07"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Hvorav miljømessig bærekraftige (%) (taksonomiforenlige)</w:t>
            </w:r>
          </w:p>
        </w:tc>
        <w:tc>
          <w:tcPr>
            <w:tcW w:w="362" w:type="dxa"/>
            <w:tcBorders>
              <w:left w:val="single" w:sz="4" w:space="0" w:color="auto"/>
            </w:tcBorders>
            <w:vAlign w:val="center"/>
          </w:tcPr>
          <w:p w14:paraId="07F20401"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1000" w:type="dxa"/>
            <w:gridSpan w:val="4"/>
            <w:tcBorders>
              <w:top w:val="single" w:sz="4" w:space="0" w:color="auto"/>
              <w:left w:val="single" w:sz="4" w:space="0" w:color="auto"/>
            </w:tcBorders>
            <w:vAlign w:val="center"/>
          </w:tcPr>
          <w:p w14:paraId="6A905B53"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Hvorav miljømessig bærekraftige</w:t>
            </w:r>
          </w:p>
        </w:tc>
        <w:tc>
          <w:tcPr>
            <w:tcW w:w="362" w:type="dxa"/>
            <w:tcBorders>
              <w:left w:val="single" w:sz="4" w:space="0" w:color="auto"/>
            </w:tcBorders>
            <w:vAlign w:val="center"/>
          </w:tcPr>
          <w:p w14:paraId="3F0C6B80"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1063" w:type="dxa"/>
            <w:gridSpan w:val="2"/>
            <w:tcBorders>
              <w:top w:val="single" w:sz="4" w:space="0" w:color="auto"/>
              <w:left w:val="single" w:sz="4" w:space="0" w:color="auto"/>
            </w:tcBorders>
            <w:vAlign w:val="center"/>
          </w:tcPr>
          <w:p w14:paraId="5A84DA00"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Hvorav miljømessig bærekraftige (%) (taksonomiforenlige)</w:t>
            </w:r>
          </w:p>
        </w:tc>
        <w:tc>
          <w:tcPr>
            <w:tcW w:w="362" w:type="dxa"/>
            <w:tcBorders>
              <w:left w:val="single" w:sz="4" w:space="0" w:color="auto"/>
            </w:tcBorders>
            <w:vAlign w:val="center"/>
          </w:tcPr>
          <w:p w14:paraId="35AC1D4C"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1069" w:type="dxa"/>
            <w:gridSpan w:val="2"/>
            <w:tcBorders>
              <w:top w:val="single" w:sz="4" w:space="0" w:color="auto"/>
              <w:left w:val="single" w:sz="4" w:space="0" w:color="auto"/>
            </w:tcBorders>
            <w:vAlign w:val="center"/>
          </w:tcPr>
          <w:p w14:paraId="26ECCAA5"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Hvorav miljømessig bærekraftige (%) (taksonomiforenlige)</w:t>
            </w:r>
          </w:p>
        </w:tc>
        <w:tc>
          <w:tcPr>
            <w:tcW w:w="362" w:type="dxa"/>
            <w:tcBorders>
              <w:left w:val="single" w:sz="4" w:space="0" w:color="auto"/>
            </w:tcBorders>
            <w:vAlign w:val="center"/>
          </w:tcPr>
          <w:p w14:paraId="6526F434"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1069" w:type="dxa"/>
            <w:gridSpan w:val="2"/>
            <w:tcBorders>
              <w:top w:val="single" w:sz="4" w:space="0" w:color="auto"/>
              <w:left w:val="single" w:sz="4" w:space="0" w:color="auto"/>
            </w:tcBorders>
            <w:vAlign w:val="center"/>
          </w:tcPr>
          <w:p w14:paraId="22736E0C"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Hvorav miljømessig bærekraftige (%) (taksonomiforenlige)</w:t>
            </w:r>
          </w:p>
        </w:tc>
        <w:tc>
          <w:tcPr>
            <w:tcW w:w="362" w:type="dxa"/>
            <w:tcBorders>
              <w:left w:val="single" w:sz="4" w:space="0" w:color="auto"/>
            </w:tcBorders>
            <w:vAlign w:val="center"/>
          </w:tcPr>
          <w:p w14:paraId="41517F34"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1067" w:type="dxa"/>
            <w:gridSpan w:val="3"/>
            <w:tcBorders>
              <w:top w:val="single" w:sz="4" w:space="0" w:color="auto"/>
              <w:left w:val="single" w:sz="4" w:space="0" w:color="auto"/>
            </w:tcBorders>
            <w:vAlign w:val="center"/>
          </w:tcPr>
          <w:p w14:paraId="6E89B43F"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Hvorav miljømessig bærekraftige (%) (taksonomiforenlige)</w:t>
            </w:r>
          </w:p>
        </w:tc>
        <w:tc>
          <w:tcPr>
            <w:tcW w:w="366" w:type="dxa"/>
            <w:gridSpan w:val="2"/>
            <w:tcBorders>
              <w:left w:val="single" w:sz="4" w:space="0" w:color="auto"/>
            </w:tcBorders>
            <w:vAlign w:val="center"/>
          </w:tcPr>
          <w:p w14:paraId="33D4C43B"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1664" w:type="dxa"/>
            <w:gridSpan w:val="3"/>
            <w:tcBorders>
              <w:top w:val="single" w:sz="4" w:space="0" w:color="auto"/>
              <w:left w:val="single" w:sz="4" w:space="0" w:color="auto"/>
              <w:right w:val="single" w:sz="4" w:space="0" w:color="auto"/>
            </w:tcBorders>
            <w:vAlign w:val="center"/>
          </w:tcPr>
          <w:p w14:paraId="0478E248"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Hvorav miljømessig bærekraftige (%) (taksonomiforenlige)</w:t>
            </w:r>
          </w:p>
        </w:tc>
      </w:tr>
      <w:tr w:rsidR="00A635E4" w:rsidRPr="00A635E4" w14:paraId="4F93FE3B" w14:textId="77777777">
        <w:tc>
          <w:tcPr>
            <w:tcW w:w="2655" w:type="dxa"/>
            <w:gridSpan w:val="2"/>
            <w:tcBorders>
              <w:left w:val="single" w:sz="4" w:space="0" w:color="auto"/>
            </w:tcBorders>
            <w:vAlign w:val="center"/>
          </w:tcPr>
          <w:p w14:paraId="4C3EB335" w14:textId="77777777" w:rsidR="006561BA" w:rsidRPr="00A635E4" w:rsidRDefault="006561BA">
            <w:pPr>
              <w:widowControl w:val="0"/>
              <w:shd w:val="clear" w:color="auto" w:fill="auto"/>
              <w:spacing w:after="0" w:line="240" w:lineRule="auto"/>
              <w:rPr>
                <w:rFonts w:ascii="Helvetica" w:eastAsia="Arial Unicode MS" w:hAnsi="Helvetica" w:cs="Times New Roman"/>
                <w:color w:val="auto"/>
                <w:sz w:val="6"/>
                <w:szCs w:val="6"/>
                <w:lang w:val="en-US"/>
              </w:rPr>
            </w:pPr>
          </w:p>
        </w:tc>
        <w:tc>
          <w:tcPr>
            <w:tcW w:w="307" w:type="dxa"/>
            <w:tcBorders>
              <w:left w:val="single" w:sz="4" w:space="0" w:color="auto"/>
            </w:tcBorders>
            <w:vAlign w:val="center"/>
          </w:tcPr>
          <w:p w14:paraId="1C6DDDDC"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left w:val="single" w:sz="4" w:space="0" w:color="auto"/>
            </w:tcBorders>
            <w:vAlign w:val="center"/>
          </w:tcPr>
          <w:p w14:paraId="3DE50016"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8" w:type="dxa"/>
            <w:tcBorders>
              <w:left w:val="single" w:sz="4" w:space="0" w:color="auto"/>
            </w:tcBorders>
            <w:vAlign w:val="center"/>
          </w:tcPr>
          <w:p w14:paraId="15412A8E"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44" w:type="dxa"/>
            <w:tcBorders>
              <w:top w:val="single" w:sz="4" w:space="0" w:color="auto"/>
              <w:left w:val="single" w:sz="4" w:space="0" w:color="auto"/>
            </w:tcBorders>
            <w:vAlign w:val="center"/>
          </w:tcPr>
          <w:p w14:paraId="000A45E8" w14:textId="77777777" w:rsidR="006561BA" w:rsidRPr="00A635E4" w:rsidRDefault="005B4ED6">
            <w:pPr>
              <w:widowControl w:val="0"/>
              <w:shd w:val="clear" w:color="auto" w:fill="auto"/>
              <w:spacing w:after="0" w:line="240" w:lineRule="auto"/>
              <w:jc w:val="left"/>
              <w:rPr>
                <w:rFonts w:ascii="Helvetica" w:eastAsia="Arial Unicode MS" w:hAnsi="Helvetica" w:cs="Times New Roman"/>
                <w:color w:val="auto"/>
                <w:sz w:val="6"/>
                <w:szCs w:val="6"/>
              </w:rPr>
            </w:pPr>
            <w:r w:rsidRPr="00A635E4">
              <w:rPr>
                <w:rFonts w:ascii="Helvetica" w:hAnsi="Helvetica"/>
                <w:color w:val="auto"/>
                <w:sz w:val="6"/>
              </w:rPr>
              <w:t>Hvorav omstilling</w:t>
            </w:r>
          </w:p>
        </w:tc>
        <w:tc>
          <w:tcPr>
            <w:tcW w:w="596" w:type="dxa"/>
            <w:tcBorders>
              <w:top w:val="single" w:sz="4" w:space="0" w:color="auto"/>
              <w:left w:val="single" w:sz="4" w:space="0" w:color="auto"/>
            </w:tcBorders>
            <w:vAlign w:val="center"/>
          </w:tcPr>
          <w:p w14:paraId="2528913A" w14:textId="77777777" w:rsidR="006561BA" w:rsidRPr="00A635E4" w:rsidRDefault="005B4ED6">
            <w:pPr>
              <w:widowControl w:val="0"/>
              <w:shd w:val="clear" w:color="auto" w:fill="auto"/>
              <w:spacing w:after="0" w:line="240" w:lineRule="auto"/>
              <w:jc w:val="left"/>
              <w:rPr>
                <w:rFonts w:ascii="Helvetica" w:eastAsia="Arial Unicode MS" w:hAnsi="Helvetica" w:cs="Times New Roman"/>
                <w:color w:val="auto"/>
                <w:sz w:val="6"/>
                <w:szCs w:val="6"/>
              </w:rPr>
            </w:pPr>
            <w:r w:rsidRPr="00A635E4">
              <w:rPr>
                <w:rFonts w:ascii="Helvetica" w:hAnsi="Helvetica"/>
                <w:color w:val="auto"/>
                <w:sz w:val="6"/>
              </w:rPr>
              <w:t>Hvorav muliggjørende</w:t>
            </w:r>
          </w:p>
        </w:tc>
        <w:tc>
          <w:tcPr>
            <w:tcW w:w="362" w:type="dxa"/>
            <w:tcBorders>
              <w:left w:val="single" w:sz="4" w:space="0" w:color="auto"/>
            </w:tcBorders>
            <w:vAlign w:val="center"/>
          </w:tcPr>
          <w:p w14:paraId="20581D8A"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05" w:type="dxa"/>
            <w:gridSpan w:val="2"/>
            <w:tcBorders>
              <w:left w:val="single" w:sz="4" w:space="0" w:color="auto"/>
            </w:tcBorders>
            <w:vAlign w:val="center"/>
          </w:tcPr>
          <w:p w14:paraId="6F71F279"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5" w:type="dxa"/>
            <w:gridSpan w:val="2"/>
            <w:tcBorders>
              <w:top w:val="single" w:sz="4" w:space="0" w:color="auto"/>
              <w:left w:val="single" w:sz="4" w:space="0" w:color="auto"/>
            </w:tcBorders>
            <w:vAlign w:val="center"/>
          </w:tcPr>
          <w:p w14:paraId="017006C5" w14:textId="77777777" w:rsidR="006561BA" w:rsidRPr="00A635E4" w:rsidRDefault="005B4ED6">
            <w:pPr>
              <w:widowControl w:val="0"/>
              <w:shd w:val="clear" w:color="auto" w:fill="auto"/>
              <w:spacing w:after="0" w:line="240" w:lineRule="auto"/>
              <w:jc w:val="left"/>
              <w:rPr>
                <w:rFonts w:ascii="Helvetica" w:eastAsia="Arial Unicode MS" w:hAnsi="Helvetica" w:cs="Times New Roman"/>
                <w:color w:val="auto"/>
                <w:sz w:val="6"/>
                <w:szCs w:val="6"/>
              </w:rPr>
            </w:pPr>
            <w:r w:rsidRPr="00A635E4">
              <w:rPr>
                <w:rFonts w:ascii="Helvetica" w:hAnsi="Helvetica"/>
                <w:color w:val="auto"/>
                <w:sz w:val="6"/>
              </w:rPr>
              <w:t>Hvorav muliggjørende</w:t>
            </w:r>
          </w:p>
        </w:tc>
        <w:tc>
          <w:tcPr>
            <w:tcW w:w="362" w:type="dxa"/>
            <w:tcBorders>
              <w:left w:val="single" w:sz="4" w:space="0" w:color="auto"/>
            </w:tcBorders>
            <w:vAlign w:val="center"/>
          </w:tcPr>
          <w:p w14:paraId="41C05BF4" w14:textId="77777777" w:rsidR="006561BA" w:rsidRPr="00A635E4" w:rsidRDefault="006561BA">
            <w:pPr>
              <w:widowControl w:val="0"/>
              <w:shd w:val="clear" w:color="auto" w:fill="auto"/>
              <w:spacing w:after="0" w:line="240" w:lineRule="auto"/>
              <w:jc w:val="left"/>
              <w:rPr>
                <w:rFonts w:ascii="Helvetica" w:eastAsia="Arial Unicode MS" w:hAnsi="Helvetica" w:cs="Times New Roman"/>
                <w:color w:val="auto"/>
                <w:sz w:val="6"/>
                <w:szCs w:val="6"/>
                <w:lang w:val="en-US"/>
              </w:rPr>
            </w:pPr>
          </w:p>
        </w:tc>
        <w:tc>
          <w:tcPr>
            <w:tcW w:w="468" w:type="dxa"/>
            <w:tcBorders>
              <w:left w:val="single" w:sz="4" w:space="0" w:color="auto"/>
            </w:tcBorders>
            <w:vAlign w:val="center"/>
          </w:tcPr>
          <w:p w14:paraId="0B9475D0" w14:textId="77777777" w:rsidR="006561BA" w:rsidRPr="00A635E4" w:rsidRDefault="006561BA">
            <w:pPr>
              <w:widowControl w:val="0"/>
              <w:shd w:val="clear" w:color="auto" w:fill="auto"/>
              <w:spacing w:after="0" w:line="240" w:lineRule="auto"/>
              <w:jc w:val="left"/>
              <w:rPr>
                <w:rFonts w:ascii="Helvetica" w:eastAsia="Arial Unicode MS" w:hAnsi="Helvetica" w:cs="Times New Roman"/>
                <w:color w:val="auto"/>
                <w:sz w:val="6"/>
                <w:szCs w:val="6"/>
                <w:lang w:val="en-US"/>
              </w:rPr>
            </w:pPr>
          </w:p>
        </w:tc>
        <w:tc>
          <w:tcPr>
            <w:tcW w:w="595" w:type="dxa"/>
            <w:tcBorders>
              <w:top w:val="single" w:sz="4" w:space="0" w:color="auto"/>
              <w:left w:val="single" w:sz="4" w:space="0" w:color="auto"/>
            </w:tcBorders>
            <w:vAlign w:val="center"/>
          </w:tcPr>
          <w:p w14:paraId="59786728" w14:textId="77777777" w:rsidR="006561BA" w:rsidRPr="00A635E4" w:rsidRDefault="005B4ED6">
            <w:pPr>
              <w:widowControl w:val="0"/>
              <w:shd w:val="clear" w:color="auto" w:fill="auto"/>
              <w:spacing w:after="0" w:line="240" w:lineRule="auto"/>
              <w:jc w:val="left"/>
              <w:rPr>
                <w:rFonts w:ascii="Helvetica" w:eastAsia="Arial Unicode MS" w:hAnsi="Helvetica" w:cs="Times New Roman"/>
                <w:color w:val="auto"/>
                <w:sz w:val="6"/>
                <w:szCs w:val="6"/>
              </w:rPr>
            </w:pPr>
            <w:r w:rsidRPr="00A635E4">
              <w:rPr>
                <w:rFonts w:ascii="Helvetica" w:hAnsi="Helvetica"/>
                <w:color w:val="auto"/>
                <w:sz w:val="6"/>
              </w:rPr>
              <w:t>Hvorav muliggjørende</w:t>
            </w:r>
          </w:p>
        </w:tc>
        <w:tc>
          <w:tcPr>
            <w:tcW w:w="362" w:type="dxa"/>
            <w:tcBorders>
              <w:left w:val="single" w:sz="4" w:space="0" w:color="auto"/>
            </w:tcBorders>
            <w:vAlign w:val="center"/>
          </w:tcPr>
          <w:p w14:paraId="7B1A4504" w14:textId="77777777" w:rsidR="006561BA" w:rsidRPr="00A635E4" w:rsidRDefault="006561BA">
            <w:pPr>
              <w:widowControl w:val="0"/>
              <w:shd w:val="clear" w:color="auto" w:fill="auto"/>
              <w:spacing w:after="0" w:line="240" w:lineRule="auto"/>
              <w:jc w:val="left"/>
              <w:rPr>
                <w:rFonts w:ascii="Helvetica" w:eastAsia="Arial Unicode MS" w:hAnsi="Helvetica" w:cs="Times New Roman"/>
                <w:color w:val="auto"/>
                <w:sz w:val="6"/>
                <w:szCs w:val="6"/>
                <w:lang w:val="en-US"/>
              </w:rPr>
            </w:pPr>
          </w:p>
        </w:tc>
        <w:tc>
          <w:tcPr>
            <w:tcW w:w="474" w:type="dxa"/>
            <w:tcBorders>
              <w:left w:val="single" w:sz="4" w:space="0" w:color="auto"/>
            </w:tcBorders>
            <w:vAlign w:val="center"/>
          </w:tcPr>
          <w:p w14:paraId="39D6A257" w14:textId="77777777" w:rsidR="006561BA" w:rsidRPr="00A635E4" w:rsidRDefault="006561BA">
            <w:pPr>
              <w:widowControl w:val="0"/>
              <w:shd w:val="clear" w:color="auto" w:fill="auto"/>
              <w:spacing w:after="0" w:line="240" w:lineRule="auto"/>
              <w:jc w:val="left"/>
              <w:rPr>
                <w:rFonts w:ascii="Helvetica" w:eastAsia="Arial Unicode MS" w:hAnsi="Helvetica" w:cs="Times New Roman"/>
                <w:color w:val="auto"/>
                <w:sz w:val="6"/>
                <w:szCs w:val="6"/>
                <w:lang w:val="en-US"/>
              </w:rPr>
            </w:pPr>
          </w:p>
        </w:tc>
        <w:tc>
          <w:tcPr>
            <w:tcW w:w="595" w:type="dxa"/>
            <w:tcBorders>
              <w:top w:val="single" w:sz="4" w:space="0" w:color="auto"/>
              <w:left w:val="single" w:sz="4" w:space="0" w:color="auto"/>
            </w:tcBorders>
            <w:vAlign w:val="center"/>
          </w:tcPr>
          <w:p w14:paraId="7A1EAF0E" w14:textId="77777777" w:rsidR="006561BA" w:rsidRPr="00A635E4" w:rsidRDefault="005B4ED6">
            <w:pPr>
              <w:widowControl w:val="0"/>
              <w:shd w:val="clear" w:color="auto" w:fill="auto"/>
              <w:spacing w:after="0" w:line="240" w:lineRule="auto"/>
              <w:jc w:val="left"/>
              <w:rPr>
                <w:rFonts w:ascii="Helvetica" w:eastAsia="Arial Unicode MS" w:hAnsi="Helvetica" w:cs="Times New Roman"/>
                <w:color w:val="auto"/>
                <w:sz w:val="6"/>
                <w:szCs w:val="6"/>
              </w:rPr>
            </w:pPr>
            <w:r w:rsidRPr="00A635E4">
              <w:rPr>
                <w:rFonts w:ascii="Helvetica" w:hAnsi="Helvetica"/>
                <w:color w:val="auto"/>
                <w:sz w:val="6"/>
              </w:rPr>
              <w:t>Hvorav muliggjørende</w:t>
            </w:r>
          </w:p>
        </w:tc>
        <w:tc>
          <w:tcPr>
            <w:tcW w:w="362" w:type="dxa"/>
            <w:tcBorders>
              <w:left w:val="single" w:sz="4" w:space="0" w:color="auto"/>
            </w:tcBorders>
            <w:vAlign w:val="center"/>
          </w:tcPr>
          <w:p w14:paraId="062EA8EC"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74" w:type="dxa"/>
            <w:tcBorders>
              <w:left w:val="single" w:sz="4" w:space="0" w:color="auto"/>
            </w:tcBorders>
            <w:vAlign w:val="center"/>
          </w:tcPr>
          <w:p w14:paraId="47130A86"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5" w:type="dxa"/>
            <w:tcBorders>
              <w:top w:val="single" w:sz="4" w:space="0" w:color="auto"/>
              <w:left w:val="single" w:sz="4" w:space="0" w:color="auto"/>
            </w:tcBorders>
            <w:vAlign w:val="center"/>
          </w:tcPr>
          <w:p w14:paraId="408797A3" w14:textId="77777777" w:rsidR="006561BA" w:rsidRPr="00A635E4" w:rsidRDefault="005B4ED6">
            <w:pPr>
              <w:widowControl w:val="0"/>
              <w:shd w:val="clear" w:color="auto" w:fill="auto"/>
              <w:spacing w:after="0" w:line="240" w:lineRule="auto"/>
              <w:jc w:val="left"/>
              <w:rPr>
                <w:rFonts w:ascii="Helvetica" w:eastAsia="Arial Unicode MS" w:hAnsi="Helvetica" w:cs="Times New Roman"/>
                <w:color w:val="auto"/>
                <w:sz w:val="6"/>
                <w:szCs w:val="6"/>
              </w:rPr>
            </w:pPr>
            <w:r w:rsidRPr="00A635E4">
              <w:rPr>
                <w:rFonts w:ascii="Helvetica" w:hAnsi="Helvetica"/>
                <w:color w:val="auto"/>
                <w:sz w:val="6"/>
              </w:rPr>
              <w:t>Hvorav muliggjørende</w:t>
            </w:r>
          </w:p>
        </w:tc>
        <w:tc>
          <w:tcPr>
            <w:tcW w:w="362" w:type="dxa"/>
            <w:tcBorders>
              <w:left w:val="single" w:sz="4" w:space="0" w:color="auto"/>
            </w:tcBorders>
            <w:vAlign w:val="center"/>
          </w:tcPr>
          <w:p w14:paraId="2CD123B4" w14:textId="77777777" w:rsidR="006561BA" w:rsidRPr="00A635E4" w:rsidRDefault="006561BA">
            <w:pPr>
              <w:widowControl w:val="0"/>
              <w:shd w:val="clear" w:color="auto" w:fill="auto"/>
              <w:spacing w:after="0" w:line="240" w:lineRule="auto"/>
              <w:jc w:val="left"/>
              <w:rPr>
                <w:rFonts w:ascii="Helvetica" w:eastAsia="Arial Unicode MS" w:hAnsi="Helvetica" w:cs="Times New Roman"/>
                <w:color w:val="auto"/>
                <w:sz w:val="6"/>
                <w:szCs w:val="6"/>
                <w:lang w:val="en-US"/>
              </w:rPr>
            </w:pPr>
          </w:p>
        </w:tc>
        <w:tc>
          <w:tcPr>
            <w:tcW w:w="468" w:type="dxa"/>
            <w:tcBorders>
              <w:left w:val="single" w:sz="4" w:space="0" w:color="auto"/>
            </w:tcBorders>
            <w:vAlign w:val="center"/>
          </w:tcPr>
          <w:p w14:paraId="6E5381E9" w14:textId="77777777" w:rsidR="006561BA" w:rsidRPr="00A635E4" w:rsidRDefault="006561BA">
            <w:pPr>
              <w:widowControl w:val="0"/>
              <w:shd w:val="clear" w:color="auto" w:fill="auto"/>
              <w:spacing w:after="0" w:line="240" w:lineRule="auto"/>
              <w:jc w:val="left"/>
              <w:rPr>
                <w:rFonts w:ascii="Helvetica" w:eastAsia="Arial Unicode MS" w:hAnsi="Helvetica" w:cs="Times New Roman"/>
                <w:color w:val="auto"/>
                <w:sz w:val="6"/>
                <w:szCs w:val="6"/>
                <w:lang w:val="en-US"/>
              </w:rPr>
            </w:pPr>
          </w:p>
        </w:tc>
        <w:tc>
          <w:tcPr>
            <w:tcW w:w="599" w:type="dxa"/>
            <w:gridSpan w:val="2"/>
            <w:tcBorders>
              <w:top w:val="single" w:sz="4" w:space="0" w:color="auto"/>
              <w:left w:val="single" w:sz="4" w:space="0" w:color="auto"/>
            </w:tcBorders>
            <w:vAlign w:val="center"/>
          </w:tcPr>
          <w:p w14:paraId="14ABB977" w14:textId="77777777" w:rsidR="006561BA" w:rsidRPr="00A635E4" w:rsidRDefault="005B4ED6">
            <w:pPr>
              <w:widowControl w:val="0"/>
              <w:shd w:val="clear" w:color="auto" w:fill="auto"/>
              <w:spacing w:after="0" w:line="240" w:lineRule="auto"/>
              <w:jc w:val="left"/>
              <w:rPr>
                <w:rFonts w:ascii="Helvetica" w:eastAsia="Arial Unicode MS" w:hAnsi="Helvetica" w:cs="Times New Roman"/>
                <w:color w:val="auto"/>
                <w:sz w:val="6"/>
                <w:szCs w:val="6"/>
              </w:rPr>
            </w:pPr>
            <w:r w:rsidRPr="00A635E4">
              <w:rPr>
                <w:rFonts w:ascii="Helvetica" w:hAnsi="Helvetica"/>
                <w:color w:val="auto"/>
                <w:sz w:val="6"/>
              </w:rPr>
              <w:t>Hvorav muliggjørende</w:t>
            </w:r>
          </w:p>
        </w:tc>
        <w:tc>
          <w:tcPr>
            <w:tcW w:w="366" w:type="dxa"/>
            <w:gridSpan w:val="2"/>
            <w:tcBorders>
              <w:left w:val="single" w:sz="4" w:space="0" w:color="auto"/>
            </w:tcBorders>
            <w:vAlign w:val="center"/>
          </w:tcPr>
          <w:p w14:paraId="1AF6BA69"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2" w:type="dxa"/>
            <w:tcBorders>
              <w:left w:val="single" w:sz="4" w:space="0" w:color="auto"/>
            </w:tcBorders>
            <w:vAlign w:val="center"/>
          </w:tcPr>
          <w:p w14:paraId="065A201F"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44" w:type="dxa"/>
            <w:tcBorders>
              <w:top w:val="single" w:sz="4" w:space="0" w:color="auto"/>
              <w:left w:val="single" w:sz="4" w:space="0" w:color="auto"/>
            </w:tcBorders>
            <w:vAlign w:val="center"/>
          </w:tcPr>
          <w:p w14:paraId="4A8EEDCC"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Hvorav omstilling</w:t>
            </w:r>
          </w:p>
        </w:tc>
        <w:tc>
          <w:tcPr>
            <w:tcW w:w="658" w:type="dxa"/>
            <w:tcBorders>
              <w:top w:val="single" w:sz="4" w:space="0" w:color="auto"/>
              <w:left w:val="single" w:sz="4" w:space="0" w:color="auto"/>
              <w:right w:val="single" w:sz="4" w:space="0" w:color="auto"/>
            </w:tcBorders>
            <w:vAlign w:val="center"/>
          </w:tcPr>
          <w:p w14:paraId="68458F36"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Hvorav muliggjørende</w:t>
            </w:r>
          </w:p>
        </w:tc>
      </w:tr>
      <w:tr w:rsidR="00A635E4" w:rsidRPr="00A635E4" w14:paraId="6282C565" w14:textId="77777777">
        <w:trPr>
          <w:trHeight w:val="148"/>
        </w:trPr>
        <w:tc>
          <w:tcPr>
            <w:tcW w:w="132" w:type="dxa"/>
            <w:tcBorders>
              <w:top w:val="single" w:sz="4" w:space="0" w:color="auto"/>
              <w:left w:val="single" w:sz="4" w:space="0" w:color="auto"/>
            </w:tcBorders>
            <w:vAlign w:val="center"/>
          </w:tcPr>
          <w:p w14:paraId="7B8D01AF"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1</w:t>
            </w:r>
          </w:p>
        </w:tc>
        <w:tc>
          <w:tcPr>
            <w:tcW w:w="2523" w:type="dxa"/>
            <w:tcBorders>
              <w:top w:val="single" w:sz="4" w:space="0" w:color="auto"/>
              <w:left w:val="single" w:sz="4" w:space="0" w:color="auto"/>
            </w:tcBorders>
            <w:vAlign w:val="center"/>
          </w:tcPr>
          <w:p w14:paraId="6B86981F" w14:textId="77777777" w:rsidR="006561BA" w:rsidRPr="00A635E4" w:rsidRDefault="005B4ED6">
            <w:pPr>
              <w:widowControl w:val="0"/>
              <w:shd w:val="clear" w:color="auto" w:fill="auto"/>
              <w:spacing w:after="0" w:line="240" w:lineRule="auto"/>
              <w:rPr>
                <w:rFonts w:ascii="Helvetica" w:eastAsia="Arial Unicode MS" w:hAnsi="Helvetica" w:cs="Times New Roman"/>
                <w:b/>
                <w:color w:val="auto"/>
                <w:sz w:val="6"/>
                <w:szCs w:val="6"/>
                <w:u w:val="single"/>
              </w:rPr>
            </w:pPr>
            <w:r w:rsidRPr="00A635E4">
              <w:rPr>
                <w:rFonts w:ascii="Helvetica" w:hAnsi="Helvetica"/>
                <w:b/>
                <w:color w:val="auto"/>
                <w:sz w:val="6"/>
                <w:u w:val="single"/>
              </w:rPr>
              <w:t>Gebyr- og provisjonsinntekter fra foretak som er omfattet av direktivet om ikke-finansiell rapportering – Andre tjenester enn utlån</w:t>
            </w:r>
          </w:p>
        </w:tc>
        <w:tc>
          <w:tcPr>
            <w:tcW w:w="307" w:type="dxa"/>
            <w:tcBorders>
              <w:top w:val="single" w:sz="4" w:space="0" w:color="auto"/>
              <w:left w:val="single" w:sz="4" w:space="0" w:color="auto"/>
            </w:tcBorders>
            <w:vAlign w:val="center"/>
          </w:tcPr>
          <w:p w14:paraId="2586DFB7"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62" w:type="dxa"/>
            <w:tcBorders>
              <w:top w:val="single" w:sz="4" w:space="0" w:color="auto"/>
              <w:left w:val="single" w:sz="4" w:space="0" w:color="auto"/>
            </w:tcBorders>
            <w:vAlign w:val="center"/>
          </w:tcPr>
          <w:p w14:paraId="42412C19"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468" w:type="dxa"/>
            <w:tcBorders>
              <w:top w:val="single" w:sz="4" w:space="0" w:color="auto"/>
              <w:left w:val="single" w:sz="4" w:space="0" w:color="auto"/>
            </w:tcBorders>
            <w:vAlign w:val="center"/>
          </w:tcPr>
          <w:p w14:paraId="594592E6"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44" w:type="dxa"/>
            <w:tcBorders>
              <w:top w:val="single" w:sz="4" w:space="0" w:color="auto"/>
              <w:left w:val="single" w:sz="4" w:space="0" w:color="auto"/>
            </w:tcBorders>
            <w:vAlign w:val="center"/>
          </w:tcPr>
          <w:p w14:paraId="5D2156E6"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96" w:type="dxa"/>
            <w:tcBorders>
              <w:top w:val="single" w:sz="4" w:space="0" w:color="auto"/>
              <w:left w:val="single" w:sz="4" w:space="0" w:color="auto"/>
            </w:tcBorders>
            <w:vAlign w:val="center"/>
          </w:tcPr>
          <w:p w14:paraId="630F8B1F"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62" w:type="dxa"/>
            <w:tcBorders>
              <w:top w:val="single" w:sz="4" w:space="0" w:color="auto"/>
              <w:left w:val="single" w:sz="4" w:space="0" w:color="auto"/>
            </w:tcBorders>
            <w:vAlign w:val="center"/>
          </w:tcPr>
          <w:p w14:paraId="66590EBC"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405" w:type="dxa"/>
            <w:gridSpan w:val="2"/>
            <w:tcBorders>
              <w:top w:val="single" w:sz="4" w:space="0" w:color="auto"/>
              <w:left w:val="single" w:sz="4" w:space="0" w:color="auto"/>
            </w:tcBorders>
            <w:vAlign w:val="center"/>
          </w:tcPr>
          <w:p w14:paraId="01972069"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95" w:type="dxa"/>
            <w:gridSpan w:val="2"/>
            <w:tcBorders>
              <w:top w:val="single" w:sz="4" w:space="0" w:color="auto"/>
              <w:left w:val="single" w:sz="4" w:space="0" w:color="auto"/>
            </w:tcBorders>
            <w:vAlign w:val="center"/>
          </w:tcPr>
          <w:p w14:paraId="1DC31504"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62" w:type="dxa"/>
            <w:tcBorders>
              <w:top w:val="single" w:sz="4" w:space="0" w:color="auto"/>
              <w:left w:val="single" w:sz="4" w:space="0" w:color="auto"/>
            </w:tcBorders>
            <w:vAlign w:val="center"/>
          </w:tcPr>
          <w:p w14:paraId="600A0F1F"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468" w:type="dxa"/>
            <w:tcBorders>
              <w:top w:val="single" w:sz="4" w:space="0" w:color="auto"/>
              <w:left w:val="single" w:sz="4" w:space="0" w:color="auto"/>
            </w:tcBorders>
            <w:vAlign w:val="center"/>
          </w:tcPr>
          <w:p w14:paraId="7CF30757"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95" w:type="dxa"/>
            <w:tcBorders>
              <w:top w:val="single" w:sz="4" w:space="0" w:color="auto"/>
              <w:left w:val="single" w:sz="4" w:space="0" w:color="auto"/>
            </w:tcBorders>
            <w:vAlign w:val="center"/>
          </w:tcPr>
          <w:p w14:paraId="126D8C7E"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62" w:type="dxa"/>
            <w:tcBorders>
              <w:top w:val="single" w:sz="4" w:space="0" w:color="auto"/>
              <w:left w:val="single" w:sz="4" w:space="0" w:color="auto"/>
            </w:tcBorders>
            <w:vAlign w:val="center"/>
          </w:tcPr>
          <w:p w14:paraId="0FB3893B"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474" w:type="dxa"/>
            <w:tcBorders>
              <w:top w:val="single" w:sz="4" w:space="0" w:color="auto"/>
              <w:left w:val="single" w:sz="4" w:space="0" w:color="auto"/>
            </w:tcBorders>
            <w:vAlign w:val="center"/>
          </w:tcPr>
          <w:p w14:paraId="75A44C89"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95" w:type="dxa"/>
            <w:tcBorders>
              <w:top w:val="single" w:sz="4" w:space="0" w:color="auto"/>
              <w:left w:val="single" w:sz="4" w:space="0" w:color="auto"/>
            </w:tcBorders>
            <w:vAlign w:val="center"/>
          </w:tcPr>
          <w:p w14:paraId="3B191523"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62" w:type="dxa"/>
            <w:tcBorders>
              <w:top w:val="single" w:sz="4" w:space="0" w:color="auto"/>
              <w:left w:val="single" w:sz="4" w:space="0" w:color="auto"/>
            </w:tcBorders>
            <w:vAlign w:val="center"/>
          </w:tcPr>
          <w:p w14:paraId="4C4CB2CF"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474" w:type="dxa"/>
            <w:tcBorders>
              <w:top w:val="single" w:sz="4" w:space="0" w:color="auto"/>
              <w:left w:val="single" w:sz="4" w:space="0" w:color="auto"/>
            </w:tcBorders>
            <w:vAlign w:val="center"/>
          </w:tcPr>
          <w:p w14:paraId="357499E6"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95" w:type="dxa"/>
            <w:tcBorders>
              <w:top w:val="single" w:sz="4" w:space="0" w:color="auto"/>
              <w:left w:val="single" w:sz="4" w:space="0" w:color="auto"/>
            </w:tcBorders>
            <w:vAlign w:val="center"/>
          </w:tcPr>
          <w:p w14:paraId="5540D935"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62" w:type="dxa"/>
            <w:tcBorders>
              <w:top w:val="single" w:sz="4" w:space="0" w:color="auto"/>
              <w:left w:val="single" w:sz="4" w:space="0" w:color="auto"/>
            </w:tcBorders>
            <w:vAlign w:val="center"/>
          </w:tcPr>
          <w:p w14:paraId="33D99920"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468" w:type="dxa"/>
            <w:tcBorders>
              <w:top w:val="single" w:sz="4" w:space="0" w:color="auto"/>
              <w:left w:val="single" w:sz="4" w:space="0" w:color="auto"/>
            </w:tcBorders>
            <w:vAlign w:val="center"/>
          </w:tcPr>
          <w:p w14:paraId="3DD4366B"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99" w:type="dxa"/>
            <w:gridSpan w:val="2"/>
            <w:tcBorders>
              <w:top w:val="single" w:sz="4" w:space="0" w:color="auto"/>
              <w:left w:val="single" w:sz="4" w:space="0" w:color="auto"/>
            </w:tcBorders>
            <w:vAlign w:val="center"/>
          </w:tcPr>
          <w:p w14:paraId="11387FE4"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66" w:type="dxa"/>
            <w:gridSpan w:val="2"/>
            <w:tcBorders>
              <w:top w:val="single" w:sz="4" w:space="0" w:color="auto"/>
              <w:left w:val="single" w:sz="4" w:space="0" w:color="auto"/>
            </w:tcBorders>
            <w:vAlign w:val="center"/>
          </w:tcPr>
          <w:p w14:paraId="3F8EF936"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462" w:type="dxa"/>
            <w:tcBorders>
              <w:top w:val="single" w:sz="4" w:space="0" w:color="auto"/>
              <w:left w:val="single" w:sz="4" w:space="0" w:color="auto"/>
            </w:tcBorders>
            <w:vAlign w:val="center"/>
          </w:tcPr>
          <w:p w14:paraId="6AFB6CF9"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44" w:type="dxa"/>
            <w:tcBorders>
              <w:top w:val="single" w:sz="4" w:space="0" w:color="auto"/>
              <w:left w:val="single" w:sz="4" w:space="0" w:color="auto"/>
            </w:tcBorders>
            <w:vAlign w:val="center"/>
          </w:tcPr>
          <w:p w14:paraId="4A907CED"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658" w:type="dxa"/>
            <w:tcBorders>
              <w:top w:val="single" w:sz="4" w:space="0" w:color="auto"/>
              <w:left w:val="single" w:sz="4" w:space="0" w:color="auto"/>
              <w:right w:val="single" w:sz="4" w:space="0" w:color="auto"/>
            </w:tcBorders>
            <w:vAlign w:val="center"/>
          </w:tcPr>
          <w:p w14:paraId="24155C4D"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r>
      <w:tr w:rsidR="00A635E4" w:rsidRPr="00A635E4" w14:paraId="5586C029" w14:textId="77777777">
        <w:tc>
          <w:tcPr>
            <w:tcW w:w="132" w:type="dxa"/>
            <w:tcBorders>
              <w:top w:val="single" w:sz="4" w:space="0" w:color="auto"/>
              <w:left w:val="single" w:sz="4" w:space="0" w:color="auto"/>
            </w:tcBorders>
            <w:vAlign w:val="center"/>
          </w:tcPr>
          <w:p w14:paraId="4DDBA236"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2</w:t>
            </w:r>
          </w:p>
        </w:tc>
        <w:tc>
          <w:tcPr>
            <w:tcW w:w="2523" w:type="dxa"/>
            <w:tcBorders>
              <w:top w:val="single" w:sz="4" w:space="0" w:color="auto"/>
              <w:left w:val="single" w:sz="4" w:space="0" w:color="auto"/>
            </w:tcBorders>
            <w:vAlign w:val="center"/>
          </w:tcPr>
          <w:p w14:paraId="7DEAC861" w14:textId="77777777" w:rsidR="006561BA" w:rsidRPr="00A635E4" w:rsidRDefault="005B4ED6">
            <w:pPr>
              <w:widowControl w:val="0"/>
              <w:shd w:val="clear" w:color="auto" w:fill="auto"/>
              <w:spacing w:after="0" w:line="240" w:lineRule="auto"/>
              <w:ind w:left="120"/>
              <w:rPr>
                <w:rFonts w:ascii="Helvetica" w:eastAsia="Arial Unicode MS" w:hAnsi="Helvetica" w:cs="Times New Roman"/>
                <w:b/>
                <w:color w:val="auto"/>
                <w:sz w:val="6"/>
                <w:szCs w:val="6"/>
              </w:rPr>
            </w:pPr>
            <w:r w:rsidRPr="00A635E4">
              <w:rPr>
                <w:rFonts w:ascii="Helvetica" w:hAnsi="Helvetica"/>
                <w:b/>
                <w:color w:val="auto"/>
                <w:sz w:val="6"/>
              </w:rPr>
              <w:t>Tjenester mot finansforetak</w:t>
            </w:r>
          </w:p>
        </w:tc>
        <w:tc>
          <w:tcPr>
            <w:tcW w:w="307" w:type="dxa"/>
            <w:tcBorders>
              <w:top w:val="single" w:sz="4" w:space="0" w:color="auto"/>
              <w:left w:val="single" w:sz="4" w:space="0" w:color="auto"/>
            </w:tcBorders>
            <w:vAlign w:val="center"/>
          </w:tcPr>
          <w:p w14:paraId="33163E7B"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7767B74B"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8" w:type="dxa"/>
            <w:tcBorders>
              <w:top w:val="single" w:sz="4" w:space="0" w:color="auto"/>
              <w:left w:val="single" w:sz="4" w:space="0" w:color="auto"/>
            </w:tcBorders>
            <w:vAlign w:val="center"/>
          </w:tcPr>
          <w:p w14:paraId="60EFA471"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44" w:type="dxa"/>
            <w:tcBorders>
              <w:top w:val="single" w:sz="4" w:space="0" w:color="auto"/>
              <w:left w:val="single" w:sz="4" w:space="0" w:color="auto"/>
            </w:tcBorders>
            <w:vAlign w:val="center"/>
          </w:tcPr>
          <w:p w14:paraId="648467FA"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6" w:type="dxa"/>
            <w:tcBorders>
              <w:top w:val="single" w:sz="4" w:space="0" w:color="auto"/>
              <w:left w:val="single" w:sz="4" w:space="0" w:color="auto"/>
            </w:tcBorders>
            <w:vAlign w:val="center"/>
          </w:tcPr>
          <w:p w14:paraId="4695D55C"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7D2707B4"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05" w:type="dxa"/>
            <w:gridSpan w:val="2"/>
            <w:tcBorders>
              <w:top w:val="single" w:sz="4" w:space="0" w:color="auto"/>
              <w:left w:val="single" w:sz="4" w:space="0" w:color="auto"/>
            </w:tcBorders>
            <w:vAlign w:val="center"/>
          </w:tcPr>
          <w:p w14:paraId="5D5F8A10"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5" w:type="dxa"/>
            <w:gridSpan w:val="2"/>
            <w:tcBorders>
              <w:top w:val="single" w:sz="4" w:space="0" w:color="auto"/>
              <w:left w:val="single" w:sz="4" w:space="0" w:color="auto"/>
            </w:tcBorders>
            <w:vAlign w:val="center"/>
          </w:tcPr>
          <w:p w14:paraId="35406373"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0234123D"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8" w:type="dxa"/>
            <w:tcBorders>
              <w:top w:val="single" w:sz="4" w:space="0" w:color="auto"/>
              <w:left w:val="single" w:sz="4" w:space="0" w:color="auto"/>
            </w:tcBorders>
            <w:vAlign w:val="center"/>
          </w:tcPr>
          <w:p w14:paraId="22AC715F"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5" w:type="dxa"/>
            <w:tcBorders>
              <w:top w:val="single" w:sz="4" w:space="0" w:color="auto"/>
              <w:left w:val="single" w:sz="4" w:space="0" w:color="auto"/>
            </w:tcBorders>
            <w:vAlign w:val="center"/>
          </w:tcPr>
          <w:p w14:paraId="4C8620BB"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50A280E5"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74" w:type="dxa"/>
            <w:tcBorders>
              <w:top w:val="single" w:sz="4" w:space="0" w:color="auto"/>
              <w:left w:val="single" w:sz="4" w:space="0" w:color="auto"/>
            </w:tcBorders>
            <w:vAlign w:val="center"/>
          </w:tcPr>
          <w:p w14:paraId="0537BEAA"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5" w:type="dxa"/>
            <w:tcBorders>
              <w:top w:val="single" w:sz="4" w:space="0" w:color="auto"/>
              <w:left w:val="single" w:sz="4" w:space="0" w:color="auto"/>
            </w:tcBorders>
            <w:vAlign w:val="center"/>
          </w:tcPr>
          <w:p w14:paraId="469A41B2"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26D71D83"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74" w:type="dxa"/>
            <w:tcBorders>
              <w:top w:val="single" w:sz="4" w:space="0" w:color="auto"/>
              <w:left w:val="single" w:sz="4" w:space="0" w:color="auto"/>
            </w:tcBorders>
            <w:vAlign w:val="center"/>
          </w:tcPr>
          <w:p w14:paraId="2593E7E2"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5" w:type="dxa"/>
            <w:tcBorders>
              <w:top w:val="single" w:sz="4" w:space="0" w:color="auto"/>
              <w:left w:val="single" w:sz="4" w:space="0" w:color="auto"/>
            </w:tcBorders>
            <w:vAlign w:val="center"/>
          </w:tcPr>
          <w:p w14:paraId="363392E8"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7397A4E5"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8" w:type="dxa"/>
            <w:tcBorders>
              <w:top w:val="single" w:sz="4" w:space="0" w:color="auto"/>
              <w:left w:val="single" w:sz="4" w:space="0" w:color="auto"/>
            </w:tcBorders>
            <w:vAlign w:val="center"/>
          </w:tcPr>
          <w:p w14:paraId="1B9DE47F"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9" w:type="dxa"/>
            <w:gridSpan w:val="2"/>
            <w:tcBorders>
              <w:top w:val="single" w:sz="4" w:space="0" w:color="auto"/>
              <w:left w:val="single" w:sz="4" w:space="0" w:color="auto"/>
            </w:tcBorders>
            <w:vAlign w:val="center"/>
          </w:tcPr>
          <w:p w14:paraId="1353A6FE"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6" w:type="dxa"/>
            <w:gridSpan w:val="2"/>
            <w:tcBorders>
              <w:top w:val="single" w:sz="4" w:space="0" w:color="auto"/>
              <w:left w:val="single" w:sz="4" w:space="0" w:color="auto"/>
            </w:tcBorders>
            <w:vAlign w:val="center"/>
          </w:tcPr>
          <w:p w14:paraId="0B3A235C"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2" w:type="dxa"/>
            <w:tcBorders>
              <w:top w:val="single" w:sz="4" w:space="0" w:color="auto"/>
              <w:left w:val="single" w:sz="4" w:space="0" w:color="auto"/>
            </w:tcBorders>
            <w:vAlign w:val="center"/>
          </w:tcPr>
          <w:p w14:paraId="506B4608"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44" w:type="dxa"/>
            <w:tcBorders>
              <w:top w:val="single" w:sz="4" w:space="0" w:color="auto"/>
              <w:left w:val="single" w:sz="4" w:space="0" w:color="auto"/>
            </w:tcBorders>
            <w:vAlign w:val="center"/>
          </w:tcPr>
          <w:p w14:paraId="3E6A70EE"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658" w:type="dxa"/>
            <w:tcBorders>
              <w:top w:val="single" w:sz="4" w:space="0" w:color="auto"/>
              <w:left w:val="single" w:sz="4" w:space="0" w:color="auto"/>
              <w:right w:val="single" w:sz="4" w:space="0" w:color="auto"/>
            </w:tcBorders>
            <w:vAlign w:val="center"/>
          </w:tcPr>
          <w:p w14:paraId="147B3401"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r>
      <w:tr w:rsidR="00A635E4" w:rsidRPr="00A635E4" w14:paraId="6879A6BF" w14:textId="77777777">
        <w:tc>
          <w:tcPr>
            <w:tcW w:w="132" w:type="dxa"/>
            <w:tcBorders>
              <w:top w:val="single" w:sz="4" w:space="0" w:color="auto"/>
              <w:left w:val="single" w:sz="4" w:space="0" w:color="auto"/>
            </w:tcBorders>
            <w:vAlign w:val="center"/>
          </w:tcPr>
          <w:p w14:paraId="2D86CEC5"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3</w:t>
            </w:r>
          </w:p>
        </w:tc>
        <w:tc>
          <w:tcPr>
            <w:tcW w:w="2523" w:type="dxa"/>
            <w:tcBorders>
              <w:top w:val="single" w:sz="4" w:space="0" w:color="auto"/>
              <w:left w:val="single" w:sz="4" w:space="0" w:color="auto"/>
            </w:tcBorders>
            <w:vAlign w:val="center"/>
          </w:tcPr>
          <w:p w14:paraId="27B7284B" w14:textId="77777777" w:rsidR="006561BA" w:rsidRPr="00A635E4" w:rsidRDefault="005B4ED6">
            <w:pPr>
              <w:widowControl w:val="0"/>
              <w:shd w:val="clear" w:color="auto" w:fill="auto"/>
              <w:spacing w:after="0" w:line="240" w:lineRule="auto"/>
              <w:ind w:left="160"/>
              <w:rPr>
                <w:rFonts w:ascii="Helvetica" w:eastAsia="Arial Unicode MS" w:hAnsi="Helvetica" w:cs="Times New Roman"/>
                <w:color w:val="auto"/>
                <w:sz w:val="6"/>
                <w:szCs w:val="6"/>
              </w:rPr>
            </w:pPr>
            <w:r w:rsidRPr="00A635E4">
              <w:rPr>
                <w:rFonts w:ascii="Helvetica" w:hAnsi="Helvetica"/>
                <w:color w:val="auto"/>
                <w:sz w:val="6"/>
              </w:rPr>
              <w:t>Kredittinstitusjoner</w:t>
            </w:r>
          </w:p>
        </w:tc>
        <w:tc>
          <w:tcPr>
            <w:tcW w:w="307" w:type="dxa"/>
            <w:tcBorders>
              <w:top w:val="single" w:sz="4" w:space="0" w:color="auto"/>
              <w:left w:val="single" w:sz="4" w:space="0" w:color="auto"/>
            </w:tcBorders>
            <w:vAlign w:val="center"/>
          </w:tcPr>
          <w:p w14:paraId="38919F16"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4590E0AA"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8" w:type="dxa"/>
            <w:tcBorders>
              <w:top w:val="single" w:sz="4" w:space="0" w:color="auto"/>
              <w:left w:val="single" w:sz="4" w:space="0" w:color="auto"/>
            </w:tcBorders>
            <w:vAlign w:val="center"/>
          </w:tcPr>
          <w:p w14:paraId="6207B325"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44" w:type="dxa"/>
            <w:tcBorders>
              <w:top w:val="single" w:sz="4" w:space="0" w:color="auto"/>
              <w:left w:val="single" w:sz="4" w:space="0" w:color="auto"/>
            </w:tcBorders>
            <w:vAlign w:val="center"/>
          </w:tcPr>
          <w:p w14:paraId="5C708707"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6" w:type="dxa"/>
            <w:tcBorders>
              <w:top w:val="single" w:sz="4" w:space="0" w:color="auto"/>
              <w:left w:val="single" w:sz="4" w:space="0" w:color="auto"/>
            </w:tcBorders>
            <w:vAlign w:val="center"/>
          </w:tcPr>
          <w:p w14:paraId="63F909A8"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63F4645F"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05" w:type="dxa"/>
            <w:gridSpan w:val="2"/>
            <w:tcBorders>
              <w:top w:val="single" w:sz="4" w:space="0" w:color="auto"/>
              <w:left w:val="single" w:sz="4" w:space="0" w:color="auto"/>
            </w:tcBorders>
            <w:vAlign w:val="center"/>
          </w:tcPr>
          <w:p w14:paraId="31BB7165"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5" w:type="dxa"/>
            <w:gridSpan w:val="2"/>
            <w:tcBorders>
              <w:top w:val="single" w:sz="4" w:space="0" w:color="auto"/>
              <w:left w:val="single" w:sz="4" w:space="0" w:color="auto"/>
            </w:tcBorders>
            <w:vAlign w:val="center"/>
          </w:tcPr>
          <w:p w14:paraId="7EFA0435"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58806142"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8" w:type="dxa"/>
            <w:tcBorders>
              <w:top w:val="single" w:sz="4" w:space="0" w:color="auto"/>
              <w:left w:val="single" w:sz="4" w:space="0" w:color="auto"/>
            </w:tcBorders>
            <w:vAlign w:val="center"/>
          </w:tcPr>
          <w:p w14:paraId="5020127E"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5" w:type="dxa"/>
            <w:tcBorders>
              <w:top w:val="single" w:sz="4" w:space="0" w:color="auto"/>
              <w:left w:val="single" w:sz="4" w:space="0" w:color="auto"/>
            </w:tcBorders>
            <w:vAlign w:val="center"/>
          </w:tcPr>
          <w:p w14:paraId="79724CBA"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30F67D6C"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74" w:type="dxa"/>
            <w:tcBorders>
              <w:top w:val="single" w:sz="4" w:space="0" w:color="auto"/>
              <w:left w:val="single" w:sz="4" w:space="0" w:color="auto"/>
            </w:tcBorders>
            <w:vAlign w:val="center"/>
          </w:tcPr>
          <w:p w14:paraId="7B3669D4"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5" w:type="dxa"/>
            <w:tcBorders>
              <w:top w:val="single" w:sz="4" w:space="0" w:color="auto"/>
              <w:left w:val="single" w:sz="4" w:space="0" w:color="auto"/>
            </w:tcBorders>
            <w:vAlign w:val="center"/>
          </w:tcPr>
          <w:p w14:paraId="7186E2CC"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5EB7A4D1"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74" w:type="dxa"/>
            <w:tcBorders>
              <w:top w:val="single" w:sz="4" w:space="0" w:color="auto"/>
              <w:left w:val="single" w:sz="4" w:space="0" w:color="auto"/>
            </w:tcBorders>
            <w:vAlign w:val="center"/>
          </w:tcPr>
          <w:p w14:paraId="463AD7BE"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5" w:type="dxa"/>
            <w:tcBorders>
              <w:top w:val="single" w:sz="4" w:space="0" w:color="auto"/>
              <w:left w:val="single" w:sz="4" w:space="0" w:color="auto"/>
            </w:tcBorders>
            <w:vAlign w:val="center"/>
          </w:tcPr>
          <w:p w14:paraId="5A736A7D"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18C92EC8"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8" w:type="dxa"/>
            <w:tcBorders>
              <w:top w:val="single" w:sz="4" w:space="0" w:color="auto"/>
              <w:left w:val="single" w:sz="4" w:space="0" w:color="auto"/>
            </w:tcBorders>
            <w:vAlign w:val="center"/>
          </w:tcPr>
          <w:p w14:paraId="79145B4F"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9" w:type="dxa"/>
            <w:gridSpan w:val="2"/>
            <w:tcBorders>
              <w:top w:val="single" w:sz="4" w:space="0" w:color="auto"/>
              <w:left w:val="single" w:sz="4" w:space="0" w:color="auto"/>
            </w:tcBorders>
            <w:vAlign w:val="center"/>
          </w:tcPr>
          <w:p w14:paraId="1CFFEFCB"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6" w:type="dxa"/>
            <w:gridSpan w:val="2"/>
            <w:tcBorders>
              <w:top w:val="single" w:sz="4" w:space="0" w:color="auto"/>
              <w:left w:val="single" w:sz="4" w:space="0" w:color="auto"/>
            </w:tcBorders>
            <w:vAlign w:val="center"/>
          </w:tcPr>
          <w:p w14:paraId="219F0F99"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2" w:type="dxa"/>
            <w:tcBorders>
              <w:top w:val="single" w:sz="4" w:space="0" w:color="auto"/>
              <w:left w:val="single" w:sz="4" w:space="0" w:color="auto"/>
            </w:tcBorders>
            <w:vAlign w:val="center"/>
          </w:tcPr>
          <w:p w14:paraId="6E2613AE"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44" w:type="dxa"/>
            <w:tcBorders>
              <w:top w:val="single" w:sz="4" w:space="0" w:color="auto"/>
              <w:left w:val="single" w:sz="4" w:space="0" w:color="auto"/>
            </w:tcBorders>
            <w:vAlign w:val="center"/>
          </w:tcPr>
          <w:p w14:paraId="45CDF5C5"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658" w:type="dxa"/>
            <w:tcBorders>
              <w:top w:val="single" w:sz="4" w:space="0" w:color="auto"/>
              <w:left w:val="single" w:sz="4" w:space="0" w:color="auto"/>
              <w:right w:val="single" w:sz="4" w:space="0" w:color="auto"/>
            </w:tcBorders>
            <w:vAlign w:val="center"/>
          </w:tcPr>
          <w:p w14:paraId="095A4E47"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r>
      <w:tr w:rsidR="00A635E4" w:rsidRPr="00A635E4" w14:paraId="400AFD84" w14:textId="77777777">
        <w:tc>
          <w:tcPr>
            <w:tcW w:w="132" w:type="dxa"/>
            <w:tcBorders>
              <w:top w:val="single" w:sz="4" w:space="0" w:color="auto"/>
              <w:left w:val="single" w:sz="4" w:space="0" w:color="auto"/>
            </w:tcBorders>
            <w:vAlign w:val="center"/>
          </w:tcPr>
          <w:p w14:paraId="1DFEECFE"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4</w:t>
            </w:r>
          </w:p>
        </w:tc>
        <w:tc>
          <w:tcPr>
            <w:tcW w:w="2523" w:type="dxa"/>
            <w:tcBorders>
              <w:top w:val="single" w:sz="4" w:space="0" w:color="auto"/>
              <w:left w:val="single" w:sz="4" w:space="0" w:color="auto"/>
            </w:tcBorders>
            <w:vAlign w:val="center"/>
          </w:tcPr>
          <w:p w14:paraId="57D68C90" w14:textId="77777777" w:rsidR="006561BA" w:rsidRPr="00A635E4" w:rsidRDefault="005B4ED6">
            <w:pPr>
              <w:widowControl w:val="0"/>
              <w:shd w:val="clear" w:color="auto" w:fill="auto"/>
              <w:spacing w:after="0" w:line="240" w:lineRule="auto"/>
              <w:ind w:left="160"/>
              <w:rPr>
                <w:rFonts w:ascii="Helvetica" w:eastAsia="Arial Unicode MS" w:hAnsi="Helvetica" w:cs="Times New Roman"/>
                <w:color w:val="auto"/>
                <w:sz w:val="6"/>
                <w:szCs w:val="6"/>
              </w:rPr>
            </w:pPr>
            <w:r w:rsidRPr="00A635E4">
              <w:rPr>
                <w:rFonts w:ascii="Helvetica" w:hAnsi="Helvetica"/>
                <w:color w:val="auto"/>
                <w:sz w:val="6"/>
              </w:rPr>
              <w:t>Andre finansforetak</w:t>
            </w:r>
          </w:p>
        </w:tc>
        <w:tc>
          <w:tcPr>
            <w:tcW w:w="307" w:type="dxa"/>
            <w:tcBorders>
              <w:top w:val="single" w:sz="4" w:space="0" w:color="auto"/>
              <w:left w:val="single" w:sz="4" w:space="0" w:color="auto"/>
            </w:tcBorders>
            <w:vAlign w:val="center"/>
          </w:tcPr>
          <w:p w14:paraId="5CDB444E"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62D855ED"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8" w:type="dxa"/>
            <w:tcBorders>
              <w:top w:val="single" w:sz="4" w:space="0" w:color="auto"/>
              <w:left w:val="single" w:sz="4" w:space="0" w:color="auto"/>
            </w:tcBorders>
            <w:vAlign w:val="center"/>
          </w:tcPr>
          <w:p w14:paraId="20654D07"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44" w:type="dxa"/>
            <w:tcBorders>
              <w:top w:val="single" w:sz="4" w:space="0" w:color="auto"/>
              <w:left w:val="single" w:sz="4" w:space="0" w:color="auto"/>
            </w:tcBorders>
            <w:vAlign w:val="center"/>
          </w:tcPr>
          <w:p w14:paraId="6948B68B"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6" w:type="dxa"/>
            <w:tcBorders>
              <w:top w:val="single" w:sz="4" w:space="0" w:color="auto"/>
              <w:left w:val="single" w:sz="4" w:space="0" w:color="auto"/>
            </w:tcBorders>
            <w:vAlign w:val="center"/>
          </w:tcPr>
          <w:p w14:paraId="258FEAC2"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1D2DDC69"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05" w:type="dxa"/>
            <w:gridSpan w:val="2"/>
            <w:tcBorders>
              <w:top w:val="single" w:sz="4" w:space="0" w:color="auto"/>
              <w:left w:val="single" w:sz="4" w:space="0" w:color="auto"/>
            </w:tcBorders>
            <w:vAlign w:val="center"/>
          </w:tcPr>
          <w:p w14:paraId="036D6A03"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5" w:type="dxa"/>
            <w:gridSpan w:val="2"/>
            <w:tcBorders>
              <w:top w:val="single" w:sz="4" w:space="0" w:color="auto"/>
              <w:left w:val="single" w:sz="4" w:space="0" w:color="auto"/>
            </w:tcBorders>
            <w:vAlign w:val="center"/>
          </w:tcPr>
          <w:p w14:paraId="17889B9B"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6EC64AB8"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8" w:type="dxa"/>
            <w:tcBorders>
              <w:top w:val="single" w:sz="4" w:space="0" w:color="auto"/>
              <w:left w:val="single" w:sz="4" w:space="0" w:color="auto"/>
            </w:tcBorders>
            <w:vAlign w:val="center"/>
          </w:tcPr>
          <w:p w14:paraId="482D64A3"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5" w:type="dxa"/>
            <w:tcBorders>
              <w:top w:val="single" w:sz="4" w:space="0" w:color="auto"/>
              <w:left w:val="single" w:sz="4" w:space="0" w:color="auto"/>
            </w:tcBorders>
            <w:vAlign w:val="center"/>
          </w:tcPr>
          <w:p w14:paraId="107A9B5B"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4AA6B93D"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74" w:type="dxa"/>
            <w:tcBorders>
              <w:top w:val="single" w:sz="4" w:space="0" w:color="auto"/>
              <w:left w:val="single" w:sz="4" w:space="0" w:color="auto"/>
            </w:tcBorders>
            <w:vAlign w:val="center"/>
          </w:tcPr>
          <w:p w14:paraId="791D486D"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5" w:type="dxa"/>
            <w:tcBorders>
              <w:top w:val="single" w:sz="4" w:space="0" w:color="auto"/>
              <w:left w:val="single" w:sz="4" w:space="0" w:color="auto"/>
            </w:tcBorders>
            <w:vAlign w:val="center"/>
          </w:tcPr>
          <w:p w14:paraId="737073AF"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3C12E49B"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74" w:type="dxa"/>
            <w:tcBorders>
              <w:top w:val="single" w:sz="4" w:space="0" w:color="auto"/>
              <w:left w:val="single" w:sz="4" w:space="0" w:color="auto"/>
            </w:tcBorders>
            <w:vAlign w:val="center"/>
          </w:tcPr>
          <w:p w14:paraId="3BD8D4AB"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5" w:type="dxa"/>
            <w:tcBorders>
              <w:top w:val="single" w:sz="4" w:space="0" w:color="auto"/>
              <w:left w:val="single" w:sz="4" w:space="0" w:color="auto"/>
            </w:tcBorders>
            <w:vAlign w:val="center"/>
          </w:tcPr>
          <w:p w14:paraId="08636D1B"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695D5523"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8" w:type="dxa"/>
            <w:tcBorders>
              <w:top w:val="single" w:sz="4" w:space="0" w:color="auto"/>
              <w:left w:val="single" w:sz="4" w:space="0" w:color="auto"/>
            </w:tcBorders>
            <w:vAlign w:val="center"/>
          </w:tcPr>
          <w:p w14:paraId="3C97FFA0"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9" w:type="dxa"/>
            <w:gridSpan w:val="2"/>
            <w:tcBorders>
              <w:top w:val="single" w:sz="4" w:space="0" w:color="auto"/>
              <w:left w:val="single" w:sz="4" w:space="0" w:color="auto"/>
            </w:tcBorders>
            <w:vAlign w:val="center"/>
          </w:tcPr>
          <w:p w14:paraId="2E3663C9"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6" w:type="dxa"/>
            <w:gridSpan w:val="2"/>
            <w:tcBorders>
              <w:top w:val="single" w:sz="4" w:space="0" w:color="auto"/>
              <w:left w:val="single" w:sz="4" w:space="0" w:color="auto"/>
            </w:tcBorders>
            <w:vAlign w:val="center"/>
          </w:tcPr>
          <w:p w14:paraId="779ED482"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2" w:type="dxa"/>
            <w:tcBorders>
              <w:top w:val="single" w:sz="4" w:space="0" w:color="auto"/>
              <w:left w:val="single" w:sz="4" w:space="0" w:color="auto"/>
            </w:tcBorders>
            <w:vAlign w:val="center"/>
          </w:tcPr>
          <w:p w14:paraId="234B6BCD"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44" w:type="dxa"/>
            <w:tcBorders>
              <w:top w:val="single" w:sz="4" w:space="0" w:color="auto"/>
              <w:left w:val="single" w:sz="4" w:space="0" w:color="auto"/>
            </w:tcBorders>
            <w:vAlign w:val="center"/>
          </w:tcPr>
          <w:p w14:paraId="1F735298"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658" w:type="dxa"/>
            <w:tcBorders>
              <w:top w:val="single" w:sz="4" w:space="0" w:color="auto"/>
              <w:left w:val="single" w:sz="4" w:space="0" w:color="auto"/>
              <w:right w:val="single" w:sz="4" w:space="0" w:color="auto"/>
            </w:tcBorders>
            <w:vAlign w:val="center"/>
          </w:tcPr>
          <w:p w14:paraId="263450C3"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r>
      <w:tr w:rsidR="00A635E4" w:rsidRPr="00A635E4" w14:paraId="40354E61" w14:textId="77777777">
        <w:tc>
          <w:tcPr>
            <w:tcW w:w="132" w:type="dxa"/>
            <w:tcBorders>
              <w:top w:val="single" w:sz="4" w:space="0" w:color="auto"/>
              <w:left w:val="single" w:sz="4" w:space="0" w:color="auto"/>
            </w:tcBorders>
            <w:vAlign w:val="center"/>
          </w:tcPr>
          <w:p w14:paraId="00AC7F08"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5</w:t>
            </w:r>
          </w:p>
        </w:tc>
        <w:tc>
          <w:tcPr>
            <w:tcW w:w="2523" w:type="dxa"/>
            <w:tcBorders>
              <w:top w:val="single" w:sz="4" w:space="0" w:color="auto"/>
              <w:left w:val="single" w:sz="4" w:space="0" w:color="auto"/>
            </w:tcBorders>
            <w:vAlign w:val="center"/>
          </w:tcPr>
          <w:p w14:paraId="749213B8" w14:textId="77777777" w:rsidR="006561BA" w:rsidRPr="00A635E4" w:rsidRDefault="005B4ED6">
            <w:pPr>
              <w:widowControl w:val="0"/>
              <w:shd w:val="clear" w:color="auto" w:fill="auto"/>
              <w:spacing w:after="0" w:line="240" w:lineRule="auto"/>
              <w:ind w:left="200"/>
              <w:rPr>
                <w:rFonts w:ascii="Helvetica" w:eastAsia="Arial Unicode MS" w:hAnsi="Helvetica" w:cs="Times New Roman"/>
                <w:color w:val="auto"/>
                <w:sz w:val="6"/>
                <w:szCs w:val="6"/>
              </w:rPr>
            </w:pPr>
            <w:r w:rsidRPr="00A635E4">
              <w:rPr>
                <w:rFonts w:ascii="Helvetica" w:hAnsi="Helvetica"/>
                <w:color w:val="auto"/>
                <w:sz w:val="6"/>
              </w:rPr>
              <w:t>hvorav verdipapirforetak</w:t>
            </w:r>
          </w:p>
        </w:tc>
        <w:tc>
          <w:tcPr>
            <w:tcW w:w="307" w:type="dxa"/>
            <w:tcBorders>
              <w:top w:val="single" w:sz="4" w:space="0" w:color="auto"/>
              <w:left w:val="single" w:sz="4" w:space="0" w:color="auto"/>
            </w:tcBorders>
            <w:vAlign w:val="center"/>
          </w:tcPr>
          <w:p w14:paraId="230B746E"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097E6546"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8" w:type="dxa"/>
            <w:tcBorders>
              <w:top w:val="single" w:sz="4" w:space="0" w:color="auto"/>
              <w:left w:val="single" w:sz="4" w:space="0" w:color="auto"/>
            </w:tcBorders>
            <w:vAlign w:val="center"/>
          </w:tcPr>
          <w:p w14:paraId="50FFE294"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44" w:type="dxa"/>
            <w:tcBorders>
              <w:top w:val="single" w:sz="4" w:space="0" w:color="auto"/>
              <w:left w:val="single" w:sz="4" w:space="0" w:color="auto"/>
            </w:tcBorders>
            <w:vAlign w:val="center"/>
          </w:tcPr>
          <w:p w14:paraId="03A431CB"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6" w:type="dxa"/>
            <w:tcBorders>
              <w:top w:val="single" w:sz="4" w:space="0" w:color="auto"/>
              <w:left w:val="single" w:sz="4" w:space="0" w:color="auto"/>
            </w:tcBorders>
            <w:vAlign w:val="center"/>
          </w:tcPr>
          <w:p w14:paraId="4D16ED0C"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0390B6F6"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05" w:type="dxa"/>
            <w:gridSpan w:val="2"/>
            <w:tcBorders>
              <w:top w:val="single" w:sz="4" w:space="0" w:color="auto"/>
              <w:left w:val="single" w:sz="4" w:space="0" w:color="auto"/>
            </w:tcBorders>
            <w:vAlign w:val="center"/>
          </w:tcPr>
          <w:p w14:paraId="61C7A76C"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5" w:type="dxa"/>
            <w:gridSpan w:val="2"/>
            <w:tcBorders>
              <w:top w:val="single" w:sz="4" w:space="0" w:color="auto"/>
              <w:left w:val="single" w:sz="4" w:space="0" w:color="auto"/>
            </w:tcBorders>
            <w:vAlign w:val="center"/>
          </w:tcPr>
          <w:p w14:paraId="436ED2F2"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0D9F594C"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8" w:type="dxa"/>
            <w:tcBorders>
              <w:top w:val="single" w:sz="4" w:space="0" w:color="auto"/>
              <w:left w:val="single" w:sz="4" w:space="0" w:color="auto"/>
            </w:tcBorders>
            <w:vAlign w:val="center"/>
          </w:tcPr>
          <w:p w14:paraId="353161BF"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5" w:type="dxa"/>
            <w:tcBorders>
              <w:top w:val="single" w:sz="4" w:space="0" w:color="auto"/>
              <w:left w:val="single" w:sz="4" w:space="0" w:color="auto"/>
            </w:tcBorders>
            <w:vAlign w:val="center"/>
          </w:tcPr>
          <w:p w14:paraId="427FAB83"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36E3933D"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74" w:type="dxa"/>
            <w:tcBorders>
              <w:top w:val="single" w:sz="4" w:space="0" w:color="auto"/>
              <w:left w:val="single" w:sz="4" w:space="0" w:color="auto"/>
            </w:tcBorders>
            <w:vAlign w:val="center"/>
          </w:tcPr>
          <w:p w14:paraId="53944C0C"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5" w:type="dxa"/>
            <w:tcBorders>
              <w:top w:val="single" w:sz="4" w:space="0" w:color="auto"/>
              <w:left w:val="single" w:sz="4" w:space="0" w:color="auto"/>
            </w:tcBorders>
            <w:vAlign w:val="center"/>
          </w:tcPr>
          <w:p w14:paraId="7B364DBC"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6D511C48"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74" w:type="dxa"/>
            <w:tcBorders>
              <w:top w:val="single" w:sz="4" w:space="0" w:color="auto"/>
              <w:left w:val="single" w:sz="4" w:space="0" w:color="auto"/>
            </w:tcBorders>
            <w:vAlign w:val="center"/>
          </w:tcPr>
          <w:p w14:paraId="5BB6E114"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5" w:type="dxa"/>
            <w:tcBorders>
              <w:top w:val="single" w:sz="4" w:space="0" w:color="auto"/>
              <w:left w:val="single" w:sz="4" w:space="0" w:color="auto"/>
            </w:tcBorders>
            <w:vAlign w:val="center"/>
          </w:tcPr>
          <w:p w14:paraId="11E59DE6"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30E74E08"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8" w:type="dxa"/>
            <w:tcBorders>
              <w:top w:val="single" w:sz="4" w:space="0" w:color="auto"/>
              <w:left w:val="single" w:sz="4" w:space="0" w:color="auto"/>
            </w:tcBorders>
            <w:vAlign w:val="center"/>
          </w:tcPr>
          <w:p w14:paraId="34A95BB4"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9" w:type="dxa"/>
            <w:gridSpan w:val="2"/>
            <w:tcBorders>
              <w:top w:val="single" w:sz="4" w:space="0" w:color="auto"/>
              <w:left w:val="single" w:sz="4" w:space="0" w:color="auto"/>
            </w:tcBorders>
            <w:vAlign w:val="center"/>
          </w:tcPr>
          <w:p w14:paraId="602FD737"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6" w:type="dxa"/>
            <w:gridSpan w:val="2"/>
            <w:tcBorders>
              <w:top w:val="single" w:sz="4" w:space="0" w:color="auto"/>
              <w:left w:val="single" w:sz="4" w:space="0" w:color="auto"/>
            </w:tcBorders>
            <w:vAlign w:val="center"/>
          </w:tcPr>
          <w:p w14:paraId="2660361E"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2" w:type="dxa"/>
            <w:tcBorders>
              <w:top w:val="single" w:sz="4" w:space="0" w:color="auto"/>
              <w:left w:val="single" w:sz="4" w:space="0" w:color="auto"/>
            </w:tcBorders>
            <w:vAlign w:val="center"/>
          </w:tcPr>
          <w:p w14:paraId="5408EE45"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44" w:type="dxa"/>
            <w:tcBorders>
              <w:top w:val="single" w:sz="4" w:space="0" w:color="auto"/>
              <w:left w:val="single" w:sz="4" w:space="0" w:color="auto"/>
            </w:tcBorders>
            <w:vAlign w:val="center"/>
          </w:tcPr>
          <w:p w14:paraId="75A9B0F1"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658" w:type="dxa"/>
            <w:tcBorders>
              <w:top w:val="single" w:sz="4" w:space="0" w:color="auto"/>
              <w:left w:val="single" w:sz="4" w:space="0" w:color="auto"/>
              <w:right w:val="single" w:sz="4" w:space="0" w:color="auto"/>
            </w:tcBorders>
            <w:vAlign w:val="center"/>
          </w:tcPr>
          <w:p w14:paraId="09F612A1"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r>
      <w:tr w:rsidR="00A635E4" w:rsidRPr="00A635E4" w14:paraId="69070BDD" w14:textId="77777777">
        <w:tc>
          <w:tcPr>
            <w:tcW w:w="132" w:type="dxa"/>
            <w:tcBorders>
              <w:top w:val="single" w:sz="4" w:space="0" w:color="auto"/>
              <w:left w:val="single" w:sz="4" w:space="0" w:color="auto"/>
            </w:tcBorders>
            <w:vAlign w:val="center"/>
          </w:tcPr>
          <w:p w14:paraId="580CB94D"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6</w:t>
            </w:r>
          </w:p>
        </w:tc>
        <w:tc>
          <w:tcPr>
            <w:tcW w:w="2523" w:type="dxa"/>
            <w:tcBorders>
              <w:top w:val="single" w:sz="4" w:space="0" w:color="auto"/>
              <w:left w:val="single" w:sz="4" w:space="0" w:color="auto"/>
            </w:tcBorders>
            <w:vAlign w:val="center"/>
          </w:tcPr>
          <w:p w14:paraId="7B2DA58C" w14:textId="77777777" w:rsidR="006561BA" w:rsidRPr="00A635E4" w:rsidRDefault="005B4ED6">
            <w:pPr>
              <w:widowControl w:val="0"/>
              <w:shd w:val="clear" w:color="auto" w:fill="auto"/>
              <w:spacing w:after="0" w:line="240" w:lineRule="auto"/>
              <w:ind w:left="200"/>
              <w:rPr>
                <w:rFonts w:ascii="Helvetica" w:eastAsia="Arial Unicode MS" w:hAnsi="Helvetica" w:cs="Times New Roman"/>
                <w:color w:val="auto"/>
                <w:sz w:val="6"/>
                <w:szCs w:val="6"/>
              </w:rPr>
            </w:pPr>
            <w:r w:rsidRPr="00A635E4">
              <w:rPr>
                <w:rFonts w:ascii="Helvetica" w:hAnsi="Helvetica"/>
                <w:color w:val="auto"/>
                <w:sz w:val="6"/>
              </w:rPr>
              <w:t>hvorav forvaltningsselskaper</w:t>
            </w:r>
          </w:p>
        </w:tc>
        <w:tc>
          <w:tcPr>
            <w:tcW w:w="307" w:type="dxa"/>
            <w:tcBorders>
              <w:top w:val="single" w:sz="4" w:space="0" w:color="auto"/>
              <w:left w:val="single" w:sz="4" w:space="0" w:color="auto"/>
            </w:tcBorders>
            <w:vAlign w:val="center"/>
          </w:tcPr>
          <w:p w14:paraId="2134DF40"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0465699A"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8" w:type="dxa"/>
            <w:tcBorders>
              <w:top w:val="single" w:sz="4" w:space="0" w:color="auto"/>
              <w:left w:val="single" w:sz="4" w:space="0" w:color="auto"/>
            </w:tcBorders>
            <w:vAlign w:val="center"/>
          </w:tcPr>
          <w:p w14:paraId="4190FA22"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44" w:type="dxa"/>
            <w:tcBorders>
              <w:top w:val="single" w:sz="4" w:space="0" w:color="auto"/>
              <w:left w:val="single" w:sz="4" w:space="0" w:color="auto"/>
            </w:tcBorders>
            <w:vAlign w:val="center"/>
          </w:tcPr>
          <w:p w14:paraId="71D8C53D"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6" w:type="dxa"/>
            <w:tcBorders>
              <w:top w:val="single" w:sz="4" w:space="0" w:color="auto"/>
              <w:left w:val="single" w:sz="4" w:space="0" w:color="auto"/>
            </w:tcBorders>
            <w:vAlign w:val="center"/>
          </w:tcPr>
          <w:p w14:paraId="24139BAA"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1F478ED1"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05" w:type="dxa"/>
            <w:gridSpan w:val="2"/>
            <w:tcBorders>
              <w:top w:val="single" w:sz="4" w:space="0" w:color="auto"/>
              <w:left w:val="single" w:sz="4" w:space="0" w:color="auto"/>
            </w:tcBorders>
            <w:vAlign w:val="center"/>
          </w:tcPr>
          <w:p w14:paraId="173EBB66"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5" w:type="dxa"/>
            <w:gridSpan w:val="2"/>
            <w:tcBorders>
              <w:top w:val="single" w:sz="4" w:space="0" w:color="auto"/>
              <w:left w:val="single" w:sz="4" w:space="0" w:color="auto"/>
            </w:tcBorders>
            <w:vAlign w:val="center"/>
          </w:tcPr>
          <w:p w14:paraId="5CA7F8DE"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33033B0F"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8" w:type="dxa"/>
            <w:tcBorders>
              <w:top w:val="single" w:sz="4" w:space="0" w:color="auto"/>
              <w:left w:val="single" w:sz="4" w:space="0" w:color="auto"/>
            </w:tcBorders>
            <w:vAlign w:val="center"/>
          </w:tcPr>
          <w:p w14:paraId="1DFD8332"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5" w:type="dxa"/>
            <w:tcBorders>
              <w:top w:val="single" w:sz="4" w:space="0" w:color="auto"/>
              <w:left w:val="single" w:sz="4" w:space="0" w:color="auto"/>
            </w:tcBorders>
            <w:vAlign w:val="center"/>
          </w:tcPr>
          <w:p w14:paraId="219ED95A"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66051069"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74" w:type="dxa"/>
            <w:tcBorders>
              <w:top w:val="single" w:sz="4" w:space="0" w:color="auto"/>
              <w:left w:val="single" w:sz="4" w:space="0" w:color="auto"/>
            </w:tcBorders>
            <w:vAlign w:val="center"/>
          </w:tcPr>
          <w:p w14:paraId="6B536741"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5" w:type="dxa"/>
            <w:tcBorders>
              <w:top w:val="single" w:sz="4" w:space="0" w:color="auto"/>
              <w:left w:val="single" w:sz="4" w:space="0" w:color="auto"/>
            </w:tcBorders>
            <w:vAlign w:val="center"/>
          </w:tcPr>
          <w:p w14:paraId="79AD2404"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024BB3F4"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74" w:type="dxa"/>
            <w:tcBorders>
              <w:top w:val="single" w:sz="4" w:space="0" w:color="auto"/>
              <w:left w:val="single" w:sz="4" w:space="0" w:color="auto"/>
            </w:tcBorders>
            <w:vAlign w:val="center"/>
          </w:tcPr>
          <w:p w14:paraId="2D434CEB"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5" w:type="dxa"/>
            <w:tcBorders>
              <w:top w:val="single" w:sz="4" w:space="0" w:color="auto"/>
              <w:left w:val="single" w:sz="4" w:space="0" w:color="auto"/>
            </w:tcBorders>
            <w:vAlign w:val="center"/>
          </w:tcPr>
          <w:p w14:paraId="09EA8C79"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061BB1D0"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8" w:type="dxa"/>
            <w:tcBorders>
              <w:top w:val="single" w:sz="4" w:space="0" w:color="auto"/>
              <w:left w:val="single" w:sz="4" w:space="0" w:color="auto"/>
            </w:tcBorders>
            <w:vAlign w:val="center"/>
          </w:tcPr>
          <w:p w14:paraId="6F812059"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9" w:type="dxa"/>
            <w:gridSpan w:val="2"/>
            <w:tcBorders>
              <w:top w:val="single" w:sz="4" w:space="0" w:color="auto"/>
              <w:left w:val="single" w:sz="4" w:space="0" w:color="auto"/>
            </w:tcBorders>
            <w:vAlign w:val="center"/>
          </w:tcPr>
          <w:p w14:paraId="47C2E17B"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6" w:type="dxa"/>
            <w:gridSpan w:val="2"/>
            <w:tcBorders>
              <w:top w:val="single" w:sz="4" w:space="0" w:color="auto"/>
              <w:left w:val="single" w:sz="4" w:space="0" w:color="auto"/>
            </w:tcBorders>
            <w:vAlign w:val="center"/>
          </w:tcPr>
          <w:p w14:paraId="1A50FBEF"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2" w:type="dxa"/>
            <w:tcBorders>
              <w:top w:val="single" w:sz="4" w:space="0" w:color="auto"/>
              <w:left w:val="single" w:sz="4" w:space="0" w:color="auto"/>
            </w:tcBorders>
            <w:vAlign w:val="center"/>
          </w:tcPr>
          <w:p w14:paraId="2FDDC7E8"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44" w:type="dxa"/>
            <w:tcBorders>
              <w:top w:val="single" w:sz="4" w:space="0" w:color="auto"/>
              <w:left w:val="single" w:sz="4" w:space="0" w:color="auto"/>
            </w:tcBorders>
            <w:vAlign w:val="center"/>
          </w:tcPr>
          <w:p w14:paraId="6A4ADF14"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658" w:type="dxa"/>
            <w:tcBorders>
              <w:top w:val="single" w:sz="4" w:space="0" w:color="auto"/>
              <w:left w:val="single" w:sz="4" w:space="0" w:color="auto"/>
              <w:right w:val="single" w:sz="4" w:space="0" w:color="auto"/>
            </w:tcBorders>
            <w:vAlign w:val="center"/>
          </w:tcPr>
          <w:p w14:paraId="555CED43"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r>
      <w:tr w:rsidR="00A635E4" w:rsidRPr="00A635E4" w14:paraId="0307E307" w14:textId="77777777">
        <w:tc>
          <w:tcPr>
            <w:tcW w:w="132" w:type="dxa"/>
            <w:tcBorders>
              <w:top w:val="single" w:sz="4" w:space="0" w:color="auto"/>
              <w:left w:val="single" w:sz="4" w:space="0" w:color="auto"/>
            </w:tcBorders>
            <w:vAlign w:val="center"/>
          </w:tcPr>
          <w:p w14:paraId="4E5F0609"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7</w:t>
            </w:r>
          </w:p>
        </w:tc>
        <w:tc>
          <w:tcPr>
            <w:tcW w:w="2523" w:type="dxa"/>
            <w:tcBorders>
              <w:top w:val="single" w:sz="4" w:space="0" w:color="auto"/>
              <w:left w:val="single" w:sz="4" w:space="0" w:color="auto"/>
            </w:tcBorders>
            <w:vAlign w:val="center"/>
          </w:tcPr>
          <w:p w14:paraId="2E775E90" w14:textId="77777777" w:rsidR="006561BA" w:rsidRPr="00A635E4" w:rsidRDefault="005B4ED6">
            <w:pPr>
              <w:widowControl w:val="0"/>
              <w:shd w:val="clear" w:color="auto" w:fill="auto"/>
              <w:spacing w:after="0" w:line="240" w:lineRule="auto"/>
              <w:ind w:left="200"/>
              <w:rPr>
                <w:rFonts w:ascii="Helvetica" w:eastAsia="Arial Unicode MS" w:hAnsi="Helvetica" w:cs="Times New Roman"/>
                <w:color w:val="auto"/>
                <w:sz w:val="6"/>
                <w:szCs w:val="6"/>
              </w:rPr>
            </w:pPr>
            <w:r w:rsidRPr="00A635E4">
              <w:rPr>
                <w:rFonts w:ascii="Helvetica" w:hAnsi="Helvetica"/>
                <w:color w:val="auto"/>
                <w:sz w:val="6"/>
              </w:rPr>
              <w:t>hvorav forsikringsforetak</w:t>
            </w:r>
          </w:p>
        </w:tc>
        <w:tc>
          <w:tcPr>
            <w:tcW w:w="307" w:type="dxa"/>
            <w:tcBorders>
              <w:top w:val="single" w:sz="4" w:space="0" w:color="auto"/>
              <w:left w:val="single" w:sz="4" w:space="0" w:color="auto"/>
            </w:tcBorders>
            <w:vAlign w:val="center"/>
          </w:tcPr>
          <w:p w14:paraId="3473853E"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4ECB6793"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8" w:type="dxa"/>
            <w:tcBorders>
              <w:top w:val="single" w:sz="4" w:space="0" w:color="auto"/>
              <w:left w:val="single" w:sz="4" w:space="0" w:color="auto"/>
            </w:tcBorders>
            <w:vAlign w:val="center"/>
          </w:tcPr>
          <w:p w14:paraId="6C515A40"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44" w:type="dxa"/>
            <w:tcBorders>
              <w:top w:val="single" w:sz="4" w:space="0" w:color="auto"/>
              <w:left w:val="single" w:sz="4" w:space="0" w:color="auto"/>
            </w:tcBorders>
            <w:vAlign w:val="center"/>
          </w:tcPr>
          <w:p w14:paraId="08004004"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6" w:type="dxa"/>
            <w:tcBorders>
              <w:top w:val="single" w:sz="4" w:space="0" w:color="auto"/>
              <w:left w:val="single" w:sz="4" w:space="0" w:color="auto"/>
            </w:tcBorders>
            <w:vAlign w:val="center"/>
          </w:tcPr>
          <w:p w14:paraId="0CA48930"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1F2F9E9A"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05" w:type="dxa"/>
            <w:gridSpan w:val="2"/>
            <w:tcBorders>
              <w:top w:val="single" w:sz="4" w:space="0" w:color="auto"/>
              <w:left w:val="single" w:sz="4" w:space="0" w:color="auto"/>
            </w:tcBorders>
            <w:vAlign w:val="center"/>
          </w:tcPr>
          <w:p w14:paraId="00E43B36"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5" w:type="dxa"/>
            <w:gridSpan w:val="2"/>
            <w:tcBorders>
              <w:top w:val="single" w:sz="4" w:space="0" w:color="auto"/>
              <w:left w:val="single" w:sz="4" w:space="0" w:color="auto"/>
            </w:tcBorders>
            <w:vAlign w:val="center"/>
          </w:tcPr>
          <w:p w14:paraId="4EC0421C"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40B50E8E"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8" w:type="dxa"/>
            <w:tcBorders>
              <w:top w:val="single" w:sz="4" w:space="0" w:color="auto"/>
              <w:left w:val="single" w:sz="4" w:space="0" w:color="auto"/>
            </w:tcBorders>
            <w:vAlign w:val="center"/>
          </w:tcPr>
          <w:p w14:paraId="7CFC2F7B"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5" w:type="dxa"/>
            <w:tcBorders>
              <w:top w:val="single" w:sz="4" w:space="0" w:color="auto"/>
              <w:left w:val="single" w:sz="4" w:space="0" w:color="auto"/>
            </w:tcBorders>
            <w:vAlign w:val="center"/>
          </w:tcPr>
          <w:p w14:paraId="71B66FFA"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7EF2B20B"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74" w:type="dxa"/>
            <w:tcBorders>
              <w:top w:val="single" w:sz="4" w:space="0" w:color="auto"/>
              <w:left w:val="single" w:sz="4" w:space="0" w:color="auto"/>
            </w:tcBorders>
            <w:vAlign w:val="center"/>
          </w:tcPr>
          <w:p w14:paraId="3FA54350"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5" w:type="dxa"/>
            <w:tcBorders>
              <w:top w:val="single" w:sz="4" w:space="0" w:color="auto"/>
              <w:left w:val="single" w:sz="4" w:space="0" w:color="auto"/>
            </w:tcBorders>
            <w:vAlign w:val="center"/>
          </w:tcPr>
          <w:p w14:paraId="42141C85"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1896E699"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74" w:type="dxa"/>
            <w:tcBorders>
              <w:top w:val="single" w:sz="4" w:space="0" w:color="auto"/>
              <w:left w:val="single" w:sz="4" w:space="0" w:color="auto"/>
            </w:tcBorders>
            <w:vAlign w:val="center"/>
          </w:tcPr>
          <w:p w14:paraId="70192B9C"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5" w:type="dxa"/>
            <w:tcBorders>
              <w:top w:val="single" w:sz="4" w:space="0" w:color="auto"/>
              <w:left w:val="single" w:sz="4" w:space="0" w:color="auto"/>
            </w:tcBorders>
            <w:vAlign w:val="center"/>
          </w:tcPr>
          <w:p w14:paraId="10AAEA13"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tcBorders>
            <w:vAlign w:val="center"/>
          </w:tcPr>
          <w:p w14:paraId="07E28BAF"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8" w:type="dxa"/>
            <w:tcBorders>
              <w:top w:val="single" w:sz="4" w:space="0" w:color="auto"/>
              <w:left w:val="single" w:sz="4" w:space="0" w:color="auto"/>
            </w:tcBorders>
            <w:vAlign w:val="center"/>
          </w:tcPr>
          <w:p w14:paraId="19157592"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9" w:type="dxa"/>
            <w:gridSpan w:val="2"/>
            <w:tcBorders>
              <w:top w:val="single" w:sz="4" w:space="0" w:color="auto"/>
              <w:left w:val="single" w:sz="4" w:space="0" w:color="auto"/>
            </w:tcBorders>
            <w:vAlign w:val="center"/>
          </w:tcPr>
          <w:p w14:paraId="674C0FF8"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6" w:type="dxa"/>
            <w:gridSpan w:val="2"/>
            <w:tcBorders>
              <w:top w:val="single" w:sz="4" w:space="0" w:color="auto"/>
              <w:left w:val="single" w:sz="4" w:space="0" w:color="auto"/>
            </w:tcBorders>
            <w:vAlign w:val="center"/>
          </w:tcPr>
          <w:p w14:paraId="6C0D8431"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2" w:type="dxa"/>
            <w:tcBorders>
              <w:top w:val="single" w:sz="4" w:space="0" w:color="auto"/>
              <w:left w:val="single" w:sz="4" w:space="0" w:color="auto"/>
            </w:tcBorders>
            <w:vAlign w:val="center"/>
          </w:tcPr>
          <w:p w14:paraId="5D95499B"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44" w:type="dxa"/>
            <w:tcBorders>
              <w:top w:val="single" w:sz="4" w:space="0" w:color="auto"/>
              <w:left w:val="single" w:sz="4" w:space="0" w:color="auto"/>
            </w:tcBorders>
            <w:vAlign w:val="center"/>
          </w:tcPr>
          <w:p w14:paraId="43359840"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658" w:type="dxa"/>
            <w:tcBorders>
              <w:top w:val="single" w:sz="4" w:space="0" w:color="auto"/>
              <w:left w:val="single" w:sz="4" w:space="0" w:color="auto"/>
              <w:right w:val="single" w:sz="4" w:space="0" w:color="auto"/>
            </w:tcBorders>
            <w:vAlign w:val="center"/>
          </w:tcPr>
          <w:p w14:paraId="7A1E9A06"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r>
      <w:tr w:rsidR="00A635E4" w:rsidRPr="00A635E4" w14:paraId="79AA598D" w14:textId="77777777">
        <w:tc>
          <w:tcPr>
            <w:tcW w:w="132" w:type="dxa"/>
            <w:tcBorders>
              <w:top w:val="single" w:sz="4" w:space="0" w:color="auto"/>
              <w:left w:val="single" w:sz="4" w:space="0" w:color="auto"/>
              <w:bottom w:val="single" w:sz="4" w:space="0" w:color="auto"/>
            </w:tcBorders>
            <w:vAlign w:val="center"/>
          </w:tcPr>
          <w:p w14:paraId="609D26FB"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8</w:t>
            </w:r>
          </w:p>
        </w:tc>
        <w:tc>
          <w:tcPr>
            <w:tcW w:w="2523" w:type="dxa"/>
            <w:tcBorders>
              <w:top w:val="single" w:sz="4" w:space="0" w:color="auto"/>
              <w:left w:val="single" w:sz="4" w:space="0" w:color="auto"/>
              <w:bottom w:val="single" w:sz="4" w:space="0" w:color="auto"/>
            </w:tcBorders>
            <w:vAlign w:val="center"/>
          </w:tcPr>
          <w:p w14:paraId="07ED682C" w14:textId="77777777" w:rsidR="006561BA" w:rsidRPr="00A635E4" w:rsidRDefault="005B4ED6">
            <w:pPr>
              <w:widowControl w:val="0"/>
              <w:shd w:val="clear" w:color="auto" w:fill="auto"/>
              <w:spacing w:after="0" w:line="240" w:lineRule="auto"/>
              <w:ind w:left="120"/>
              <w:rPr>
                <w:rFonts w:ascii="Helvetica" w:eastAsia="Arial Unicode MS" w:hAnsi="Helvetica" w:cs="Times New Roman"/>
                <w:b/>
                <w:color w:val="auto"/>
                <w:sz w:val="6"/>
                <w:szCs w:val="6"/>
              </w:rPr>
            </w:pPr>
            <w:r w:rsidRPr="00A635E4">
              <w:rPr>
                <w:rFonts w:ascii="Helvetica" w:hAnsi="Helvetica"/>
                <w:b/>
                <w:color w:val="auto"/>
                <w:sz w:val="6"/>
              </w:rPr>
              <w:t>Ikke-finansielle foretak</w:t>
            </w:r>
          </w:p>
        </w:tc>
        <w:tc>
          <w:tcPr>
            <w:tcW w:w="307" w:type="dxa"/>
            <w:tcBorders>
              <w:top w:val="single" w:sz="4" w:space="0" w:color="auto"/>
              <w:left w:val="single" w:sz="4" w:space="0" w:color="auto"/>
              <w:bottom w:val="single" w:sz="4" w:space="0" w:color="auto"/>
            </w:tcBorders>
            <w:vAlign w:val="center"/>
          </w:tcPr>
          <w:p w14:paraId="39C20334"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bottom w:val="single" w:sz="4" w:space="0" w:color="auto"/>
            </w:tcBorders>
            <w:vAlign w:val="center"/>
          </w:tcPr>
          <w:p w14:paraId="6301A39A"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8" w:type="dxa"/>
            <w:tcBorders>
              <w:top w:val="single" w:sz="4" w:space="0" w:color="auto"/>
              <w:left w:val="single" w:sz="4" w:space="0" w:color="auto"/>
              <w:bottom w:val="single" w:sz="4" w:space="0" w:color="auto"/>
            </w:tcBorders>
            <w:vAlign w:val="center"/>
          </w:tcPr>
          <w:p w14:paraId="50EE303F"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44" w:type="dxa"/>
            <w:tcBorders>
              <w:top w:val="single" w:sz="4" w:space="0" w:color="auto"/>
              <w:left w:val="single" w:sz="4" w:space="0" w:color="auto"/>
              <w:bottom w:val="single" w:sz="4" w:space="0" w:color="auto"/>
            </w:tcBorders>
            <w:vAlign w:val="center"/>
          </w:tcPr>
          <w:p w14:paraId="5CBDD0E7"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6" w:type="dxa"/>
            <w:tcBorders>
              <w:top w:val="single" w:sz="4" w:space="0" w:color="auto"/>
              <w:left w:val="single" w:sz="4" w:space="0" w:color="auto"/>
              <w:bottom w:val="single" w:sz="4" w:space="0" w:color="auto"/>
            </w:tcBorders>
            <w:vAlign w:val="center"/>
          </w:tcPr>
          <w:p w14:paraId="79041CF5"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bottom w:val="single" w:sz="4" w:space="0" w:color="auto"/>
            </w:tcBorders>
            <w:vAlign w:val="center"/>
          </w:tcPr>
          <w:p w14:paraId="2DD7EA8D"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05" w:type="dxa"/>
            <w:gridSpan w:val="2"/>
            <w:tcBorders>
              <w:top w:val="single" w:sz="4" w:space="0" w:color="auto"/>
              <w:left w:val="single" w:sz="4" w:space="0" w:color="auto"/>
              <w:bottom w:val="single" w:sz="4" w:space="0" w:color="auto"/>
            </w:tcBorders>
            <w:vAlign w:val="center"/>
          </w:tcPr>
          <w:p w14:paraId="4F4DED53"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5" w:type="dxa"/>
            <w:gridSpan w:val="2"/>
            <w:tcBorders>
              <w:top w:val="single" w:sz="4" w:space="0" w:color="auto"/>
              <w:left w:val="single" w:sz="4" w:space="0" w:color="auto"/>
              <w:bottom w:val="single" w:sz="4" w:space="0" w:color="auto"/>
            </w:tcBorders>
            <w:vAlign w:val="center"/>
          </w:tcPr>
          <w:p w14:paraId="7B967BA4"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bottom w:val="single" w:sz="4" w:space="0" w:color="auto"/>
            </w:tcBorders>
            <w:vAlign w:val="center"/>
          </w:tcPr>
          <w:p w14:paraId="57123165"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8" w:type="dxa"/>
            <w:tcBorders>
              <w:top w:val="single" w:sz="4" w:space="0" w:color="auto"/>
              <w:left w:val="single" w:sz="4" w:space="0" w:color="auto"/>
              <w:bottom w:val="single" w:sz="4" w:space="0" w:color="auto"/>
            </w:tcBorders>
            <w:vAlign w:val="center"/>
          </w:tcPr>
          <w:p w14:paraId="6FFDE267"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5" w:type="dxa"/>
            <w:tcBorders>
              <w:top w:val="single" w:sz="4" w:space="0" w:color="auto"/>
              <w:left w:val="single" w:sz="4" w:space="0" w:color="auto"/>
              <w:bottom w:val="single" w:sz="4" w:space="0" w:color="auto"/>
            </w:tcBorders>
            <w:vAlign w:val="center"/>
          </w:tcPr>
          <w:p w14:paraId="79E38D24"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bottom w:val="single" w:sz="4" w:space="0" w:color="auto"/>
            </w:tcBorders>
            <w:vAlign w:val="center"/>
          </w:tcPr>
          <w:p w14:paraId="29AA8482"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74" w:type="dxa"/>
            <w:tcBorders>
              <w:top w:val="single" w:sz="4" w:space="0" w:color="auto"/>
              <w:left w:val="single" w:sz="4" w:space="0" w:color="auto"/>
              <w:bottom w:val="single" w:sz="4" w:space="0" w:color="auto"/>
            </w:tcBorders>
            <w:vAlign w:val="center"/>
          </w:tcPr>
          <w:p w14:paraId="0DAA2E65"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5" w:type="dxa"/>
            <w:tcBorders>
              <w:top w:val="single" w:sz="4" w:space="0" w:color="auto"/>
              <w:left w:val="single" w:sz="4" w:space="0" w:color="auto"/>
              <w:bottom w:val="single" w:sz="4" w:space="0" w:color="auto"/>
            </w:tcBorders>
            <w:vAlign w:val="center"/>
          </w:tcPr>
          <w:p w14:paraId="54C290E3"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bottom w:val="single" w:sz="4" w:space="0" w:color="auto"/>
            </w:tcBorders>
            <w:vAlign w:val="center"/>
          </w:tcPr>
          <w:p w14:paraId="473D3725"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74" w:type="dxa"/>
            <w:tcBorders>
              <w:top w:val="single" w:sz="4" w:space="0" w:color="auto"/>
              <w:left w:val="single" w:sz="4" w:space="0" w:color="auto"/>
              <w:bottom w:val="single" w:sz="4" w:space="0" w:color="auto"/>
            </w:tcBorders>
            <w:vAlign w:val="center"/>
          </w:tcPr>
          <w:p w14:paraId="127968C0"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5" w:type="dxa"/>
            <w:tcBorders>
              <w:top w:val="single" w:sz="4" w:space="0" w:color="auto"/>
              <w:left w:val="single" w:sz="4" w:space="0" w:color="auto"/>
              <w:bottom w:val="single" w:sz="4" w:space="0" w:color="auto"/>
            </w:tcBorders>
            <w:vAlign w:val="center"/>
          </w:tcPr>
          <w:p w14:paraId="56B44D37"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2" w:type="dxa"/>
            <w:tcBorders>
              <w:top w:val="single" w:sz="4" w:space="0" w:color="auto"/>
              <w:left w:val="single" w:sz="4" w:space="0" w:color="auto"/>
              <w:bottom w:val="single" w:sz="4" w:space="0" w:color="auto"/>
            </w:tcBorders>
            <w:vAlign w:val="center"/>
          </w:tcPr>
          <w:p w14:paraId="5E030B0C"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8" w:type="dxa"/>
            <w:tcBorders>
              <w:top w:val="single" w:sz="4" w:space="0" w:color="auto"/>
              <w:left w:val="single" w:sz="4" w:space="0" w:color="auto"/>
              <w:bottom w:val="single" w:sz="4" w:space="0" w:color="auto"/>
            </w:tcBorders>
            <w:vAlign w:val="center"/>
          </w:tcPr>
          <w:p w14:paraId="35CBC3EC"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99" w:type="dxa"/>
            <w:gridSpan w:val="2"/>
            <w:tcBorders>
              <w:top w:val="single" w:sz="4" w:space="0" w:color="auto"/>
              <w:left w:val="single" w:sz="4" w:space="0" w:color="auto"/>
              <w:bottom w:val="single" w:sz="4" w:space="0" w:color="auto"/>
            </w:tcBorders>
            <w:vAlign w:val="center"/>
          </w:tcPr>
          <w:p w14:paraId="6527F22C"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6" w:type="dxa"/>
            <w:gridSpan w:val="2"/>
            <w:tcBorders>
              <w:top w:val="single" w:sz="4" w:space="0" w:color="auto"/>
              <w:left w:val="single" w:sz="4" w:space="0" w:color="auto"/>
              <w:bottom w:val="single" w:sz="4" w:space="0" w:color="auto"/>
            </w:tcBorders>
            <w:vAlign w:val="center"/>
          </w:tcPr>
          <w:p w14:paraId="48828017"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2" w:type="dxa"/>
            <w:tcBorders>
              <w:top w:val="single" w:sz="4" w:space="0" w:color="auto"/>
              <w:left w:val="single" w:sz="4" w:space="0" w:color="auto"/>
              <w:bottom w:val="single" w:sz="4" w:space="0" w:color="auto"/>
            </w:tcBorders>
            <w:vAlign w:val="center"/>
          </w:tcPr>
          <w:p w14:paraId="5178C0BB"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44" w:type="dxa"/>
            <w:tcBorders>
              <w:top w:val="single" w:sz="4" w:space="0" w:color="auto"/>
              <w:left w:val="single" w:sz="4" w:space="0" w:color="auto"/>
              <w:bottom w:val="single" w:sz="4" w:space="0" w:color="auto"/>
            </w:tcBorders>
            <w:vAlign w:val="center"/>
          </w:tcPr>
          <w:p w14:paraId="20869FA0"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658" w:type="dxa"/>
            <w:tcBorders>
              <w:top w:val="single" w:sz="4" w:space="0" w:color="auto"/>
              <w:left w:val="single" w:sz="4" w:space="0" w:color="auto"/>
              <w:bottom w:val="single" w:sz="4" w:space="0" w:color="auto"/>
              <w:right w:val="single" w:sz="4" w:space="0" w:color="auto"/>
            </w:tcBorders>
            <w:vAlign w:val="center"/>
          </w:tcPr>
          <w:p w14:paraId="67A680DC"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r>
      <w:tr w:rsidR="00A635E4" w:rsidRPr="00A635E4" w14:paraId="3290153D" w14:textId="77777777">
        <w:tc>
          <w:tcPr>
            <w:tcW w:w="132" w:type="dxa"/>
            <w:tcBorders>
              <w:top w:val="single" w:sz="4" w:space="0" w:color="auto"/>
              <w:left w:val="single" w:sz="4" w:space="0" w:color="auto"/>
              <w:bottom w:val="single" w:sz="4" w:space="0" w:color="auto"/>
            </w:tcBorders>
            <w:vAlign w:val="center"/>
          </w:tcPr>
          <w:p w14:paraId="173A6A11"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9</w:t>
            </w:r>
          </w:p>
        </w:tc>
        <w:tc>
          <w:tcPr>
            <w:tcW w:w="2523" w:type="dxa"/>
            <w:tcBorders>
              <w:top w:val="single" w:sz="4" w:space="0" w:color="auto"/>
              <w:left w:val="single" w:sz="4" w:space="0" w:color="auto"/>
              <w:bottom w:val="single" w:sz="4" w:space="0" w:color="auto"/>
            </w:tcBorders>
            <w:vAlign w:val="center"/>
          </w:tcPr>
          <w:p w14:paraId="3703BAC2" w14:textId="77777777" w:rsidR="006561BA" w:rsidRPr="00A635E4" w:rsidRDefault="005B4ED6">
            <w:pPr>
              <w:widowControl w:val="0"/>
              <w:shd w:val="clear" w:color="auto" w:fill="auto"/>
              <w:spacing w:after="0" w:line="240" w:lineRule="auto"/>
              <w:ind w:left="120"/>
              <w:rPr>
                <w:rFonts w:ascii="Helvetica" w:eastAsia="Arial Unicode MS" w:hAnsi="Helvetica" w:cs="Times New Roman"/>
                <w:b/>
                <w:color w:val="auto"/>
                <w:sz w:val="6"/>
                <w:szCs w:val="6"/>
              </w:rPr>
            </w:pPr>
            <w:r w:rsidRPr="00A635E4">
              <w:rPr>
                <w:rFonts w:ascii="Helvetica" w:hAnsi="Helvetica"/>
                <w:b/>
                <w:color w:val="auto"/>
                <w:sz w:val="6"/>
              </w:rPr>
              <w:t>Motparter som ikke er omfattet av opplysningsplikten i direktivet om ikke-finansiell rapportering, herunder motparter i tredjeland</w:t>
            </w:r>
          </w:p>
        </w:tc>
        <w:tc>
          <w:tcPr>
            <w:tcW w:w="307" w:type="dxa"/>
            <w:tcBorders>
              <w:top w:val="single" w:sz="4" w:space="0" w:color="auto"/>
              <w:left w:val="single" w:sz="4" w:space="0" w:color="auto"/>
              <w:bottom w:val="single" w:sz="4" w:space="0" w:color="auto"/>
            </w:tcBorders>
            <w:vAlign w:val="center"/>
          </w:tcPr>
          <w:p w14:paraId="2520813D"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62" w:type="dxa"/>
            <w:tcBorders>
              <w:top w:val="single" w:sz="4" w:space="0" w:color="auto"/>
              <w:left w:val="single" w:sz="4" w:space="0" w:color="auto"/>
              <w:bottom w:val="single" w:sz="4" w:space="0" w:color="auto"/>
            </w:tcBorders>
            <w:vAlign w:val="center"/>
          </w:tcPr>
          <w:p w14:paraId="6B0AD60D"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468" w:type="dxa"/>
            <w:tcBorders>
              <w:top w:val="single" w:sz="4" w:space="0" w:color="auto"/>
              <w:left w:val="single" w:sz="4" w:space="0" w:color="auto"/>
              <w:bottom w:val="single" w:sz="4" w:space="0" w:color="auto"/>
            </w:tcBorders>
            <w:vAlign w:val="center"/>
          </w:tcPr>
          <w:p w14:paraId="19C2A936"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44" w:type="dxa"/>
            <w:tcBorders>
              <w:top w:val="single" w:sz="4" w:space="0" w:color="auto"/>
              <w:left w:val="single" w:sz="4" w:space="0" w:color="auto"/>
              <w:bottom w:val="single" w:sz="4" w:space="0" w:color="auto"/>
            </w:tcBorders>
            <w:vAlign w:val="center"/>
          </w:tcPr>
          <w:p w14:paraId="5BE23317"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96" w:type="dxa"/>
            <w:tcBorders>
              <w:top w:val="single" w:sz="4" w:space="0" w:color="auto"/>
              <w:left w:val="single" w:sz="4" w:space="0" w:color="auto"/>
              <w:bottom w:val="single" w:sz="4" w:space="0" w:color="auto"/>
            </w:tcBorders>
            <w:vAlign w:val="center"/>
          </w:tcPr>
          <w:p w14:paraId="0FCED539"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62" w:type="dxa"/>
            <w:tcBorders>
              <w:top w:val="single" w:sz="4" w:space="0" w:color="auto"/>
              <w:left w:val="single" w:sz="4" w:space="0" w:color="auto"/>
              <w:bottom w:val="single" w:sz="4" w:space="0" w:color="auto"/>
            </w:tcBorders>
            <w:vAlign w:val="center"/>
          </w:tcPr>
          <w:p w14:paraId="0CD69359"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405" w:type="dxa"/>
            <w:gridSpan w:val="2"/>
            <w:tcBorders>
              <w:top w:val="single" w:sz="4" w:space="0" w:color="auto"/>
              <w:left w:val="single" w:sz="4" w:space="0" w:color="auto"/>
              <w:bottom w:val="single" w:sz="4" w:space="0" w:color="auto"/>
            </w:tcBorders>
            <w:vAlign w:val="center"/>
          </w:tcPr>
          <w:p w14:paraId="1EDF742F"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95" w:type="dxa"/>
            <w:gridSpan w:val="2"/>
            <w:tcBorders>
              <w:top w:val="single" w:sz="4" w:space="0" w:color="auto"/>
              <w:left w:val="single" w:sz="4" w:space="0" w:color="auto"/>
              <w:bottom w:val="single" w:sz="4" w:space="0" w:color="auto"/>
            </w:tcBorders>
            <w:vAlign w:val="center"/>
          </w:tcPr>
          <w:p w14:paraId="7D78E10C"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62" w:type="dxa"/>
            <w:tcBorders>
              <w:top w:val="single" w:sz="4" w:space="0" w:color="auto"/>
              <w:left w:val="single" w:sz="4" w:space="0" w:color="auto"/>
              <w:bottom w:val="single" w:sz="4" w:space="0" w:color="auto"/>
            </w:tcBorders>
            <w:vAlign w:val="center"/>
          </w:tcPr>
          <w:p w14:paraId="215E8F7C"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468" w:type="dxa"/>
            <w:tcBorders>
              <w:top w:val="single" w:sz="4" w:space="0" w:color="auto"/>
              <w:left w:val="single" w:sz="4" w:space="0" w:color="auto"/>
              <w:bottom w:val="single" w:sz="4" w:space="0" w:color="auto"/>
            </w:tcBorders>
            <w:vAlign w:val="center"/>
          </w:tcPr>
          <w:p w14:paraId="43B340EB"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95" w:type="dxa"/>
            <w:tcBorders>
              <w:top w:val="single" w:sz="4" w:space="0" w:color="auto"/>
              <w:left w:val="single" w:sz="4" w:space="0" w:color="auto"/>
              <w:bottom w:val="single" w:sz="4" w:space="0" w:color="auto"/>
            </w:tcBorders>
            <w:vAlign w:val="center"/>
          </w:tcPr>
          <w:p w14:paraId="4ECE4C0A"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62" w:type="dxa"/>
            <w:tcBorders>
              <w:top w:val="single" w:sz="4" w:space="0" w:color="auto"/>
              <w:left w:val="single" w:sz="4" w:space="0" w:color="auto"/>
              <w:bottom w:val="single" w:sz="4" w:space="0" w:color="auto"/>
            </w:tcBorders>
            <w:vAlign w:val="center"/>
          </w:tcPr>
          <w:p w14:paraId="5B47FF36"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474" w:type="dxa"/>
            <w:tcBorders>
              <w:top w:val="single" w:sz="4" w:space="0" w:color="auto"/>
              <w:left w:val="single" w:sz="4" w:space="0" w:color="auto"/>
              <w:bottom w:val="single" w:sz="4" w:space="0" w:color="auto"/>
            </w:tcBorders>
            <w:vAlign w:val="center"/>
          </w:tcPr>
          <w:p w14:paraId="7416A3D0"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95" w:type="dxa"/>
            <w:tcBorders>
              <w:top w:val="single" w:sz="4" w:space="0" w:color="auto"/>
              <w:left w:val="single" w:sz="4" w:space="0" w:color="auto"/>
              <w:bottom w:val="single" w:sz="4" w:space="0" w:color="auto"/>
            </w:tcBorders>
            <w:vAlign w:val="center"/>
          </w:tcPr>
          <w:p w14:paraId="239763AA"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62" w:type="dxa"/>
            <w:tcBorders>
              <w:top w:val="single" w:sz="4" w:space="0" w:color="auto"/>
              <w:left w:val="single" w:sz="4" w:space="0" w:color="auto"/>
              <w:bottom w:val="single" w:sz="4" w:space="0" w:color="auto"/>
            </w:tcBorders>
            <w:vAlign w:val="center"/>
          </w:tcPr>
          <w:p w14:paraId="01D74967"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474" w:type="dxa"/>
            <w:tcBorders>
              <w:top w:val="single" w:sz="4" w:space="0" w:color="auto"/>
              <w:left w:val="single" w:sz="4" w:space="0" w:color="auto"/>
              <w:bottom w:val="single" w:sz="4" w:space="0" w:color="auto"/>
            </w:tcBorders>
            <w:vAlign w:val="center"/>
          </w:tcPr>
          <w:p w14:paraId="3B27A353"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95" w:type="dxa"/>
            <w:tcBorders>
              <w:top w:val="single" w:sz="4" w:space="0" w:color="auto"/>
              <w:left w:val="single" w:sz="4" w:space="0" w:color="auto"/>
              <w:bottom w:val="single" w:sz="4" w:space="0" w:color="auto"/>
            </w:tcBorders>
            <w:vAlign w:val="center"/>
          </w:tcPr>
          <w:p w14:paraId="7AB175C0"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62" w:type="dxa"/>
            <w:tcBorders>
              <w:top w:val="single" w:sz="4" w:space="0" w:color="auto"/>
              <w:left w:val="single" w:sz="4" w:space="0" w:color="auto"/>
              <w:bottom w:val="single" w:sz="4" w:space="0" w:color="auto"/>
            </w:tcBorders>
            <w:vAlign w:val="center"/>
          </w:tcPr>
          <w:p w14:paraId="04FF4C5A"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468" w:type="dxa"/>
            <w:tcBorders>
              <w:top w:val="single" w:sz="4" w:space="0" w:color="auto"/>
              <w:left w:val="single" w:sz="4" w:space="0" w:color="auto"/>
              <w:bottom w:val="single" w:sz="4" w:space="0" w:color="auto"/>
            </w:tcBorders>
            <w:vAlign w:val="center"/>
          </w:tcPr>
          <w:p w14:paraId="5120C713"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99" w:type="dxa"/>
            <w:gridSpan w:val="2"/>
            <w:tcBorders>
              <w:top w:val="single" w:sz="4" w:space="0" w:color="auto"/>
              <w:left w:val="single" w:sz="4" w:space="0" w:color="auto"/>
              <w:bottom w:val="single" w:sz="4" w:space="0" w:color="auto"/>
            </w:tcBorders>
            <w:vAlign w:val="center"/>
          </w:tcPr>
          <w:p w14:paraId="71820E73"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66" w:type="dxa"/>
            <w:gridSpan w:val="2"/>
            <w:tcBorders>
              <w:top w:val="single" w:sz="4" w:space="0" w:color="auto"/>
              <w:left w:val="single" w:sz="4" w:space="0" w:color="auto"/>
              <w:bottom w:val="single" w:sz="4" w:space="0" w:color="auto"/>
            </w:tcBorders>
            <w:vAlign w:val="center"/>
          </w:tcPr>
          <w:p w14:paraId="257136DC"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462" w:type="dxa"/>
            <w:tcBorders>
              <w:top w:val="single" w:sz="4" w:space="0" w:color="auto"/>
              <w:left w:val="single" w:sz="4" w:space="0" w:color="auto"/>
              <w:bottom w:val="single" w:sz="4" w:space="0" w:color="auto"/>
            </w:tcBorders>
            <w:vAlign w:val="center"/>
          </w:tcPr>
          <w:p w14:paraId="03524AC0"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44" w:type="dxa"/>
            <w:tcBorders>
              <w:top w:val="single" w:sz="4" w:space="0" w:color="auto"/>
              <w:left w:val="single" w:sz="4" w:space="0" w:color="auto"/>
              <w:bottom w:val="single" w:sz="4" w:space="0" w:color="auto"/>
            </w:tcBorders>
            <w:vAlign w:val="center"/>
          </w:tcPr>
          <w:p w14:paraId="070A5D67"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658" w:type="dxa"/>
            <w:tcBorders>
              <w:top w:val="single" w:sz="4" w:space="0" w:color="auto"/>
              <w:left w:val="single" w:sz="4" w:space="0" w:color="auto"/>
              <w:bottom w:val="single" w:sz="4" w:space="0" w:color="auto"/>
              <w:right w:val="single" w:sz="4" w:space="0" w:color="auto"/>
            </w:tcBorders>
            <w:vAlign w:val="center"/>
          </w:tcPr>
          <w:p w14:paraId="33ADEDFF"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r>
      <w:tr w:rsidR="006561BA" w:rsidRPr="00A635E4" w14:paraId="6D33CB3B" w14:textId="77777777">
        <w:tc>
          <w:tcPr>
            <w:tcW w:w="132" w:type="dxa"/>
            <w:tcBorders>
              <w:top w:val="single" w:sz="4" w:space="0" w:color="auto"/>
            </w:tcBorders>
            <w:vAlign w:val="center"/>
          </w:tcPr>
          <w:p w14:paraId="5C8B85EF"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2523" w:type="dxa"/>
            <w:tcBorders>
              <w:top w:val="single" w:sz="4" w:space="0" w:color="auto"/>
            </w:tcBorders>
            <w:vAlign w:val="center"/>
          </w:tcPr>
          <w:p w14:paraId="6F9E0FEE" w14:textId="77777777" w:rsidR="006561BA" w:rsidRPr="00A635E4" w:rsidRDefault="005B4ED6">
            <w:pPr>
              <w:widowControl w:val="0"/>
              <w:shd w:val="clear" w:color="auto" w:fill="auto"/>
              <w:spacing w:after="0" w:line="240" w:lineRule="auto"/>
              <w:jc w:val="left"/>
              <w:rPr>
                <w:rFonts w:ascii="Helvetica" w:eastAsia="Arial Unicode MS" w:hAnsi="Helvetica" w:cs="Times New Roman"/>
                <w:color w:val="auto"/>
                <w:sz w:val="6"/>
                <w:szCs w:val="6"/>
              </w:rPr>
            </w:pPr>
            <w:r w:rsidRPr="00A635E4">
              <w:rPr>
                <w:rFonts w:ascii="Helvetica" w:hAnsi="Helvetica"/>
                <w:color w:val="auto"/>
                <w:sz w:val="6"/>
              </w:rPr>
              <w:t>1. Institusjoner skal i denne malen opplyse om hvor stor prosentdel (%) av gebyr- og provisjonsinntektene som knytter seg til taksonomirelevante sektorer og miljømessig bærekraftige aktiviteter (spesifisert etter omstillingsaktiviteter) fra foretak som er omfattet av direktivet om ikke-finansiell rapportering, for andre tjenester enn utlån og kapitalforvaltning.</w:t>
            </w:r>
          </w:p>
        </w:tc>
        <w:tc>
          <w:tcPr>
            <w:tcW w:w="307" w:type="dxa"/>
            <w:tcBorders>
              <w:top w:val="single" w:sz="4" w:space="0" w:color="auto"/>
            </w:tcBorders>
            <w:vAlign w:val="center"/>
          </w:tcPr>
          <w:p w14:paraId="1DD60769"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62" w:type="dxa"/>
            <w:tcBorders>
              <w:top w:val="single" w:sz="4" w:space="0" w:color="auto"/>
            </w:tcBorders>
            <w:vAlign w:val="center"/>
          </w:tcPr>
          <w:p w14:paraId="36E71AFD"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468" w:type="dxa"/>
            <w:tcBorders>
              <w:top w:val="single" w:sz="4" w:space="0" w:color="auto"/>
            </w:tcBorders>
            <w:vAlign w:val="center"/>
          </w:tcPr>
          <w:p w14:paraId="5B033F90"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44" w:type="dxa"/>
            <w:tcBorders>
              <w:top w:val="single" w:sz="4" w:space="0" w:color="auto"/>
            </w:tcBorders>
            <w:vAlign w:val="center"/>
          </w:tcPr>
          <w:p w14:paraId="26AA677B"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96" w:type="dxa"/>
            <w:tcBorders>
              <w:top w:val="single" w:sz="4" w:space="0" w:color="auto"/>
            </w:tcBorders>
            <w:vAlign w:val="center"/>
          </w:tcPr>
          <w:p w14:paraId="7250B04C"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62" w:type="dxa"/>
            <w:tcBorders>
              <w:top w:val="single" w:sz="4" w:space="0" w:color="auto"/>
            </w:tcBorders>
            <w:vAlign w:val="center"/>
          </w:tcPr>
          <w:p w14:paraId="1C8852EA"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405" w:type="dxa"/>
            <w:gridSpan w:val="2"/>
            <w:tcBorders>
              <w:top w:val="single" w:sz="4" w:space="0" w:color="auto"/>
            </w:tcBorders>
            <w:vAlign w:val="center"/>
          </w:tcPr>
          <w:p w14:paraId="34E1A5DD"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95" w:type="dxa"/>
            <w:gridSpan w:val="2"/>
            <w:tcBorders>
              <w:top w:val="single" w:sz="4" w:space="0" w:color="auto"/>
            </w:tcBorders>
            <w:vAlign w:val="center"/>
          </w:tcPr>
          <w:p w14:paraId="4FA4D45E"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62" w:type="dxa"/>
            <w:tcBorders>
              <w:top w:val="single" w:sz="4" w:space="0" w:color="auto"/>
            </w:tcBorders>
            <w:vAlign w:val="center"/>
          </w:tcPr>
          <w:p w14:paraId="01740620"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468" w:type="dxa"/>
            <w:tcBorders>
              <w:top w:val="single" w:sz="4" w:space="0" w:color="auto"/>
            </w:tcBorders>
            <w:vAlign w:val="center"/>
          </w:tcPr>
          <w:p w14:paraId="5B1BA349"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95" w:type="dxa"/>
            <w:tcBorders>
              <w:top w:val="single" w:sz="4" w:space="0" w:color="auto"/>
            </w:tcBorders>
            <w:vAlign w:val="center"/>
          </w:tcPr>
          <w:p w14:paraId="4E54010F"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62" w:type="dxa"/>
            <w:tcBorders>
              <w:top w:val="single" w:sz="4" w:space="0" w:color="auto"/>
            </w:tcBorders>
            <w:vAlign w:val="center"/>
          </w:tcPr>
          <w:p w14:paraId="07B98414"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474" w:type="dxa"/>
            <w:tcBorders>
              <w:top w:val="single" w:sz="4" w:space="0" w:color="auto"/>
            </w:tcBorders>
            <w:vAlign w:val="center"/>
          </w:tcPr>
          <w:p w14:paraId="730CAEC2"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95" w:type="dxa"/>
            <w:tcBorders>
              <w:top w:val="single" w:sz="4" w:space="0" w:color="auto"/>
            </w:tcBorders>
            <w:vAlign w:val="center"/>
          </w:tcPr>
          <w:p w14:paraId="48992ADB"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62" w:type="dxa"/>
            <w:tcBorders>
              <w:top w:val="single" w:sz="4" w:space="0" w:color="auto"/>
            </w:tcBorders>
            <w:vAlign w:val="center"/>
          </w:tcPr>
          <w:p w14:paraId="370E006E"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474" w:type="dxa"/>
            <w:tcBorders>
              <w:top w:val="single" w:sz="4" w:space="0" w:color="auto"/>
            </w:tcBorders>
            <w:vAlign w:val="center"/>
          </w:tcPr>
          <w:p w14:paraId="2F3352E1"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95" w:type="dxa"/>
            <w:tcBorders>
              <w:top w:val="single" w:sz="4" w:space="0" w:color="auto"/>
            </w:tcBorders>
            <w:vAlign w:val="center"/>
          </w:tcPr>
          <w:p w14:paraId="5EFF5030"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62" w:type="dxa"/>
            <w:tcBorders>
              <w:top w:val="single" w:sz="4" w:space="0" w:color="auto"/>
            </w:tcBorders>
            <w:vAlign w:val="center"/>
          </w:tcPr>
          <w:p w14:paraId="03B42219"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468" w:type="dxa"/>
            <w:tcBorders>
              <w:top w:val="single" w:sz="4" w:space="0" w:color="auto"/>
            </w:tcBorders>
            <w:vAlign w:val="center"/>
          </w:tcPr>
          <w:p w14:paraId="308CD8B3"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99" w:type="dxa"/>
            <w:gridSpan w:val="2"/>
            <w:tcBorders>
              <w:top w:val="single" w:sz="4" w:space="0" w:color="auto"/>
            </w:tcBorders>
            <w:vAlign w:val="center"/>
          </w:tcPr>
          <w:p w14:paraId="266206AC"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66" w:type="dxa"/>
            <w:gridSpan w:val="2"/>
            <w:tcBorders>
              <w:top w:val="single" w:sz="4" w:space="0" w:color="auto"/>
            </w:tcBorders>
            <w:vAlign w:val="center"/>
          </w:tcPr>
          <w:p w14:paraId="19A6BE71"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462" w:type="dxa"/>
            <w:tcBorders>
              <w:top w:val="single" w:sz="4" w:space="0" w:color="auto"/>
            </w:tcBorders>
            <w:vAlign w:val="center"/>
          </w:tcPr>
          <w:p w14:paraId="2CE4B33E"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44" w:type="dxa"/>
            <w:tcBorders>
              <w:top w:val="single" w:sz="4" w:space="0" w:color="auto"/>
            </w:tcBorders>
            <w:vAlign w:val="center"/>
          </w:tcPr>
          <w:p w14:paraId="5CBD2238"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658" w:type="dxa"/>
            <w:tcBorders>
              <w:top w:val="single" w:sz="4" w:space="0" w:color="auto"/>
            </w:tcBorders>
            <w:vAlign w:val="center"/>
          </w:tcPr>
          <w:p w14:paraId="5ED6B03C"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r>
    </w:tbl>
    <w:p w14:paraId="770883AD" w14:textId="77777777" w:rsidR="006561BA" w:rsidRPr="00A635E4" w:rsidRDefault="006561BA">
      <w:pPr>
        <w:pStyle w:val="Para"/>
        <w:spacing w:line="240" w:lineRule="auto"/>
        <w:ind w:left="279"/>
        <w:jc w:val="left"/>
      </w:pPr>
    </w:p>
    <w:tbl>
      <w:tblPr>
        <w:tblOverlap w:val="neve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3"/>
        <w:gridCol w:w="2506"/>
        <w:gridCol w:w="359"/>
        <w:gridCol w:w="365"/>
        <w:gridCol w:w="520"/>
        <w:gridCol w:w="542"/>
        <w:gridCol w:w="591"/>
        <w:gridCol w:w="359"/>
        <w:gridCol w:w="478"/>
        <w:gridCol w:w="570"/>
        <w:gridCol w:w="359"/>
        <w:gridCol w:w="471"/>
        <w:gridCol w:w="475"/>
        <w:gridCol w:w="110"/>
        <w:gridCol w:w="365"/>
        <w:gridCol w:w="464"/>
        <w:gridCol w:w="591"/>
        <w:gridCol w:w="363"/>
        <w:gridCol w:w="54"/>
        <w:gridCol w:w="418"/>
        <w:gridCol w:w="591"/>
        <w:gridCol w:w="359"/>
        <w:gridCol w:w="464"/>
        <w:gridCol w:w="19"/>
        <w:gridCol w:w="483"/>
        <w:gridCol w:w="117"/>
        <w:gridCol w:w="366"/>
        <w:gridCol w:w="457"/>
        <w:gridCol w:w="535"/>
        <w:gridCol w:w="563"/>
      </w:tblGrid>
      <w:tr w:rsidR="00A635E4" w:rsidRPr="00A635E4" w14:paraId="280715B0" w14:textId="77777777">
        <w:tc>
          <w:tcPr>
            <w:tcW w:w="2639" w:type="dxa"/>
            <w:gridSpan w:val="2"/>
            <w:tcBorders>
              <w:top w:val="nil"/>
              <w:left w:val="nil"/>
            </w:tcBorders>
            <w:tcMar>
              <w:top w:w="10" w:type="dxa"/>
              <w:bottom w:w="10" w:type="dxa"/>
            </w:tcMar>
            <w:vAlign w:val="center"/>
          </w:tcPr>
          <w:p w14:paraId="1CB07DC2"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59" w:type="dxa"/>
            <w:tcMar>
              <w:top w:w="10" w:type="dxa"/>
              <w:bottom w:w="10" w:type="dxa"/>
            </w:tcMar>
            <w:vAlign w:val="center"/>
          </w:tcPr>
          <w:p w14:paraId="39D54355"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z</w:t>
            </w:r>
          </w:p>
        </w:tc>
        <w:tc>
          <w:tcPr>
            <w:tcW w:w="365" w:type="dxa"/>
            <w:tcMar>
              <w:top w:w="10" w:type="dxa"/>
              <w:bottom w:w="10" w:type="dxa"/>
            </w:tcMar>
            <w:vAlign w:val="center"/>
          </w:tcPr>
          <w:p w14:paraId="4584F523"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proofErr w:type="spellStart"/>
            <w:r w:rsidRPr="00A635E4">
              <w:rPr>
                <w:rFonts w:ascii="Helvetica" w:hAnsi="Helvetica"/>
                <w:color w:val="auto"/>
                <w:sz w:val="6"/>
              </w:rPr>
              <w:t>aa</w:t>
            </w:r>
            <w:proofErr w:type="spellEnd"/>
          </w:p>
        </w:tc>
        <w:tc>
          <w:tcPr>
            <w:tcW w:w="520" w:type="dxa"/>
            <w:tcMar>
              <w:top w:w="10" w:type="dxa"/>
              <w:bottom w:w="10" w:type="dxa"/>
            </w:tcMar>
            <w:vAlign w:val="center"/>
          </w:tcPr>
          <w:p w14:paraId="18BD10B7"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ab</w:t>
            </w:r>
          </w:p>
        </w:tc>
        <w:tc>
          <w:tcPr>
            <w:tcW w:w="542" w:type="dxa"/>
            <w:tcMar>
              <w:top w:w="10" w:type="dxa"/>
              <w:bottom w:w="10" w:type="dxa"/>
            </w:tcMar>
            <w:vAlign w:val="center"/>
          </w:tcPr>
          <w:p w14:paraId="2836FD85"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proofErr w:type="spellStart"/>
            <w:r w:rsidRPr="00A635E4">
              <w:rPr>
                <w:rFonts w:ascii="Helvetica" w:hAnsi="Helvetica"/>
                <w:color w:val="auto"/>
                <w:sz w:val="6"/>
              </w:rPr>
              <w:t>ac</w:t>
            </w:r>
            <w:proofErr w:type="spellEnd"/>
          </w:p>
        </w:tc>
        <w:tc>
          <w:tcPr>
            <w:tcW w:w="591" w:type="dxa"/>
            <w:tcMar>
              <w:top w:w="10" w:type="dxa"/>
              <w:bottom w:w="10" w:type="dxa"/>
            </w:tcMar>
            <w:vAlign w:val="center"/>
          </w:tcPr>
          <w:p w14:paraId="60A8A444"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ad</w:t>
            </w:r>
          </w:p>
        </w:tc>
        <w:tc>
          <w:tcPr>
            <w:tcW w:w="359" w:type="dxa"/>
            <w:tcMar>
              <w:top w:w="10" w:type="dxa"/>
              <w:bottom w:w="10" w:type="dxa"/>
            </w:tcMar>
            <w:vAlign w:val="center"/>
          </w:tcPr>
          <w:p w14:paraId="40B2B373"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proofErr w:type="spellStart"/>
            <w:r w:rsidRPr="00A635E4">
              <w:rPr>
                <w:rFonts w:ascii="Helvetica" w:hAnsi="Helvetica"/>
                <w:color w:val="auto"/>
                <w:sz w:val="6"/>
              </w:rPr>
              <w:t>ae</w:t>
            </w:r>
            <w:proofErr w:type="spellEnd"/>
          </w:p>
        </w:tc>
        <w:tc>
          <w:tcPr>
            <w:tcW w:w="478" w:type="dxa"/>
            <w:tcMar>
              <w:top w:w="10" w:type="dxa"/>
              <w:bottom w:w="10" w:type="dxa"/>
            </w:tcMar>
            <w:vAlign w:val="center"/>
          </w:tcPr>
          <w:p w14:paraId="229B0817"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proofErr w:type="spellStart"/>
            <w:r w:rsidRPr="00A635E4">
              <w:rPr>
                <w:rFonts w:ascii="Helvetica" w:hAnsi="Helvetica"/>
                <w:color w:val="auto"/>
                <w:sz w:val="6"/>
              </w:rPr>
              <w:t>af</w:t>
            </w:r>
            <w:proofErr w:type="spellEnd"/>
          </w:p>
        </w:tc>
        <w:tc>
          <w:tcPr>
            <w:tcW w:w="570" w:type="dxa"/>
            <w:tcMar>
              <w:top w:w="10" w:type="dxa"/>
              <w:bottom w:w="10" w:type="dxa"/>
            </w:tcMar>
            <w:vAlign w:val="center"/>
          </w:tcPr>
          <w:p w14:paraId="30920E82"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ag</w:t>
            </w:r>
          </w:p>
        </w:tc>
        <w:tc>
          <w:tcPr>
            <w:tcW w:w="359" w:type="dxa"/>
            <w:tcMar>
              <w:top w:w="10" w:type="dxa"/>
              <w:bottom w:w="10" w:type="dxa"/>
            </w:tcMar>
            <w:vAlign w:val="center"/>
          </w:tcPr>
          <w:p w14:paraId="6E4354E2"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ah</w:t>
            </w:r>
          </w:p>
        </w:tc>
        <w:tc>
          <w:tcPr>
            <w:tcW w:w="471" w:type="dxa"/>
            <w:tcMar>
              <w:top w:w="10" w:type="dxa"/>
              <w:bottom w:w="10" w:type="dxa"/>
            </w:tcMar>
            <w:vAlign w:val="center"/>
          </w:tcPr>
          <w:p w14:paraId="281C6321"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ai</w:t>
            </w:r>
          </w:p>
        </w:tc>
        <w:tc>
          <w:tcPr>
            <w:tcW w:w="475" w:type="dxa"/>
            <w:tcMar>
              <w:top w:w="10" w:type="dxa"/>
              <w:bottom w:w="10" w:type="dxa"/>
            </w:tcMar>
            <w:vAlign w:val="center"/>
          </w:tcPr>
          <w:p w14:paraId="6413BABC" w14:textId="77777777" w:rsidR="006561BA" w:rsidRPr="00A635E4" w:rsidRDefault="005B4ED6">
            <w:pPr>
              <w:widowControl w:val="0"/>
              <w:shd w:val="clear" w:color="auto" w:fill="auto"/>
              <w:tabs>
                <w:tab w:val="left" w:pos="541"/>
              </w:tabs>
              <w:spacing w:after="0" w:line="240" w:lineRule="auto"/>
              <w:jc w:val="center"/>
              <w:rPr>
                <w:rFonts w:ascii="Helvetica" w:eastAsia="Arial Unicode MS" w:hAnsi="Helvetica" w:cs="Times New Roman"/>
                <w:color w:val="auto"/>
                <w:sz w:val="6"/>
                <w:szCs w:val="6"/>
              </w:rPr>
            </w:pPr>
            <w:proofErr w:type="spellStart"/>
            <w:r w:rsidRPr="00A635E4">
              <w:rPr>
                <w:rFonts w:ascii="Helvetica" w:hAnsi="Helvetica"/>
                <w:color w:val="auto"/>
                <w:sz w:val="6"/>
              </w:rPr>
              <w:t>aj</w:t>
            </w:r>
            <w:proofErr w:type="spellEnd"/>
          </w:p>
        </w:tc>
        <w:tc>
          <w:tcPr>
            <w:tcW w:w="475" w:type="dxa"/>
            <w:gridSpan w:val="2"/>
            <w:tcMar>
              <w:top w:w="10" w:type="dxa"/>
              <w:bottom w:w="10" w:type="dxa"/>
            </w:tcMar>
            <w:vAlign w:val="center"/>
          </w:tcPr>
          <w:p w14:paraId="63EF9EA7" w14:textId="77777777" w:rsidR="006561BA" w:rsidRPr="00A635E4" w:rsidRDefault="005B4ED6">
            <w:pPr>
              <w:widowControl w:val="0"/>
              <w:shd w:val="clear" w:color="auto" w:fill="auto"/>
              <w:tabs>
                <w:tab w:val="left" w:pos="541"/>
              </w:tabs>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ak</w:t>
            </w:r>
          </w:p>
        </w:tc>
        <w:tc>
          <w:tcPr>
            <w:tcW w:w="464" w:type="dxa"/>
            <w:tcMar>
              <w:top w:w="10" w:type="dxa"/>
              <w:bottom w:w="10" w:type="dxa"/>
            </w:tcMar>
            <w:vAlign w:val="center"/>
          </w:tcPr>
          <w:p w14:paraId="7AA65D22"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al</w:t>
            </w:r>
          </w:p>
        </w:tc>
        <w:tc>
          <w:tcPr>
            <w:tcW w:w="591" w:type="dxa"/>
            <w:tcMar>
              <w:top w:w="10" w:type="dxa"/>
              <w:bottom w:w="10" w:type="dxa"/>
            </w:tcMar>
            <w:vAlign w:val="center"/>
          </w:tcPr>
          <w:p w14:paraId="5B4FD3D7"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am</w:t>
            </w:r>
          </w:p>
        </w:tc>
        <w:tc>
          <w:tcPr>
            <w:tcW w:w="417" w:type="dxa"/>
            <w:gridSpan w:val="2"/>
            <w:tcMar>
              <w:top w:w="10" w:type="dxa"/>
              <w:bottom w:w="10" w:type="dxa"/>
            </w:tcMar>
            <w:vAlign w:val="center"/>
          </w:tcPr>
          <w:p w14:paraId="207ECDED"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an</w:t>
            </w:r>
          </w:p>
        </w:tc>
        <w:tc>
          <w:tcPr>
            <w:tcW w:w="418" w:type="dxa"/>
            <w:tcMar>
              <w:top w:w="10" w:type="dxa"/>
              <w:bottom w:w="10" w:type="dxa"/>
            </w:tcMar>
            <w:vAlign w:val="center"/>
          </w:tcPr>
          <w:p w14:paraId="3BAEC960"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proofErr w:type="spellStart"/>
            <w:r w:rsidRPr="00A635E4">
              <w:rPr>
                <w:rFonts w:ascii="Helvetica" w:hAnsi="Helvetica"/>
                <w:color w:val="auto"/>
                <w:sz w:val="6"/>
              </w:rPr>
              <w:t>ao</w:t>
            </w:r>
            <w:proofErr w:type="spellEnd"/>
          </w:p>
        </w:tc>
        <w:tc>
          <w:tcPr>
            <w:tcW w:w="591" w:type="dxa"/>
            <w:tcMar>
              <w:top w:w="10" w:type="dxa"/>
              <w:bottom w:w="10" w:type="dxa"/>
            </w:tcMar>
            <w:vAlign w:val="center"/>
          </w:tcPr>
          <w:p w14:paraId="3B703E45"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ap</w:t>
            </w:r>
          </w:p>
        </w:tc>
        <w:tc>
          <w:tcPr>
            <w:tcW w:w="359" w:type="dxa"/>
            <w:tcMar>
              <w:top w:w="10" w:type="dxa"/>
              <w:bottom w:w="10" w:type="dxa"/>
            </w:tcMar>
            <w:vAlign w:val="center"/>
          </w:tcPr>
          <w:p w14:paraId="5C11A11A"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proofErr w:type="spellStart"/>
            <w:r w:rsidRPr="00A635E4">
              <w:rPr>
                <w:rFonts w:ascii="Helvetica" w:hAnsi="Helvetica"/>
                <w:color w:val="auto"/>
                <w:sz w:val="6"/>
              </w:rPr>
              <w:t>aq</w:t>
            </w:r>
            <w:proofErr w:type="spellEnd"/>
          </w:p>
        </w:tc>
        <w:tc>
          <w:tcPr>
            <w:tcW w:w="483" w:type="dxa"/>
            <w:gridSpan w:val="2"/>
            <w:tcMar>
              <w:top w:w="10" w:type="dxa"/>
              <w:bottom w:w="10" w:type="dxa"/>
            </w:tcMar>
            <w:vAlign w:val="center"/>
          </w:tcPr>
          <w:p w14:paraId="2B5E3997" w14:textId="77777777" w:rsidR="006561BA" w:rsidRPr="00A635E4" w:rsidRDefault="005B4ED6">
            <w:pPr>
              <w:widowControl w:val="0"/>
              <w:shd w:val="clear" w:color="auto" w:fill="auto"/>
              <w:tabs>
                <w:tab w:val="left" w:pos="668"/>
                <w:tab w:val="left" w:pos="995"/>
              </w:tabs>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ar</w:t>
            </w:r>
          </w:p>
        </w:tc>
        <w:tc>
          <w:tcPr>
            <w:tcW w:w="483" w:type="dxa"/>
            <w:tcMar>
              <w:top w:w="10" w:type="dxa"/>
              <w:bottom w:w="10" w:type="dxa"/>
            </w:tcMar>
            <w:vAlign w:val="center"/>
          </w:tcPr>
          <w:p w14:paraId="58D412D9" w14:textId="77777777" w:rsidR="006561BA" w:rsidRPr="00A635E4" w:rsidRDefault="005B4ED6">
            <w:pPr>
              <w:widowControl w:val="0"/>
              <w:shd w:val="clear" w:color="auto" w:fill="auto"/>
              <w:tabs>
                <w:tab w:val="left" w:pos="668"/>
                <w:tab w:val="left" w:pos="995"/>
              </w:tabs>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as</w:t>
            </w:r>
          </w:p>
        </w:tc>
        <w:tc>
          <w:tcPr>
            <w:tcW w:w="483" w:type="dxa"/>
            <w:gridSpan w:val="2"/>
            <w:tcMar>
              <w:top w:w="10" w:type="dxa"/>
              <w:bottom w:w="10" w:type="dxa"/>
            </w:tcMar>
            <w:vAlign w:val="center"/>
          </w:tcPr>
          <w:p w14:paraId="5AE3E320" w14:textId="77777777" w:rsidR="006561BA" w:rsidRPr="00A635E4" w:rsidRDefault="005B4ED6">
            <w:pPr>
              <w:widowControl w:val="0"/>
              <w:shd w:val="clear" w:color="auto" w:fill="auto"/>
              <w:tabs>
                <w:tab w:val="left" w:pos="668"/>
                <w:tab w:val="left" w:pos="995"/>
              </w:tabs>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at</w:t>
            </w:r>
          </w:p>
        </w:tc>
        <w:tc>
          <w:tcPr>
            <w:tcW w:w="457" w:type="dxa"/>
            <w:tcMar>
              <w:top w:w="10" w:type="dxa"/>
              <w:bottom w:w="10" w:type="dxa"/>
            </w:tcMar>
            <w:vAlign w:val="center"/>
          </w:tcPr>
          <w:p w14:paraId="738D29B9"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au</w:t>
            </w:r>
          </w:p>
        </w:tc>
        <w:tc>
          <w:tcPr>
            <w:tcW w:w="535" w:type="dxa"/>
            <w:tcMar>
              <w:top w:w="10" w:type="dxa"/>
              <w:bottom w:w="10" w:type="dxa"/>
            </w:tcMar>
            <w:vAlign w:val="center"/>
          </w:tcPr>
          <w:p w14:paraId="09869C04"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av</w:t>
            </w:r>
          </w:p>
        </w:tc>
        <w:tc>
          <w:tcPr>
            <w:tcW w:w="563" w:type="dxa"/>
            <w:tcMar>
              <w:top w:w="10" w:type="dxa"/>
              <w:bottom w:w="10" w:type="dxa"/>
            </w:tcMar>
            <w:vAlign w:val="center"/>
          </w:tcPr>
          <w:p w14:paraId="0C1BF809"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proofErr w:type="spellStart"/>
            <w:r w:rsidRPr="00A635E4">
              <w:rPr>
                <w:rFonts w:ascii="Helvetica" w:hAnsi="Helvetica"/>
                <w:color w:val="auto"/>
                <w:sz w:val="6"/>
              </w:rPr>
              <w:t>aw</w:t>
            </w:r>
            <w:proofErr w:type="spellEnd"/>
          </w:p>
        </w:tc>
      </w:tr>
      <w:tr w:rsidR="00A635E4" w:rsidRPr="00A635E4" w14:paraId="59883293" w14:textId="77777777">
        <w:tc>
          <w:tcPr>
            <w:tcW w:w="2639" w:type="dxa"/>
            <w:gridSpan w:val="2"/>
            <w:vMerge w:val="restart"/>
            <w:tcMar>
              <w:top w:w="10" w:type="dxa"/>
              <w:bottom w:w="10" w:type="dxa"/>
            </w:tcMar>
            <w:vAlign w:val="center"/>
          </w:tcPr>
          <w:p w14:paraId="32D7BF0E" w14:textId="77777777" w:rsidR="006561BA" w:rsidRPr="00A635E4" w:rsidRDefault="006561BA">
            <w:pPr>
              <w:widowControl w:val="0"/>
              <w:shd w:val="clear" w:color="auto" w:fill="auto"/>
              <w:spacing w:after="0" w:line="240" w:lineRule="auto"/>
              <w:jc w:val="left"/>
              <w:rPr>
                <w:rFonts w:ascii="Helvetica" w:eastAsia="Arial Unicode MS" w:hAnsi="Helvetica" w:cs="Times New Roman"/>
                <w:color w:val="auto"/>
                <w:sz w:val="6"/>
                <w:szCs w:val="6"/>
                <w:lang w:val="en-US"/>
              </w:rPr>
            </w:pPr>
          </w:p>
        </w:tc>
        <w:tc>
          <w:tcPr>
            <w:tcW w:w="11408" w:type="dxa"/>
            <w:gridSpan w:val="28"/>
            <w:tcMar>
              <w:top w:w="10" w:type="dxa"/>
              <w:bottom w:w="10" w:type="dxa"/>
            </w:tcMar>
            <w:vAlign w:val="center"/>
          </w:tcPr>
          <w:p w14:paraId="19C945D1"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KPI for gebyrer og provisjoner – Referansedato for opplysningene T-1</w:t>
            </w:r>
          </w:p>
        </w:tc>
      </w:tr>
      <w:tr w:rsidR="00A635E4" w:rsidRPr="00980A19" w14:paraId="444AFA64" w14:textId="77777777">
        <w:tc>
          <w:tcPr>
            <w:tcW w:w="2639" w:type="dxa"/>
            <w:gridSpan w:val="2"/>
            <w:vMerge/>
            <w:tcMar>
              <w:top w:w="10" w:type="dxa"/>
              <w:bottom w:w="10" w:type="dxa"/>
            </w:tcMar>
            <w:vAlign w:val="center"/>
          </w:tcPr>
          <w:p w14:paraId="59090E76" w14:textId="77777777" w:rsidR="006561BA" w:rsidRPr="00A635E4" w:rsidRDefault="006561BA">
            <w:pPr>
              <w:widowControl w:val="0"/>
              <w:shd w:val="clear" w:color="auto" w:fill="auto"/>
              <w:spacing w:after="0" w:line="240" w:lineRule="auto"/>
              <w:jc w:val="left"/>
              <w:rPr>
                <w:rFonts w:ascii="Helvetica" w:eastAsia="Arial Unicode MS" w:hAnsi="Helvetica" w:cs="Times New Roman"/>
                <w:color w:val="auto"/>
                <w:sz w:val="6"/>
                <w:szCs w:val="6"/>
              </w:rPr>
            </w:pPr>
          </w:p>
        </w:tc>
        <w:tc>
          <w:tcPr>
            <w:tcW w:w="359" w:type="dxa"/>
            <w:vMerge w:val="restart"/>
            <w:tcMar>
              <w:top w:w="10" w:type="dxa"/>
              <w:bottom w:w="10" w:type="dxa"/>
            </w:tcMar>
            <w:vAlign w:val="center"/>
          </w:tcPr>
          <w:p w14:paraId="4B7CB5A2"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Sum (millioner euro)</w:t>
            </w:r>
          </w:p>
        </w:tc>
        <w:tc>
          <w:tcPr>
            <w:tcW w:w="2018" w:type="dxa"/>
            <w:gridSpan w:val="4"/>
            <w:tcBorders>
              <w:bottom w:val="single" w:sz="4" w:space="0" w:color="auto"/>
            </w:tcBorders>
            <w:tcMar>
              <w:top w:w="10" w:type="dxa"/>
              <w:bottom w:w="10" w:type="dxa"/>
            </w:tcMar>
            <w:vAlign w:val="center"/>
          </w:tcPr>
          <w:p w14:paraId="0A50EFDB"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b/>
                <w:color w:val="auto"/>
                <w:sz w:val="6"/>
                <w:szCs w:val="6"/>
              </w:rPr>
            </w:pPr>
            <w:r w:rsidRPr="00A635E4">
              <w:rPr>
                <w:rFonts w:ascii="Helvetica" w:hAnsi="Helvetica"/>
                <w:b/>
                <w:color w:val="auto"/>
                <w:sz w:val="6"/>
              </w:rPr>
              <w:t>Begrensning av klimaendringer (CCM)</w:t>
            </w:r>
          </w:p>
        </w:tc>
        <w:tc>
          <w:tcPr>
            <w:tcW w:w="1407" w:type="dxa"/>
            <w:gridSpan w:val="3"/>
            <w:tcBorders>
              <w:bottom w:val="single" w:sz="4" w:space="0" w:color="auto"/>
            </w:tcBorders>
            <w:tcMar>
              <w:top w:w="10" w:type="dxa"/>
              <w:bottom w:w="10" w:type="dxa"/>
            </w:tcMar>
            <w:vAlign w:val="center"/>
          </w:tcPr>
          <w:p w14:paraId="5E0E5C87"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b/>
                <w:color w:val="auto"/>
                <w:sz w:val="6"/>
                <w:szCs w:val="6"/>
              </w:rPr>
            </w:pPr>
            <w:r w:rsidRPr="00A635E4">
              <w:rPr>
                <w:rFonts w:ascii="Helvetica" w:hAnsi="Helvetica"/>
                <w:b/>
                <w:color w:val="auto"/>
                <w:sz w:val="6"/>
              </w:rPr>
              <w:t>Tilpasning til klimaendringer (CCA)</w:t>
            </w:r>
          </w:p>
        </w:tc>
        <w:tc>
          <w:tcPr>
            <w:tcW w:w="1415" w:type="dxa"/>
            <w:gridSpan w:val="4"/>
            <w:tcBorders>
              <w:bottom w:val="single" w:sz="4" w:space="0" w:color="auto"/>
            </w:tcBorders>
            <w:tcMar>
              <w:top w:w="10" w:type="dxa"/>
              <w:bottom w:w="10" w:type="dxa"/>
            </w:tcMar>
            <w:vAlign w:val="center"/>
          </w:tcPr>
          <w:p w14:paraId="68009B2E"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b/>
                <w:color w:val="auto"/>
                <w:sz w:val="6"/>
                <w:szCs w:val="6"/>
              </w:rPr>
            </w:pPr>
            <w:r w:rsidRPr="00A635E4">
              <w:rPr>
                <w:rFonts w:ascii="Helvetica" w:hAnsi="Helvetica"/>
                <w:b/>
                <w:color w:val="auto"/>
                <w:sz w:val="6"/>
              </w:rPr>
              <w:t>Vann- og havressurser (WTR)</w:t>
            </w:r>
          </w:p>
        </w:tc>
        <w:tc>
          <w:tcPr>
            <w:tcW w:w="1420" w:type="dxa"/>
            <w:gridSpan w:val="3"/>
            <w:tcBorders>
              <w:bottom w:val="single" w:sz="4" w:space="0" w:color="auto"/>
            </w:tcBorders>
            <w:tcMar>
              <w:top w:w="10" w:type="dxa"/>
              <w:bottom w:w="10" w:type="dxa"/>
            </w:tcMar>
            <w:vAlign w:val="center"/>
          </w:tcPr>
          <w:p w14:paraId="7A4E2260"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b/>
                <w:color w:val="auto"/>
                <w:sz w:val="6"/>
                <w:szCs w:val="6"/>
              </w:rPr>
            </w:pPr>
            <w:r w:rsidRPr="00A635E4">
              <w:rPr>
                <w:rFonts w:ascii="Helvetica" w:hAnsi="Helvetica"/>
                <w:b/>
                <w:color w:val="auto"/>
                <w:sz w:val="6"/>
              </w:rPr>
              <w:t>Sirkulær økonomi (CE)</w:t>
            </w:r>
          </w:p>
        </w:tc>
        <w:tc>
          <w:tcPr>
            <w:tcW w:w="1426" w:type="dxa"/>
            <w:gridSpan w:val="4"/>
            <w:tcBorders>
              <w:bottom w:val="single" w:sz="4" w:space="0" w:color="auto"/>
            </w:tcBorders>
            <w:tcMar>
              <w:top w:w="10" w:type="dxa"/>
              <w:bottom w:w="10" w:type="dxa"/>
            </w:tcMar>
            <w:vAlign w:val="center"/>
          </w:tcPr>
          <w:p w14:paraId="2289C7F2"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b/>
                <w:color w:val="auto"/>
                <w:sz w:val="6"/>
                <w:szCs w:val="6"/>
              </w:rPr>
            </w:pPr>
            <w:r w:rsidRPr="00A635E4">
              <w:rPr>
                <w:rFonts w:ascii="Helvetica" w:hAnsi="Helvetica"/>
                <w:b/>
                <w:color w:val="auto"/>
                <w:sz w:val="6"/>
              </w:rPr>
              <w:t>Forurensning (PPC)</w:t>
            </w:r>
          </w:p>
        </w:tc>
        <w:tc>
          <w:tcPr>
            <w:tcW w:w="1442" w:type="dxa"/>
            <w:gridSpan w:val="5"/>
            <w:tcMar>
              <w:top w:w="10" w:type="dxa"/>
              <w:bottom w:w="10" w:type="dxa"/>
            </w:tcMar>
            <w:vAlign w:val="center"/>
          </w:tcPr>
          <w:p w14:paraId="1AC84730"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b/>
                <w:color w:val="auto"/>
                <w:sz w:val="6"/>
                <w:szCs w:val="6"/>
              </w:rPr>
            </w:pPr>
            <w:r w:rsidRPr="00A635E4">
              <w:rPr>
                <w:rFonts w:ascii="Helvetica" w:hAnsi="Helvetica"/>
                <w:b/>
                <w:color w:val="auto"/>
                <w:sz w:val="6"/>
              </w:rPr>
              <w:t>Biologisk mangfold og økosystemer (BIO)</w:t>
            </w:r>
          </w:p>
        </w:tc>
        <w:tc>
          <w:tcPr>
            <w:tcW w:w="1921" w:type="dxa"/>
            <w:gridSpan w:val="4"/>
            <w:tcMar>
              <w:top w:w="10" w:type="dxa"/>
              <w:bottom w:w="10" w:type="dxa"/>
            </w:tcMar>
            <w:vAlign w:val="center"/>
          </w:tcPr>
          <w:p w14:paraId="105FBFBA"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b/>
                <w:color w:val="auto"/>
                <w:sz w:val="6"/>
                <w:szCs w:val="6"/>
                <w:lang w:val="en-US"/>
              </w:rPr>
            </w:pPr>
            <w:r w:rsidRPr="00A635E4">
              <w:rPr>
                <w:rFonts w:ascii="Helvetica" w:hAnsi="Helvetica"/>
                <w:b/>
                <w:color w:val="auto"/>
                <w:sz w:val="6"/>
                <w:lang w:val="en-US"/>
              </w:rPr>
              <w:t>SUM (CCM + CCA + WTR + CE + PPC + BIO)</w:t>
            </w:r>
          </w:p>
        </w:tc>
      </w:tr>
      <w:tr w:rsidR="00A635E4" w:rsidRPr="00A635E4" w14:paraId="13B1C41E" w14:textId="77777777">
        <w:tc>
          <w:tcPr>
            <w:tcW w:w="2639" w:type="dxa"/>
            <w:gridSpan w:val="2"/>
            <w:vMerge/>
            <w:tcMar>
              <w:top w:w="10" w:type="dxa"/>
              <w:bottom w:w="10" w:type="dxa"/>
            </w:tcMar>
            <w:vAlign w:val="center"/>
          </w:tcPr>
          <w:p w14:paraId="0B74B489" w14:textId="77777777" w:rsidR="006561BA" w:rsidRPr="00A635E4" w:rsidRDefault="006561BA">
            <w:pPr>
              <w:widowControl w:val="0"/>
              <w:shd w:val="clear" w:color="auto" w:fill="auto"/>
              <w:spacing w:after="0" w:line="240" w:lineRule="auto"/>
              <w:jc w:val="left"/>
              <w:rPr>
                <w:rFonts w:ascii="Helvetica" w:eastAsia="Arial Unicode MS" w:hAnsi="Helvetica" w:cs="Times New Roman"/>
                <w:color w:val="auto"/>
                <w:sz w:val="6"/>
                <w:szCs w:val="6"/>
                <w:lang w:val="en-US"/>
              </w:rPr>
            </w:pPr>
          </w:p>
        </w:tc>
        <w:tc>
          <w:tcPr>
            <w:tcW w:w="359" w:type="dxa"/>
            <w:vMerge/>
            <w:tcMar>
              <w:top w:w="10" w:type="dxa"/>
              <w:bottom w:w="10" w:type="dxa"/>
            </w:tcMar>
            <w:vAlign w:val="center"/>
          </w:tcPr>
          <w:p w14:paraId="173E95F5"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2018" w:type="dxa"/>
            <w:gridSpan w:val="4"/>
            <w:tcBorders>
              <w:bottom w:val="nil"/>
            </w:tcBorders>
            <w:tcMar>
              <w:top w:w="10" w:type="dxa"/>
              <w:bottom w:w="10" w:type="dxa"/>
            </w:tcMar>
            <w:vAlign w:val="center"/>
          </w:tcPr>
          <w:p w14:paraId="570B9598"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Hvorav mot taksonomirelevante sektorer (%) (omfattet av taksonomien)</w:t>
            </w:r>
          </w:p>
        </w:tc>
        <w:tc>
          <w:tcPr>
            <w:tcW w:w="1407" w:type="dxa"/>
            <w:gridSpan w:val="3"/>
            <w:tcBorders>
              <w:bottom w:val="nil"/>
            </w:tcBorders>
            <w:tcMar>
              <w:top w:w="10" w:type="dxa"/>
              <w:bottom w:w="10" w:type="dxa"/>
            </w:tcMar>
            <w:vAlign w:val="center"/>
          </w:tcPr>
          <w:p w14:paraId="7276CDE5"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Hvorav mot taksonomirelevante sektorer (%) (omfattet av taksonomien)</w:t>
            </w:r>
          </w:p>
        </w:tc>
        <w:tc>
          <w:tcPr>
            <w:tcW w:w="1415" w:type="dxa"/>
            <w:gridSpan w:val="4"/>
            <w:tcBorders>
              <w:bottom w:val="nil"/>
            </w:tcBorders>
            <w:tcMar>
              <w:top w:w="10" w:type="dxa"/>
              <w:bottom w:w="10" w:type="dxa"/>
            </w:tcMar>
            <w:vAlign w:val="center"/>
          </w:tcPr>
          <w:p w14:paraId="52C5B6B0"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Hvorav mot taksonomirelevante sektorer (%) (omfattet av taksonomien)</w:t>
            </w:r>
          </w:p>
        </w:tc>
        <w:tc>
          <w:tcPr>
            <w:tcW w:w="1420" w:type="dxa"/>
            <w:gridSpan w:val="3"/>
            <w:tcBorders>
              <w:bottom w:val="nil"/>
            </w:tcBorders>
            <w:tcMar>
              <w:top w:w="10" w:type="dxa"/>
              <w:bottom w:w="10" w:type="dxa"/>
            </w:tcMar>
            <w:vAlign w:val="center"/>
          </w:tcPr>
          <w:p w14:paraId="05FE5861"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Hvorav mot taksonomirelevante sektorer (%) (omfattet av taksonomien)</w:t>
            </w:r>
          </w:p>
        </w:tc>
        <w:tc>
          <w:tcPr>
            <w:tcW w:w="1426" w:type="dxa"/>
            <w:gridSpan w:val="4"/>
            <w:tcBorders>
              <w:bottom w:val="nil"/>
            </w:tcBorders>
            <w:tcMar>
              <w:top w:w="10" w:type="dxa"/>
              <w:bottom w:w="10" w:type="dxa"/>
            </w:tcMar>
            <w:vAlign w:val="center"/>
          </w:tcPr>
          <w:p w14:paraId="09913DEF"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Hvorav mot taksonomirelevante sektorer (%) (omfattet av taksonomien)</w:t>
            </w:r>
          </w:p>
        </w:tc>
        <w:tc>
          <w:tcPr>
            <w:tcW w:w="1442" w:type="dxa"/>
            <w:gridSpan w:val="5"/>
            <w:tcBorders>
              <w:bottom w:val="nil"/>
            </w:tcBorders>
            <w:tcMar>
              <w:top w:w="10" w:type="dxa"/>
              <w:bottom w:w="10" w:type="dxa"/>
            </w:tcMar>
            <w:vAlign w:val="center"/>
          </w:tcPr>
          <w:p w14:paraId="2401B23F"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Hvorav mot taksonomirelevante sektorer (%) (omfattet av taksonomien)</w:t>
            </w:r>
          </w:p>
        </w:tc>
        <w:tc>
          <w:tcPr>
            <w:tcW w:w="1921" w:type="dxa"/>
            <w:gridSpan w:val="4"/>
            <w:tcBorders>
              <w:bottom w:val="nil"/>
            </w:tcBorders>
            <w:tcMar>
              <w:top w:w="10" w:type="dxa"/>
              <w:bottom w:w="10" w:type="dxa"/>
            </w:tcMar>
            <w:vAlign w:val="center"/>
          </w:tcPr>
          <w:p w14:paraId="701FEC1B"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Hvorav mot taksonomirelevante sektorer (%) (omfattet av taksonomien)</w:t>
            </w:r>
          </w:p>
        </w:tc>
      </w:tr>
      <w:tr w:rsidR="00A635E4" w:rsidRPr="00A635E4" w14:paraId="480CA1A0" w14:textId="77777777">
        <w:tc>
          <w:tcPr>
            <w:tcW w:w="2639" w:type="dxa"/>
            <w:gridSpan w:val="2"/>
            <w:vMerge/>
            <w:tcMar>
              <w:top w:w="10" w:type="dxa"/>
              <w:bottom w:w="10" w:type="dxa"/>
            </w:tcMar>
            <w:vAlign w:val="center"/>
          </w:tcPr>
          <w:p w14:paraId="25BD7390" w14:textId="77777777" w:rsidR="006561BA" w:rsidRPr="00A635E4" w:rsidRDefault="006561BA">
            <w:pPr>
              <w:widowControl w:val="0"/>
              <w:shd w:val="clear" w:color="auto" w:fill="auto"/>
              <w:spacing w:after="0" w:line="240" w:lineRule="auto"/>
              <w:jc w:val="left"/>
              <w:rPr>
                <w:rFonts w:ascii="Helvetica" w:eastAsia="Arial Unicode MS" w:hAnsi="Helvetica" w:cs="Times New Roman"/>
                <w:color w:val="auto"/>
                <w:sz w:val="6"/>
                <w:szCs w:val="6"/>
              </w:rPr>
            </w:pPr>
          </w:p>
        </w:tc>
        <w:tc>
          <w:tcPr>
            <w:tcW w:w="359" w:type="dxa"/>
            <w:vMerge/>
            <w:tcMar>
              <w:top w:w="10" w:type="dxa"/>
              <w:bottom w:w="10" w:type="dxa"/>
            </w:tcMar>
            <w:vAlign w:val="center"/>
          </w:tcPr>
          <w:p w14:paraId="70072BC8"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65" w:type="dxa"/>
            <w:tcBorders>
              <w:top w:val="nil"/>
            </w:tcBorders>
            <w:tcMar>
              <w:top w:w="10" w:type="dxa"/>
              <w:bottom w:w="10" w:type="dxa"/>
            </w:tcMar>
            <w:vAlign w:val="center"/>
          </w:tcPr>
          <w:p w14:paraId="5E279B01"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1653" w:type="dxa"/>
            <w:gridSpan w:val="3"/>
            <w:tcBorders>
              <w:top w:val="single" w:sz="4" w:space="0" w:color="auto"/>
              <w:bottom w:val="nil"/>
            </w:tcBorders>
            <w:tcMar>
              <w:top w:w="10" w:type="dxa"/>
              <w:bottom w:w="10" w:type="dxa"/>
            </w:tcMar>
            <w:vAlign w:val="center"/>
          </w:tcPr>
          <w:p w14:paraId="30725F3D"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Hvorav miljømessig bærekraftige (%) (taksonomiforenlige)</w:t>
            </w:r>
          </w:p>
        </w:tc>
        <w:tc>
          <w:tcPr>
            <w:tcW w:w="359" w:type="dxa"/>
            <w:tcBorders>
              <w:top w:val="nil"/>
              <w:bottom w:val="nil"/>
            </w:tcBorders>
            <w:tcMar>
              <w:top w:w="10" w:type="dxa"/>
              <w:bottom w:w="10" w:type="dxa"/>
            </w:tcMar>
            <w:vAlign w:val="center"/>
          </w:tcPr>
          <w:p w14:paraId="2EBC73E3"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1048" w:type="dxa"/>
            <w:gridSpan w:val="2"/>
            <w:tcBorders>
              <w:top w:val="single" w:sz="4" w:space="0" w:color="auto"/>
              <w:bottom w:val="nil"/>
            </w:tcBorders>
            <w:tcMar>
              <w:top w:w="10" w:type="dxa"/>
              <w:bottom w:w="10" w:type="dxa"/>
            </w:tcMar>
            <w:vAlign w:val="center"/>
          </w:tcPr>
          <w:p w14:paraId="0EB6A54F"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Hvorav miljømessig bærekraftige (%) (taksonomiforenlige)</w:t>
            </w:r>
          </w:p>
        </w:tc>
        <w:tc>
          <w:tcPr>
            <w:tcW w:w="359" w:type="dxa"/>
            <w:tcBorders>
              <w:top w:val="nil"/>
              <w:bottom w:val="nil"/>
            </w:tcBorders>
            <w:tcMar>
              <w:top w:w="10" w:type="dxa"/>
              <w:bottom w:w="10" w:type="dxa"/>
            </w:tcMar>
            <w:vAlign w:val="center"/>
          </w:tcPr>
          <w:p w14:paraId="0FF07303"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1056" w:type="dxa"/>
            <w:gridSpan w:val="3"/>
            <w:tcBorders>
              <w:top w:val="single" w:sz="4" w:space="0" w:color="auto"/>
              <w:bottom w:val="nil"/>
            </w:tcBorders>
            <w:tcMar>
              <w:top w:w="10" w:type="dxa"/>
              <w:bottom w:w="10" w:type="dxa"/>
            </w:tcMar>
            <w:vAlign w:val="center"/>
          </w:tcPr>
          <w:p w14:paraId="1678ED1E"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Hvorav miljømessig bærekraftige (%) (taksonomiforenlige)</w:t>
            </w:r>
          </w:p>
        </w:tc>
        <w:tc>
          <w:tcPr>
            <w:tcW w:w="365" w:type="dxa"/>
            <w:tcBorders>
              <w:top w:val="nil"/>
              <w:bottom w:val="nil"/>
            </w:tcBorders>
            <w:tcMar>
              <w:top w:w="10" w:type="dxa"/>
              <w:bottom w:w="10" w:type="dxa"/>
            </w:tcMar>
            <w:vAlign w:val="center"/>
          </w:tcPr>
          <w:p w14:paraId="382D6620"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1055" w:type="dxa"/>
            <w:gridSpan w:val="2"/>
            <w:tcBorders>
              <w:top w:val="single" w:sz="4" w:space="0" w:color="auto"/>
              <w:bottom w:val="nil"/>
            </w:tcBorders>
            <w:tcMar>
              <w:top w:w="10" w:type="dxa"/>
              <w:bottom w:w="10" w:type="dxa"/>
            </w:tcMar>
            <w:vAlign w:val="center"/>
          </w:tcPr>
          <w:p w14:paraId="40B3A561"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Hvorav miljømessig bærekraftige (%) (taksonomiforenlige)</w:t>
            </w:r>
          </w:p>
        </w:tc>
        <w:tc>
          <w:tcPr>
            <w:tcW w:w="363" w:type="dxa"/>
            <w:tcBorders>
              <w:top w:val="nil"/>
              <w:bottom w:val="nil"/>
            </w:tcBorders>
            <w:tcMar>
              <w:top w:w="10" w:type="dxa"/>
              <w:bottom w:w="10" w:type="dxa"/>
            </w:tcMar>
            <w:vAlign w:val="center"/>
          </w:tcPr>
          <w:p w14:paraId="46DC4637"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1063" w:type="dxa"/>
            <w:gridSpan w:val="3"/>
            <w:tcBorders>
              <w:top w:val="single" w:sz="4" w:space="0" w:color="auto"/>
              <w:bottom w:val="nil"/>
            </w:tcBorders>
            <w:tcMar>
              <w:top w:w="10" w:type="dxa"/>
              <w:bottom w:w="10" w:type="dxa"/>
            </w:tcMar>
            <w:vAlign w:val="center"/>
          </w:tcPr>
          <w:p w14:paraId="0B7E8CDE"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Hvorav miljømessig bærekraftige (%) (taksonomiforenlige)</w:t>
            </w:r>
          </w:p>
        </w:tc>
        <w:tc>
          <w:tcPr>
            <w:tcW w:w="359" w:type="dxa"/>
            <w:tcBorders>
              <w:top w:val="nil"/>
              <w:bottom w:val="nil"/>
            </w:tcBorders>
            <w:tcMar>
              <w:top w:w="10" w:type="dxa"/>
              <w:bottom w:w="10" w:type="dxa"/>
            </w:tcMar>
            <w:vAlign w:val="center"/>
          </w:tcPr>
          <w:p w14:paraId="10EECECF"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1083" w:type="dxa"/>
            <w:gridSpan w:val="4"/>
            <w:tcBorders>
              <w:top w:val="single" w:sz="4" w:space="0" w:color="auto"/>
              <w:bottom w:val="nil"/>
            </w:tcBorders>
            <w:tcMar>
              <w:top w:w="10" w:type="dxa"/>
              <w:bottom w:w="10" w:type="dxa"/>
            </w:tcMar>
            <w:vAlign w:val="center"/>
          </w:tcPr>
          <w:p w14:paraId="34808A7B"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Hvorav miljømessig bærekraftige (%) (taksonomiforenlige)</w:t>
            </w:r>
          </w:p>
        </w:tc>
        <w:tc>
          <w:tcPr>
            <w:tcW w:w="366" w:type="dxa"/>
            <w:tcBorders>
              <w:top w:val="nil"/>
              <w:bottom w:val="nil"/>
            </w:tcBorders>
            <w:tcMar>
              <w:top w:w="10" w:type="dxa"/>
              <w:bottom w:w="10" w:type="dxa"/>
            </w:tcMar>
            <w:vAlign w:val="center"/>
          </w:tcPr>
          <w:p w14:paraId="424D5BC3"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1555" w:type="dxa"/>
            <w:gridSpan w:val="3"/>
            <w:tcBorders>
              <w:top w:val="single" w:sz="4" w:space="0" w:color="auto"/>
              <w:bottom w:val="nil"/>
            </w:tcBorders>
            <w:tcMar>
              <w:top w:w="10" w:type="dxa"/>
              <w:bottom w:w="10" w:type="dxa"/>
            </w:tcMar>
            <w:vAlign w:val="center"/>
          </w:tcPr>
          <w:p w14:paraId="2CC621D5"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Hvorav miljømessig bærekraftige (%) (taksonomiforenlige)</w:t>
            </w:r>
          </w:p>
        </w:tc>
      </w:tr>
      <w:tr w:rsidR="00A635E4" w:rsidRPr="00A635E4" w14:paraId="336A05DE" w14:textId="77777777">
        <w:tc>
          <w:tcPr>
            <w:tcW w:w="2639" w:type="dxa"/>
            <w:gridSpan w:val="2"/>
            <w:tcMar>
              <w:top w:w="10" w:type="dxa"/>
              <w:bottom w:w="10" w:type="dxa"/>
            </w:tcMar>
            <w:vAlign w:val="center"/>
          </w:tcPr>
          <w:p w14:paraId="27A14846" w14:textId="77777777" w:rsidR="006561BA" w:rsidRPr="00A635E4" w:rsidRDefault="006561BA">
            <w:pPr>
              <w:widowControl w:val="0"/>
              <w:shd w:val="clear" w:color="auto" w:fill="auto"/>
              <w:spacing w:after="0" w:line="240" w:lineRule="auto"/>
              <w:jc w:val="left"/>
              <w:rPr>
                <w:rFonts w:ascii="Helvetica" w:eastAsia="Arial Unicode MS" w:hAnsi="Helvetica" w:cs="Times New Roman"/>
                <w:color w:val="auto"/>
                <w:sz w:val="6"/>
                <w:szCs w:val="6"/>
                <w:lang w:val="en-US"/>
              </w:rPr>
            </w:pPr>
          </w:p>
        </w:tc>
        <w:tc>
          <w:tcPr>
            <w:tcW w:w="359" w:type="dxa"/>
            <w:tcMar>
              <w:top w:w="10" w:type="dxa"/>
              <w:bottom w:w="10" w:type="dxa"/>
            </w:tcMar>
            <w:vAlign w:val="center"/>
          </w:tcPr>
          <w:p w14:paraId="715E7467"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365" w:type="dxa"/>
            <w:tcMar>
              <w:top w:w="10" w:type="dxa"/>
              <w:bottom w:w="10" w:type="dxa"/>
            </w:tcMar>
            <w:vAlign w:val="center"/>
          </w:tcPr>
          <w:p w14:paraId="4FA47E7D"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20" w:type="dxa"/>
            <w:tcBorders>
              <w:top w:val="nil"/>
            </w:tcBorders>
            <w:tcMar>
              <w:top w:w="10" w:type="dxa"/>
              <w:bottom w:w="10" w:type="dxa"/>
            </w:tcMar>
            <w:vAlign w:val="center"/>
          </w:tcPr>
          <w:p w14:paraId="749570FA"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42" w:type="dxa"/>
            <w:tcBorders>
              <w:top w:val="single" w:sz="4" w:space="0" w:color="auto"/>
            </w:tcBorders>
            <w:tcMar>
              <w:top w:w="10" w:type="dxa"/>
              <w:bottom w:w="10" w:type="dxa"/>
            </w:tcMar>
            <w:vAlign w:val="center"/>
          </w:tcPr>
          <w:p w14:paraId="241C126B" w14:textId="77777777" w:rsidR="006561BA" w:rsidRPr="00A635E4" w:rsidRDefault="005B4ED6">
            <w:pPr>
              <w:widowControl w:val="0"/>
              <w:shd w:val="clear" w:color="auto" w:fill="auto"/>
              <w:spacing w:after="0" w:line="240" w:lineRule="auto"/>
              <w:jc w:val="left"/>
              <w:rPr>
                <w:rFonts w:ascii="Helvetica" w:eastAsia="Arial Unicode MS" w:hAnsi="Helvetica" w:cs="Times New Roman"/>
                <w:color w:val="auto"/>
                <w:sz w:val="6"/>
                <w:szCs w:val="6"/>
              </w:rPr>
            </w:pPr>
            <w:r w:rsidRPr="00A635E4">
              <w:rPr>
                <w:rFonts w:ascii="Helvetica" w:hAnsi="Helvetica"/>
                <w:color w:val="auto"/>
                <w:sz w:val="6"/>
              </w:rPr>
              <w:t>Hvorav omstilling</w:t>
            </w:r>
          </w:p>
        </w:tc>
        <w:tc>
          <w:tcPr>
            <w:tcW w:w="591" w:type="dxa"/>
            <w:tcBorders>
              <w:top w:val="single" w:sz="4" w:space="0" w:color="auto"/>
            </w:tcBorders>
            <w:tcMar>
              <w:top w:w="10" w:type="dxa"/>
              <w:bottom w:w="10" w:type="dxa"/>
            </w:tcMar>
            <w:vAlign w:val="center"/>
          </w:tcPr>
          <w:p w14:paraId="63FB666A" w14:textId="77777777" w:rsidR="006561BA" w:rsidRPr="00A635E4" w:rsidRDefault="005B4ED6">
            <w:pPr>
              <w:widowControl w:val="0"/>
              <w:shd w:val="clear" w:color="auto" w:fill="auto"/>
              <w:spacing w:after="0" w:line="240" w:lineRule="auto"/>
              <w:jc w:val="left"/>
              <w:rPr>
                <w:rFonts w:ascii="Helvetica" w:eastAsia="Arial Unicode MS" w:hAnsi="Helvetica" w:cs="Times New Roman"/>
                <w:color w:val="auto"/>
                <w:sz w:val="6"/>
                <w:szCs w:val="6"/>
              </w:rPr>
            </w:pPr>
            <w:r w:rsidRPr="00A635E4">
              <w:rPr>
                <w:rFonts w:ascii="Helvetica" w:hAnsi="Helvetica"/>
                <w:color w:val="auto"/>
                <w:sz w:val="6"/>
              </w:rPr>
              <w:t>Hvorav muliggjørende</w:t>
            </w:r>
          </w:p>
        </w:tc>
        <w:tc>
          <w:tcPr>
            <w:tcW w:w="359" w:type="dxa"/>
            <w:tcBorders>
              <w:top w:val="nil"/>
            </w:tcBorders>
            <w:tcMar>
              <w:top w:w="10" w:type="dxa"/>
              <w:bottom w:w="10" w:type="dxa"/>
            </w:tcMar>
            <w:vAlign w:val="center"/>
          </w:tcPr>
          <w:p w14:paraId="3E94DEA7"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78" w:type="dxa"/>
            <w:tcBorders>
              <w:top w:val="nil"/>
            </w:tcBorders>
            <w:tcMar>
              <w:top w:w="10" w:type="dxa"/>
              <w:bottom w:w="10" w:type="dxa"/>
            </w:tcMar>
            <w:vAlign w:val="center"/>
          </w:tcPr>
          <w:p w14:paraId="702E86F4"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70" w:type="dxa"/>
            <w:tcBorders>
              <w:top w:val="single" w:sz="4" w:space="0" w:color="auto"/>
            </w:tcBorders>
            <w:tcMar>
              <w:top w:w="10" w:type="dxa"/>
              <w:bottom w:w="10" w:type="dxa"/>
            </w:tcMar>
            <w:vAlign w:val="center"/>
          </w:tcPr>
          <w:p w14:paraId="43FC3A1F" w14:textId="77777777" w:rsidR="006561BA" w:rsidRPr="00A635E4" w:rsidRDefault="005B4ED6">
            <w:pPr>
              <w:widowControl w:val="0"/>
              <w:shd w:val="clear" w:color="auto" w:fill="auto"/>
              <w:spacing w:after="0" w:line="240" w:lineRule="auto"/>
              <w:jc w:val="left"/>
              <w:rPr>
                <w:rFonts w:ascii="Helvetica" w:eastAsia="Arial Unicode MS" w:hAnsi="Helvetica" w:cs="Times New Roman"/>
                <w:color w:val="auto"/>
                <w:sz w:val="6"/>
                <w:szCs w:val="6"/>
              </w:rPr>
            </w:pPr>
            <w:r w:rsidRPr="00A635E4">
              <w:rPr>
                <w:rFonts w:ascii="Helvetica" w:hAnsi="Helvetica"/>
                <w:color w:val="auto"/>
                <w:sz w:val="6"/>
              </w:rPr>
              <w:t>Hvorav muliggjørende</w:t>
            </w:r>
          </w:p>
        </w:tc>
        <w:tc>
          <w:tcPr>
            <w:tcW w:w="359" w:type="dxa"/>
            <w:tcBorders>
              <w:top w:val="nil"/>
            </w:tcBorders>
            <w:tcMar>
              <w:top w:w="10" w:type="dxa"/>
              <w:bottom w:w="10" w:type="dxa"/>
            </w:tcMar>
            <w:vAlign w:val="center"/>
          </w:tcPr>
          <w:p w14:paraId="3E4E9E4A"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71" w:type="dxa"/>
            <w:tcBorders>
              <w:top w:val="nil"/>
            </w:tcBorders>
            <w:tcMar>
              <w:top w:w="10" w:type="dxa"/>
              <w:bottom w:w="10" w:type="dxa"/>
            </w:tcMar>
            <w:vAlign w:val="center"/>
          </w:tcPr>
          <w:p w14:paraId="691B4D5B"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585" w:type="dxa"/>
            <w:gridSpan w:val="2"/>
            <w:tcBorders>
              <w:top w:val="single" w:sz="4" w:space="0" w:color="auto"/>
            </w:tcBorders>
            <w:tcMar>
              <w:top w:w="10" w:type="dxa"/>
              <w:bottom w:w="10" w:type="dxa"/>
            </w:tcMar>
            <w:vAlign w:val="center"/>
          </w:tcPr>
          <w:p w14:paraId="5773790B" w14:textId="77777777" w:rsidR="006561BA" w:rsidRPr="00A635E4" w:rsidRDefault="005B4ED6">
            <w:pPr>
              <w:widowControl w:val="0"/>
              <w:shd w:val="clear" w:color="auto" w:fill="auto"/>
              <w:spacing w:after="0" w:line="240" w:lineRule="auto"/>
              <w:jc w:val="left"/>
              <w:rPr>
                <w:rFonts w:ascii="Helvetica" w:eastAsia="Arial Unicode MS" w:hAnsi="Helvetica" w:cs="Times New Roman"/>
                <w:color w:val="auto"/>
                <w:sz w:val="6"/>
                <w:szCs w:val="6"/>
              </w:rPr>
            </w:pPr>
            <w:r w:rsidRPr="00A635E4">
              <w:rPr>
                <w:rFonts w:ascii="Helvetica" w:hAnsi="Helvetica"/>
                <w:color w:val="auto"/>
                <w:sz w:val="6"/>
              </w:rPr>
              <w:t>Hvorav muliggjørende</w:t>
            </w:r>
          </w:p>
        </w:tc>
        <w:tc>
          <w:tcPr>
            <w:tcW w:w="365" w:type="dxa"/>
            <w:tcBorders>
              <w:top w:val="nil"/>
            </w:tcBorders>
            <w:tcMar>
              <w:top w:w="10" w:type="dxa"/>
              <w:bottom w:w="10" w:type="dxa"/>
            </w:tcMar>
            <w:vAlign w:val="center"/>
          </w:tcPr>
          <w:p w14:paraId="03F784CD" w14:textId="77777777" w:rsidR="006561BA" w:rsidRPr="00A635E4" w:rsidRDefault="006561BA">
            <w:pPr>
              <w:widowControl w:val="0"/>
              <w:shd w:val="clear" w:color="auto" w:fill="auto"/>
              <w:spacing w:after="0" w:line="240" w:lineRule="auto"/>
              <w:jc w:val="left"/>
              <w:rPr>
                <w:rFonts w:ascii="Helvetica" w:eastAsia="Arial Unicode MS" w:hAnsi="Helvetica" w:cs="Times New Roman"/>
                <w:color w:val="auto"/>
                <w:sz w:val="6"/>
                <w:szCs w:val="6"/>
                <w:lang w:val="en-US"/>
              </w:rPr>
            </w:pPr>
          </w:p>
        </w:tc>
        <w:tc>
          <w:tcPr>
            <w:tcW w:w="464" w:type="dxa"/>
            <w:tcBorders>
              <w:top w:val="nil"/>
            </w:tcBorders>
            <w:tcMar>
              <w:top w:w="10" w:type="dxa"/>
              <w:bottom w:w="10" w:type="dxa"/>
            </w:tcMar>
            <w:vAlign w:val="center"/>
          </w:tcPr>
          <w:p w14:paraId="49AE4BDE" w14:textId="77777777" w:rsidR="006561BA" w:rsidRPr="00A635E4" w:rsidRDefault="006561BA">
            <w:pPr>
              <w:widowControl w:val="0"/>
              <w:shd w:val="clear" w:color="auto" w:fill="auto"/>
              <w:spacing w:after="0" w:line="240" w:lineRule="auto"/>
              <w:jc w:val="left"/>
              <w:rPr>
                <w:rFonts w:ascii="Helvetica" w:eastAsia="Arial Unicode MS" w:hAnsi="Helvetica" w:cs="Times New Roman"/>
                <w:color w:val="auto"/>
                <w:sz w:val="6"/>
                <w:szCs w:val="6"/>
                <w:lang w:val="en-US"/>
              </w:rPr>
            </w:pPr>
          </w:p>
        </w:tc>
        <w:tc>
          <w:tcPr>
            <w:tcW w:w="591" w:type="dxa"/>
            <w:tcBorders>
              <w:top w:val="single" w:sz="4" w:space="0" w:color="auto"/>
            </w:tcBorders>
            <w:tcMar>
              <w:top w:w="10" w:type="dxa"/>
              <w:bottom w:w="10" w:type="dxa"/>
            </w:tcMar>
            <w:vAlign w:val="center"/>
          </w:tcPr>
          <w:p w14:paraId="3EA1619C" w14:textId="77777777" w:rsidR="006561BA" w:rsidRPr="00A635E4" w:rsidRDefault="005B4ED6">
            <w:pPr>
              <w:widowControl w:val="0"/>
              <w:shd w:val="clear" w:color="auto" w:fill="auto"/>
              <w:spacing w:after="0" w:line="240" w:lineRule="auto"/>
              <w:jc w:val="left"/>
              <w:rPr>
                <w:rFonts w:ascii="Helvetica" w:eastAsia="Arial Unicode MS" w:hAnsi="Helvetica" w:cs="Times New Roman"/>
                <w:color w:val="auto"/>
                <w:sz w:val="6"/>
                <w:szCs w:val="6"/>
              </w:rPr>
            </w:pPr>
            <w:r w:rsidRPr="00A635E4">
              <w:rPr>
                <w:rFonts w:ascii="Helvetica" w:hAnsi="Helvetica"/>
                <w:color w:val="auto"/>
                <w:sz w:val="6"/>
              </w:rPr>
              <w:t>Hvorav muliggjørende</w:t>
            </w:r>
          </w:p>
        </w:tc>
        <w:tc>
          <w:tcPr>
            <w:tcW w:w="363" w:type="dxa"/>
            <w:tcBorders>
              <w:top w:val="nil"/>
            </w:tcBorders>
            <w:tcMar>
              <w:top w:w="10" w:type="dxa"/>
              <w:bottom w:w="10" w:type="dxa"/>
            </w:tcMar>
            <w:vAlign w:val="center"/>
          </w:tcPr>
          <w:p w14:paraId="502A6EF8" w14:textId="77777777" w:rsidR="006561BA" w:rsidRPr="00A635E4" w:rsidRDefault="006561BA">
            <w:pPr>
              <w:widowControl w:val="0"/>
              <w:shd w:val="clear" w:color="auto" w:fill="auto"/>
              <w:spacing w:after="0" w:line="240" w:lineRule="auto"/>
              <w:jc w:val="left"/>
              <w:rPr>
                <w:rFonts w:ascii="Helvetica" w:eastAsia="Arial Unicode MS" w:hAnsi="Helvetica" w:cs="Times New Roman"/>
                <w:color w:val="auto"/>
                <w:sz w:val="6"/>
                <w:szCs w:val="6"/>
                <w:lang w:val="en-US"/>
              </w:rPr>
            </w:pPr>
          </w:p>
        </w:tc>
        <w:tc>
          <w:tcPr>
            <w:tcW w:w="472" w:type="dxa"/>
            <w:gridSpan w:val="2"/>
            <w:tcBorders>
              <w:top w:val="nil"/>
            </w:tcBorders>
            <w:tcMar>
              <w:top w:w="10" w:type="dxa"/>
              <w:bottom w:w="10" w:type="dxa"/>
            </w:tcMar>
            <w:vAlign w:val="center"/>
          </w:tcPr>
          <w:p w14:paraId="06EFFD02" w14:textId="77777777" w:rsidR="006561BA" w:rsidRPr="00A635E4" w:rsidRDefault="006561BA">
            <w:pPr>
              <w:widowControl w:val="0"/>
              <w:shd w:val="clear" w:color="auto" w:fill="auto"/>
              <w:spacing w:after="0" w:line="240" w:lineRule="auto"/>
              <w:jc w:val="left"/>
              <w:rPr>
                <w:rFonts w:ascii="Helvetica" w:eastAsia="Arial Unicode MS" w:hAnsi="Helvetica" w:cs="Times New Roman"/>
                <w:color w:val="auto"/>
                <w:sz w:val="6"/>
                <w:szCs w:val="6"/>
                <w:lang w:val="en-US"/>
              </w:rPr>
            </w:pPr>
          </w:p>
        </w:tc>
        <w:tc>
          <w:tcPr>
            <w:tcW w:w="591" w:type="dxa"/>
            <w:tcBorders>
              <w:top w:val="single" w:sz="4" w:space="0" w:color="auto"/>
            </w:tcBorders>
            <w:tcMar>
              <w:top w:w="10" w:type="dxa"/>
              <w:bottom w:w="10" w:type="dxa"/>
            </w:tcMar>
            <w:vAlign w:val="center"/>
          </w:tcPr>
          <w:p w14:paraId="3FC9F232" w14:textId="77777777" w:rsidR="006561BA" w:rsidRPr="00A635E4" w:rsidRDefault="005B4ED6">
            <w:pPr>
              <w:widowControl w:val="0"/>
              <w:shd w:val="clear" w:color="auto" w:fill="auto"/>
              <w:spacing w:after="0" w:line="240" w:lineRule="auto"/>
              <w:jc w:val="left"/>
              <w:rPr>
                <w:rFonts w:ascii="Helvetica" w:eastAsia="Arial Unicode MS" w:hAnsi="Helvetica" w:cs="Times New Roman"/>
                <w:color w:val="auto"/>
                <w:sz w:val="6"/>
                <w:szCs w:val="6"/>
              </w:rPr>
            </w:pPr>
            <w:r w:rsidRPr="00A635E4">
              <w:rPr>
                <w:rFonts w:ascii="Helvetica" w:hAnsi="Helvetica"/>
                <w:color w:val="auto"/>
                <w:sz w:val="6"/>
              </w:rPr>
              <w:t>Hvorav muliggjørende</w:t>
            </w:r>
          </w:p>
        </w:tc>
        <w:tc>
          <w:tcPr>
            <w:tcW w:w="359" w:type="dxa"/>
            <w:tcBorders>
              <w:top w:val="nil"/>
            </w:tcBorders>
            <w:tcMar>
              <w:top w:w="10" w:type="dxa"/>
              <w:bottom w:w="10" w:type="dxa"/>
            </w:tcMar>
            <w:vAlign w:val="center"/>
          </w:tcPr>
          <w:p w14:paraId="415D320B"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464" w:type="dxa"/>
            <w:tcBorders>
              <w:top w:val="nil"/>
            </w:tcBorders>
            <w:tcMar>
              <w:top w:w="10" w:type="dxa"/>
              <w:bottom w:w="10" w:type="dxa"/>
            </w:tcMar>
            <w:vAlign w:val="center"/>
          </w:tcPr>
          <w:p w14:paraId="2F55AD95"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lang w:val="en-US"/>
              </w:rPr>
            </w:pPr>
          </w:p>
        </w:tc>
        <w:tc>
          <w:tcPr>
            <w:tcW w:w="619" w:type="dxa"/>
            <w:gridSpan w:val="3"/>
            <w:tcBorders>
              <w:top w:val="single" w:sz="4" w:space="0" w:color="auto"/>
            </w:tcBorders>
            <w:tcMar>
              <w:top w:w="10" w:type="dxa"/>
              <w:bottom w:w="10" w:type="dxa"/>
            </w:tcMar>
            <w:vAlign w:val="center"/>
          </w:tcPr>
          <w:p w14:paraId="04F101F4" w14:textId="77777777" w:rsidR="006561BA" w:rsidRPr="00A635E4" w:rsidRDefault="005B4ED6">
            <w:pPr>
              <w:widowControl w:val="0"/>
              <w:shd w:val="clear" w:color="auto" w:fill="auto"/>
              <w:spacing w:after="0" w:line="240" w:lineRule="auto"/>
              <w:jc w:val="left"/>
              <w:rPr>
                <w:rFonts w:ascii="Helvetica" w:eastAsia="Arial Unicode MS" w:hAnsi="Helvetica" w:cs="Times New Roman"/>
                <w:color w:val="auto"/>
                <w:sz w:val="6"/>
                <w:szCs w:val="6"/>
              </w:rPr>
            </w:pPr>
            <w:r w:rsidRPr="00A635E4">
              <w:rPr>
                <w:rFonts w:ascii="Helvetica" w:hAnsi="Helvetica"/>
                <w:color w:val="auto"/>
                <w:sz w:val="6"/>
              </w:rPr>
              <w:t>Hvorav muliggjørende</w:t>
            </w:r>
          </w:p>
        </w:tc>
        <w:tc>
          <w:tcPr>
            <w:tcW w:w="366" w:type="dxa"/>
            <w:tcBorders>
              <w:top w:val="nil"/>
            </w:tcBorders>
            <w:tcMar>
              <w:top w:w="10" w:type="dxa"/>
              <w:bottom w:w="10" w:type="dxa"/>
            </w:tcMar>
            <w:vAlign w:val="center"/>
          </w:tcPr>
          <w:p w14:paraId="2CE4926F" w14:textId="77777777" w:rsidR="006561BA" w:rsidRPr="00A635E4" w:rsidRDefault="006561BA">
            <w:pPr>
              <w:widowControl w:val="0"/>
              <w:shd w:val="clear" w:color="auto" w:fill="auto"/>
              <w:spacing w:after="0" w:line="240" w:lineRule="auto"/>
              <w:jc w:val="left"/>
              <w:rPr>
                <w:rFonts w:ascii="Helvetica" w:eastAsia="Arial Unicode MS" w:hAnsi="Helvetica" w:cs="Times New Roman"/>
                <w:color w:val="auto"/>
                <w:sz w:val="6"/>
                <w:szCs w:val="6"/>
                <w:lang w:val="en-US"/>
              </w:rPr>
            </w:pPr>
          </w:p>
        </w:tc>
        <w:tc>
          <w:tcPr>
            <w:tcW w:w="457" w:type="dxa"/>
            <w:tcBorders>
              <w:top w:val="nil"/>
            </w:tcBorders>
            <w:tcMar>
              <w:top w:w="10" w:type="dxa"/>
              <w:bottom w:w="10" w:type="dxa"/>
            </w:tcMar>
            <w:vAlign w:val="center"/>
          </w:tcPr>
          <w:p w14:paraId="57D266EB" w14:textId="77777777" w:rsidR="006561BA" w:rsidRPr="00A635E4" w:rsidRDefault="006561BA">
            <w:pPr>
              <w:widowControl w:val="0"/>
              <w:shd w:val="clear" w:color="auto" w:fill="auto"/>
              <w:spacing w:after="0" w:line="240" w:lineRule="auto"/>
              <w:jc w:val="left"/>
              <w:rPr>
                <w:rFonts w:ascii="Helvetica" w:eastAsia="Arial Unicode MS" w:hAnsi="Helvetica" w:cs="Times New Roman"/>
                <w:color w:val="auto"/>
                <w:sz w:val="6"/>
                <w:szCs w:val="6"/>
                <w:lang w:val="en-US"/>
              </w:rPr>
            </w:pPr>
          </w:p>
        </w:tc>
        <w:tc>
          <w:tcPr>
            <w:tcW w:w="535" w:type="dxa"/>
            <w:tcBorders>
              <w:top w:val="single" w:sz="4" w:space="0" w:color="auto"/>
            </w:tcBorders>
            <w:tcMar>
              <w:top w:w="10" w:type="dxa"/>
              <w:bottom w:w="10" w:type="dxa"/>
            </w:tcMar>
            <w:vAlign w:val="center"/>
          </w:tcPr>
          <w:p w14:paraId="3DC320DC" w14:textId="77777777" w:rsidR="006561BA" w:rsidRPr="00A635E4" w:rsidRDefault="005B4ED6">
            <w:pPr>
              <w:widowControl w:val="0"/>
              <w:shd w:val="clear" w:color="auto" w:fill="auto"/>
              <w:spacing w:after="0" w:line="240" w:lineRule="auto"/>
              <w:jc w:val="left"/>
              <w:rPr>
                <w:rFonts w:ascii="Helvetica" w:eastAsia="Arial Unicode MS" w:hAnsi="Helvetica" w:cs="Times New Roman"/>
                <w:color w:val="auto"/>
                <w:sz w:val="6"/>
                <w:szCs w:val="6"/>
              </w:rPr>
            </w:pPr>
            <w:r w:rsidRPr="00A635E4">
              <w:rPr>
                <w:rFonts w:ascii="Helvetica" w:hAnsi="Helvetica"/>
                <w:color w:val="auto"/>
                <w:sz w:val="6"/>
              </w:rPr>
              <w:t>Hvorav omstilling</w:t>
            </w:r>
          </w:p>
        </w:tc>
        <w:tc>
          <w:tcPr>
            <w:tcW w:w="563" w:type="dxa"/>
            <w:tcBorders>
              <w:top w:val="single" w:sz="4" w:space="0" w:color="auto"/>
            </w:tcBorders>
            <w:tcMar>
              <w:top w:w="10" w:type="dxa"/>
              <w:bottom w:w="10" w:type="dxa"/>
            </w:tcMar>
            <w:vAlign w:val="center"/>
          </w:tcPr>
          <w:p w14:paraId="01D06973" w14:textId="77777777" w:rsidR="006561BA" w:rsidRPr="00A635E4" w:rsidRDefault="005B4ED6">
            <w:pPr>
              <w:widowControl w:val="0"/>
              <w:shd w:val="clear" w:color="auto" w:fill="auto"/>
              <w:spacing w:after="0" w:line="240" w:lineRule="auto"/>
              <w:jc w:val="left"/>
              <w:rPr>
                <w:rFonts w:ascii="Helvetica" w:eastAsia="Arial Unicode MS" w:hAnsi="Helvetica" w:cs="Times New Roman"/>
                <w:color w:val="auto"/>
                <w:sz w:val="6"/>
                <w:szCs w:val="6"/>
              </w:rPr>
            </w:pPr>
            <w:r w:rsidRPr="00A635E4">
              <w:rPr>
                <w:rFonts w:ascii="Helvetica" w:hAnsi="Helvetica"/>
                <w:color w:val="auto"/>
                <w:sz w:val="6"/>
              </w:rPr>
              <w:t>Hvorav muliggjørende</w:t>
            </w:r>
          </w:p>
        </w:tc>
      </w:tr>
      <w:tr w:rsidR="00A635E4" w:rsidRPr="00A635E4" w14:paraId="446F42E1" w14:textId="77777777">
        <w:tc>
          <w:tcPr>
            <w:tcW w:w="133" w:type="dxa"/>
            <w:tcMar>
              <w:top w:w="10" w:type="dxa"/>
              <w:bottom w:w="10" w:type="dxa"/>
            </w:tcMar>
            <w:vAlign w:val="center"/>
          </w:tcPr>
          <w:p w14:paraId="056FEC1F" w14:textId="77777777" w:rsidR="006561BA" w:rsidRPr="00A635E4" w:rsidRDefault="005B4ED6">
            <w:pPr>
              <w:widowControl w:val="0"/>
              <w:shd w:val="clear" w:color="auto" w:fill="auto"/>
              <w:spacing w:after="0" w:line="240" w:lineRule="auto"/>
              <w:jc w:val="center"/>
              <w:rPr>
                <w:rFonts w:ascii="Helvetica" w:eastAsia="Arial Unicode MS" w:hAnsi="Helvetica" w:cs="Times New Roman"/>
                <w:color w:val="auto"/>
                <w:sz w:val="6"/>
                <w:szCs w:val="6"/>
              </w:rPr>
            </w:pPr>
            <w:r w:rsidRPr="00A635E4">
              <w:rPr>
                <w:rFonts w:ascii="Helvetica" w:hAnsi="Helvetica"/>
                <w:color w:val="auto"/>
                <w:sz w:val="6"/>
              </w:rPr>
              <w:t>1</w:t>
            </w:r>
          </w:p>
        </w:tc>
        <w:tc>
          <w:tcPr>
            <w:tcW w:w="2506" w:type="dxa"/>
            <w:tcMar>
              <w:top w:w="10" w:type="dxa"/>
              <w:bottom w:w="10" w:type="dxa"/>
            </w:tcMar>
            <w:vAlign w:val="center"/>
          </w:tcPr>
          <w:p w14:paraId="31C21CE8" w14:textId="77777777" w:rsidR="006561BA" w:rsidRPr="00A635E4" w:rsidRDefault="005B4ED6">
            <w:pPr>
              <w:widowControl w:val="0"/>
              <w:shd w:val="clear" w:color="auto" w:fill="auto"/>
              <w:spacing w:after="0" w:line="240" w:lineRule="auto"/>
              <w:jc w:val="left"/>
              <w:rPr>
                <w:rFonts w:ascii="Helvetica" w:eastAsia="Arial Unicode MS" w:hAnsi="Helvetica" w:cs="Times New Roman"/>
                <w:b/>
                <w:color w:val="auto"/>
                <w:sz w:val="6"/>
                <w:szCs w:val="6"/>
                <w:u w:val="single"/>
              </w:rPr>
            </w:pPr>
            <w:r w:rsidRPr="00A635E4">
              <w:rPr>
                <w:rFonts w:ascii="Helvetica" w:hAnsi="Helvetica"/>
                <w:b/>
                <w:color w:val="auto"/>
                <w:sz w:val="6"/>
                <w:u w:val="single"/>
              </w:rPr>
              <w:t>Gebyr- og provisjonsinntekter fra foretak som er omfattet av direktivet om ikke-finansiell rapportering – Andre tjenester enn utlån</w:t>
            </w:r>
          </w:p>
        </w:tc>
        <w:tc>
          <w:tcPr>
            <w:tcW w:w="359" w:type="dxa"/>
            <w:tcMar>
              <w:top w:w="10" w:type="dxa"/>
              <w:bottom w:w="10" w:type="dxa"/>
            </w:tcMar>
            <w:vAlign w:val="center"/>
          </w:tcPr>
          <w:p w14:paraId="7EDBBA3B"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65" w:type="dxa"/>
            <w:tcMar>
              <w:top w:w="10" w:type="dxa"/>
              <w:bottom w:w="10" w:type="dxa"/>
            </w:tcMar>
            <w:vAlign w:val="center"/>
          </w:tcPr>
          <w:p w14:paraId="4E84745A"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20" w:type="dxa"/>
            <w:tcMar>
              <w:top w:w="10" w:type="dxa"/>
              <w:bottom w:w="10" w:type="dxa"/>
            </w:tcMar>
            <w:vAlign w:val="center"/>
          </w:tcPr>
          <w:p w14:paraId="4A70718B"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42" w:type="dxa"/>
            <w:tcMar>
              <w:top w:w="10" w:type="dxa"/>
              <w:bottom w:w="10" w:type="dxa"/>
            </w:tcMar>
            <w:vAlign w:val="center"/>
          </w:tcPr>
          <w:p w14:paraId="56C0BAF6"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91" w:type="dxa"/>
            <w:tcMar>
              <w:top w:w="10" w:type="dxa"/>
              <w:bottom w:w="10" w:type="dxa"/>
            </w:tcMar>
            <w:vAlign w:val="center"/>
          </w:tcPr>
          <w:p w14:paraId="3AD14490"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59" w:type="dxa"/>
            <w:tcMar>
              <w:top w:w="10" w:type="dxa"/>
              <w:bottom w:w="10" w:type="dxa"/>
            </w:tcMar>
            <w:vAlign w:val="center"/>
          </w:tcPr>
          <w:p w14:paraId="09400FF3"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478" w:type="dxa"/>
            <w:tcMar>
              <w:top w:w="10" w:type="dxa"/>
              <w:bottom w:w="10" w:type="dxa"/>
            </w:tcMar>
            <w:vAlign w:val="center"/>
          </w:tcPr>
          <w:p w14:paraId="79B08343"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70" w:type="dxa"/>
            <w:tcMar>
              <w:top w:w="10" w:type="dxa"/>
              <w:bottom w:w="10" w:type="dxa"/>
            </w:tcMar>
            <w:vAlign w:val="center"/>
          </w:tcPr>
          <w:p w14:paraId="03A8A511"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59" w:type="dxa"/>
            <w:tcMar>
              <w:top w:w="10" w:type="dxa"/>
              <w:bottom w:w="10" w:type="dxa"/>
            </w:tcMar>
            <w:vAlign w:val="center"/>
          </w:tcPr>
          <w:p w14:paraId="77D13D3D"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471" w:type="dxa"/>
            <w:tcMar>
              <w:top w:w="10" w:type="dxa"/>
              <w:bottom w:w="10" w:type="dxa"/>
            </w:tcMar>
            <w:vAlign w:val="center"/>
          </w:tcPr>
          <w:p w14:paraId="3127329D"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85" w:type="dxa"/>
            <w:gridSpan w:val="2"/>
            <w:tcMar>
              <w:top w:w="10" w:type="dxa"/>
              <w:bottom w:w="10" w:type="dxa"/>
            </w:tcMar>
            <w:vAlign w:val="center"/>
          </w:tcPr>
          <w:p w14:paraId="47CD88C7"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65" w:type="dxa"/>
            <w:tcMar>
              <w:top w:w="10" w:type="dxa"/>
              <w:bottom w:w="10" w:type="dxa"/>
            </w:tcMar>
            <w:vAlign w:val="center"/>
          </w:tcPr>
          <w:p w14:paraId="330508AB"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464" w:type="dxa"/>
            <w:tcMar>
              <w:top w:w="10" w:type="dxa"/>
              <w:bottom w:w="10" w:type="dxa"/>
            </w:tcMar>
            <w:vAlign w:val="center"/>
          </w:tcPr>
          <w:p w14:paraId="632A61CF"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91" w:type="dxa"/>
            <w:tcMar>
              <w:top w:w="10" w:type="dxa"/>
              <w:bottom w:w="10" w:type="dxa"/>
            </w:tcMar>
            <w:vAlign w:val="center"/>
          </w:tcPr>
          <w:p w14:paraId="6BF72C4C"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63" w:type="dxa"/>
            <w:tcMar>
              <w:top w:w="10" w:type="dxa"/>
              <w:bottom w:w="10" w:type="dxa"/>
            </w:tcMar>
            <w:vAlign w:val="center"/>
          </w:tcPr>
          <w:p w14:paraId="046B413F"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472" w:type="dxa"/>
            <w:gridSpan w:val="2"/>
            <w:tcMar>
              <w:top w:w="10" w:type="dxa"/>
              <w:bottom w:w="10" w:type="dxa"/>
            </w:tcMar>
            <w:vAlign w:val="center"/>
          </w:tcPr>
          <w:p w14:paraId="21B2B514"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91" w:type="dxa"/>
            <w:tcMar>
              <w:top w:w="10" w:type="dxa"/>
              <w:bottom w:w="10" w:type="dxa"/>
            </w:tcMar>
            <w:vAlign w:val="center"/>
          </w:tcPr>
          <w:p w14:paraId="5FD973AA"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59" w:type="dxa"/>
            <w:tcMar>
              <w:top w:w="10" w:type="dxa"/>
              <w:bottom w:w="10" w:type="dxa"/>
            </w:tcMar>
            <w:vAlign w:val="center"/>
          </w:tcPr>
          <w:p w14:paraId="343731D3"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464" w:type="dxa"/>
            <w:tcMar>
              <w:top w:w="10" w:type="dxa"/>
              <w:bottom w:w="10" w:type="dxa"/>
            </w:tcMar>
            <w:vAlign w:val="center"/>
          </w:tcPr>
          <w:p w14:paraId="447F492A"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619" w:type="dxa"/>
            <w:gridSpan w:val="3"/>
            <w:tcMar>
              <w:top w:w="10" w:type="dxa"/>
              <w:bottom w:w="10" w:type="dxa"/>
            </w:tcMar>
            <w:vAlign w:val="center"/>
          </w:tcPr>
          <w:p w14:paraId="62269E1B"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366" w:type="dxa"/>
            <w:tcMar>
              <w:top w:w="10" w:type="dxa"/>
              <w:bottom w:w="10" w:type="dxa"/>
            </w:tcMar>
            <w:vAlign w:val="center"/>
          </w:tcPr>
          <w:p w14:paraId="7E8C6771"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457" w:type="dxa"/>
            <w:tcMar>
              <w:top w:w="10" w:type="dxa"/>
              <w:bottom w:w="10" w:type="dxa"/>
            </w:tcMar>
            <w:vAlign w:val="center"/>
          </w:tcPr>
          <w:p w14:paraId="6B6960FF"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35" w:type="dxa"/>
            <w:tcMar>
              <w:top w:w="10" w:type="dxa"/>
              <w:bottom w:w="10" w:type="dxa"/>
            </w:tcMar>
            <w:vAlign w:val="center"/>
          </w:tcPr>
          <w:p w14:paraId="44BAF5B9"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c>
          <w:tcPr>
            <w:tcW w:w="563" w:type="dxa"/>
            <w:tcMar>
              <w:top w:w="10" w:type="dxa"/>
              <w:bottom w:w="10" w:type="dxa"/>
            </w:tcMar>
            <w:vAlign w:val="center"/>
          </w:tcPr>
          <w:p w14:paraId="53718103" w14:textId="77777777" w:rsidR="006561BA" w:rsidRPr="00A635E4" w:rsidRDefault="006561BA">
            <w:pPr>
              <w:widowControl w:val="0"/>
              <w:shd w:val="clear" w:color="auto" w:fill="auto"/>
              <w:spacing w:after="0" w:line="240" w:lineRule="auto"/>
              <w:jc w:val="center"/>
              <w:rPr>
                <w:rFonts w:ascii="Helvetica" w:eastAsia="Arial Unicode MS" w:hAnsi="Helvetica" w:cs="Times New Roman"/>
                <w:color w:val="auto"/>
                <w:sz w:val="6"/>
                <w:szCs w:val="6"/>
              </w:rPr>
            </w:pPr>
          </w:p>
        </w:tc>
      </w:tr>
      <w:tr w:rsidR="006561BA" w14:paraId="3BC03F1B" w14:textId="77777777">
        <w:tc>
          <w:tcPr>
            <w:tcW w:w="133" w:type="dxa"/>
            <w:tcMar>
              <w:top w:w="10" w:type="dxa"/>
              <w:bottom w:w="10" w:type="dxa"/>
            </w:tcMar>
            <w:vAlign w:val="center"/>
          </w:tcPr>
          <w:p w14:paraId="7B659610"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sz w:val="6"/>
                <w:szCs w:val="6"/>
              </w:rPr>
            </w:pPr>
            <w:r>
              <w:rPr>
                <w:rFonts w:ascii="Helvetica" w:hAnsi="Helvetica"/>
                <w:color w:val="000000"/>
                <w:sz w:val="6"/>
              </w:rPr>
              <w:t>2</w:t>
            </w:r>
          </w:p>
        </w:tc>
        <w:tc>
          <w:tcPr>
            <w:tcW w:w="2506" w:type="dxa"/>
            <w:tcMar>
              <w:top w:w="10" w:type="dxa"/>
              <w:bottom w:w="10" w:type="dxa"/>
            </w:tcMar>
            <w:vAlign w:val="center"/>
          </w:tcPr>
          <w:p w14:paraId="033AEC56" w14:textId="77777777" w:rsidR="006561BA" w:rsidRDefault="005B4ED6">
            <w:pPr>
              <w:widowControl w:val="0"/>
              <w:shd w:val="clear" w:color="auto" w:fill="auto"/>
              <w:spacing w:after="0" w:line="240" w:lineRule="auto"/>
              <w:ind w:left="120"/>
              <w:jc w:val="left"/>
              <w:rPr>
                <w:rFonts w:ascii="Helvetica" w:eastAsia="Arial Unicode MS" w:hAnsi="Helvetica" w:cs="Times New Roman"/>
                <w:b/>
                <w:color w:val="000000"/>
                <w:sz w:val="6"/>
                <w:szCs w:val="6"/>
              </w:rPr>
            </w:pPr>
            <w:r>
              <w:rPr>
                <w:rFonts w:ascii="Helvetica" w:hAnsi="Helvetica"/>
                <w:b/>
                <w:color w:val="000000"/>
                <w:sz w:val="6"/>
              </w:rPr>
              <w:t>Tjenester mot finansforetak</w:t>
            </w:r>
          </w:p>
        </w:tc>
        <w:tc>
          <w:tcPr>
            <w:tcW w:w="359" w:type="dxa"/>
            <w:tcMar>
              <w:top w:w="10" w:type="dxa"/>
              <w:bottom w:w="10" w:type="dxa"/>
            </w:tcMar>
            <w:vAlign w:val="center"/>
          </w:tcPr>
          <w:p w14:paraId="068950E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65" w:type="dxa"/>
            <w:tcMar>
              <w:top w:w="10" w:type="dxa"/>
              <w:bottom w:w="10" w:type="dxa"/>
            </w:tcMar>
            <w:vAlign w:val="center"/>
          </w:tcPr>
          <w:p w14:paraId="5CF2319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20" w:type="dxa"/>
            <w:tcMar>
              <w:top w:w="10" w:type="dxa"/>
              <w:bottom w:w="10" w:type="dxa"/>
            </w:tcMar>
            <w:vAlign w:val="center"/>
          </w:tcPr>
          <w:p w14:paraId="526680F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42" w:type="dxa"/>
            <w:tcMar>
              <w:top w:w="10" w:type="dxa"/>
              <w:bottom w:w="10" w:type="dxa"/>
            </w:tcMar>
            <w:vAlign w:val="center"/>
          </w:tcPr>
          <w:p w14:paraId="416E309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91" w:type="dxa"/>
            <w:tcMar>
              <w:top w:w="10" w:type="dxa"/>
              <w:bottom w:w="10" w:type="dxa"/>
            </w:tcMar>
            <w:vAlign w:val="center"/>
          </w:tcPr>
          <w:p w14:paraId="3B4BC94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59" w:type="dxa"/>
            <w:tcMar>
              <w:top w:w="10" w:type="dxa"/>
              <w:bottom w:w="10" w:type="dxa"/>
            </w:tcMar>
            <w:vAlign w:val="center"/>
          </w:tcPr>
          <w:p w14:paraId="6576A01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78" w:type="dxa"/>
            <w:tcMar>
              <w:top w:w="10" w:type="dxa"/>
              <w:bottom w:w="10" w:type="dxa"/>
            </w:tcMar>
            <w:vAlign w:val="center"/>
          </w:tcPr>
          <w:p w14:paraId="12E925C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70" w:type="dxa"/>
            <w:tcMar>
              <w:top w:w="10" w:type="dxa"/>
              <w:bottom w:w="10" w:type="dxa"/>
            </w:tcMar>
            <w:vAlign w:val="center"/>
          </w:tcPr>
          <w:p w14:paraId="155BAB8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59" w:type="dxa"/>
            <w:tcMar>
              <w:top w:w="10" w:type="dxa"/>
              <w:bottom w:w="10" w:type="dxa"/>
            </w:tcMar>
            <w:vAlign w:val="center"/>
          </w:tcPr>
          <w:p w14:paraId="78CEFD4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71" w:type="dxa"/>
            <w:tcMar>
              <w:top w:w="10" w:type="dxa"/>
              <w:bottom w:w="10" w:type="dxa"/>
            </w:tcMar>
            <w:vAlign w:val="center"/>
          </w:tcPr>
          <w:p w14:paraId="37D86ED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85" w:type="dxa"/>
            <w:gridSpan w:val="2"/>
            <w:tcMar>
              <w:top w:w="10" w:type="dxa"/>
              <w:bottom w:w="10" w:type="dxa"/>
            </w:tcMar>
            <w:vAlign w:val="center"/>
          </w:tcPr>
          <w:p w14:paraId="05209E9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65" w:type="dxa"/>
            <w:tcMar>
              <w:top w:w="10" w:type="dxa"/>
              <w:bottom w:w="10" w:type="dxa"/>
            </w:tcMar>
            <w:vAlign w:val="center"/>
          </w:tcPr>
          <w:p w14:paraId="4F71166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64" w:type="dxa"/>
            <w:tcMar>
              <w:top w:w="10" w:type="dxa"/>
              <w:bottom w:w="10" w:type="dxa"/>
            </w:tcMar>
            <w:vAlign w:val="center"/>
          </w:tcPr>
          <w:p w14:paraId="4075E19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91" w:type="dxa"/>
            <w:tcMar>
              <w:top w:w="10" w:type="dxa"/>
              <w:bottom w:w="10" w:type="dxa"/>
            </w:tcMar>
            <w:vAlign w:val="center"/>
          </w:tcPr>
          <w:p w14:paraId="055CF63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63" w:type="dxa"/>
            <w:tcMar>
              <w:top w:w="10" w:type="dxa"/>
              <w:bottom w:w="10" w:type="dxa"/>
            </w:tcMar>
            <w:vAlign w:val="center"/>
          </w:tcPr>
          <w:p w14:paraId="5A5F507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72" w:type="dxa"/>
            <w:gridSpan w:val="2"/>
            <w:tcMar>
              <w:top w:w="10" w:type="dxa"/>
              <w:bottom w:w="10" w:type="dxa"/>
            </w:tcMar>
            <w:vAlign w:val="center"/>
          </w:tcPr>
          <w:p w14:paraId="159E919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91" w:type="dxa"/>
            <w:tcMar>
              <w:top w:w="10" w:type="dxa"/>
              <w:bottom w:w="10" w:type="dxa"/>
            </w:tcMar>
            <w:vAlign w:val="center"/>
          </w:tcPr>
          <w:p w14:paraId="7F4415B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59" w:type="dxa"/>
            <w:tcMar>
              <w:top w:w="10" w:type="dxa"/>
              <w:bottom w:w="10" w:type="dxa"/>
            </w:tcMar>
            <w:vAlign w:val="center"/>
          </w:tcPr>
          <w:p w14:paraId="7201C85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64" w:type="dxa"/>
            <w:tcMar>
              <w:top w:w="10" w:type="dxa"/>
              <w:bottom w:w="10" w:type="dxa"/>
            </w:tcMar>
            <w:vAlign w:val="center"/>
          </w:tcPr>
          <w:p w14:paraId="4970DC0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619" w:type="dxa"/>
            <w:gridSpan w:val="3"/>
            <w:tcMar>
              <w:top w:w="10" w:type="dxa"/>
              <w:bottom w:w="10" w:type="dxa"/>
            </w:tcMar>
            <w:vAlign w:val="center"/>
          </w:tcPr>
          <w:p w14:paraId="09B5A13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66" w:type="dxa"/>
            <w:tcMar>
              <w:top w:w="10" w:type="dxa"/>
              <w:bottom w:w="10" w:type="dxa"/>
            </w:tcMar>
            <w:vAlign w:val="center"/>
          </w:tcPr>
          <w:p w14:paraId="17F7201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57" w:type="dxa"/>
            <w:tcMar>
              <w:top w:w="10" w:type="dxa"/>
              <w:bottom w:w="10" w:type="dxa"/>
            </w:tcMar>
            <w:vAlign w:val="center"/>
          </w:tcPr>
          <w:p w14:paraId="7E97BD8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35" w:type="dxa"/>
            <w:tcMar>
              <w:top w:w="10" w:type="dxa"/>
              <w:bottom w:w="10" w:type="dxa"/>
            </w:tcMar>
            <w:vAlign w:val="center"/>
          </w:tcPr>
          <w:p w14:paraId="1E4F628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63" w:type="dxa"/>
            <w:tcMar>
              <w:top w:w="10" w:type="dxa"/>
              <w:bottom w:w="10" w:type="dxa"/>
            </w:tcMar>
            <w:vAlign w:val="center"/>
          </w:tcPr>
          <w:p w14:paraId="66829CA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r>
      <w:tr w:rsidR="006561BA" w14:paraId="12C2FA04" w14:textId="77777777">
        <w:tc>
          <w:tcPr>
            <w:tcW w:w="133" w:type="dxa"/>
            <w:tcMar>
              <w:top w:w="10" w:type="dxa"/>
              <w:bottom w:w="10" w:type="dxa"/>
            </w:tcMar>
            <w:vAlign w:val="center"/>
          </w:tcPr>
          <w:p w14:paraId="5941CE7E"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sz w:val="6"/>
                <w:szCs w:val="6"/>
              </w:rPr>
            </w:pPr>
            <w:r>
              <w:rPr>
                <w:rFonts w:ascii="Helvetica" w:hAnsi="Helvetica"/>
                <w:color w:val="212121"/>
                <w:sz w:val="6"/>
              </w:rPr>
              <w:t>3</w:t>
            </w:r>
          </w:p>
        </w:tc>
        <w:tc>
          <w:tcPr>
            <w:tcW w:w="2506" w:type="dxa"/>
            <w:tcMar>
              <w:top w:w="10" w:type="dxa"/>
              <w:bottom w:w="10" w:type="dxa"/>
            </w:tcMar>
            <w:vAlign w:val="center"/>
          </w:tcPr>
          <w:p w14:paraId="4C9B8FE3" w14:textId="77777777" w:rsidR="006561BA" w:rsidRDefault="005B4ED6">
            <w:pPr>
              <w:widowControl w:val="0"/>
              <w:shd w:val="clear" w:color="auto" w:fill="auto"/>
              <w:spacing w:after="0" w:line="240" w:lineRule="auto"/>
              <w:ind w:left="160"/>
              <w:jc w:val="left"/>
              <w:rPr>
                <w:rFonts w:ascii="Helvetica" w:eastAsia="Arial Unicode MS" w:hAnsi="Helvetica" w:cs="Times New Roman"/>
                <w:color w:val="000000"/>
                <w:sz w:val="6"/>
                <w:szCs w:val="6"/>
              </w:rPr>
            </w:pPr>
            <w:r>
              <w:rPr>
                <w:rFonts w:ascii="Helvetica" w:hAnsi="Helvetica"/>
                <w:color w:val="212121"/>
                <w:sz w:val="6"/>
              </w:rPr>
              <w:t>Kredittinstitusjoner</w:t>
            </w:r>
          </w:p>
        </w:tc>
        <w:tc>
          <w:tcPr>
            <w:tcW w:w="359" w:type="dxa"/>
            <w:tcMar>
              <w:top w:w="10" w:type="dxa"/>
              <w:bottom w:w="10" w:type="dxa"/>
            </w:tcMar>
            <w:vAlign w:val="center"/>
          </w:tcPr>
          <w:p w14:paraId="06EBE8A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65" w:type="dxa"/>
            <w:tcMar>
              <w:top w:w="10" w:type="dxa"/>
              <w:bottom w:w="10" w:type="dxa"/>
            </w:tcMar>
            <w:vAlign w:val="center"/>
          </w:tcPr>
          <w:p w14:paraId="234A46A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20" w:type="dxa"/>
            <w:tcMar>
              <w:top w:w="10" w:type="dxa"/>
              <w:bottom w:w="10" w:type="dxa"/>
            </w:tcMar>
            <w:vAlign w:val="center"/>
          </w:tcPr>
          <w:p w14:paraId="7385870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42" w:type="dxa"/>
            <w:tcMar>
              <w:top w:w="10" w:type="dxa"/>
              <w:bottom w:w="10" w:type="dxa"/>
            </w:tcMar>
            <w:vAlign w:val="center"/>
          </w:tcPr>
          <w:p w14:paraId="6499016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91" w:type="dxa"/>
            <w:tcMar>
              <w:top w:w="10" w:type="dxa"/>
              <w:bottom w:w="10" w:type="dxa"/>
            </w:tcMar>
            <w:vAlign w:val="center"/>
          </w:tcPr>
          <w:p w14:paraId="5CD70C8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59" w:type="dxa"/>
            <w:tcMar>
              <w:top w:w="10" w:type="dxa"/>
              <w:bottom w:w="10" w:type="dxa"/>
            </w:tcMar>
            <w:vAlign w:val="center"/>
          </w:tcPr>
          <w:p w14:paraId="41078D0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78" w:type="dxa"/>
            <w:tcMar>
              <w:top w:w="10" w:type="dxa"/>
              <w:bottom w:w="10" w:type="dxa"/>
            </w:tcMar>
            <w:vAlign w:val="center"/>
          </w:tcPr>
          <w:p w14:paraId="59BA090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70" w:type="dxa"/>
            <w:tcMar>
              <w:top w:w="10" w:type="dxa"/>
              <w:bottom w:w="10" w:type="dxa"/>
            </w:tcMar>
            <w:vAlign w:val="center"/>
          </w:tcPr>
          <w:p w14:paraId="50FA2AD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59" w:type="dxa"/>
            <w:tcMar>
              <w:top w:w="10" w:type="dxa"/>
              <w:bottom w:w="10" w:type="dxa"/>
            </w:tcMar>
            <w:vAlign w:val="center"/>
          </w:tcPr>
          <w:p w14:paraId="2849476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71" w:type="dxa"/>
            <w:tcMar>
              <w:top w:w="10" w:type="dxa"/>
              <w:bottom w:w="10" w:type="dxa"/>
            </w:tcMar>
            <w:vAlign w:val="center"/>
          </w:tcPr>
          <w:p w14:paraId="1E450C1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85" w:type="dxa"/>
            <w:gridSpan w:val="2"/>
            <w:tcMar>
              <w:top w:w="10" w:type="dxa"/>
              <w:bottom w:w="10" w:type="dxa"/>
            </w:tcMar>
            <w:vAlign w:val="center"/>
          </w:tcPr>
          <w:p w14:paraId="59EDA7B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65" w:type="dxa"/>
            <w:tcMar>
              <w:top w:w="10" w:type="dxa"/>
              <w:bottom w:w="10" w:type="dxa"/>
            </w:tcMar>
            <w:vAlign w:val="center"/>
          </w:tcPr>
          <w:p w14:paraId="0D49189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64" w:type="dxa"/>
            <w:tcMar>
              <w:top w:w="10" w:type="dxa"/>
              <w:bottom w:w="10" w:type="dxa"/>
            </w:tcMar>
            <w:vAlign w:val="center"/>
          </w:tcPr>
          <w:p w14:paraId="48420AC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91" w:type="dxa"/>
            <w:tcMar>
              <w:top w:w="10" w:type="dxa"/>
              <w:bottom w:w="10" w:type="dxa"/>
            </w:tcMar>
            <w:vAlign w:val="center"/>
          </w:tcPr>
          <w:p w14:paraId="28A4B35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63" w:type="dxa"/>
            <w:tcMar>
              <w:top w:w="10" w:type="dxa"/>
              <w:bottom w:w="10" w:type="dxa"/>
            </w:tcMar>
            <w:vAlign w:val="center"/>
          </w:tcPr>
          <w:p w14:paraId="5181B14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72" w:type="dxa"/>
            <w:gridSpan w:val="2"/>
            <w:tcMar>
              <w:top w:w="10" w:type="dxa"/>
              <w:bottom w:w="10" w:type="dxa"/>
            </w:tcMar>
            <w:vAlign w:val="center"/>
          </w:tcPr>
          <w:p w14:paraId="777BD1D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91" w:type="dxa"/>
            <w:tcMar>
              <w:top w:w="10" w:type="dxa"/>
              <w:bottom w:w="10" w:type="dxa"/>
            </w:tcMar>
            <w:vAlign w:val="center"/>
          </w:tcPr>
          <w:p w14:paraId="642E943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59" w:type="dxa"/>
            <w:tcMar>
              <w:top w:w="10" w:type="dxa"/>
              <w:bottom w:w="10" w:type="dxa"/>
            </w:tcMar>
            <w:vAlign w:val="center"/>
          </w:tcPr>
          <w:p w14:paraId="69F85A0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64" w:type="dxa"/>
            <w:tcMar>
              <w:top w:w="10" w:type="dxa"/>
              <w:bottom w:w="10" w:type="dxa"/>
            </w:tcMar>
            <w:vAlign w:val="center"/>
          </w:tcPr>
          <w:p w14:paraId="77A338F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619" w:type="dxa"/>
            <w:gridSpan w:val="3"/>
            <w:tcMar>
              <w:top w:w="10" w:type="dxa"/>
              <w:bottom w:w="10" w:type="dxa"/>
            </w:tcMar>
            <w:vAlign w:val="center"/>
          </w:tcPr>
          <w:p w14:paraId="4BCCC42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66" w:type="dxa"/>
            <w:tcMar>
              <w:top w:w="10" w:type="dxa"/>
              <w:bottom w:w="10" w:type="dxa"/>
            </w:tcMar>
            <w:vAlign w:val="center"/>
          </w:tcPr>
          <w:p w14:paraId="098CF79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57" w:type="dxa"/>
            <w:tcMar>
              <w:top w:w="10" w:type="dxa"/>
              <w:bottom w:w="10" w:type="dxa"/>
            </w:tcMar>
            <w:vAlign w:val="center"/>
          </w:tcPr>
          <w:p w14:paraId="000307E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35" w:type="dxa"/>
            <w:tcMar>
              <w:top w:w="10" w:type="dxa"/>
              <w:bottom w:w="10" w:type="dxa"/>
            </w:tcMar>
            <w:vAlign w:val="center"/>
          </w:tcPr>
          <w:p w14:paraId="0F536E5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63" w:type="dxa"/>
            <w:tcMar>
              <w:top w:w="10" w:type="dxa"/>
              <w:bottom w:w="10" w:type="dxa"/>
            </w:tcMar>
            <w:vAlign w:val="center"/>
          </w:tcPr>
          <w:p w14:paraId="0EBD647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r>
      <w:tr w:rsidR="006561BA" w14:paraId="0D347B1F" w14:textId="77777777">
        <w:tc>
          <w:tcPr>
            <w:tcW w:w="133" w:type="dxa"/>
            <w:tcMar>
              <w:top w:w="10" w:type="dxa"/>
              <w:bottom w:w="10" w:type="dxa"/>
            </w:tcMar>
            <w:vAlign w:val="center"/>
          </w:tcPr>
          <w:p w14:paraId="5CFE14B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2506" w:type="dxa"/>
            <w:tcMar>
              <w:top w:w="10" w:type="dxa"/>
              <w:bottom w:w="10" w:type="dxa"/>
            </w:tcMar>
            <w:vAlign w:val="center"/>
          </w:tcPr>
          <w:p w14:paraId="1A6D03CA" w14:textId="77777777" w:rsidR="006561BA" w:rsidRDefault="005B4ED6">
            <w:pPr>
              <w:widowControl w:val="0"/>
              <w:shd w:val="clear" w:color="auto" w:fill="auto"/>
              <w:spacing w:after="0" w:line="240" w:lineRule="auto"/>
              <w:ind w:left="160"/>
              <w:jc w:val="left"/>
              <w:rPr>
                <w:rFonts w:ascii="Helvetica" w:eastAsia="Arial Unicode MS" w:hAnsi="Helvetica" w:cs="Times New Roman"/>
                <w:color w:val="000000"/>
                <w:sz w:val="6"/>
                <w:szCs w:val="6"/>
              </w:rPr>
            </w:pPr>
            <w:r>
              <w:rPr>
                <w:rFonts w:ascii="Helvetica" w:hAnsi="Helvetica"/>
                <w:color w:val="212121"/>
                <w:sz w:val="6"/>
              </w:rPr>
              <w:t>Andre finansforetak</w:t>
            </w:r>
          </w:p>
        </w:tc>
        <w:tc>
          <w:tcPr>
            <w:tcW w:w="359" w:type="dxa"/>
            <w:tcMar>
              <w:top w:w="10" w:type="dxa"/>
              <w:bottom w:w="10" w:type="dxa"/>
            </w:tcMar>
            <w:vAlign w:val="center"/>
          </w:tcPr>
          <w:p w14:paraId="633715A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65" w:type="dxa"/>
            <w:tcMar>
              <w:top w:w="10" w:type="dxa"/>
              <w:bottom w:w="10" w:type="dxa"/>
            </w:tcMar>
            <w:vAlign w:val="center"/>
          </w:tcPr>
          <w:p w14:paraId="534592A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20" w:type="dxa"/>
            <w:tcMar>
              <w:top w:w="10" w:type="dxa"/>
              <w:bottom w:w="10" w:type="dxa"/>
            </w:tcMar>
            <w:vAlign w:val="center"/>
          </w:tcPr>
          <w:p w14:paraId="2F17463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42" w:type="dxa"/>
            <w:tcMar>
              <w:top w:w="10" w:type="dxa"/>
              <w:bottom w:w="10" w:type="dxa"/>
            </w:tcMar>
            <w:vAlign w:val="center"/>
          </w:tcPr>
          <w:p w14:paraId="2AEC8A8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91" w:type="dxa"/>
            <w:tcMar>
              <w:top w:w="10" w:type="dxa"/>
              <w:bottom w:w="10" w:type="dxa"/>
            </w:tcMar>
            <w:vAlign w:val="center"/>
          </w:tcPr>
          <w:p w14:paraId="4F8A8CB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59" w:type="dxa"/>
            <w:tcMar>
              <w:top w:w="10" w:type="dxa"/>
              <w:bottom w:w="10" w:type="dxa"/>
            </w:tcMar>
            <w:vAlign w:val="center"/>
          </w:tcPr>
          <w:p w14:paraId="1145537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78" w:type="dxa"/>
            <w:tcMar>
              <w:top w:w="10" w:type="dxa"/>
              <w:bottom w:w="10" w:type="dxa"/>
            </w:tcMar>
            <w:vAlign w:val="center"/>
          </w:tcPr>
          <w:p w14:paraId="2BA020A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70" w:type="dxa"/>
            <w:tcMar>
              <w:top w:w="10" w:type="dxa"/>
              <w:bottom w:w="10" w:type="dxa"/>
            </w:tcMar>
            <w:vAlign w:val="center"/>
          </w:tcPr>
          <w:p w14:paraId="3910618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59" w:type="dxa"/>
            <w:tcMar>
              <w:top w:w="10" w:type="dxa"/>
              <w:bottom w:w="10" w:type="dxa"/>
            </w:tcMar>
            <w:vAlign w:val="center"/>
          </w:tcPr>
          <w:p w14:paraId="447A7C3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71" w:type="dxa"/>
            <w:tcMar>
              <w:top w:w="10" w:type="dxa"/>
              <w:bottom w:w="10" w:type="dxa"/>
            </w:tcMar>
            <w:vAlign w:val="center"/>
          </w:tcPr>
          <w:p w14:paraId="29FC33B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85" w:type="dxa"/>
            <w:gridSpan w:val="2"/>
            <w:tcMar>
              <w:top w:w="10" w:type="dxa"/>
              <w:bottom w:w="10" w:type="dxa"/>
            </w:tcMar>
            <w:vAlign w:val="center"/>
          </w:tcPr>
          <w:p w14:paraId="4B58658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65" w:type="dxa"/>
            <w:tcMar>
              <w:top w:w="10" w:type="dxa"/>
              <w:bottom w:w="10" w:type="dxa"/>
            </w:tcMar>
            <w:vAlign w:val="center"/>
          </w:tcPr>
          <w:p w14:paraId="193C679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64" w:type="dxa"/>
            <w:tcMar>
              <w:top w:w="10" w:type="dxa"/>
              <w:bottom w:w="10" w:type="dxa"/>
            </w:tcMar>
            <w:vAlign w:val="center"/>
          </w:tcPr>
          <w:p w14:paraId="3D5E69B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91" w:type="dxa"/>
            <w:tcMar>
              <w:top w:w="10" w:type="dxa"/>
              <w:bottom w:w="10" w:type="dxa"/>
            </w:tcMar>
            <w:vAlign w:val="center"/>
          </w:tcPr>
          <w:p w14:paraId="6A09655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63" w:type="dxa"/>
            <w:tcMar>
              <w:top w:w="10" w:type="dxa"/>
              <w:bottom w:w="10" w:type="dxa"/>
            </w:tcMar>
            <w:vAlign w:val="center"/>
          </w:tcPr>
          <w:p w14:paraId="0582BE9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72" w:type="dxa"/>
            <w:gridSpan w:val="2"/>
            <w:tcMar>
              <w:top w:w="10" w:type="dxa"/>
              <w:bottom w:w="10" w:type="dxa"/>
            </w:tcMar>
            <w:vAlign w:val="center"/>
          </w:tcPr>
          <w:p w14:paraId="03D6488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91" w:type="dxa"/>
            <w:tcMar>
              <w:top w:w="10" w:type="dxa"/>
              <w:bottom w:w="10" w:type="dxa"/>
            </w:tcMar>
            <w:vAlign w:val="center"/>
          </w:tcPr>
          <w:p w14:paraId="4EA81F5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59" w:type="dxa"/>
            <w:tcMar>
              <w:top w:w="10" w:type="dxa"/>
              <w:bottom w:w="10" w:type="dxa"/>
            </w:tcMar>
            <w:vAlign w:val="center"/>
          </w:tcPr>
          <w:p w14:paraId="22C6C8A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64" w:type="dxa"/>
            <w:tcMar>
              <w:top w:w="10" w:type="dxa"/>
              <w:bottom w:w="10" w:type="dxa"/>
            </w:tcMar>
            <w:vAlign w:val="center"/>
          </w:tcPr>
          <w:p w14:paraId="3F0BD70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619" w:type="dxa"/>
            <w:gridSpan w:val="3"/>
            <w:tcMar>
              <w:top w:w="10" w:type="dxa"/>
              <w:bottom w:w="10" w:type="dxa"/>
            </w:tcMar>
            <w:vAlign w:val="center"/>
          </w:tcPr>
          <w:p w14:paraId="4444074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66" w:type="dxa"/>
            <w:tcMar>
              <w:top w:w="10" w:type="dxa"/>
              <w:bottom w:w="10" w:type="dxa"/>
            </w:tcMar>
            <w:vAlign w:val="center"/>
          </w:tcPr>
          <w:p w14:paraId="00D7CDF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57" w:type="dxa"/>
            <w:tcMar>
              <w:top w:w="10" w:type="dxa"/>
              <w:bottom w:w="10" w:type="dxa"/>
            </w:tcMar>
            <w:vAlign w:val="center"/>
          </w:tcPr>
          <w:p w14:paraId="720545C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35" w:type="dxa"/>
            <w:tcMar>
              <w:top w:w="10" w:type="dxa"/>
              <w:bottom w:w="10" w:type="dxa"/>
            </w:tcMar>
            <w:vAlign w:val="center"/>
          </w:tcPr>
          <w:p w14:paraId="4F530DA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63" w:type="dxa"/>
            <w:tcMar>
              <w:top w:w="10" w:type="dxa"/>
              <w:bottom w:w="10" w:type="dxa"/>
            </w:tcMar>
            <w:vAlign w:val="center"/>
          </w:tcPr>
          <w:p w14:paraId="4040B38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r>
      <w:tr w:rsidR="006561BA" w14:paraId="7F405035" w14:textId="77777777">
        <w:tc>
          <w:tcPr>
            <w:tcW w:w="133" w:type="dxa"/>
            <w:tcMar>
              <w:top w:w="10" w:type="dxa"/>
              <w:bottom w:w="10" w:type="dxa"/>
            </w:tcMar>
            <w:vAlign w:val="center"/>
          </w:tcPr>
          <w:p w14:paraId="3163FA67"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sz w:val="6"/>
                <w:szCs w:val="6"/>
              </w:rPr>
            </w:pPr>
            <w:r>
              <w:rPr>
                <w:rFonts w:ascii="Helvetica" w:hAnsi="Helvetica"/>
                <w:color w:val="383838"/>
                <w:sz w:val="6"/>
              </w:rPr>
              <w:t>5</w:t>
            </w:r>
          </w:p>
        </w:tc>
        <w:tc>
          <w:tcPr>
            <w:tcW w:w="2506" w:type="dxa"/>
            <w:tcMar>
              <w:top w:w="10" w:type="dxa"/>
              <w:bottom w:w="10" w:type="dxa"/>
            </w:tcMar>
            <w:vAlign w:val="center"/>
          </w:tcPr>
          <w:p w14:paraId="638A065A" w14:textId="77777777" w:rsidR="006561BA" w:rsidRDefault="005B4ED6">
            <w:pPr>
              <w:widowControl w:val="0"/>
              <w:shd w:val="clear" w:color="auto" w:fill="auto"/>
              <w:spacing w:after="0" w:line="240" w:lineRule="auto"/>
              <w:ind w:left="200"/>
              <w:jc w:val="left"/>
              <w:rPr>
                <w:rFonts w:ascii="Helvetica" w:eastAsia="Arial Unicode MS" w:hAnsi="Helvetica" w:cs="Times New Roman"/>
                <w:color w:val="000000"/>
                <w:sz w:val="6"/>
                <w:szCs w:val="6"/>
              </w:rPr>
            </w:pPr>
            <w:r>
              <w:rPr>
                <w:rFonts w:ascii="Helvetica" w:hAnsi="Helvetica"/>
                <w:color w:val="212121"/>
                <w:sz w:val="6"/>
              </w:rPr>
              <w:t>hvorav verdipapirforetak</w:t>
            </w:r>
          </w:p>
        </w:tc>
        <w:tc>
          <w:tcPr>
            <w:tcW w:w="359" w:type="dxa"/>
            <w:tcMar>
              <w:top w:w="10" w:type="dxa"/>
              <w:bottom w:w="10" w:type="dxa"/>
            </w:tcMar>
            <w:vAlign w:val="center"/>
          </w:tcPr>
          <w:p w14:paraId="412288B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65" w:type="dxa"/>
            <w:tcMar>
              <w:top w:w="10" w:type="dxa"/>
              <w:bottom w:w="10" w:type="dxa"/>
            </w:tcMar>
            <w:vAlign w:val="center"/>
          </w:tcPr>
          <w:p w14:paraId="64E4463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20" w:type="dxa"/>
            <w:tcMar>
              <w:top w:w="10" w:type="dxa"/>
              <w:bottom w:w="10" w:type="dxa"/>
            </w:tcMar>
            <w:vAlign w:val="center"/>
          </w:tcPr>
          <w:p w14:paraId="2465EB5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42" w:type="dxa"/>
            <w:tcMar>
              <w:top w:w="10" w:type="dxa"/>
              <w:bottom w:w="10" w:type="dxa"/>
            </w:tcMar>
            <w:vAlign w:val="center"/>
          </w:tcPr>
          <w:p w14:paraId="750165A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91" w:type="dxa"/>
            <w:tcMar>
              <w:top w:w="10" w:type="dxa"/>
              <w:bottom w:w="10" w:type="dxa"/>
            </w:tcMar>
            <w:vAlign w:val="center"/>
          </w:tcPr>
          <w:p w14:paraId="51A4BE3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59" w:type="dxa"/>
            <w:tcMar>
              <w:top w:w="10" w:type="dxa"/>
              <w:bottom w:w="10" w:type="dxa"/>
            </w:tcMar>
            <w:vAlign w:val="center"/>
          </w:tcPr>
          <w:p w14:paraId="3821E6A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78" w:type="dxa"/>
            <w:tcMar>
              <w:top w:w="10" w:type="dxa"/>
              <w:bottom w:w="10" w:type="dxa"/>
            </w:tcMar>
            <w:vAlign w:val="center"/>
          </w:tcPr>
          <w:p w14:paraId="079B322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70" w:type="dxa"/>
            <w:tcMar>
              <w:top w:w="10" w:type="dxa"/>
              <w:bottom w:w="10" w:type="dxa"/>
            </w:tcMar>
            <w:vAlign w:val="center"/>
          </w:tcPr>
          <w:p w14:paraId="67DF913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59" w:type="dxa"/>
            <w:tcMar>
              <w:top w:w="10" w:type="dxa"/>
              <w:bottom w:w="10" w:type="dxa"/>
            </w:tcMar>
            <w:vAlign w:val="center"/>
          </w:tcPr>
          <w:p w14:paraId="06D34B7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71" w:type="dxa"/>
            <w:tcMar>
              <w:top w:w="10" w:type="dxa"/>
              <w:bottom w:w="10" w:type="dxa"/>
            </w:tcMar>
            <w:vAlign w:val="center"/>
          </w:tcPr>
          <w:p w14:paraId="7302F58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85" w:type="dxa"/>
            <w:gridSpan w:val="2"/>
            <w:tcMar>
              <w:top w:w="10" w:type="dxa"/>
              <w:bottom w:w="10" w:type="dxa"/>
            </w:tcMar>
            <w:vAlign w:val="center"/>
          </w:tcPr>
          <w:p w14:paraId="53936D4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65" w:type="dxa"/>
            <w:tcMar>
              <w:top w:w="10" w:type="dxa"/>
              <w:bottom w:w="10" w:type="dxa"/>
            </w:tcMar>
            <w:vAlign w:val="center"/>
          </w:tcPr>
          <w:p w14:paraId="59D4203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64" w:type="dxa"/>
            <w:tcMar>
              <w:top w:w="10" w:type="dxa"/>
              <w:bottom w:w="10" w:type="dxa"/>
            </w:tcMar>
            <w:vAlign w:val="center"/>
          </w:tcPr>
          <w:p w14:paraId="39E505F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91" w:type="dxa"/>
            <w:tcMar>
              <w:top w:w="10" w:type="dxa"/>
              <w:bottom w:w="10" w:type="dxa"/>
            </w:tcMar>
            <w:vAlign w:val="center"/>
          </w:tcPr>
          <w:p w14:paraId="2222DE1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63" w:type="dxa"/>
            <w:tcMar>
              <w:top w:w="10" w:type="dxa"/>
              <w:bottom w:w="10" w:type="dxa"/>
            </w:tcMar>
            <w:vAlign w:val="center"/>
          </w:tcPr>
          <w:p w14:paraId="2EAE56B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72" w:type="dxa"/>
            <w:gridSpan w:val="2"/>
            <w:tcMar>
              <w:top w:w="10" w:type="dxa"/>
              <w:bottom w:w="10" w:type="dxa"/>
            </w:tcMar>
            <w:vAlign w:val="center"/>
          </w:tcPr>
          <w:p w14:paraId="7141A62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91" w:type="dxa"/>
            <w:tcMar>
              <w:top w:w="10" w:type="dxa"/>
              <w:bottom w:w="10" w:type="dxa"/>
            </w:tcMar>
            <w:vAlign w:val="center"/>
          </w:tcPr>
          <w:p w14:paraId="7E91550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59" w:type="dxa"/>
            <w:tcMar>
              <w:top w:w="10" w:type="dxa"/>
              <w:bottom w:w="10" w:type="dxa"/>
            </w:tcMar>
            <w:vAlign w:val="center"/>
          </w:tcPr>
          <w:p w14:paraId="2876F1F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64" w:type="dxa"/>
            <w:tcMar>
              <w:top w:w="10" w:type="dxa"/>
              <w:bottom w:w="10" w:type="dxa"/>
            </w:tcMar>
            <w:vAlign w:val="center"/>
          </w:tcPr>
          <w:p w14:paraId="762E3CA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619" w:type="dxa"/>
            <w:gridSpan w:val="3"/>
            <w:tcMar>
              <w:top w:w="10" w:type="dxa"/>
              <w:bottom w:w="10" w:type="dxa"/>
            </w:tcMar>
            <w:vAlign w:val="center"/>
          </w:tcPr>
          <w:p w14:paraId="66DA4A1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66" w:type="dxa"/>
            <w:tcMar>
              <w:top w:w="10" w:type="dxa"/>
              <w:bottom w:w="10" w:type="dxa"/>
            </w:tcMar>
            <w:vAlign w:val="center"/>
          </w:tcPr>
          <w:p w14:paraId="5F58D91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57" w:type="dxa"/>
            <w:tcMar>
              <w:top w:w="10" w:type="dxa"/>
              <w:bottom w:w="10" w:type="dxa"/>
            </w:tcMar>
            <w:vAlign w:val="center"/>
          </w:tcPr>
          <w:p w14:paraId="6E8C98B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35" w:type="dxa"/>
            <w:tcMar>
              <w:top w:w="10" w:type="dxa"/>
              <w:bottom w:w="10" w:type="dxa"/>
            </w:tcMar>
            <w:vAlign w:val="center"/>
          </w:tcPr>
          <w:p w14:paraId="22CCD85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63" w:type="dxa"/>
            <w:tcMar>
              <w:top w:w="10" w:type="dxa"/>
              <w:bottom w:w="10" w:type="dxa"/>
            </w:tcMar>
            <w:vAlign w:val="center"/>
          </w:tcPr>
          <w:p w14:paraId="27944C5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r>
      <w:tr w:rsidR="006561BA" w14:paraId="1C08F1F4" w14:textId="77777777">
        <w:tc>
          <w:tcPr>
            <w:tcW w:w="133" w:type="dxa"/>
            <w:tcMar>
              <w:top w:w="10" w:type="dxa"/>
              <w:bottom w:w="10" w:type="dxa"/>
            </w:tcMar>
            <w:vAlign w:val="center"/>
          </w:tcPr>
          <w:p w14:paraId="6151F577"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sz w:val="6"/>
                <w:szCs w:val="6"/>
              </w:rPr>
            </w:pPr>
            <w:r>
              <w:rPr>
                <w:rFonts w:ascii="Helvetica" w:hAnsi="Helvetica"/>
                <w:color w:val="212121"/>
                <w:sz w:val="6"/>
              </w:rPr>
              <w:t>6</w:t>
            </w:r>
          </w:p>
        </w:tc>
        <w:tc>
          <w:tcPr>
            <w:tcW w:w="2506" w:type="dxa"/>
            <w:tcMar>
              <w:top w:w="10" w:type="dxa"/>
              <w:bottom w:w="10" w:type="dxa"/>
            </w:tcMar>
            <w:vAlign w:val="center"/>
          </w:tcPr>
          <w:p w14:paraId="2042CBF2" w14:textId="77777777" w:rsidR="006561BA" w:rsidRDefault="005B4ED6">
            <w:pPr>
              <w:widowControl w:val="0"/>
              <w:shd w:val="clear" w:color="auto" w:fill="auto"/>
              <w:spacing w:after="0" w:line="240" w:lineRule="auto"/>
              <w:ind w:left="200"/>
              <w:jc w:val="left"/>
              <w:rPr>
                <w:rFonts w:ascii="Helvetica" w:eastAsia="Arial Unicode MS" w:hAnsi="Helvetica" w:cs="Times New Roman"/>
                <w:color w:val="000000"/>
                <w:sz w:val="6"/>
                <w:szCs w:val="6"/>
              </w:rPr>
            </w:pPr>
            <w:r>
              <w:rPr>
                <w:rFonts w:ascii="Helvetica" w:hAnsi="Helvetica"/>
                <w:color w:val="212121"/>
                <w:sz w:val="6"/>
              </w:rPr>
              <w:t>hvorav forvaltningsselskaper</w:t>
            </w:r>
          </w:p>
        </w:tc>
        <w:tc>
          <w:tcPr>
            <w:tcW w:w="359" w:type="dxa"/>
            <w:tcMar>
              <w:top w:w="10" w:type="dxa"/>
              <w:bottom w:w="10" w:type="dxa"/>
            </w:tcMar>
            <w:vAlign w:val="center"/>
          </w:tcPr>
          <w:p w14:paraId="3D96C41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65" w:type="dxa"/>
            <w:tcMar>
              <w:top w:w="10" w:type="dxa"/>
              <w:bottom w:w="10" w:type="dxa"/>
            </w:tcMar>
            <w:vAlign w:val="center"/>
          </w:tcPr>
          <w:p w14:paraId="5BEDF45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20" w:type="dxa"/>
            <w:tcMar>
              <w:top w:w="10" w:type="dxa"/>
              <w:bottom w:w="10" w:type="dxa"/>
            </w:tcMar>
            <w:vAlign w:val="center"/>
          </w:tcPr>
          <w:p w14:paraId="52C3476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42" w:type="dxa"/>
            <w:tcMar>
              <w:top w:w="10" w:type="dxa"/>
              <w:bottom w:w="10" w:type="dxa"/>
            </w:tcMar>
            <w:vAlign w:val="center"/>
          </w:tcPr>
          <w:p w14:paraId="289640A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91" w:type="dxa"/>
            <w:tcMar>
              <w:top w:w="10" w:type="dxa"/>
              <w:bottom w:w="10" w:type="dxa"/>
            </w:tcMar>
            <w:vAlign w:val="center"/>
          </w:tcPr>
          <w:p w14:paraId="273B66D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59" w:type="dxa"/>
            <w:tcMar>
              <w:top w:w="10" w:type="dxa"/>
              <w:bottom w:w="10" w:type="dxa"/>
            </w:tcMar>
            <w:vAlign w:val="center"/>
          </w:tcPr>
          <w:p w14:paraId="2CE6137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78" w:type="dxa"/>
            <w:tcMar>
              <w:top w:w="10" w:type="dxa"/>
              <w:bottom w:w="10" w:type="dxa"/>
            </w:tcMar>
            <w:vAlign w:val="center"/>
          </w:tcPr>
          <w:p w14:paraId="1185744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70" w:type="dxa"/>
            <w:tcMar>
              <w:top w:w="10" w:type="dxa"/>
              <w:bottom w:w="10" w:type="dxa"/>
            </w:tcMar>
            <w:vAlign w:val="center"/>
          </w:tcPr>
          <w:p w14:paraId="47CA9C8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59" w:type="dxa"/>
            <w:tcMar>
              <w:top w:w="10" w:type="dxa"/>
              <w:bottom w:w="10" w:type="dxa"/>
            </w:tcMar>
            <w:vAlign w:val="center"/>
          </w:tcPr>
          <w:p w14:paraId="42E41E5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71" w:type="dxa"/>
            <w:tcMar>
              <w:top w:w="10" w:type="dxa"/>
              <w:bottom w:w="10" w:type="dxa"/>
            </w:tcMar>
            <w:vAlign w:val="center"/>
          </w:tcPr>
          <w:p w14:paraId="446BEE8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85" w:type="dxa"/>
            <w:gridSpan w:val="2"/>
            <w:tcMar>
              <w:top w:w="10" w:type="dxa"/>
              <w:bottom w:w="10" w:type="dxa"/>
            </w:tcMar>
            <w:vAlign w:val="center"/>
          </w:tcPr>
          <w:p w14:paraId="7BA9A5F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65" w:type="dxa"/>
            <w:tcMar>
              <w:top w:w="10" w:type="dxa"/>
              <w:bottom w:w="10" w:type="dxa"/>
            </w:tcMar>
            <w:vAlign w:val="center"/>
          </w:tcPr>
          <w:p w14:paraId="36513CD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64" w:type="dxa"/>
            <w:tcMar>
              <w:top w:w="10" w:type="dxa"/>
              <w:bottom w:w="10" w:type="dxa"/>
            </w:tcMar>
            <w:vAlign w:val="center"/>
          </w:tcPr>
          <w:p w14:paraId="6598CA6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91" w:type="dxa"/>
            <w:tcMar>
              <w:top w:w="10" w:type="dxa"/>
              <w:bottom w:w="10" w:type="dxa"/>
            </w:tcMar>
            <w:vAlign w:val="center"/>
          </w:tcPr>
          <w:p w14:paraId="319A466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63" w:type="dxa"/>
            <w:tcMar>
              <w:top w:w="10" w:type="dxa"/>
              <w:bottom w:w="10" w:type="dxa"/>
            </w:tcMar>
            <w:vAlign w:val="center"/>
          </w:tcPr>
          <w:p w14:paraId="068CE8D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72" w:type="dxa"/>
            <w:gridSpan w:val="2"/>
            <w:tcMar>
              <w:top w:w="10" w:type="dxa"/>
              <w:bottom w:w="10" w:type="dxa"/>
            </w:tcMar>
            <w:vAlign w:val="center"/>
          </w:tcPr>
          <w:p w14:paraId="66CC614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91" w:type="dxa"/>
            <w:tcMar>
              <w:top w:w="10" w:type="dxa"/>
              <w:bottom w:w="10" w:type="dxa"/>
            </w:tcMar>
            <w:vAlign w:val="center"/>
          </w:tcPr>
          <w:p w14:paraId="49BBF7D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59" w:type="dxa"/>
            <w:tcMar>
              <w:top w:w="10" w:type="dxa"/>
              <w:bottom w:w="10" w:type="dxa"/>
            </w:tcMar>
            <w:vAlign w:val="center"/>
          </w:tcPr>
          <w:p w14:paraId="4B1EFAC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64" w:type="dxa"/>
            <w:tcMar>
              <w:top w:w="10" w:type="dxa"/>
              <w:bottom w:w="10" w:type="dxa"/>
            </w:tcMar>
            <w:vAlign w:val="center"/>
          </w:tcPr>
          <w:p w14:paraId="7E873C5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619" w:type="dxa"/>
            <w:gridSpan w:val="3"/>
            <w:tcMar>
              <w:top w:w="10" w:type="dxa"/>
              <w:bottom w:w="10" w:type="dxa"/>
            </w:tcMar>
            <w:vAlign w:val="center"/>
          </w:tcPr>
          <w:p w14:paraId="2522E19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66" w:type="dxa"/>
            <w:tcMar>
              <w:top w:w="10" w:type="dxa"/>
              <w:bottom w:w="10" w:type="dxa"/>
            </w:tcMar>
            <w:vAlign w:val="center"/>
          </w:tcPr>
          <w:p w14:paraId="4634839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57" w:type="dxa"/>
            <w:tcMar>
              <w:top w:w="10" w:type="dxa"/>
              <w:bottom w:w="10" w:type="dxa"/>
            </w:tcMar>
            <w:vAlign w:val="center"/>
          </w:tcPr>
          <w:p w14:paraId="67A8303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35" w:type="dxa"/>
            <w:tcMar>
              <w:top w:w="10" w:type="dxa"/>
              <w:bottom w:w="10" w:type="dxa"/>
            </w:tcMar>
            <w:vAlign w:val="center"/>
          </w:tcPr>
          <w:p w14:paraId="3A4F507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63" w:type="dxa"/>
            <w:tcMar>
              <w:top w:w="10" w:type="dxa"/>
              <w:bottom w:w="10" w:type="dxa"/>
            </w:tcMar>
            <w:vAlign w:val="center"/>
          </w:tcPr>
          <w:p w14:paraId="0FCF3AA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r>
      <w:tr w:rsidR="006561BA" w14:paraId="403E22B9" w14:textId="77777777">
        <w:tc>
          <w:tcPr>
            <w:tcW w:w="133" w:type="dxa"/>
            <w:tcMar>
              <w:top w:w="10" w:type="dxa"/>
              <w:bottom w:w="10" w:type="dxa"/>
            </w:tcMar>
            <w:vAlign w:val="center"/>
          </w:tcPr>
          <w:p w14:paraId="1E36F1B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2506" w:type="dxa"/>
            <w:tcMar>
              <w:top w:w="10" w:type="dxa"/>
              <w:bottom w:w="10" w:type="dxa"/>
            </w:tcMar>
            <w:vAlign w:val="center"/>
          </w:tcPr>
          <w:p w14:paraId="3CE3A550" w14:textId="77777777" w:rsidR="006561BA" w:rsidRDefault="005B4ED6">
            <w:pPr>
              <w:widowControl w:val="0"/>
              <w:shd w:val="clear" w:color="auto" w:fill="auto"/>
              <w:spacing w:after="0" w:line="240" w:lineRule="auto"/>
              <w:ind w:left="200"/>
              <w:jc w:val="left"/>
              <w:rPr>
                <w:rFonts w:ascii="Helvetica" w:eastAsia="Arial Unicode MS" w:hAnsi="Helvetica" w:cs="Times New Roman"/>
                <w:color w:val="000000"/>
                <w:sz w:val="6"/>
                <w:szCs w:val="6"/>
              </w:rPr>
            </w:pPr>
            <w:r>
              <w:rPr>
                <w:rFonts w:ascii="Helvetica" w:hAnsi="Helvetica"/>
                <w:color w:val="212121"/>
                <w:sz w:val="6"/>
              </w:rPr>
              <w:t>hvorav forsikringsforetak</w:t>
            </w:r>
          </w:p>
        </w:tc>
        <w:tc>
          <w:tcPr>
            <w:tcW w:w="359" w:type="dxa"/>
            <w:tcMar>
              <w:top w:w="10" w:type="dxa"/>
              <w:bottom w:w="10" w:type="dxa"/>
            </w:tcMar>
            <w:vAlign w:val="center"/>
          </w:tcPr>
          <w:p w14:paraId="0449D1D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65" w:type="dxa"/>
            <w:tcMar>
              <w:top w:w="10" w:type="dxa"/>
              <w:bottom w:w="10" w:type="dxa"/>
            </w:tcMar>
            <w:vAlign w:val="center"/>
          </w:tcPr>
          <w:p w14:paraId="1F05096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20" w:type="dxa"/>
            <w:tcMar>
              <w:top w:w="10" w:type="dxa"/>
              <w:bottom w:w="10" w:type="dxa"/>
            </w:tcMar>
            <w:vAlign w:val="center"/>
          </w:tcPr>
          <w:p w14:paraId="1F460FB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42" w:type="dxa"/>
            <w:tcMar>
              <w:top w:w="10" w:type="dxa"/>
              <w:bottom w:w="10" w:type="dxa"/>
            </w:tcMar>
            <w:vAlign w:val="center"/>
          </w:tcPr>
          <w:p w14:paraId="5DD5461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91" w:type="dxa"/>
            <w:tcMar>
              <w:top w:w="10" w:type="dxa"/>
              <w:bottom w:w="10" w:type="dxa"/>
            </w:tcMar>
            <w:vAlign w:val="center"/>
          </w:tcPr>
          <w:p w14:paraId="59EE575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59" w:type="dxa"/>
            <w:tcMar>
              <w:top w:w="10" w:type="dxa"/>
              <w:bottom w:w="10" w:type="dxa"/>
            </w:tcMar>
            <w:vAlign w:val="center"/>
          </w:tcPr>
          <w:p w14:paraId="279A6C6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78" w:type="dxa"/>
            <w:tcMar>
              <w:top w:w="10" w:type="dxa"/>
              <w:bottom w:w="10" w:type="dxa"/>
            </w:tcMar>
            <w:vAlign w:val="center"/>
          </w:tcPr>
          <w:p w14:paraId="6A3E125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70" w:type="dxa"/>
            <w:tcMar>
              <w:top w:w="10" w:type="dxa"/>
              <w:bottom w:w="10" w:type="dxa"/>
            </w:tcMar>
            <w:vAlign w:val="center"/>
          </w:tcPr>
          <w:p w14:paraId="6A52B32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59" w:type="dxa"/>
            <w:tcMar>
              <w:top w:w="10" w:type="dxa"/>
              <w:bottom w:w="10" w:type="dxa"/>
            </w:tcMar>
            <w:vAlign w:val="center"/>
          </w:tcPr>
          <w:p w14:paraId="01AEC7D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71" w:type="dxa"/>
            <w:tcMar>
              <w:top w:w="10" w:type="dxa"/>
              <w:bottom w:w="10" w:type="dxa"/>
            </w:tcMar>
            <w:vAlign w:val="center"/>
          </w:tcPr>
          <w:p w14:paraId="293453B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85" w:type="dxa"/>
            <w:gridSpan w:val="2"/>
            <w:tcMar>
              <w:top w:w="10" w:type="dxa"/>
              <w:bottom w:w="10" w:type="dxa"/>
            </w:tcMar>
            <w:vAlign w:val="center"/>
          </w:tcPr>
          <w:p w14:paraId="577BCB6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65" w:type="dxa"/>
            <w:tcMar>
              <w:top w:w="10" w:type="dxa"/>
              <w:bottom w:w="10" w:type="dxa"/>
            </w:tcMar>
            <w:vAlign w:val="center"/>
          </w:tcPr>
          <w:p w14:paraId="433702F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64" w:type="dxa"/>
            <w:tcMar>
              <w:top w:w="10" w:type="dxa"/>
              <w:bottom w:w="10" w:type="dxa"/>
            </w:tcMar>
            <w:vAlign w:val="center"/>
          </w:tcPr>
          <w:p w14:paraId="307886D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91" w:type="dxa"/>
            <w:tcMar>
              <w:top w:w="10" w:type="dxa"/>
              <w:bottom w:w="10" w:type="dxa"/>
            </w:tcMar>
            <w:vAlign w:val="center"/>
          </w:tcPr>
          <w:p w14:paraId="1AD9647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63" w:type="dxa"/>
            <w:tcMar>
              <w:top w:w="10" w:type="dxa"/>
              <w:bottom w:w="10" w:type="dxa"/>
            </w:tcMar>
            <w:vAlign w:val="center"/>
          </w:tcPr>
          <w:p w14:paraId="20EFB67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72" w:type="dxa"/>
            <w:gridSpan w:val="2"/>
            <w:tcMar>
              <w:top w:w="10" w:type="dxa"/>
              <w:bottom w:w="10" w:type="dxa"/>
            </w:tcMar>
            <w:vAlign w:val="center"/>
          </w:tcPr>
          <w:p w14:paraId="2738DF6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91" w:type="dxa"/>
            <w:tcMar>
              <w:top w:w="10" w:type="dxa"/>
              <w:bottom w:w="10" w:type="dxa"/>
            </w:tcMar>
            <w:vAlign w:val="center"/>
          </w:tcPr>
          <w:p w14:paraId="4BDE83C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59" w:type="dxa"/>
            <w:tcMar>
              <w:top w:w="10" w:type="dxa"/>
              <w:bottom w:w="10" w:type="dxa"/>
            </w:tcMar>
            <w:vAlign w:val="center"/>
          </w:tcPr>
          <w:p w14:paraId="32712BB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64" w:type="dxa"/>
            <w:tcMar>
              <w:top w:w="10" w:type="dxa"/>
              <w:bottom w:w="10" w:type="dxa"/>
            </w:tcMar>
            <w:vAlign w:val="center"/>
          </w:tcPr>
          <w:p w14:paraId="3AA7434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619" w:type="dxa"/>
            <w:gridSpan w:val="3"/>
            <w:tcMar>
              <w:top w:w="10" w:type="dxa"/>
              <w:bottom w:w="10" w:type="dxa"/>
            </w:tcMar>
            <w:vAlign w:val="center"/>
          </w:tcPr>
          <w:p w14:paraId="3DCCEA4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66" w:type="dxa"/>
            <w:tcMar>
              <w:top w:w="10" w:type="dxa"/>
              <w:bottom w:w="10" w:type="dxa"/>
            </w:tcMar>
            <w:vAlign w:val="center"/>
          </w:tcPr>
          <w:p w14:paraId="7944D72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57" w:type="dxa"/>
            <w:tcMar>
              <w:top w:w="10" w:type="dxa"/>
              <w:bottom w:w="10" w:type="dxa"/>
            </w:tcMar>
            <w:vAlign w:val="center"/>
          </w:tcPr>
          <w:p w14:paraId="60FEA47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35" w:type="dxa"/>
            <w:tcMar>
              <w:top w:w="10" w:type="dxa"/>
              <w:bottom w:w="10" w:type="dxa"/>
            </w:tcMar>
            <w:vAlign w:val="center"/>
          </w:tcPr>
          <w:p w14:paraId="23F87D8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63" w:type="dxa"/>
            <w:tcMar>
              <w:top w:w="10" w:type="dxa"/>
              <w:bottom w:w="10" w:type="dxa"/>
            </w:tcMar>
            <w:vAlign w:val="center"/>
          </w:tcPr>
          <w:p w14:paraId="0EF3F65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r>
      <w:tr w:rsidR="006561BA" w14:paraId="1AD960A0" w14:textId="77777777">
        <w:tc>
          <w:tcPr>
            <w:tcW w:w="133" w:type="dxa"/>
            <w:tcMar>
              <w:top w:w="10" w:type="dxa"/>
              <w:bottom w:w="10" w:type="dxa"/>
            </w:tcMar>
            <w:vAlign w:val="center"/>
          </w:tcPr>
          <w:p w14:paraId="2AC6F91C"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sz w:val="6"/>
                <w:szCs w:val="6"/>
              </w:rPr>
            </w:pPr>
            <w:r>
              <w:rPr>
                <w:rFonts w:ascii="Helvetica" w:hAnsi="Helvetica"/>
                <w:color w:val="212121"/>
                <w:sz w:val="6"/>
              </w:rPr>
              <w:t>8</w:t>
            </w:r>
          </w:p>
        </w:tc>
        <w:tc>
          <w:tcPr>
            <w:tcW w:w="2506" w:type="dxa"/>
            <w:tcMar>
              <w:top w:w="10" w:type="dxa"/>
              <w:bottom w:w="10" w:type="dxa"/>
            </w:tcMar>
            <w:vAlign w:val="center"/>
          </w:tcPr>
          <w:p w14:paraId="2E4F8236" w14:textId="77777777" w:rsidR="006561BA" w:rsidRDefault="005B4ED6">
            <w:pPr>
              <w:widowControl w:val="0"/>
              <w:shd w:val="clear" w:color="auto" w:fill="auto"/>
              <w:spacing w:after="0" w:line="240" w:lineRule="auto"/>
              <w:ind w:left="120"/>
              <w:jc w:val="left"/>
              <w:rPr>
                <w:rFonts w:ascii="Helvetica" w:eastAsia="Arial Unicode MS" w:hAnsi="Helvetica" w:cs="Times New Roman"/>
                <w:b/>
                <w:color w:val="000000"/>
                <w:sz w:val="6"/>
                <w:szCs w:val="6"/>
              </w:rPr>
            </w:pPr>
            <w:r>
              <w:rPr>
                <w:rFonts w:ascii="Helvetica" w:hAnsi="Helvetica"/>
                <w:b/>
                <w:color w:val="000000"/>
                <w:sz w:val="6"/>
              </w:rPr>
              <w:t>Ikke-finansielle foretak</w:t>
            </w:r>
          </w:p>
        </w:tc>
        <w:tc>
          <w:tcPr>
            <w:tcW w:w="359" w:type="dxa"/>
            <w:tcMar>
              <w:top w:w="10" w:type="dxa"/>
              <w:bottom w:w="10" w:type="dxa"/>
            </w:tcMar>
            <w:vAlign w:val="center"/>
          </w:tcPr>
          <w:p w14:paraId="3B431FB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65" w:type="dxa"/>
            <w:tcMar>
              <w:top w:w="10" w:type="dxa"/>
              <w:bottom w:w="10" w:type="dxa"/>
            </w:tcMar>
            <w:vAlign w:val="center"/>
          </w:tcPr>
          <w:p w14:paraId="1923AD7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20" w:type="dxa"/>
            <w:tcMar>
              <w:top w:w="10" w:type="dxa"/>
              <w:bottom w:w="10" w:type="dxa"/>
            </w:tcMar>
            <w:vAlign w:val="center"/>
          </w:tcPr>
          <w:p w14:paraId="08C31BE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42" w:type="dxa"/>
            <w:tcMar>
              <w:top w:w="10" w:type="dxa"/>
              <w:bottom w:w="10" w:type="dxa"/>
            </w:tcMar>
            <w:vAlign w:val="center"/>
          </w:tcPr>
          <w:p w14:paraId="40124D0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91" w:type="dxa"/>
            <w:tcMar>
              <w:top w:w="10" w:type="dxa"/>
              <w:bottom w:w="10" w:type="dxa"/>
            </w:tcMar>
            <w:vAlign w:val="center"/>
          </w:tcPr>
          <w:p w14:paraId="1922C74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59" w:type="dxa"/>
            <w:tcMar>
              <w:top w:w="10" w:type="dxa"/>
              <w:bottom w:w="10" w:type="dxa"/>
            </w:tcMar>
            <w:vAlign w:val="center"/>
          </w:tcPr>
          <w:p w14:paraId="6644140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78" w:type="dxa"/>
            <w:tcMar>
              <w:top w:w="10" w:type="dxa"/>
              <w:bottom w:w="10" w:type="dxa"/>
            </w:tcMar>
            <w:vAlign w:val="center"/>
          </w:tcPr>
          <w:p w14:paraId="5CC07E6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70" w:type="dxa"/>
            <w:tcMar>
              <w:top w:w="10" w:type="dxa"/>
              <w:bottom w:w="10" w:type="dxa"/>
            </w:tcMar>
            <w:vAlign w:val="center"/>
          </w:tcPr>
          <w:p w14:paraId="5FBECC1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59" w:type="dxa"/>
            <w:tcMar>
              <w:top w:w="10" w:type="dxa"/>
              <w:bottom w:w="10" w:type="dxa"/>
            </w:tcMar>
            <w:vAlign w:val="center"/>
          </w:tcPr>
          <w:p w14:paraId="35A7E2C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71" w:type="dxa"/>
            <w:tcMar>
              <w:top w:w="10" w:type="dxa"/>
              <w:bottom w:w="10" w:type="dxa"/>
            </w:tcMar>
            <w:vAlign w:val="center"/>
          </w:tcPr>
          <w:p w14:paraId="04B29E2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85" w:type="dxa"/>
            <w:gridSpan w:val="2"/>
            <w:tcMar>
              <w:top w:w="10" w:type="dxa"/>
              <w:bottom w:w="10" w:type="dxa"/>
            </w:tcMar>
            <w:vAlign w:val="center"/>
          </w:tcPr>
          <w:p w14:paraId="536A96D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65" w:type="dxa"/>
            <w:tcMar>
              <w:top w:w="10" w:type="dxa"/>
              <w:bottom w:w="10" w:type="dxa"/>
            </w:tcMar>
            <w:vAlign w:val="center"/>
          </w:tcPr>
          <w:p w14:paraId="3B2A5B7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64" w:type="dxa"/>
            <w:tcMar>
              <w:top w:w="10" w:type="dxa"/>
              <w:bottom w:w="10" w:type="dxa"/>
            </w:tcMar>
            <w:vAlign w:val="center"/>
          </w:tcPr>
          <w:p w14:paraId="6303295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91" w:type="dxa"/>
            <w:tcMar>
              <w:top w:w="10" w:type="dxa"/>
              <w:bottom w:w="10" w:type="dxa"/>
            </w:tcMar>
            <w:vAlign w:val="center"/>
          </w:tcPr>
          <w:p w14:paraId="0B55AAE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63" w:type="dxa"/>
            <w:tcMar>
              <w:top w:w="10" w:type="dxa"/>
              <w:bottom w:w="10" w:type="dxa"/>
            </w:tcMar>
            <w:vAlign w:val="center"/>
          </w:tcPr>
          <w:p w14:paraId="708B020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72" w:type="dxa"/>
            <w:gridSpan w:val="2"/>
            <w:tcMar>
              <w:top w:w="10" w:type="dxa"/>
              <w:bottom w:w="10" w:type="dxa"/>
            </w:tcMar>
            <w:vAlign w:val="center"/>
          </w:tcPr>
          <w:p w14:paraId="1FDA1F7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91" w:type="dxa"/>
            <w:tcMar>
              <w:top w:w="10" w:type="dxa"/>
              <w:bottom w:w="10" w:type="dxa"/>
            </w:tcMar>
            <w:vAlign w:val="center"/>
          </w:tcPr>
          <w:p w14:paraId="0DF5C60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59" w:type="dxa"/>
            <w:tcMar>
              <w:top w:w="10" w:type="dxa"/>
              <w:bottom w:w="10" w:type="dxa"/>
            </w:tcMar>
            <w:vAlign w:val="center"/>
          </w:tcPr>
          <w:p w14:paraId="28BA3A4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64" w:type="dxa"/>
            <w:tcMar>
              <w:top w:w="10" w:type="dxa"/>
              <w:bottom w:w="10" w:type="dxa"/>
            </w:tcMar>
            <w:vAlign w:val="center"/>
          </w:tcPr>
          <w:p w14:paraId="0B59AF4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619" w:type="dxa"/>
            <w:gridSpan w:val="3"/>
            <w:tcMar>
              <w:top w:w="10" w:type="dxa"/>
              <w:bottom w:w="10" w:type="dxa"/>
            </w:tcMar>
            <w:vAlign w:val="center"/>
          </w:tcPr>
          <w:p w14:paraId="0AA6CEB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366" w:type="dxa"/>
            <w:tcMar>
              <w:top w:w="10" w:type="dxa"/>
              <w:bottom w:w="10" w:type="dxa"/>
            </w:tcMar>
            <w:vAlign w:val="center"/>
          </w:tcPr>
          <w:p w14:paraId="3C55806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457" w:type="dxa"/>
            <w:tcMar>
              <w:top w:w="10" w:type="dxa"/>
              <w:bottom w:w="10" w:type="dxa"/>
            </w:tcMar>
            <w:vAlign w:val="center"/>
          </w:tcPr>
          <w:p w14:paraId="372C9AA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35" w:type="dxa"/>
            <w:tcMar>
              <w:top w:w="10" w:type="dxa"/>
              <w:bottom w:w="10" w:type="dxa"/>
            </w:tcMar>
            <w:vAlign w:val="center"/>
          </w:tcPr>
          <w:p w14:paraId="4536F12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c>
          <w:tcPr>
            <w:tcW w:w="563" w:type="dxa"/>
            <w:tcMar>
              <w:top w:w="10" w:type="dxa"/>
              <w:bottom w:w="10" w:type="dxa"/>
            </w:tcMar>
            <w:vAlign w:val="center"/>
          </w:tcPr>
          <w:p w14:paraId="67CF681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sz w:val="6"/>
                <w:szCs w:val="6"/>
                <w:lang w:val="en-US"/>
              </w:rPr>
            </w:pPr>
          </w:p>
        </w:tc>
      </w:tr>
      <w:tr w:rsidR="006561BA" w14:paraId="6A9D08AE" w14:textId="77777777">
        <w:tc>
          <w:tcPr>
            <w:tcW w:w="133" w:type="dxa"/>
            <w:tcMar>
              <w:top w:w="10" w:type="dxa"/>
              <w:bottom w:w="10" w:type="dxa"/>
            </w:tcMar>
            <w:vAlign w:val="center"/>
          </w:tcPr>
          <w:p w14:paraId="205C8FED"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sz w:val="6"/>
                <w:szCs w:val="6"/>
              </w:rPr>
            </w:pPr>
            <w:r>
              <w:rPr>
                <w:rFonts w:ascii="Helvetica" w:hAnsi="Helvetica"/>
                <w:color w:val="000000"/>
                <w:sz w:val="6"/>
              </w:rPr>
              <w:t>9</w:t>
            </w:r>
          </w:p>
        </w:tc>
        <w:tc>
          <w:tcPr>
            <w:tcW w:w="2506" w:type="dxa"/>
            <w:tcMar>
              <w:top w:w="10" w:type="dxa"/>
              <w:bottom w:w="10" w:type="dxa"/>
            </w:tcMar>
            <w:vAlign w:val="center"/>
          </w:tcPr>
          <w:p w14:paraId="1A0A3A9C" w14:textId="77777777" w:rsidR="006561BA" w:rsidRDefault="005B4ED6">
            <w:pPr>
              <w:widowControl w:val="0"/>
              <w:shd w:val="clear" w:color="auto" w:fill="auto"/>
              <w:spacing w:after="0" w:line="240" w:lineRule="auto"/>
              <w:ind w:left="120"/>
              <w:jc w:val="left"/>
              <w:rPr>
                <w:rFonts w:ascii="Helvetica" w:eastAsia="Arial Unicode MS" w:hAnsi="Helvetica" w:cs="Times New Roman"/>
                <w:b/>
                <w:color w:val="000000"/>
                <w:sz w:val="6"/>
                <w:szCs w:val="6"/>
              </w:rPr>
            </w:pPr>
            <w:r>
              <w:rPr>
                <w:rFonts w:ascii="Helvetica" w:hAnsi="Helvetica"/>
                <w:b/>
                <w:color w:val="000000"/>
                <w:sz w:val="6"/>
              </w:rPr>
              <w:t>Motparter som ikke er omfattet av opplysningsplikten i direktivet om ikke-finansiell rapportering, herunder motparter i tredjeland</w:t>
            </w:r>
          </w:p>
        </w:tc>
        <w:tc>
          <w:tcPr>
            <w:tcW w:w="359" w:type="dxa"/>
            <w:tcMar>
              <w:top w:w="10" w:type="dxa"/>
              <w:bottom w:w="10" w:type="dxa"/>
            </w:tcMar>
            <w:vAlign w:val="center"/>
          </w:tcPr>
          <w:p w14:paraId="15773F67"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sz w:val="6"/>
                <w:szCs w:val="6"/>
              </w:rPr>
            </w:pPr>
          </w:p>
        </w:tc>
        <w:tc>
          <w:tcPr>
            <w:tcW w:w="365" w:type="dxa"/>
            <w:tcMar>
              <w:top w:w="10" w:type="dxa"/>
              <w:bottom w:w="10" w:type="dxa"/>
            </w:tcMar>
            <w:vAlign w:val="center"/>
          </w:tcPr>
          <w:p w14:paraId="1AC805E5"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sz w:val="6"/>
                <w:szCs w:val="6"/>
              </w:rPr>
            </w:pPr>
          </w:p>
        </w:tc>
        <w:tc>
          <w:tcPr>
            <w:tcW w:w="520" w:type="dxa"/>
            <w:tcMar>
              <w:top w:w="10" w:type="dxa"/>
              <w:bottom w:w="10" w:type="dxa"/>
            </w:tcMar>
            <w:vAlign w:val="center"/>
          </w:tcPr>
          <w:p w14:paraId="0696F3DE"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sz w:val="6"/>
                <w:szCs w:val="6"/>
              </w:rPr>
            </w:pPr>
          </w:p>
        </w:tc>
        <w:tc>
          <w:tcPr>
            <w:tcW w:w="542" w:type="dxa"/>
            <w:tcMar>
              <w:top w:w="10" w:type="dxa"/>
              <w:bottom w:w="10" w:type="dxa"/>
            </w:tcMar>
            <w:vAlign w:val="center"/>
          </w:tcPr>
          <w:p w14:paraId="68163EAC"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sz w:val="6"/>
                <w:szCs w:val="6"/>
              </w:rPr>
            </w:pPr>
          </w:p>
        </w:tc>
        <w:tc>
          <w:tcPr>
            <w:tcW w:w="591" w:type="dxa"/>
            <w:tcMar>
              <w:top w:w="10" w:type="dxa"/>
              <w:bottom w:w="10" w:type="dxa"/>
            </w:tcMar>
            <w:vAlign w:val="center"/>
          </w:tcPr>
          <w:p w14:paraId="386F4113"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sz w:val="6"/>
                <w:szCs w:val="6"/>
              </w:rPr>
            </w:pPr>
          </w:p>
        </w:tc>
        <w:tc>
          <w:tcPr>
            <w:tcW w:w="359" w:type="dxa"/>
            <w:tcMar>
              <w:top w:w="10" w:type="dxa"/>
              <w:bottom w:w="10" w:type="dxa"/>
            </w:tcMar>
            <w:vAlign w:val="center"/>
          </w:tcPr>
          <w:p w14:paraId="1F2041A8"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sz w:val="6"/>
                <w:szCs w:val="6"/>
              </w:rPr>
            </w:pPr>
          </w:p>
        </w:tc>
        <w:tc>
          <w:tcPr>
            <w:tcW w:w="478" w:type="dxa"/>
            <w:tcMar>
              <w:top w:w="10" w:type="dxa"/>
              <w:bottom w:w="10" w:type="dxa"/>
            </w:tcMar>
            <w:vAlign w:val="center"/>
          </w:tcPr>
          <w:p w14:paraId="33839602"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sz w:val="6"/>
                <w:szCs w:val="6"/>
              </w:rPr>
            </w:pPr>
          </w:p>
        </w:tc>
        <w:tc>
          <w:tcPr>
            <w:tcW w:w="570" w:type="dxa"/>
            <w:tcMar>
              <w:top w:w="10" w:type="dxa"/>
              <w:bottom w:w="10" w:type="dxa"/>
            </w:tcMar>
            <w:vAlign w:val="center"/>
          </w:tcPr>
          <w:p w14:paraId="5A1EAB9C"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sz w:val="6"/>
                <w:szCs w:val="6"/>
              </w:rPr>
            </w:pPr>
          </w:p>
        </w:tc>
        <w:tc>
          <w:tcPr>
            <w:tcW w:w="359" w:type="dxa"/>
            <w:tcMar>
              <w:top w:w="10" w:type="dxa"/>
              <w:bottom w:w="10" w:type="dxa"/>
            </w:tcMar>
            <w:vAlign w:val="center"/>
          </w:tcPr>
          <w:p w14:paraId="65AA5430"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sz w:val="6"/>
                <w:szCs w:val="6"/>
              </w:rPr>
            </w:pPr>
          </w:p>
        </w:tc>
        <w:tc>
          <w:tcPr>
            <w:tcW w:w="471" w:type="dxa"/>
            <w:tcMar>
              <w:top w:w="10" w:type="dxa"/>
              <w:bottom w:w="10" w:type="dxa"/>
            </w:tcMar>
            <w:vAlign w:val="center"/>
          </w:tcPr>
          <w:p w14:paraId="526CB171"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sz w:val="6"/>
                <w:szCs w:val="6"/>
              </w:rPr>
            </w:pPr>
          </w:p>
        </w:tc>
        <w:tc>
          <w:tcPr>
            <w:tcW w:w="585" w:type="dxa"/>
            <w:gridSpan w:val="2"/>
            <w:tcMar>
              <w:top w:w="10" w:type="dxa"/>
              <w:bottom w:w="10" w:type="dxa"/>
            </w:tcMar>
            <w:vAlign w:val="center"/>
          </w:tcPr>
          <w:p w14:paraId="2EE02D7E"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sz w:val="6"/>
                <w:szCs w:val="6"/>
              </w:rPr>
            </w:pPr>
          </w:p>
        </w:tc>
        <w:tc>
          <w:tcPr>
            <w:tcW w:w="365" w:type="dxa"/>
            <w:tcMar>
              <w:top w:w="10" w:type="dxa"/>
              <w:bottom w:w="10" w:type="dxa"/>
            </w:tcMar>
            <w:vAlign w:val="center"/>
          </w:tcPr>
          <w:p w14:paraId="693E14C3"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sz w:val="6"/>
                <w:szCs w:val="6"/>
              </w:rPr>
            </w:pPr>
          </w:p>
        </w:tc>
        <w:tc>
          <w:tcPr>
            <w:tcW w:w="464" w:type="dxa"/>
            <w:tcMar>
              <w:top w:w="10" w:type="dxa"/>
              <w:bottom w:w="10" w:type="dxa"/>
            </w:tcMar>
            <w:vAlign w:val="center"/>
          </w:tcPr>
          <w:p w14:paraId="0DAF5C74"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sz w:val="6"/>
                <w:szCs w:val="6"/>
              </w:rPr>
            </w:pPr>
          </w:p>
        </w:tc>
        <w:tc>
          <w:tcPr>
            <w:tcW w:w="591" w:type="dxa"/>
            <w:tcMar>
              <w:top w:w="10" w:type="dxa"/>
              <w:bottom w:w="10" w:type="dxa"/>
            </w:tcMar>
            <w:vAlign w:val="center"/>
          </w:tcPr>
          <w:p w14:paraId="1B7A78ED"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sz w:val="6"/>
                <w:szCs w:val="6"/>
              </w:rPr>
            </w:pPr>
          </w:p>
        </w:tc>
        <w:tc>
          <w:tcPr>
            <w:tcW w:w="363" w:type="dxa"/>
            <w:tcMar>
              <w:top w:w="10" w:type="dxa"/>
              <w:bottom w:w="10" w:type="dxa"/>
            </w:tcMar>
            <w:vAlign w:val="center"/>
          </w:tcPr>
          <w:p w14:paraId="447DEB12"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sz w:val="6"/>
                <w:szCs w:val="6"/>
              </w:rPr>
            </w:pPr>
          </w:p>
        </w:tc>
        <w:tc>
          <w:tcPr>
            <w:tcW w:w="472" w:type="dxa"/>
            <w:gridSpan w:val="2"/>
            <w:tcMar>
              <w:top w:w="10" w:type="dxa"/>
              <w:bottom w:w="10" w:type="dxa"/>
            </w:tcMar>
            <w:vAlign w:val="center"/>
          </w:tcPr>
          <w:p w14:paraId="2DAFFC9D"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sz w:val="6"/>
                <w:szCs w:val="6"/>
              </w:rPr>
            </w:pPr>
          </w:p>
        </w:tc>
        <w:tc>
          <w:tcPr>
            <w:tcW w:w="591" w:type="dxa"/>
            <w:tcMar>
              <w:top w:w="10" w:type="dxa"/>
              <w:bottom w:w="10" w:type="dxa"/>
            </w:tcMar>
            <w:vAlign w:val="center"/>
          </w:tcPr>
          <w:p w14:paraId="537ADC2A"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sz w:val="6"/>
                <w:szCs w:val="6"/>
              </w:rPr>
            </w:pPr>
          </w:p>
        </w:tc>
        <w:tc>
          <w:tcPr>
            <w:tcW w:w="359" w:type="dxa"/>
            <w:tcMar>
              <w:top w:w="10" w:type="dxa"/>
              <w:bottom w:w="10" w:type="dxa"/>
            </w:tcMar>
            <w:vAlign w:val="center"/>
          </w:tcPr>
          <w:p w14:paraId="2B5D1BE3"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sz w:val="6"/>
                <w:szCs w:val="6"/>
              </w:rPr>
            </w:pPr>
          </w:p>
        </w:tc>
        <w:tc>
          <w:tcPr>
            <w:tcW w:w="464" w:type="dxa"/>
            <w:tcMar>
              <w:top w:w="10" w:type="dxa"/>
              <w:bottom w:w="10" w:type="dxa"/>
            </w:tcMar>
            <w:vAlign w:val="center"/>
          </w:tcPr>
          <w:p w14:paraId="2E03AB22"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sz w:val="6"/>
                <w:szCs w:val="6"/>
              </w:rPr>
            </w:pPr>
          </w:p>
        </w:tc>
        <w:tc>
          <w:tcPr>
            <w:tcW w:w="619" w:type="dxa"/>
            <w:gridSpan w:val="3"/>
            <w:tcMar>
              <w:top w:w="10" w:type="dxa"/>
              <w:bottom w:w="10" w:type="dxa"/>
            </w:tcMar>
            <w:vAlign w:val="center"/>
          </w:tcPr>
          <w:p w14:paraId="5DC8FEC2"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sz w:val="6"/>
                <w:szCs w:val="6"/>
              </w:rPr>
            </w:pPr>
          </w:p>
        </w:tc>
        <w:tc>
          <w:tcPr>
            <w:tcW w:w="366" w:type="dxa"/>
            <w:tcMar>
              <w:top w:w="10" w:type="dxa"/>
              <w:bottom w:w="10" w:type="dxa"/>
            </w:tcMar>
            <w:vAlign w:val="center"/>
          </w:tcPr>
          <w:p w14:paraId="02E2364A"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sz w:val="6"/>
                <w:szCs w:val="6"/>
              </w:rPr>
            </w:pPr>
          </w:p>
        </w:tc>
        <w:tc>
          <w:tcPr>
            <w:tcW w:w="457" w:type="dxa"/>
            <w:tcMar>
              <w:top w:w="10" w:type="dxa"/>
              <w:bottom w:w="10" w:type="dxa"/>
            </w:tcMar>
            <w:vAlign w:val="center"/>
          </w:tcPr>
          <w:p w14:paraId="3B49783E"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sz w:val="6"/>
                <w:szCs w:val="6"/>
              </w:rPr>
            </w:pPr>
          </w:p>
        </w:tc>
        <w:tc>
          <w:tcPr>
            <w:tcW w:w="535" w:type="dxa"/>
            <w:tcMar>
              <w:top w:w="10" w:type="dxa"/>
              <w:bottom w:w="10" w:type="dxa"/>
            </w:tcMar>
            <w:vAlign w:val="center"/>
          </w:tcPr>
          <w:p w14:paraId="0C96C7AF"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sz w:val="6"/>
                <w:szCs w:val="6"/>
              </w:rPr>
            </w:pPr>
          </w:p>
        </w:tc>
        <w:tc>
          <w:tcPr>
            <w:tcW w:w="563" w:type="dxa"/>
            <w:tcMar>
              <w:top w:w="10" w:type="dxa"/>
              <w:bottom w:w="10" w:type="dxa"/>
            </w:tcMar>
            <w:vAlign w:val="center"/>
          </w:tcPr>
          <w:p w14:paraId="0F7730EF"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sz w:val="6"/>
                <w:szCs w:val="6"/>
              </w:rPr>
            </w:pPr>
          </w:p>
        </w:tc>
      </w:tr>
    </w:tbl>
    <w:p w14:paraId="2562DC78" w14:textId="77777777" w:rsidR="006561BA" w:rsidRDefault="005B4ED6">
      <w:pPr>
        <w:pStyle w:val="Para"/>
        <w:spacing w:line="240" w:lineRule="auto"/>
        <w:jc w:val="left"/>
      </w:pPr>
      <w:r>
        <w:br w:type="page"/>
      </w:r>
    </w:p>
    <w:p w14:paraId="5CB0B897" w14:textId="77777777" w:rsidR="006561BA" w:rsidRDefault="005B4ED6">
      <w:pPr>
        <w:pStyle w:val="AnnexNumberedText"/>
        <w:spacing w:after="300"/>
        <w:ind w:left="279" w:hanging="279"/>
      </w:pPr>
      <w:r>
        <w:lastRenderedPageBreak/>
        <w:t>7.</w:t>
      </w:r>
      <w:r>
        <w:rPr>
          <w:b/>
        </w:rPr>
        <w:tab/>
        <w:t>KPI for handelsporteføljen»</w:t>
      </w:r>
    </w:p>
    <w:tbl>
      <w:tblPr>
        <w:tblOverlap w:val="never"/>
        <w:tblW w:w="0" w:type="auto"/>
        <w:tblInd w:w="298" w:type="dxa"/>
        <w:tblLayout w:type="fixed"/>
        <w:tblCellMar>
          <w:left w:w="10" w:type="dxa"/>
          <w:right w:w="10" w:type="dxa"/>
        </w:tblCellMar>
        <w:tblLook w:val="04A0" w:firstRow="1" w:lastRow="0" w:firstColumn="1" w:lastColumn="0" w:noHBand="0" w:noVBand="1"/>
      </w:tblPr>
      <w:tblGrid>
        <w:gridCol w:w="108"/>
        <w:gridCol w:w="1992"/>
        <w:gridCol w:w="216"/>
        <w:gridCol w:w="461"/>
        <w:gridCol w:w="419"/>
        <w:gridCol w:w="476"/>
        <w:gridCol w:w="411"/>
        <w:gridCol w:w="468"/>
        <w:gridCol w:w="406"/>
        <w:gridCol w:w="263"/>
        <w:gridCol w:w="476"/>
        <w:gridCol w:w="442"/>
        <w:gridCol w:w="442"/>
        <w:gridCol w:w="34"/>
        <w:gridCol w:w="412"/>
        <w:gridCol w:w="436"/>
        <w:gridCol w:w="32"/>
        <w:gridCol w:w="404"/>
        <w:gridCol w:w="261"/>
        <w:gridCol w:w="457"/>
        <w:gridCol w:w="19"/>
        <w:gridCol w:w="439"/>
        <w:gridCol w:w="476"/>
        <w:gridCol w:w="411"/>
        <w:gridCol w:w="447"/>
        <w:gridCol w:w="411"/>
        <w:gridCol w:w="264"/>
        <w:gridCol w:w="468"/>
        <w:gridCol w:w="444"/>
        <w:gridCol w:w="438"/>
        <w:gridCol w:w="30"/>
        <w:gridCol w:w="408"/>
        <w:gridCol w:w="438"/>
        <w:gridCol w:w="30"/>
        <w:gridCol w:w="408"/>
        <w:gridCol w:w="293"/>
      </w:tblGrid>
      <w:tr w:rsidR="006561BA" w14:paraId="5121DC25" w14:textId="77777777">
        <w:tc>
          <w:tcPr>
            <w:tcW w:w="108" w:type="dxa"/>
          </w:tcPr>
          <w:p w14:paraId="02A66043" w14:textId="77777777" w:rsidR="006561BA" w:rsidRDefault="006561BA">
            <w:pPr>
              <w:widowControl w:val="0"/>
              <w:shd w:val="clear" w:color="auto" w:fill="auto"/>
              <w:spacing w:after="0" w:line="240" w:lineRule="auto"/>
              <w:jc w:val="right"/>
              <w:rPr>
                <w:rFonts w:ascii="Helvetica" w:eastAsia="Arial Unicode MS" w:hAnsi="Helvetica" w:cs="Times New Roman"/>
                <w:color w:val="000000" w:themeColor="text1"/>
                <w:sz w:val="6"/>
                <w:szCs w:val="6"/>
                <w:lang w:val="en-US"/>
              </w:rPr>
            </w:pPr>
          </w:p>
        </w:tc>
        <w:tc>
          <w:tcPr>
            <w:tcW w:w="1992" w:type="dxa"/>
          </w:tcPr>
          <w:p w14:paraId="43C790EE" w14:textId="77777777" w:rsidR="006561BA" w:rsidRDefault="006561BA">
            <w:pPr>
              <w:widowControl w:val="0"/>
              <w:shd w:val="clear" w:color="auto" w:fill="auto"/>
              <w:spacing w:after="0" w:line="240" w:lineRule="auto"/>
              <w:rPr>
                <w:rFonts w:ascii="Helvetica" w:eastAsia="Arial Unicode MS" w:hAnsi="Helvetica" w:cs="Times New Roman"/>
                <w:color w:val="000000" w:themeColor="text1"/>
                <w:sz w:val="6"/>
                <w:szCs w:val="6"/>
                <w:lang w:val="en-US"/>
              </w:rPr>
            </w:pPr>
          </w:p>
        </w:tc>
        <w:tc>
          <w:tcPr>
            <w:tcW w:w="216" w:type="dxa"/>
            <w:tcBorders>
              <w:top w:val="single" w:sz="4" w:space="0" w:color="auto"/>
              <w:left w:val="single" w:sz="4" w:space="0" w:color="auto"/>
              <w:bottom w:val="single" w:sz="4" w:space="0" w:color="auto"/>
              <w:right w:val="single" w:sz="4" w:space="0" w:color="auto"/>
            </w:tcBorders>
            <w:vAlign w:val="center"/>
          </w:tcPr>
          <w:p w14:paraId="5A0FC2D8"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w:t>
            </w:r>
          </w:p>
        </w:tc>
        <w:tc>
          <w:tcPr>
            <w:tcW w:w="461" w:type="dxa"/>
            <w:tcBorders>
              <w:top w:val="single" w:sz="4" w:space="0" w:color="auto"/>
              <w:left w:val="single" w:sz="4" w:space="0" w:color="auto"/>
              <w:bottom w:val="single" w:sz="4" w:space="0" w:color="auto"/>
              <w:right w:val="single" w:sz="4" w:space="0" w:color="auto"/>
            </w:tcBorders>
            <w:vAlign w:val="center"/>
          </w:tcPr>
          <w:p w14:paraId="29B2B4C8"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b</w:t>
            </w:r>
          </w:p>
        </w:tc>
        <w:tc>
          <w:tcPr>
            <w:tcW w:w="419" w:type="dxa"/>
            <w:tcBorders>
              <w:top w:val="single" w:sz="4" w:space="0" w:color="auto"/>
              <w:left w:val="single" w:sz="4" w:space="0" w:color="auto"/>
              <w:bottom w:val="single" w:sz="4" w:space="0" w:color="auto"/>
              <w:right w:val="single" w:sz="4" w:space="0" w:color="auto"/>
            </w:tcBorders>
            <w:vAlign w:val="center"/>
          </w:tcPr>
          <w:p w14:paraId="47CE2E1A"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c</w:t>
            </w:r>
          </w:p>
        </w:tc>
        <w:tc>
          <w:tcPr>
            <w:tcW w:w="476" w:type="dxa"/>
            <w:tcBorders>
              <w:top w:val="single" w:sz="4" w:space="0" w:color="auto"/>
              <w:left w:val="single" w:sz="4" w:space="0" w:color="auto"/>
              <w:bottom w:val="single" w:sz="4" w:space="0" w:color="auto"/>
              <w:right w:val="single" w:sz="4" w:space="0" w:color="auto"/>
            </w:tcBorders>
            <w:vAlign w:val="center"/>
          </w:tcPr>
          <w:p w14:paraId="4BCB864B"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d</w:t>
            </w:r>
          </w:p>
        </w:tc>
        <w:tc>
          <w:tcPr>
            <w:tcW w:w="411" w:type="dxa"/>
            <w:tcBorders>
              <w:top w:val="single" w:sz="4" w:space="0" w:color="auto"/>
              <w:left w:val="single" w:sz="4" w:space="0" w:color="auto"/>
              <w:bottom w:val="single" w:sz="4" w:space="0" w:color="auto"/>
              <w:right w:val="single" w:sz="4" w:space="0" w:color="auto"/>
            </w:tcBorders>
            <w:vAlign w:val="center"/>
          </w:tcPr>
          <w:p w14:paraId="59EBC5D5"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e</w:t>
            </w:r>
          </w:p>
        </w:tc>
        <w:tc>
          <w:tcPr>
            <w:tcW w:w="468" w:type="dxa"/>
            <w:tcBorders>
              <w:top w:val="single" w:sz="4" w:space="0" w:color="auto"/>
              <w:left w:val="single" w:sz="4" w:space="0" w:color="auto"/>
              <w:bottom w:val="single" w:sz="4" w:space="0" w:color="auto"/>
              <w:right w:val="single" w:sz="4" w:space="0" w:color="auto"/>
            </w:tcBorders>
            <w:vAlign w:val="center"/>
          </w:tcPr>
          <w:p w14:paraId="45116D5F"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f</w:t>
            </w:r>
          </w:p>
        </w:tc>
        <w:tc>
          <w:tcPr>
            <w:tcW w:w="406" w:type="dxa"/>
            <w:tcBorders>
              <w:top w:val="single" w:sz="4" w:space="0" w:color="auto"/>
              <w:left w:val="single" w:sz="4" w:space="0" w:color="auto"/>
              <w:bottom w:val="single" w:sz="4" w:space="0" w:color="auto"/>
              <w:right w:val="single" w:sz="4" w:space="0" w:color="auto"/>
            </w:tcBorders>
            <w:vAlign w:val="center"/>
          </w:tcPr>
          <w:p w14:paraId="489DAC0E"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g</w:t>
            </w:r>
          </w:p>
        </w:tc>
        <w:tc>
          <w:tcPr>
            <w:tcW w:w="263" w:type="dxa"/>
            <w:tcBorders>
              <w:top w:val="single" w:sz="4" w:space="0" w:color="auto"/>
              <w:left w:val="single" w:sz="4" w:space="0" w:color="auto"/>
              <w:bottom w:val="single" w:sz="4" w:space="0" w:color="auto"/>
              <w:right w:val="single" w:sz="4" w:space="0" w:color="auto"/>
            </w:tcBorders>
            <w:vAlign w:val="center"/>
          </w:tcPr>
          <w:p w14:paraId="63DE670E"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w:t>
            </w:r>
          </w:p>
        </w:tc>
        <w:tc>
          <w:tcPr>
            <w:tcW w:w="476" w:type="dxa"/>
            <w:tcBorders>
              <w:top w:val="single" w:sz="4" w:space="0" w:color="auto"/>
              <w:left w:val="single" w:sz="4" w:space="0" w:color="auto"/>
              <w:bottom w:val="single" w:sz="4" w:space="0" w:color="auto"/>
              <w:right w:val="single" w:sz="4" w:space="0" w:color="auto"/>
            </w:tcBorders>
            <w:vAlign w:val="center"/>
          </w:tcPr>
          <w:p w14:paraId="66247959"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i</w:t>
            </w:r>
          </w:p>
        </w:tc>
        <w:tc>
          <w:tcPr>
            <w:tcW w:w="442" w:type="dxa"/>
            <w:tcBorders>
              <w:top w:val="single" w:sz="4" w:space="0" w:color="auto"/>
              <w:left w:val="single" w:sz="4" w:space="0" w:color="auto"/>
              <w:bottom w:val="single" w:sz="4" w:space="0" w:color="auto"/>
              <w:right w:val="single" w:sz="4" w:space="0" w:color="auto"/>
            </w:tcBorders>
            <w:vAlign w:val="center"/>
          </w:tcPr>
          <w:p w14:paraId="20502F70"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j</w:t>
            </w:r>
          </w:p>
        </w:tc>
        <w:tc>
          <w:tcPr>
            <w:tcW w:w="442" w:type="dxa"/>
            <w:tcBorders>
              <w:top w:val="single" w:sz="4" w:space="0" w:color="auto"/>
              <w:left w:val="single" w:sz="4" w:space="0" w:color="auto"/>
              <w:bottom w:val="single" w:sz="4" w:space="0" w:color="auto"/>
              <w:right w:val="single" w:sz="4" w:space="0" w:color="auto"/>
            </w:tcBorders>
            <w:vAlign w:val="center"/>
          </w:tcPr>
          <w:p w14:paraId="3F38A8F0"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k</w:t>
            </w:r>
          </w:p>
        </w:tc>
        <w:tc>
          <w:tcPr>
            <w:tcW w:w="446" w:type="dxa"/>
            <w:gridSpan w:val="2"/>
            <w:tcBorders>
              <w:top w:val="single" w:sz="4" w:space="0" w:color="auto"/>
              <w:left w:val="single" w:sz="4" w:space="0" w:color="auto"/>
              <w:bottom w:val="single" w:sz="4" w:space="0" w:color="auto"/>
              <w:right w:val="single" w:sz="4" w:space="0" w:color="auto"/>
            </w:tcBorders>
            <w:vAlign w:val="center"/>
          </w:tcPr>
          <w:p w14:paraId="7BB5E370"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l</w:t>
            </w:r>
          </w:p>
        </w:tc>
        <w:tc>
          <w:tcPr>
            <w:tcW w:w="436" w:type="dxa"/>
            <w:tcBorders>
              <w:top w:val="single" w:sz="4" w:space="0" w:color="auto"/>
              <w:left w:val="single" w:sz="4" w:space="0" w:color="auto"/>
              <w:bottom w:val="single" w:sz="4" w:space="0" w:color="auto"/>
              <w:right w:val="single" w:sz="4" w:space="0" w:color="auto"/>
            </w:tcBorders>
            <w:vAlign w:val="center"/>
          </w:tcPr>
          <w:p w14:paraId="0BE3413E" w14:textId="77777777" w:rsidR="006561BA" w:rsidRDefault="005B4ED6">
            <w:pPr>
              <w:widowControl w:val="0"/>
              <w:shd w:val="clear" w:color="auto" w:fill="auto"/>
              <w:tabs>
                <w:tab w:val="left" w:leader="underscore" w:pos="207"/>
                <w:tab w:val="left" w:leader="underscore" w:pos="444"/>
              </w:tabs>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m</w:t>
            </w:r>
          </w:p>
        </w:tc>
        <w:tc>
          <w:tcPr>
            <w:tcW w:w="436" w:type="dxa"/>
            <w:gridSpan w:val="2"/>
            <w:tcBorders>
              <w:top w:val="single" w:sz="4" w:space="0" w:color="auto"/>
              <w:left w:val="single" w:sz="4" w:space="0" w:color="auto"/>
              <w:bottom w:val="single" w:sz="4" w:space="0" w:color="auto"/>
              <w:right w:val="single" w:sz="4" w:space="0" w:color="auto"/>
            </w:tcBorders>
            <w:vAlign w:val="center"/>
          </w:tcPr>
          <w:p w14:paraId="284A9D40" w14:textId="77777777" w:rsidR="006561BA" w:rsidRDefault="005B4ED6">
            <w:pPr>
              <w:widowControl w:val="0"/>
              <w:shd w:val="clear" w:color="auto" w:fill="auto"/>
              <w:tabs>
                <w:tab w:val="left" w:leader="underscore" w:pos="207"/>
                <w:tab w:val="left" w:leader="underscore" w:pos="444"/>
              </w:tabs>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n</w:t>
            </w:r>
          </w:p>
        </w:tc>
        <w:tc>
          <w:tcPr>
            <w:tcW w:w="261" w:type="dxa"/>
            <w:tcBorders>
              <w:top w:val="single" w:sz="4" w:space="0" w:color="auto"/>
              <w:left w:val="single" w:sz="4" w:space="0" w:color="auto"/>
              <w:bottom w:val="single" w:sz="4" w:space="0" w:color="auto"/>
              <w:right w:val="single" w:sz="4" w:space="0" w:color="auto"/>
            </w:tcBorders>
            <w:vAlign w:val="center"/>
          </w:tcPr>
          <w:p w14:paraId="517F5CCB"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o</w:t>
            </w:r>
          </w:p>
        </w:tc>
        <w:tc>
          <w:tcPr>
            <w:tcW w:w="457" w:type="dxa"/>
            <w:tcBorders>
              <w:top w:val="single" w:sz="4" w:space="0" w:color="auto"/>
              <w:left w:val="single" w:sz="4" w:space="0" w:color="auto"/>
              <w:bottom w:val="single" w:sz="4" w:space="0" w:color="auto"/>
              <w:right w:val="single" w:sz="4" w:space="0" w:color="auto"/>
            </w:tcBorders>
            <w:vAlign w:val="center"/>
          </w:tcPr>
          <w:p w14:paraId="1E17A899" w14:textId="77777777" w:rsidR="006561BA" w:rsidRDefault="005B4ED6">
            <w:pPr>
              <w:widowControl w:val="0"/>
              <w:shd w:val="clear" w:color="auto" w:fill="auto"/>
              <w:tabs>
                <w:tab w:val="left" w:pos="234"/>
                <w:tab w:val="left" w:pos="434"/>
              </w:tabs>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p</w:t>
            </w:r>
          </w:p>
        </w:tc>
        <w:tc>
          <w:tcPr>
            <w:tcW w:w="458" w:type="dxa"/>
            <w:gridSpan w:val="2"/>
            <w:tcBorders>
              <w:top w:val="single" w:sz="4" w:space="0" w:color="auto"/>
              <w:left w:val="single" w:sz="4" w:space="0" w:color="auto"/>
              <w:bottom w:val="single" w:sz="4" w:space="0" w:color="auto"/>
              <w:right w:val="single" w:sz="4" w:space="0" w:color="auto"/>
            </w:tcBorders>
            <w:vAlign w:val="center"/>
          </w:tcPr>
          <w:p w14:paraId="0CABA8B0" w14:textId="77777777" w:rsidR="006561BA" w:rsidRDefault="005B4ED6">
            <w:pPr>
              <w:widowControl w:val="0"/>
              <w:shd w:val="clear" w:color="auto" w:fill="auto"/>
              <w:tabs>
                <w:tab w:val="left" w:pos="234"/>
                <w:tab w:val="left" w:pos="434"/>
              </w:tabs>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q</w:t>
            </w:r>
          </w:p>
        </w:tc>
        <w:tc>
          <w:tcPr>
            <w:tcW w:w="476" w:type="dxa"/>
            <w:tcBorders>
              <w:top w:val="single" w:sz="4" w:space="0" w:color="auto"/>
              <w:left w:val="single" w:sz="4" w:space="0" w:color="auto"/>
              <w:bottom w:val="single" w:sz="4" w:space="0" w:color="auto"/>
              <w:right w:val="single" w:sz="4" w:space="0" w:color="auto"/>
            </w:tcBorders>
            <w:vAlign w:val="center"/>
          </w:tcPr>
          <w:p w14:paraId="307316C5"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r</w:t>
            </w:r>
          </w:p>
        </w:tc>
        <w:tc>
          <w:tcPr>
            <w:tcW w:w="411" w:type="dxa"/>
            <w:tcBorders>
              <w:top w:val="single" w:sz="4" w:space="0" w:color="auto"/>
              <w:left w:val="single" w:sz="4" w:space="0" w:color="auto"/>
              <w:bottom w:val="single" w:sz="4" w:space="0" w:color="auto"/>
              <w:right w:val="single" w:sz="4" w:space="0" w:color="auto"/>
            </w:tcBorders>
            <w:vAlign w:val="center"/>
          </w:tcPr>
          <w:p w14:paraId="4A3D4B33"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s</w:t>
            </w:r>
          </w:p>
        </w:tc>
        <w:tc>
          <w:tcPr>
            <w:tcW w:w="447" w:type="dxa"/>
            <w:tcBorders>
              <w:top w:val="single" w:sz="4" w:space="0" w:color="auto"/>
              <w:left w:val="single" w:sz="4" w:space="0" w:color="auto"/>
              <w:bottom w:val="single" w:sz="4" w:space="0" w:color="auto"/>
              <w:right w:val="single" w:sz="4" w:space="0" w:color="auto"/>
            </w:tcBorders>
            <w:vAlign w:val="center"/>
          </w:tcPr>
          <w:p w14:paraId="2C7AAFE1" w14:textId="77777777" w:rsidR="006561BA" w:rsidRDefault="005B4ED6">
            <w:pPr>
              <w:widowControl w:val="0"/>
              <w:shd w:val="clear" w:color="auto" w:fill="auto"/>
              <w:tabs>
                <w:tab w:val="left" w:leader="underscore" w:pos="207"/>
                <w:tab w:val="left" w:leader="underscore" w:pos="434"/>
                <w:tab w:val="left" w:leader="underscore" w:pos="617"/>
                <w:tab w:val="left" w:leader="underscore" w:pos="803"/>
              </w:tabs>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t</w:t>
            </w:r>
          </w:p>
        </w:tc>
        <w:tc>
          <w:tcPr>
            <w:tcW w:w="411" w:type="dxa"/>
            <w:tcBorders>
              <w:top w:val="single" w:sz="4" w:space="0" w:color="auto"/>
              <w:left w:val="single" w:sz="4" w:space="0" w:color="auto"/>
              <w:bottom w:val="single" w:sz="4" w:space="0" w:color="auto"/>
              <w:right w:val="single" w:sz="4" w:space="0" w:color="auto"/>
            </w:tcBorders>
          </w:tcPr>
          <w:p w14:paraId="79BA2819" w14:textId="77777777" w:rsidR="006561BA" w:rsidRDefault="005B4ED6">
            <w:pPr>
              <w:widowControl w:val="0"/>
              <w:shd w:val="clear" w:color="auto" w:fill="auto"/>
              <w:tabs>
                <w:tab w:val="left" w:leader="underscore" w:pos="207"/>
                <w:tab w:val="left" w:leader="underscore" w:pos="434"/>
                <w:tab w:val="left" w:leader="underscore" w:pos="617"/>
                <w:tab w:val="left" w:leader="underscore" w:pos="803"/>
              </w:tabs>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u</w:t>
            </w:r>
          </w:p>
        </w:tc>
        <w:tc>
          <w:tcPr>
            <w:tcW w:w="264" w:type="dxa"/>
            <w:tcBorders>
              <w:top w:val="single" w:sz="4" w:space="0" w:color="auto"/>
              <w:left w:val="single" w:sz="4" w:space="0" w:color="auto"/>
              <w:bottom w:val="single" w:sz="4" w:space="0" w:color="auto"/>
              <w:right w:val="single" w:sz="4" w:space="0" w:color="auto"/>
            </w:tcBorders>
          </w:tcPr>
          <w:p w14:paraId="75A12D5B"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v</w:t>
            </w:r>
          </w:p>
        </w:tc>
        <w:tc>
          <w:tcPr>
            <w:tcW w:w="468" w:type="dxa"/>
            <w:tcBorders>
              <w:top w:val="single" w:sz="4" w:space="0" w:color="auto"/>
              <w:left w:val="single" w:sz="4" w:space="0" w:color="auto"/>
              <w:bottom w:val="single" w:sz="4" w:space="0" w:color="auto"/>
              <w:right w:val="single" w:sz="4" w:space="0" w:color="auto"/>
            </w:tcBorders>
          </w:tcPr>
          <w:p w14:paraId="4355FA03"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w</w:t>
            </w:r>
          </w:p>
        </w:tc>
        <w:tc>
          <w:tcPr>
            <w:tcW w:w="444" w:type="dxa"/>
            <w:tcBorders>
              <w:top w:val="single" w:sz="4" w:space="0" w:color="auto"/>
              <w:left w:val="single" w:sz="4" w:space="0" w:color="auto"/>
              <w:bottom w:val="single" w:sz="4" w:space="0" w:color="auto"/>
              <w:right w:val="single" w:sz="4" w:space="0" w:color="auto"/>
            </w:tcBorders>
          </w:tcPr>
          <w:p w14:paraId="54652BF7"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x</w:t>
            </w:r>
          </w:p>
        </w:tc>
        <w:tc>
          <w:tcPr>
            <w:tcW w:w="438" w:type="dxa"/>
            <w:tcBorders>
              <w:top w:val="single" w:sz="4" w:space="0" w:color="auto"/>
              <w:left w:val="single" w:sz="4" w:space="0" w:color="auto"/>
              <w:bottom w:val="single" w:sz="4" w:space="0" w:color="auto"/>
              <w:right w:val="single" w:sz="4" w:space="0" w:color="auto"/>
            </w:tcBorders>
          </w:tcPr>
          <w:p w14:paraId="48548BA1" w14:textId="77777777" w:rsidR="006561BA" w:rsidRDefault="005B4ED6">
            <w:pPr>
              <w:widowControl w:val="0"/>
              <w:shd w:val="clear" w:color="auto" w:fill="auto"/>
              <w:tabs>
                <w:tab w:val="left" w:leader="underscore" w:pos="203"/>
                <w:tab w:val="left" w:leader="underscore" w:pos="431"/>
                <w:tab w:val="left" w:leader="underscore" w:pos="610"/>
                <w:tab w:val="left" w:leader="underscore" w:pos="830"/>
              </w:tabs>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z</w:t>
            </w:r>
          </w:p>
        </w:tc>
        <w:tc>
          <w:tcPr>
            <w:tcW w:w="438" w:type="dxa"/>
            <w:gridSpan w:val="2"/>
            <w:tcBorders>
              <w:top w:val="single" w:sz="4" w:space="0" w:color="auto"/>
              <w:left w:val="single" w:sz="4" w:space="0" w:color="auto"/>
              <w:bottom w:val="single" w:sz="4" w:space="0" w:color="auto"/>
              <w:right w:val="single" w:sz="4" w:space="0" w:color="auto"/>
            </w:tcBorders>
          </w:tcPr>
          <w:p w14:paraId="6E7D84B7" w14:textId="77777777" w:rsidR="006561BA" w:rsidRDefault="005B4ED6">
            <w:pPr>
              <w:widowControl w:val="0"/>
              <w:shd w:val="clear" w:color="auto" w:fill="auto"/>
              <w:tabs>
                <w:tab w:val="left" w:leader="underscore" w:pos="203"/>
                <w:tab w:val="left" w:leader="underscore" w:pos="431"/>
                <w:tab w:val="left" w:leader="underscore" w:pos="610"/>
                <w:tab w:val="left" w:leader="underscore" w:pos="830"/>
              </w:tabs>
              <w:spacing w:after="0" w:line="240" w:lineRule="auto"/>
              <w:jc w:val="center"/>
              <w:rPr>
                <w:rFonts w:ascii="Helvetica" w:eastAsia="Arial Unicode MS" w:hAnsi="Helvetica" w:cs="Times New Roman"/>
                <w:color w:val="000000" w:themeColor="text1"/>
                <w:sz w:val="6"/>
                <w:szCs w:val="6"/>
              </w:rPr>
            </w:pPr>
            <w:proofErr w:type="spellStart"/>
            <w:r>
              <w:rPr>
                <w:rFonts w:ascii="Helvetica" w:hAnsi="Helvetica"/>
                <w:color w:val="000000" w:themeColor="text1"/>
                <w:sz w:val="6"/>
              </w:rPr>
              <w:t>aa</w:t>
            </w:r>
            <w:proofErr w:type="spellEnd"/>
          </w:p>
        </w:tc>
        <w:tc>
          <w:tcPr>
            <w:tcW w:w="438" w:type="dxa"/>
            <w:tcBorders>
              <w:top w:val="single" w:sz="4" w:space="0" w:color="auto"/>
              <w:left w:val="single" w:sz="4" w:space="0" w:color="auto"/>
              <w:bottom w:val="single" w:sz="4" w:space="0" w:color="auto"/>
              <w:right w:val="single" w:sz="4" w:space="0" w:color="auto"/>
            </w:tcBorders>
          </w:tcPr>
          <w:p w14:paraId="60594987" w14:textId="77777777" w:rsidR="006561BA" w:rsidRDefault="005B4ED6">
            <w:pPr>
              <w:widowControl w:val="0"/>
              <w:shd w:val="clear" w:color="auto" w:fill="auto"/>
              <w:tabs>
                <w:tab w:val="left" w:pos="425"/>
                <w:tab w:val="left" w:pos="597"/>
              </w:tabs>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ab</w:t>
            </w:r>
          </w:p>
        </w:tc>
        <w:tc>
          <w:tcPr>
            <w:tcW w:w="438" w:type="dxa"/>
            <w:gridSpan w:val="2"/>
            <w:tcBorders>
              <w:top w:val="single" w:sz="4" w:space="0" w:color="auto"/>
              <w:left w:val="single" w:sz="4" w:space="0" w:color="auto"/>
              <w:bottom w:val="single" w:sz="4" w:space="0" w:color="auto"/>
              <w:right w:val="single" w:sz="4" w:space="0" w:color="auto"/>
            </w:tcBorders>
          </w:tcPr>
          <w:p w14:paraId="5C66B35B" w14:textId="77777777" w:rsidR="006561BA" w:rsidRDefault="005B4ED6">
            <w:pPr>
              <w:widowControl w:val="0"/>
              <w:shd w:val="clear" w:color="auto" w:fill="auto"/>
              <w:tabs>
                <w:tab w:val="left" w:pos="425"/>
                <w:tab w:val="left" w:pos="597"/>
              </w:tabs>
              <w:spacing w:after="0" w:line="240" w:lineRule="auto"/>
              <w:jc w:val="center"/>
              <w:rPr>
                <w:rFonts w:ascii="Helvetica" w:eastAsia="Arial Unicode MS" w:hAnsi="Helvetica" w:cs="Times New Roman"/>
                <w:color w:val="000000" w:themeColor="text1"/>
                <w:sz w:val="6"/>
                <w:szCs w:val="6"/>
              </w:rPr>
            </w:pPr>
            <w:proofErr w:type="spellStart"/>
            <w:r>
              <w:rPr>
                <w:rFonts w:ascii="Helvetica" w:hAnsi="Helvetica"/>
                <w:color w:val="000000" w:themeColor="text1"/>
                <w:sz w:val="6"/>
              </w:rPr>
              <w:t>ac</w:t>
            </w:r>
            <w:proofErr w:type="spellEnd"/>
          </w:p>
        </w:tc>
        <w:tc>
          <w:tcPr>
            <w:tcW w:w="293" w:type="dxa"/>
            <w:tcBorders>
              <w:top w:val="single" w:sz="4" w:space="0" w:color="auto"/>
              <w:left w:val="single" w:sz="4" w:space="0" w:color="auto"/>
              <w:bottom w:val="single" w:sz="4" w:space="0" w:color="auto"/>
              <w:right w:val="single" w:sz="4" w:space="0" w:color="auto"/>
            </w:tcBorders>
          </w:tcPr>
          <w:p w14:paraId="6AFB98CD"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ad</w:t>
            </w:r>
          </w:p>
        </w:tc>
      </w:tr>
      <w:tr w:rsidR="006561BA" w14:paraId="62C2DFA9" w14:textId="77777777">
        <w:tc>
          <w:tcPr>
            <w:tcW w:w="108" w:type="dxa"/>
          </w:tcPr>
          <w:p w14:paraId="1B075208" w14:textId="77777777" w:rsidR="006561BA" w:rsidRDefault="006561BA">
            <w:pPr>
              <w:widowControl w:val="0"/>
              <w:shd w:val="clear" w:color="auto" w:fill="auto"/>
              <w:spacing w:after="0" w:line="240" w:lineRule="auto"/>
              <w:jc w:val="right"/>
              <w:rPr>
                <w:rFonts w:ascii="Helvetica" w:eastAsia="Arial Unicode MS" w:hAnsi="Helvetica" w:cs="Times New Roman"/>
                <w:color w:val="000000" w:themeColor="text1"/>
                <w:sz w:val="6"/>
                <w:szCs w:val="6"/>
                <w:lang w:val="en-US"/>
              </w:rPr>
            </w:pPr>
          </w:p>
        </w:tc>
        <w:tc>
          <w:tcPr>
            <w:tcW w:w="1992" w:type="dxa"/>
            <w:vMerge w:val="restart"/>
            <w:tcBorders>
              <w:top w:val="single" w:sz="4" w:space="0" w:color="auto"/>
              <w:left w:val="single" w:sz="4" w:space="0" w:color="auto"/>
            </w:tcBorders>
          </w:tcPr>
          <w:p w14:paraId="02E2C78A" w14:textId="77777777" w:rsidR="006561BA" w:rsidRDefault="006561BA">
            <w:pPr>
              <w:widowControl w:val="0"/>
              <w:shd w:val="clear" w:color="auto" w:fill="auto"/>
              <w:spacing w:after="0" w:line="240" w:lineRule="auto"/>
              <w:rPr>
                <w:rFonts w:ascii="Helvetica" w:eastAsia="Arial Unicode MS" w:hAnsi="Helvetica" w:cs="Times New Roman"/>
                <w:color w:val="000000" w:themeColor="text1"/>
                <w:sz w:val="6"/>
                <w:szCs w:val="6"/>
                <w:lang w:val="en-US"/>
              </w:rPr>
            </w:pPr>
          </w:p>
        </w:tc>
        <w:tc>
          <w:tcPr>
            <w:tcW w:w="216" w:type="dxa"/>
            <w:tcBorders>
              <w:top w:val="single" w:sz="4" w:space="0" w:color="auto"/>
              <w:left w:val="single" w:sz="4" w:space="0" w:color="auto"/>
              <w:right w:val="single" w:sz="4" w:space="0" w:color="auto"/>
            </w:tcBorders>
            <w:vAlign w:val="center"/>
          </w:tcPr>
          <w:p w14:paraId="510DA95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904" w:type="dxa"/>
            <w:gridSpan w:val="7"/>
            <w:tcBorders>
              <w:top w:val="single" w:sz="4" w:space="0" w:color="auto"/>
              <w:left w:val="single" w:sz="4" w:space="0" w:color="auto"/>
              <w:bottom w:val="single" w:sz="4" w:space="0" w:color="auto"/>
            </w:tcBorders>
            <w:shd w:val="clear" w:color="auto" w:fill="B5B5B5"/>
            <w:vAlign w:val="center"/>
          </w:tcPr>
          <w:p w14:paraId="1425340A" w14:textId="77777777" w:rsidR="006561BA" w:rsidRDefault="005B4ED6">
            <w:pPr>
              <w:widowControl w:val="0"/>
              <w:shd w:val="clear" w:color="auto" w:fill="auto"/>
              <w:spacing w:after="0" w:line="240" w:lineRule="auto"/>
              <w:jc w:val="center"/>
              <w:rPr>
                <w:rFonts w:ascii="Helvetica" w:eastAsia="Arial Unicode MS" w:hAnsi="Helvetica" w:cs="Times New Roman"/>
                <w:b/>
                <w:color w:val="000000" w:themeColor="text1"/>
                <w:sz w:val="6"/>
                <w:szCs w:val="6"/>
              </w:rPr>
            </w:pPr>
            <w:r>
              <w:rPr>
                <w:rFonts w:ascii="Helvetica" w:hAnsi="Helvetica"/>
                <w:b/>
                <w:color w:val="000000" w:themeColor="text1"/>
                <w:sz w:val="6"/>
              </w:rPr>
              <w:t>Begrensning av klimaendringer (CCM)</w:t>
            </w:r>
          </w:p>
        </w:tc>
        <w:tc>
          <w:tcPr>
            <w:tcW w:w="2939" w:type="dxa"/>
            <w:gridSpan w:val="9"/>
            <w:tcBorders>
              <w:top w:val="single" w:sz="4" w:space="0" w:color="auto"/>
              <w:left w:val="single" w:sz="4" w:space="0" w:color="auto"/>
              <w:bottom w:val="single" w:sz="4" w:space="0" w:color="auto"/>
            </w:tcBorders>
            <w:shd w:val="clear" w:color="auto" w:fill="B5B5B5"/>
            <w:vAlign w:val="center"/>
          </w:tcPr>
          <w:p w14:paraId="724A232B" w14:textId="77777777" w:rsidR="006561BA" w:rsidRDefault="005B4ED6">
            <w:pPr>
              <w:widowControl w:val="0"/>
              <w:shd w:val="clear" w:color="auto" w:fill="auto"/>
              <w:spacing w:after="0" w:line="240" w:lineRule="auto"/>
              <w:jc w:val="center"/>
              <w:rPr>
                <w:rFonts w:ascii="Helvetica" w:eastAsia="Arial Unicode MS" w:hAnsi="Helvetica" w:cs="Times New Roman"/>
                <w:b/>
                <w:color w:val="000000" w:themeColor="text1"/>
                <w:sz w:val="6"/>
                <w:szCs w:val="6"/>
              </w:rPr>
            </w:pPr>
            <w:r>
              <w:rPr>
                <w:rFonts w:ascii="Helvetica" w:hAnsi="Helvetica"/>
                <w:b/>
                <w:color w:val="000000" w:themeColor="text1"/>
                <w:sz w:val="6"/>
              </w:rPr>
              <w:t>Tilpasning til klimaendringer (CCA)</w:t>
            </w:r>
          </w:p>
        </w:tc>
        <w:tc>
          <w:tcPr>
            <w:tcW w:w="2924" w:type="dxa"/>
            <w:gridSpan w:val="8"/>
            <w:tcBorders>
              <w:top w:val="single" w:sz="4" w:space="0" w:color="auto"/>
              <w:left w:val="single" w:sz="4" w:space="0" w:color="auto"/>
            </w:tcBorders>
            <w:shd w:val="clear" w:color="auto" w:fill="B5B5B5"/>
            <w:vAlign w:val="center"/>
          </w:tcPr>
          <w:p w14:paraId="21342A06" w14:textId="77777777" w:rsidR="006561BA" w:rsidRDefault="005B4ED6">
            <w:pPr>
              <w:widowControl w:val="0"/>
              <w:shd w:val="clear" w:color="auto" w:fill="auto"/>
              <w:spacing w:after="0" w:line="240" w:lineRule="auto"/>
              <w:jc w:val="center"/>
              <w:rPr>
                <w:rFonts w:ascii="Helvetica" w:eastAsia="Arial Unicode MS" w:hAnsi="Helvetica" w:cs="Times New Roman"/>
                <w:b/>
                <w:color w:val="000000" w:themeColor="text1"/>
                <w:sz w:val="6"/>
                <w:szCs w:val="6"/>
              </w:rPr>
            </w:pPr>
            <w:r>
              <w:rPr>
                <w:rFonts w:ascii="Helvetica" w:hAnsi="Helvetica"/>
                <w:b/>
                <w:color w:val="000000" w:themeColor="text1"/>
                <w:sz w:val="6"/>
              </w:rPr>
              <w:t>Vann- og havressurser (WTR)</w:t>
            </w:r>
          </w:p>
        </w:tc>
        <w:tc>
          <w:tcPr>
            <w:tcW w:w="2957" w:type="dxa"/>
            <w:gridSpan w:val="9"/>
            <w:tcBorders>
              <w:top w:val="single" w:sz="4" w:space="0" w:color="auto"/>
              <w:left w:val="single" w:sz="4" w:space="0" w:color="auto"/>
              <w:right w:val="single" w:sz="4" w:space="0" w:color="auto"/>
            </w:tcBorders>
            <w:shd w:val="clear" w:color="auto" w:fill="B5B5B5"/>
          </w:tcPr>
          <w:p w14:paraId="693CF654" w14:textId="77777777" w:rsidR="006561BA" w:rsidRDefault="005B4ED6">
            <w:pPr>
              <w:widowControl w:val="0"/>
              <w:shd w:val="clear" w:color="auto" w:fill="auto"/>
              <w:spacing w:after="0" w:line="240" w:lineRule="auto"/>
              <w:jc w:val="center"/>
              <w:rPr>
                <w:rFonts w:ascii="Helvetica" w:eastAsia="Arial Unicode MS" w:hAnsi="Helvetica" w:cs="Times New Roman"/>
                <w:b/>
                <w:color w:val="000000" w:themeColor="text1"/>
                <w:sz w:val="6"/>
                <w:szCs w:val="6"/>
              </w:rPr>
            </w:pPr>
            <w:r>
              <w:rPr>
                <w:rFonts w:ascii="Helvetica" w:hAnsi="Helvetica"/>
                <w:b/>
                <w:color w:val="000000" w:themeColor="text1"/>
                <w:sz w:val="6"/>
              </w:rPr>
              <w:t>Sirkulær økonomi (CE)</w:t>
            </w:r>
          </w:p>
        </w:tc>
      </w:tr>
      <w:tr w:rsidR="006561BA" w14:paraId="559D7307" w14:textId="77777777">
        <w:tc>
          <w:tcPr>
            <w:tcW w:w="108" w:type="dxa"/>
          </w:tcPr>
          <w:p w14:paraId="690B4CDB" w14:textId="77777777" w:rsidR="006561BA" w:rsidRDefault="006561BA">
            <w:pPr>
              <w:widowControl w:val="0"/>
              <w:shd w:val="clear" w:color="auto" w:fill="auto"/>
              <w:spacing w:after="0" w:line="240" w:lineRule="auto"/>
              <w:jc w:val="right"/>
              <w:rPr>
                <w:rFonts w:ascii="Helvetica" w:eastAsia="Arial Unicode MS" w:hAnsi="Helvetica" w:cs="Times New Roman"/>
                <w:color w:val="000000" w:themeColor="text1"/>
                <w:sz w:val="6"/>
                <w:szCs w:val="6"/>
                <w:lang w:val="en-US"/>
              </w:rPr>
            </w:pPr>
          </w:p>
        </w:tc>
        <w:tc>
          <w:tcPr>
            <w:tcW w:w="1992" w:type="dxa"/>
            <w:vMerge/>
            <w:tcBorders>
              <w:left w:val="single" w:sz="4" w:space="0" w:color="auto"/>
            </w:tcBorders>
          </w:tcPr>
          <w:p w14:paraId="71904E10" w14:textId="77777777" w:rsidR="006561BA" w:rsidRDefault="006561BA">
            <w:pPr>
              <w:widowControl w:val="0"/>
              <w:shd w:val="clear" w:color="auto" w:fill="auto"/>
              <w:spacing w:after="0" w:line="240" w:lineRule="auto"/>
              <w:rPr>
                <w:rFonts w:ascii="Helvetica" w:eastAsia="Arial Unicode MS" w:hAnsi="Helvetica" w:cs="Times New Roman"/>
                <w:color w:val="000000" w:themeColor="text1"/>
                <w:sz w:val="6"/>
                <w:szCs w:val="6"/>
                <w:lang w:val="en-US"/>
              </w:rPr>
            </w:pPr>
          </w:p>
        </w:tc>
        <w:tc>
          <w:tcPr>
            <w:tcW w:w="216" w:type="dxa"/>
            <w:vMerge w:val="restart"/>
            <w:tcBorders>
              <w:left w:val="single" w:sz="4" w:space="0" w:color="auto"/>
              <w:bottom w:val="single" w:sz="4" w:space="0" w:color="auto"/>
            </w:tcBorders>
            <w:vAlign w:val="center"/>
          </w:tcPr>
          <w:p w14:paraId="480FBA37"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Virkelig verdi</w:t>
            </w:r>
          </w:p>
        </w:tc>
        <w:tc>
          <w:tcPr>
            <w:tcW w:w="880" w:type="dxa"/>
            <w:gridSpan w:val="2"/>
            <w:tcBorders>
              <w:top w:val="single" w:sz="4" w:space="0" w:color="auto"/>
              <w:left w:val="single" w:sz="4" w:space="0" w:color="auto"/>
            </w:tcBorders>
            <w:vAlign w:val="center"/>
          </w:tcPr>
          <w:p w14:paraId="1E67BA4E"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Absolutte kjøp</w:t>
            </w:r>
          </w:p>
        </w:tc>
        <w:tc>
          <w:tcPr>
            <w:tcW w:w="887" w:type="dxa"/>
            <w:gridSpan w:val="2"/>
            <w:tcBorders>
              <w:top w:val="single" w:sz="4" w:space="0" w:color="auto"/>
              <w:left w:val="single" w:sz="4" w:space="0" w:color="auto"/>
            </w:tcBorders>
            <w:vAlign w:val="center"/>
          </w:tcPr>
          <w:p w14:paraId="0C631283"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Absolutte salg</w:t>
            </w:r>
          </w:p>
        </w:tc>
        <w:tc>
          <w:tcPr>
            <w:tcW w:w="874" w:type="dxa"/>
            <w:gridSpan w:val="2"/>
            <w:tcBorders>
              <w:top w:val="single" w:sz="4" w:space="0" w:color="auto"/>
              <w:left w:val="single" w:sz="4" w:space="0" w:color="auto"/>
            </w:tcBorders>
            <w:vAlign w:val="center"/>
          </w:tcPr>
          <w:p w14:paraId="4FC9ECB4"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Absolutte kjøp pluss absolutte salg</w:t>
            </w:r>
          </w:p>
        </w:tc>
        <w:tc>
          <w:tcPr>
            <w:tcW w:w="263" w:type="dxa"/>
            <w:tcBorders>
              <w:top w:val="single" w:sz="4" w:space="0" w:color="auto"/>
              <w:left w:val="single" w:sz="4" w:space="0" w:color="auto"/>
            </w:tcBorders>
            <w:vAlign w:val="center"/>
          </w:tcPr>
          <w:p w14:paraId="108A8950"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918" w:type="dxa"/>
            <w:gridSpan w:val="2"/>
            <w:tcBorders>
              <w:top w:val="single" w:sz="4" w:space="0" w:color="auto"/>
              <w:left w:val="single" w:sz="4" w:space="0" w:color="auto"/>
            </w:tcBorders>
            <w:vAlign w:val="center"/>
          </w:tcPr>
          <w:p w14:paraId="2DC28653"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Absolutte kjøp</w:t>
            </w:r>
          </w:p>
        </w:tc>
        <w:tc>
          <w:tcPr>
            <w:tcW w:w="888" w:type="dxa"/>
            <w:gridSpan w:val="3"/>
            <w:tcBorders>
              <w:top w:val="single" w:sz="4" w:space="0" w:color="auto"/>
              <w:left w:val="single" w:sz="4" w:space="0" w:color="auto"/>
            </w:tcBorders>
            <w:vAlign w:val="center"/>
          </w:tcPr>
          <w:p w14:paraId="1AA7E3D7"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Absolutte salg</w:t>
            </w:r>
          </w:p>
        </w:tc>
        <w:tc>
          <w:tcPr>
            <w:tcW w:w="872" w:type="dxa"/>
            <w:gridSpan w:val="3"/>
            <w:tcBorders>
              <w:top w:val="single" w:sz="4" w:space="0" w:color="auto"/>
              <w:left w:val="single" w:sz="4" w:space="0" w:color="auto"/>
            </w:tcBorders>
            <w:vAlign w:val="center"/>
          </w:tcPr>
          <w:p w14:paraId="35DC5FBC"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Absolutte kjøp pluss absolutte salg</w:t>
            </w:r>
          </w:p>
        </w:tc>
        <w:tc>
          <w:tcPr>
            <w:tcW w:w="261" w:type="dxa"/>
            <w:tcBorders>
              <w:top w:val="single" w:sz="4" w:space="0" w:color="auto"/>
              <w:left w:val="single" w:sz="4" w:space="0" w:color="auto"/>
            </w:tcBorders>
            <w:vAlign w:val="center"/>
          </w:tcPr>
          <w:p w14:paraId="625184B7"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915" w:type="dxa"/>
            <w:gridSpan w:val="3"/>
            <w:tcBorders>
              <w:top w:val="single" w:sz="4" w:space="0" w:color="auto"/>
              <w:left w:val="single" w:sz="4" w:space="0" w:color="auto"/>
            </w:tcBorders>
            <w:vAlign w:val="center"/>
          </w:tcPr>
          <w:p w14:paraId="6C5D3D04"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Absolutte kjøp</w:t>
            </w:r>
          </w:p>
        </w:tc>
        <w:tc>
          <w:tcPr>
            <w:tcW w:w="887" w:type="dxa"/>
            <w:gridSpan w:val="2"/>
            <w:tcBorders>
              <w:top w:val="single" w:sz="4" w:space="0" w:color="auto"/>
              <w:left w:val="single" w:sz="4" w:space="0" w:color="auto"/>
            </w:tcBorders>
            <w:vAlign w:val="center"/>
          </w:tcPr>
          <w:p w14:paraId="4FFAA8CE"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Absolutte salg</w:t>
            </w:r>
          </w:p>
        </w:tc>
        <w:tc>
          <w:tcPr>
            <w:tcW w:w="858" w:type="dxa"/>
            <w:gridSpan w:val="2"/>
            <w:tcBorders>
              <w:top w:val="single" w:sz="4" w:space="0" w:color="auto"/>
              <w:left w:val="single" w:sz="4" w:space="0" w:color="auto"/>
            </w:tcBorders>
            <w:vAlign w:val="center"/>
          </w:tcPr>
          <w:p w14:paraId="5E2AC578"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Absolutte kjøp pluss absolutte salg</w:t>
            </w:r>
          </w:p>
        </w:tc>
        <w:tc>
          <w:tcPr>
            <w:tcW w:w="264" w:type="dxa"/>
            <w:tcBorders>
              <w:top w:val="single" w:sz="4" w:space="0" w:color="auto"/>
              <w:left w:val="single" w:sz="4" w:space="0" w:color="auto"/>
            </w:tcBorders>
          </w:tcPr>
          <w:p w14:paraId="29E6763F"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912" w:type="dxa"/>
            <w:gridSpan w:val="2"/>
            <w:tcBorders>
              <w:top w:val="single" w:sz="4" w:space="0" w:color="auto"/>
              <w:left w:val="single" w:sz="4" w:space="0" w:color="auto"/>
            </w:tcBorders>
          </w:tcPr>
          <w:p w14:paraId="095306B6"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Absolutte kjøp</w:t>
            </w:r>
          </w:p>
        </w:tc>
        <w:tc>
          <w:tcPr>
            <w:tcW w:w="876" w:type="dxa"/>
            <w:gridSpan w:val="3"/>
            <w:tcBorders>
              <w:top w:val="single" w:sz="4" w:space="0" w:color="auto"/>
              <w:left w:val="single" w:sz="4" w:space="0" w:color="auto"/>
            </w:tcBorders>
          </w:tcPr>
          <w:p w14:paraId="513533F5"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Absolutte salg</w:t>
            </w:r>
          </w:p>
        </w:tc>
        <w:tc>
          <w:tcPr>
            <w:tcW w:w="876" w:type="dxa"/>
            <w:gridSpan w:val="3"/>
            <w:tcBorders>
              <w:top w:val="single" w:sz="4" w:space="0" w:color="auto"/>
              <w:left w:val="single" w:sz="4" w:space="0" w:color="auto"/>
            </w:tcBorders>
          </w:tcPr>
          <w:p w14:paraId="01170E8E"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Absolutte kjøp pluss absolutte salg</w:t>
            </w:r>
          </w:p>
        </w:tc>
        <w:tc>
          <w:tcPr>
            <w:tcW w:w="293" w:type="dxa"/>
            <w:tcBorders>
              <w:top w:val="single" w:sz="4" w:space="0" w:color="auto"/>
              <w:left w:val="single" w:sz="4" w:space="0" w:color="auto"/>
              <w:right w:val="single" w:sz="4" w:space="0" w:color="auto"/>
            </w:tcBorders>
          </w:tcPr>
          <w:p w14:paraId="6C961B2D"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r>
      <w:tr w:rsidR="006561BA" w14:paraId="4A7C9D53" w14:textId="77777777">
        <w:tc>
          <w:tcPr>
            <w:tcW w:w="108" w:type="dxa"/>
          </w:tcPr>
          <w:p w14:paraId="1452A54B" w14:textId="77777777" w:rsidR="006561BA" w:rsidRPr="00770AA2" w:rsidRDefault="006561BA">
            <w:pPr>
              <w:widowControl w:val="0"/>
              <w:shd w:val="clear" w:color="auto" w:fill="auto"/>
              <w:spacing w:after="0" w:line="240" w:lineRule="auto"/>
              <w:jc w:val="right"/>
              <w:rPr>
                <w:rFonts w:ascii="Helvetica" w:eastAsia="Arial Unicode MS" w:hAnsi="Helvetica" w:cs="Times New Roman"/>
                <w:color w:val="000000" w:themeColor="text1"/>
                <w:sz w:val="6"/>
                <w:szCs w:val="6"/>
              </w:rPr>
            </w:pPr>
          </w:p>
        </w:tc>
        <w:tc>
          <w:tcPr>
            <w:tcW w:w="1992" w:type="dxa"/>
            <w:vMerge/>
            <w:tcBorders>
              <w:left w:val="single" w:sz="4" w:space="0" w:color="auto"/>
            </w:tcBorders>
          </w:tcPr>
          <w:p w14:paraId="419BE83E" w14:textId="77777777" w:rsidR="006561BA" w:rsidRPr="00770AA2" w:rsidRDefault="006561BA">
            <w:pPr>
              <w:widowControl w:val="0"/>
              <w:shd w:val="clear" w:color="auto" w:fill="auto"/>
              <w:spacing w:after="0" w:line="240" w:lineRule="auto"/>
              <w:rPr>
                <w:rFonts w:ascii="Helvetica" w:eastAsia="Arial Unicode MS" w:hAnsi="Helvetica" w:cs="Times New Roman"/>
                <w:color w:val="000000" w:themeColor="text1"/>
                <w:sz w:val="6"/>
                <w:szCs w:val="6"/>
              </w:rPr>
            </w:pPr>
          </w:p>
        </w:tc>
        <w:tc>
          <w:tcPr>
            <w:tcW w:w="216" w:type="dxa"/>
            <w:vMerge/>
            <w:tcBorders>
              <w:left w:val="single" w:sz="4" w:space="0" w:color="auto"/>
              <w:bottom w:val="single" w:sz="4" w:space="0" w:color="auto"/>
            </w:tcBorders>
            <w:vAlign w:val="center"/>
          </w:tcPr>
          <w:p w14:paraId="15295CA1"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61" w:type="dxa"/>
            <w:tcBorders>
              <w:left w:val="single" w:sz="4" w:space="0" w:color="auto"/>
            </w:tcBorders>
            <w:vAlign w:val="center"/>
          </w:tcPr>
          <w:p w14:paraId="6ED3589D"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19" w:type="dxa"/>
            <w:tcBorders>
              <w:top w:val="single" w:sz="4" w:space="0" w:color="auto"/>
              <w:left w:val="single" w:sz="4" w:space="0" w:color="auto"/>
            </w:tcBorders>
            <w:vAlign w:val="center"/>
          </w:tcPr>
          <w:p w14:paraId="3CFB6DDB"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miljømessig bærekraftige (taksonomiforenlige)</w:t>
            </w:r>
          </w:p>
        </w:tc>
        <w:tc>
          <w:tcPr>
            <w:tcW w:w="476" w:type="dxa"/>
            <w:tcBorders>
              <w:left w:val="single" w:sz="4" w:space="0" w:color="auto"/>
            </w:tcBorders>
            <w:vAlign w:val="center"/>
          </w:tcPr>
          <w:p w14:paraId="14B236E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tcBorders>
            <w:vAlign w:val="center"/>
          </w:tcPr>
          <w:p w14:paraId="13F16602"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miljømessig bærekraftige (taksonomiforenlige)</w:t>
            </w:r>
          </w:p>
        </w:tc>
        <w:tc>
          <w:tcPr>
            <w:tcW w:w="468" w:type="dxa"/>
            <w:tcBorders>
              <w:left w:val="single" w:sz="4" w:space="0" w:color="auto"/>
            </w:tcBorders>
            <w:vAlign w:val="center"/>
          </w:tcPr>
          <w:p w14:paraId="2EE31AA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6" w:type="dxa"/>
            <w:tcBorders>
              <w:top w:val="single" w:sz="4" w:space="0" w:color="auto"/>
              <w:left w:val="single" w:sz="4" w:space="0" w:color="auto"/>
            </w:tcBorders>
            <w:vAlign w:val="center"/>
          </w:tcPr>
          <w:p w14:paraId="5981DD18"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miljømessig bærekraftige (taksonomiforenlige)</w:t>
            </w:r>
          </w:p>
        </w:tc>
        <w:tc>
          <w:tcPr>
            <w:tcW w:w="263" w:type="dxa"/>
            <w:tcBorders>
              <w:left w:val="single" w:sz="4" w:space="0" w:color="auto"/>
            </w:tcBorders>
            <w:vAlign w:val="center"/>
          </w:tcPr>
          <w:p w14:paraId="660BC18D"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KPI for handel</w:t>
            </w:r>
          </w:p>
        </w:tc>
        <w:tc>
          <w:tcPr>
            <w:tcW w:w="476" w:type="dxa"/>
            <w:tcBorders>
              <w:left w:val="single" w:sz="4" w:space="0" w:color="auto"/>
            </w:tcBorders>
            <w:vAlign w:val="center"/>
          </w:tcPr>
          <w:p w14:paraId="6C0D244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2" w:type="dxa"/>
            <w:tcBorders>
              <w:top w:val="single" w:sz="4" w:space="0" w:color="auto"/>
              <w:left w:val="single" w:sz="4" w:space="0" w:color="auto"/>
            </w:tcBorders>
            <w:vAlign w:val="center"/>
          </w:tcPr>
          <w:p w14:paraId="4F357A67"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miljømessig bærekraftige (taksonomiforenlige)</w:t>
            </w:r>
          </w:p>
        </w:tc>
        <w:tc>
          <w:tcPr>
            <w:tcW w:w="476" w:type="dxa"/>
            <w:gridSpan w:val="2"/>
            <w:tcBorders>
              <w:left w:val="single" w:sz="4" w:space="0" w:color="auto"/>
            </w:tcBorders>
            <w:vAlign w:val="center"/>
          </w:tcPr>
          <w:p w14:paraId="51A5ADB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2" w:type="dxa"/>
            <w:tcBorders>
              <w:top w:val="single" w:sz="4" w:space="0" w:color="auto"/>
              <w:left w:val="single" w:sz="4" w:space="0" w:color="auto"/>
            </w:tcBorders>
            <w:vAlign w:val="center"/>
          </w:tcPr>
          <w:p w14:paraId="5C0524D5"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miljømessig bærekraftige (taksonomiforenlige)</w:t>
            </w:r>
          </w:p>
        </w:tc>
        <w:tc>
          <w:tcPr>
            <w:tcW w:w="468" w:type="dxa"/>
            <w:gridSpan w:val="2"/>
            <w:tcBorders>
              <w:left w:val="single" w:sz="4" w:space="0" w:color="auto"/>
            </w:tcBorders>
            <w:vAlign w:val="center"/>
          </w:tcPr>
          <w:p w14:paraId="4C62EEC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4" w:type="dxa"/>
            <w:tcBorders>
              <w:top w:val="single" w:sz="4" w:space="0" w:color="auto"/>
              <w:left w:val="single" w:sz="4" w:space="0" w:color="auto"/>
            </w:tcBorders>
            <w:vAlign w:val="center"/>
          </w:tcPr>
          <w:p w14:paraId="0A6FE5C6"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miljømessig bærekraftige (taksonomiforenlige)</w:t>
            </w:r>
          </w:p>
        </w:tc>
        <w:tc>
          <w:tcPr>
            <w:tcW w:w="261" w:type="dxa"/>
            <w:tcBorders>
              <w:left w:val="single" w:sz="4" w:space="0" w:color="auto"/>
            </w:tcBorders>
            <w:vAlign w:val="center"/>
          </w:tcPr>
          <w:p w14:paraId="01CE925C"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KPI for handel</w:t>
            </w:r>
          </w:p>
        </w:tc>
        <w:tc>
          <w:tcPr>
            <w:tcW w:w="476" w:type="dxa"/>
            <w:gridSpan w:val="2"/>
            <w:tcBorders>
              <w:left w:val="single" w:sz="4" w:space="0" w:color="auto"/>
            </w:tcBorders>
            <w:vAlign w:val="center"/>
          </w:tcPr>
          <w:p w14:paraId="6CD1741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39" w:type="dxa"/>
            <w:tcBorders>
              <w:top w:val="single" w:sz="4" w:space="0" w:color="auto"/>
              <w:left w:val="single" w:sz="4" w:space="0" w:color="auto"/>
            </w:tcBorders>
            <w:vAlign w:val="center"/>
          </w:tcPr>
          <w:p w14:paraId="3A5F77B1"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miljømessig bærekraftige (taksonomiforenlige)</w:t>
            </w:r>
          </w:p>
        </w:tc>
        <w:tc>
          <w:tcPr>
            <w:tcW w:w="476" w:type="dxa"/>
            <w:tcBorders>
              <w:left w:val="single" w:sz="4" w:space="0" w:color="auto"/>
            </w:tcBorders>
            <w:vAlign w:val="center"/>
          </w:tcPr>
          <w:p w14:paraId="7B7F89E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tcBorders>
            <w:vAlign w:val="center"/>
          </w:tcPr>
          <w:p w14:paraId="66DA637E"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miljømessig bærekraftige (taksonomiforenlige)</w:t>
            </w:r>
          </w:p>
        </w:tc>
        <w:tc>
          <w:tcPr>
            <w:tcW w:w="447" w:type="dxa"/>
            <w:tcBorders>
              <w:left w:val="single" w:sz="4" w:space="0" w:color="auto"/>
            </w:tcBorders>
            <w:vAlign w:val="center"/>
          </w:tcPr>
          <w:p w14:paraId="6327CD4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tcBorders>
          </w:tcPr>
          <w:p w14:paraId="08FB54AC"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miljømessig bærekraftige (taksonomiforenlige)</w:t>
            </w:r>
          </w:p>
        </w:tc>
        <w:tc>
          <w:tcPr>
            <w:tcW w:w="264" w:type="dxa"/>
            <w:tcBorders>
              <w:left w:val="single" w:sz="4" w:space="0" w:color="auto"/>
            </w:tcBorders>
          </w:tcPr>
          <w:p w14:paraId="2CEBF439"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KPI for handel</w:t>
            </w:r>
          </w:p>
        </w:tc>
        <w:tc>
          <w:tcPr>
            <w:tcW w:w="468" w:type="dxa"/>
            <w:tcBorders>
              <w:left w:val="single" w:sz="4" w:space="0" w:color="auto"/>
            </w:tcBorders>
          </w:tcPr>
          <w:p w14:paraId="7304E8D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4" w:type="dxa"/>
            <w:tcBorders>
              <w:top w:val="single" w:sz="4" w:space="0" w:color="auto"/>
              <w:left w:val="single" w:sz="4" w:space="0" w:color="auto"/>
            </w:tcBorders>
          </w:tcPr>
          <w:p w14:paraId="1E65CB3D"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miljømessig bærekraftige (taksonomiforenlige)</w:t>
            </w:r>
          </w:p>
        </w:tc>
        <w:tc>
          <w:tcPr>
            <w:tcW w:w="468" w:type="dxa"/>
            <w:gridSpan w:val="2"/>
            <w:tcBorders>
              <w:left w:val="single" w:sz="4" w:space="0" w:color="auto"/>
            </w:tcBorders>
          </w:tcPr>
          <w:p w14:paraId="4232A71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tcBorders>
          </w:tcPr>
          <w:p w14:paraId="2C422070"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miljømessig bærekraftige (taksonomiforenlige)</w:t>
            </w:r>
          </w:p>
        </w:tc>
        <w:tc>
          <w:tcPr>
            <w:tcW w:w="468" w:type="dxa"/>
            <w:gridSpan w:val="2"/>
            <w:tcBorders>
              <w:left w:val="single" w:sz="4" w:space="0" w:color="auto"/>
            </w:tcBorders>
          </w:tcPr>
          <w:p w14:paraId="7FE329C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tcBorders>
          </w:tcPr>
          <w:p w14:paraId="48C77164"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miljømessig bærekraftige (taksonomiforenlige)</w:t>
            </w:r>
          </w:p>
        </w:tc>
        <w:tc>
          <w:tcPr>
            <w:tcW w:w="293" w:type="dxa"/>
            <w:tcBorders>
              <w:left w:val="single" w:sz="4" w:space="0" w:color="auto"/>
              <w:right w:val="single" w:sz="4" w:space="0" w:color="auto"/>
            </w:tcBorders>
          </w:tcPr>
          <w:p w14:paraId="2655F3F4"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KPI for handel</w:t>
            </w:r>
          </w:p>
        </w:tc>
      </w:tr>
      <w:tr w:rsidR="006561BA" w14:paraId="4FB98817" w14:textId="77777777">
        <w:tc>
          <w:tcPr>
            <w:tcW w:w="108" w:type="dxa"/>
            <w:tcBorders>
              <w:top w:val="single" w:sz="4" w:space="0" w:color="auto"/>
              <w:left w:val="single" w:sz="4" w:space="0" w:color="auto"/>
            </w:tcBorders>
          </w:tcPr>
          <w:p w14:paraId="29AC5025"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1</w:t>
            </w:r>
          </w:p>
        </w:tc>
        <w:tc>
          <w:tcPr>
            <w:tcW w:w="1992" w:type="dxa"/>
            <w:tcBorders>
              <w:top w:val="single" w:sz="4" w:space="0" w:color="auto"/>
              <w:left w:val="single" w:sz="4" w:space="0" w:color="auto"/>
            </w:tcBorders>
          </w:tcPr>
          <w:p w14:paraId="528B70DC" w14:textId="77777777" w:rsidR="006561BA" w:rsidRDefault="005B4ED6">
            <w:pPr>
              <w:widowControl w:val="0"/>
              <w:shd w:val="clear" w:color="auto" w:fill="auto"/>
              <w:spacing w:after="0" w:line="240" w:lineRule="auto"/>
              <w:rPr>
                <w:rFonts w:ascii="Helvetica" w:eastAsia="Arial Unicode MS" w:hAnsi="Helvetica" w:cs="Times New Roman"/>
                <w:color w:val="000000" w:themeColor="text1"/>
                <w:sz w:val="6"/>
                <w:szCs w:val="6"/>
                <w:u w:val="single"/>
              </w:rPr>
            </w:pPr>
            <w:r>
              <w:rPr>
                <w:rFonts w:ascii="Helvetica" w:hAnsi="Helvetica"/>
                <w:color w:val="000000" w:themeColor="text1"/>
                <w:sz w:val="6"/>
                <w:u w:val="single"/>
              </w:rPr>
              <w:t>Finansielle eiendeler som innehas for handelsformål (gjeldsinstrumenter og egenkapitalinstrumenter) – Foretak som er omfattet av direktivet om ikke–finansiell rapportering</w:t>
            </w:r>
          </w:p>
        </w:tc>
        <w:tc>
          <w:tcPr>
            <w:tcW w:w="216" w:type="dxa"/>
            <w:tcBorders>
              <w:top w:val="single" w:sz="4" w:space="0" w:color="auto"/>
              <w:left w:val="single" w:sz="4" w:space="0" w:color="auto"/>
            </w:tcBorders>
          </w:tcPr>
          <w:p w14:paraId="4A758475"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61" w:type="dxa"/>
            <w:tcBorders>
              <w:top w:val="single" w:sz="4" w:space="0" w:color="auto"/>
              <w:left w:val="single" w:sz="4" w:space="0" w:color="auto"/>
            </w:tcBorders>
          </w:tcPr>
          <w:p w14:paraId="196762DC"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19" w:type="dxa"/>
            <w:tcBorders>
              <w:top w:val="single" w:sz="4" w:space="0" w:color="auto"/>
              <w:left w:val="single" w:sz="4" w:space="0" w:color="auto"/>
            </w:tcBorders>
          </w:tcPr>
          <w:p w14:paraId="2E484A0B"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76" w:type="dxa"/>
            <w:tcBorders>
              <w:top w:val="single" w:sz="4" w:space="0" w:color="auto"/>
              <w:left w:val="single" w:sz="4" w:space="0" w:color="auto"/>
            </w:tcBorders>
          </w:tcPr>
          <w:p w14:paraId="264D63B6"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11" w:type="dxa"/>
            <w:tcBorders>
              <w:top w:val="single" w:sz="4" w:space="0" w:color="auto"/>
              <w:left w:val="single" w:sz="4" w:space="0" w:color="auto"/>
            </w:tcBorders>
          </w:tcPr>
          <w:p w14:paraId="01F6FD2F"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68" w:type="dxa"/>
            <w:tcBorders>
              <w:top w:val="single" w:sz="4" w:space="0" w:color="auto"/>
              <w:left w:val="single" w:sz="4" w:space="0" w:color="auto"/>
            </w:tcBorders>
          </w:tcPr>
          <w:p w14:paraId="7B5BB329"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06" w:type="dxa"/>
            <w:tcBorders>
              <w:top w:val="single" w:sz="4" w:space="0" w:color="auto"/>
              <w:left w:val="single" w:sz="4" w:space="0" w:color="auto"/>
            </w:tcBorders>
          </w:tcPr>
          <w:p w14:paraId="07F529DB"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263" w:type="dxa"/>
            <w:tcBorders>
              <w:top w:val="single" w:sz="4" w:space="0" w:color="auto"/>
              <w:left w:val="single" w:sz="4" w:space="0" w:color="auto"/>
            </w:tcBorders>
          </w:tcPr>
          <w:p w14:paraId="635367A3"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76" w:type="dxa"/>
            <w:tcBorders>
              <w:top w:val="single" w:sz="4" w:space="0" w:color="auto"/>
              <w:left w:val="single" w:sz="4" w:space="0" w:color="auto"/>
            </w:tcBorders>
          </w:tcPr>
          <w:p w14:paraId="11BBB115"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42" w:type="dxa"/>
            <w:tcBorders>
              <w:top w:val="single" w:sz="4" w:space="0" w:color="auto"/>
              <w:left w:val="single" w:sz="4" w:space="0" w:color="auto"/>
            </w:tcBorders>
          </w:tcPr>
          <w:p w14:paraId="68853670"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76" w:type="dxa"/>
            <w:gridSpan w:val="2"/>
            <w:tcBorders>
              <w:top w:val="single" w:sz="4" w:space="0" w:color="auto"/>
              <w:left w:val="single" w:sz="4" w:space="0" w:color="auto"/>
            </w:tcBorders>
          </w:tcPr>
          <w:p w14:paraId="59864F49"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12" w:type="dxa"/>
            <w:tcBorders>
              <w:top w:val="single" w:sz="4" w:space="0" w:color="auto"/>
              <w:left w:val="single" w:sz="4" w:space="0" w:color="auto"/>
            </w:tcBorders>
          </w:tcPr>
          <w:p w14:paraId="109C933E"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68" w:type="dxa"/>
            <w:gridSpan w:val="2"/>
            <w:tcBorders>
              <w:top w:val="single" w:sz="4" w:space="0" w:color="auto"/>
              <w:left w:val="single" w:sz="4" w:space="0" w:color="auto"/>
            </w:tcBorders>
          </w:tcPr>
          <w:p w14:paraId="61C95E54"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04" w:type="dxa"/>
            <w:tcBorders>
              <w:top w:val="single" w:sz="4" w:space="0" w:color="auto"/>
              <w:left w:val="single" w:sz="4" w:space="0" w:color="auto"/>
            </w:tcBorders>
          </w:tcPr>
          <w:p w14:paraId="0534AE30"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261" w:type="dxa"/>
            <w:tcBorders>
              <w:top w:val="single" w:sz="4" w:space="0" w:color="auto"/>
              <w:left w:val="single" w:sz="4" w:space="0" w:color="auto"/>
            </w:tcBorders>
          </w:tcPr>
          <w:p w14:paraId="510B099B"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76" w:type="dxa"/>
            <w:gridSpan w:val="2"/>
            <w:tcBorders>
              <w:top w:val="single" w:sz="4" w:space="0" w:color="auto"/>
              <w:left w:val="single" w:sz="4" w:space="0" w:color="auto"/>
            </w:tcBorders>
          </w:tcPr>
          <w:p w14:paraId="2F7C528E"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39" w:type="dxa"/>
            <w:tcBorders>
              <w:top w:val="single" w:sz="4" w:space="0" w:color="auto"/>
              <w:left w:val="single" w:sz="4" w:space="0" w:color="auto"/>
            </w:tcBorders>
          </w:tcPr>
          <w:p w14:paraId="4F77E3DB"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76" w:type="dxa"/>
            <w:tcBorders>
              <w:top w:val="single" w:sz="4" w:space="0" w:color="auto"/>
              <w:left w:val="single" w:sz="4" w:space="0" w:color="auto"/>
            </w:tcBorders>
          </w:tcPr>
          <w:p w14:paraId="456D3355"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11" w:type="dxa"/>
            <w:tcBorders>
              <w:top w:val="single" w:sz="4" w:space="0" w:color="auto"/>
              <w:left w:val="single" w:sz="4" w:space="0" w:color="auto"/>
            </w:tcBorders>
          </w:tcPr>
          <w:p w14:paraId="09571781"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47" w:type="dxa"/>
            <w:tcBorders>
              <w:top w:val="single" w:sz="4" w:space="0" w:color="auto"/>
              <w:left w:val="single" w:sz="4" w:space="0" w:color="auto"/>
            </w:tcBorders>
          </w:tcPr>
          <w:p w14:paraId="6D2D583F"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11" w:type="dxa"/>
            <w:tcBorders>
              <w:top w:val="single" w:sz="4" w:space="0" w:color="auto"/>
              <w:left w:val="single" w:sz="4" w:space="0" w:color="auto"/>
            </w:tcBorders>
          </w:tcPr>
          <w:p w14:paraId="7F9F656A"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264" w:type="dxa"/>
            <w:tcBorders>
              <w:top w:val="single" w:sz="4" w:space="0" w:color="auto"/>
              <w:left w:val="single" w:sz="4" w:space="0" w:color="auto"/>
            </w:tcBorders>
          </w:tcPr>
          <w:p w14:paraId="21028F84"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68" w:type="dxa"/>
            <w:tcBorders>
              <w:top w:val="single" w:sz="4" w:space="0" w:color="auto"/>
              <w:left w:val="single" w:sz="4" w:space="0" w:color="auto"/>
            </w:tcBorders>
          </w:tcPr>
          <w:p w14:paraId="7A48861A"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44" w:type="dxa"/>
            <w:tcBorders>
              <w:top w:val="single" w:sz="4" w:space="0" w:color="auto"/>
              <w:left w:val="single" w:sz="4" w:space="0" w:color="auto"/>
            </w:tcBorders>
          </w:tcPr>
          <w:p w14:paraId="4B4D9AC4"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68" w:type="dxa"/>
            <w:gridSpan w:val="2"/>
            <w:tcBorders>
              <w:top w:val="single" w:sz="4" w:space="0" w:color="auto"/>
              <w:left w:val="single" w:sz="4" w:space="0" w:color="auto"/>
            </w:tcBorders>
          </w:tcPr>
          <w:p w14:paraId="7B372CD6"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08" w:type="dxa"/>
            <w:tcBorders>
              <w:top w:val="single" w:sz="4" w:space="0" w:color="auto"/>
              <w:left w:val="single" w:sz="4" w:space="0" w:color="auto"/>
            </w:tcBorders>
          </w:tcPr>
          <w:p w14:paraId="0EC01391"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68" w:type="dxa"/>
            <w:gridSpan w:val="2"/>
            <w:tcBorders>
              <w:top w:val="single" w:sz="4" w:space="0" w:color="auto"/>
              <w:left w:val="single" w:sz="4" w:space="0" w:color="auto"/>
            </w:tcBorders>
          </w:tcPr>
          <w:p w14:paraId="79BB6508"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08" w:type="dxa"/>
            <w:tcBorders>
              <w:top w:val="single" w:sz="4" w:space="0" w:color="auto"/>
              <w:left w:val="single" w:sz="4" w:space="0" w:color="auto"/>
            </w:tcBorders>
          </w:tcPr>
          <w:p w14:paraId="251FEF6D"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293" w:type="dxa"/>
            <w:tcBorders>
              <w:top w:val="single" w:sz="4" w:space="0" w:color="auto"/>
              <w:left w:val="single" w:sz="4" w:space="0" w:color="auto"/>
              <w:right w:val="single" w:sz="4" w:space="0" w:color="auto"/>
            </w:tcBorders>
          </w:tcPr>
          <w:p w14:paraId="5530E477"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r>
      <w:tr w:rsidR="006561BA" w14:paraId="34EF40C9" w14:textId="77777777">
        <w:tc>
          <w:tcPr>
            <w:tcW w:w="108" w:type="dxa"/>
            <w:tcBorders>
              <w:top w:val="single" w:sz="4" w:space="0" w:color="auto"/>
              <w:left w:val="single" w:sz="4" w:space="0" w:color="auto"/>
            </w:tcBorders>
          </w:tcPr>
          <w:p w14:paraId="1BA6B28C"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2</w:t>
            </w:r>
          </w:p>
        </w:tc>
        <w:tc>
          <w:tcPr>
            <w:tcW w:w="1992" w:type="dxa"/>
            <w:tcBorders>
              <w:top w:val="single" w:sz="4" w:space="0" w:color="auto"/>
              <w:left w:val="single" w:sz="4" w:space="0" w:color="auto"/>
            </w:tcBorders>
          </w:tcPr>
          <w:p w14:paraId="651C76AE" w14:textId="77777777" w:rsidR="006561BA" w:rsidRDefault="005B4ED6">
            <w:pPr>
              <w:widowControl w:val="0"/>
              <w:shd w:val="clear" w:color="auto" w:fill="auto"/>
              <w:spacing w:after="0" w:line="240" w:lineRule="auto"/>
              <w:ind w:left="120"/>
              <w:rPr>
                <w:rFonts w:ascii="Helvetica" w:eastAsia="Arial Unicode MS" w:hAnsi="Helvetica" w:cs="Times New Roman"/>
                <w:b/>
                <w:color w:val="000000" w:themeColor="text1"/>
                <w:sz w:val="6"/>
                <w:szCs w:val="6"/>
              </w:rPr>
            </w:pPr>
            <w:r>
              <w:rPr>
                <w:rFonts w:ascii="Helvetica" w:hAnsi="Helvetica"/>
                <w:b/>
                <w:color w:val="000000" w:themeColor="text1"/>
                <w:sz w:val="6"/>
              </w:rPr>
              <w:t>Finansforetak</w:t>
            </w:r>
          </w:p>
        </w:tc>
        <w:tc>
          <w:tcPr>
            <w:tcW w:w="216" w:type="dxa"/>
            <w:tcBorders>
              <w:top w:val="single" w:sz="4" w:space="0" w:color="auto"/>
              <w:left w:val="single" w:sz="4" w:space="0" w:color="auto"/>
            </w:tcBorders>
          </w:tcPr>
          <w:p w14:paraId="1001D88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1" w:type="dxa"/>
            <w:tcBorders>
              <w:top w:val="single" w:sz="4" w:space="0" w:color="auto"/>
              <w:left w:val="single" w:sz="4" w:space="0" w:color="auto"/>
            </w:tcBorders>
          </w:tcPr>
          <w:p w14:paraId="31DCEC1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9" w:type="dxa"/>
            <w:tcBorders>
              <w:top w:val="single" w:sz="4" w:space="0" w:color="auto"/>
              <w:left w:val="single" w:sz="4" w:space="0" w:color="auto"/>
            </w:tcBorders>
          </w:tcPr>
          <w:p w14:paraId="035B076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tcBorders>
          </w:tcPr>
          <w:p w14:paraId="5637BF5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tcBorders>
          </w:tcPr>
          <w:p w14:paraId="33B4BDB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tcBorders>
          </w:tcPr>
          <w:p w14:paraId="37DF873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6" w:type="dxa"/>
            <w:tcBorders>
              <w:top w:val="single" w:sz="4" w:space="0" w:color="auto"/>
              <w:left w:val="single" w:sz="4" w:space="0" w:color="auto"/>
            </w:tcBorders>
          </w:tcPr>
          <w:p w14:paraId="1552885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3" w:type="dxa"/>
            <w:tcBorders>
              <w:top w:val="single" w:sz="4" w:space="0" w:color="auto"/>
              <w:left w:val="single" w:sz="4" w:space="0" w:color="auto"/>
            </w:tcBorders>
          </w:tcPr>
          <w:p w14:paraId="1A446EA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tcBorders>
          </w:tcPr>
          <w:p w14:paraId="4E55033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2" w:type="dxa"/>
            <w:tcBorders>
              <w:top w:val="single" w:sz="4" w:space="0" w:color="auto"/>
              <w:left w:val="single" w:sz="4" w:space="0" w:color="auto"/>
            </w:tcBorders>
          </w:tcPr>
          <w:p w14:paraId="2E68F79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tcBorders>
          </w:tcPr>
          <w:p w14:paraId="0BEF7F4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2" w:type="dxa"/>
            <w:tcBorders>
              <w:top w:val="single" w:sz="4" w:space="0" w:color="auto"/>
              <w:left w:val="single" w:sz="4" w:space="0" w:color="auto"/>
            </w:tcBorders>
          </w:tcPr>
          <w:p w14:paraId="7DF2805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tcBorders>
          </w:tcPr>
          <w:p w14:paraId="5B32504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4" w:type="dxa"/>
            <w:tcBorders>
              <w:top w:val="single" w:sz="4" w:space="0" w:color="auto"/>
              <w:left w:val="single" w:sz="4" w:space="0" w:color="auto"/>
            </w:tcBorders>
          </w:tcPr>
          <w:p w14:paraId="343DFF4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1" w:type="dxa"/>
            <w:tcBorders>
              <w:top w:val="single" w:sz="4" w:space="0" w:color="auto"/>
              <w:left w:val="single" w:sz="4" w:space="0" w:color="auto"/>
            </w:tcBorders>
          </w:tcPr>
          <w:p w14:paraId="4976C73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tcBorders>
          </w:tcPr>
          <w:p w14:paraId="6CC672C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39" w:type="dxa"/>
            <w:tcBorders>
              <w:top w:val="single" w:sz="4" w:space="0" w:color="auto"/>
              <w:left w:val="single" w:sz="4" w:space="0" w:color="auto"/>
            </w:tcBorders>
          </w:tcPr>
          <w:p w14:paraId="142F4E8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tcBorders>
          </w:tcPr>
          <w:p w14:paraId="75E3ACD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tcBorders>
          </w:tcPr>
          <w:p w14:paraId="3A6B79B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7" w:type="dxa"/>
            <w:tcBorders>
              <w:top w:val="single" w:sz="4" w:space="0" w:color="auto"/>
              <w:left w:val="single" w:sz="4" w:space="0" w:color="auto"/>
            </w:tcBorders>
          </w:tcPr>
          <w:p w14:paraId="482A57B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tcBorders>
          </w:tcPr>
          <w:p w14:paraId="1B751F8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4" w:type="dxa"/>
            <w:tcBorders>
              <w:top w:val="single" w:sz="4" w:space="0" w:color="auto"/>
              <w:left w:val="single" w:sz="4" w:space="0" w:color="auto"/>
            </w:tcBorders>
          </w:tcPr>
          <w:p w14:paraId="7747D33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tcBorders>
          </w:tcPr>
          <w:p w14:paraId="197EB5E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4" w:type="dxa"/>
            <w:tcBorders>
              <w:top w:val="single" w:sz="4" w:space="0" w:color="auto"/>
              <w:left w:val="single" w:sz="4" w:space="0" w:color="auto"/>
            </w:tcBorders>
          </w:tcPr>
          <w:p w14:paraId="2D153F5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tcBorders>
          </w:tcPr>
          <w:p w14:paraId="232C30C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tcBorders>
          </w:tcPr>
          <w:p w14:paraId="7157BD9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tcBorders>
          </w:tcPr>
          <w:p w14:paraId="4E10793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tcBorders>
          </w:tcPr>
          <w:p w14:paraId="6907BB8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93" w:type="dxa"/>
            <w:tcBorders>
              <w:top w:val="single" w:sz="4" w:space="0" w:color="auto"/>
              <w:left w:val="single" w:sz="4" w:space="0" w:color="auto"/>
              <w:right w:val="single" w:sz="4" w:space="0" w:color="auto"/>
            </w:tcBorders>
          </w:tcPr>
          <w:p w14:paraId="68B2F85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54546CE7" w14:textId="77777777">
        <w:tc>
          <w:tcPr>
            <w:tcW w:w="108" w:type="dxa"/>
            <w:tcBorders>
              <w:top w:val="single" w:sz="4" w:space="0" w:color="auto"/>
              <w:left w:val="single" w:sz="4" w:space="0" w:color="auto"/>
            </w:tcBorders>
          </w:tcPr>
          <w:p w14:paraId="5995248D"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3</w:t>
            </w:r>
          </w:p>
        </w:tc>
        <w:tc>
          <w:tcPr>
            <w:tcW w:w="1992" w:type="dxa"/>
            <w:tcBorders>
              <w:top w:val="single" w:sz="4" w:space="0" w:color="auto"/>
              <w:left w:val="single" w:sz="4" w:space="0" w:color="auto"/>
            </w:tcBorders>
          </w:tcPr>
          <w:p w14:paraId="49A824A4" w14:textId="77777777" w:rsidR="006561BA" w:rsidRDefault="005B4ED6">
            <w:pPr>
              <w:widowControl w:val="0"/>
              <w:shd w:val="clear" w:color="auto" w:fill="auto"/>
              <w:spacing w:after="0" w:line="240" w:lineRule="auto"/>
              <w:ind w:left="160"/>
              <w:rPr>
                <w:rFonts w:ascii="Helvetica" w:eastAsia="Arial Unicode MS" w:hAnsi="Helvetica" w:cs="Times New Roman"/>
                <w:color w:val="000000" w:themeColor="text1"/>
                <w:sz w:val="6"/>
                <w:szCs w:val="6"/>
              </w:rPr>
            </w:pPr>
            <w:r>
              <w:rPr>
                <w:rFonts w:ascii="Helvetica" w:hAnsi="Helvetica"/>
                <w:color w:val="000000" w:themeColor="text1"/>
                <w:sz w:val="6"/>
              </w:rPr>
              <w:t>Kredittinstitusjoner</w:t>
            </w:r>
          </w:p>
        </w:tc>
        <w:tc>
          <w:tcPr>
            <w:tcW w:w="216" w:type="dxa"/>
            <w:tcBorders>
              <w:top w:val="single" w:sz="4" w:space="0" w:color="auto"/>
              <w:left w:val="single" w:sz="4" w:space="0" w:color="auto"/>
            </w:tcBorders>
          </w:tcPr>
          <w:p w14:paraId="5292853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1" w:type="dxa"/>
            <w:tcBorders>
              <w:top w:val="single" w:sz="4" w:space="0" w:color="auto"/>
              <w:left w:val="single" w:sz="4" w:space="0" w:color="auto"/>
            </w:tcBorders>
          </w:tcPr>
          <w:p w14:paraId="5A0E50F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9" w:type="dxa"/>
            <w:tcBorders>
              <w:top w:val="single" w:sz="4" w:space="0" w:color="auto"/>
              <w:left w:val="single" w:sz="4" w:space="0" w:color="auto"/>
            </w:tcBorders>
          </w:tcPr>
          <w:p w14:paraId="7244414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tcBorders>
          </w:tcPr>
          <w:p w14:paraId="3F8A550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tcBorders>
          </w:tcPr>
          <w:p w14:paraId="38ECEBF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tcBorders>
          </w:tcPr>
          <w:p w14:paraId="74248D2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6" w:type="dxa"/>
            <w:tcBorders>
              <w:top w:val="single" w:sz="4" w:space="0" w:color="auto"/>
              <w:left w:val="single" w:sz="4" w:space="0" w:color="auto"/>
            </w:tcBorders>
          </w:tcPr>
          <w:p w14:paraId="39484D7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3" w:type="dxa"/>
            <w:tcBorders>
              <w:top w:val="single" w:sz="4" w:space="0" w:color="auto"/>
              <w:left w:val="single" w:sz="4" w:space="0" w:color="auto"/>
            </w:tcBorders>
          </w:tcPr>
          <w:p w14:paraId="25D0938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tcBorders>
          </w:tcPr>
          <w:p w14:paraId="4DB8EFA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2" w:type="dxa"/>
            <w:tcBorders>
              <w:top w:val="single" w:sz="4" w:space="0" w:color="auto"/>
              <w:left w:val="single" w:sz="4" w:space="0" w:color="auto"/>
            </w:tcBorders>
          </w:tcPr>
          <w:p w14:paraId="4ACE76F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tcBorders>
          </w:tcPr>
          <w:p w14:paraId="6DB6BC6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2" w:type="dxa"/>
            <w:tcBorders>
              <w:top w:val="single" w:sz="4" w:space="0" w:color="auto"/>
              <w:left w:val="single" w:sz="4" w:space="0" w:color="auto"/>
            </w:tcBorders>
          </w:tcPr>
          <w:p w14:paraId="1666404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tcBorders>
          </w:tcPr>
          <w:p w14:paraId="6BBD296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4" w:type="dxa"/>
            <w:tcBorders>
              <w:top w:val="single" w:sz="4" w:space="0" w:color="auto"/>
              <w:left w:val="single" w:sz="4" w:space="0" w:color="auto"/>
            </w:tcBorders>
          </w:tcPr>
          <w:p w14:paraId="52E9478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1" w:type="dxa"/>
            <w:tcBorders>
              <w:top w:val="single" w:sz="4" w:space="0" w:color="auto"/>
              <w:left w:val="single" w:sz="4" w:space="0" w:color="auto"/>
            </w:tcBorders>
          </w:tcPr>
          <w:p w14:paraId="5A6AD9D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tcBorders>
          </w:tcPr>
          <w:p w14:paraId="5034035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39" w:type="dxa"/>
            <w:tcBorders>
              <w:top w:val="single" w:sz="4" w:space="0" w:color="auto"/>
              <w:left w:val="single" w:sz="4" w:space="0" w:color="auto"/>
            </w:tcBorders>
          </w:tcPr>
          <w:p w14:paraId="7671129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tcBorders>
          </w:tcPr>
          <w:p w14:paraId="6AE24F7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tcBorders>
          </w:tcPr>
          <w:p w14:paraId="070E8B2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7" w:type="dxa"/>
            <w:tcBorders>
              <w:top w:val="single" w:sz="4" w:space="0" w:color="auto"/>
              <w:left w:val="single" w:sz="4" w:space="0" w:color="auto"/>
            </w:tcBorders>
          </w:tcPr>
          <w:p w14:paraId="53FE113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tcBorders>
          </w:tcPr>
          <w:p w14:paraId="54E6687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4" w:type="dxa"/>
            <w:tcBorders>
              <w:top w:val="single" w:sz="4" w:space="0" w:color="auto"/>
              <w:left w:val="single" w:sz="4" w:space="0" w:color="auto"/>
            </w:tcBorders>
          </w:tcPr>
          <w:p w14:paraId="26421A4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tcBorders>
          </w:tcPr>
          <w:p w14:paraId="50F81F5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4" w:type="dxa"/>
            <w:tcBorders>
              <w:top w:val="single" w:sz="4" w:space="0" w:color="auto"/>
              <w:left w:val="single" w:sz="4" w:space="0" w:color="auto"/>
            </w:tcBorders>
          </w:tcPr>
          <w:p w14:paraId="59D63F5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tcBorders>
          </w:tcPr>
          <w:p w14:paraId="0B49C3E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tcBorders>
          </w:tcPr>
          <w:p w14:paraId="27EE3F9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tcBorders>
          </w:tcPr>
          <w:p w14:paraId="7A09DA7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tcBorders>
          </w:tcPr>
          <w:p w14:paraId="671009C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93" w:type="dxa"/>
            <w:tcBorders>
              <w:top w:val="single" w:sz="4" w:space="0" w:color="auto"/>
              <w:left w:val="single" w:sz="4" w:space="0" w:color="auto"/>
              <w:right w:val="single" w:sz="4" w:space="0" w:color="auto"/>
            </w:tcBorders>
          </w:tcPr>
          <w:p w14:paraId="6D54412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4863BAFE" w14:textId="77777777">
        <w:tc>
          <w:tcPr>
            <w:tcW w:w="108" w:type="dxa"/>
            <w:tcBorders>
              <w:top w:val="single" w:sz="4" w:space="0" w:color="auto"/>
              <w:left w:val="single" w:sz="4" w:space="0" w:color="auto"/>
            </w:tcBorders>
          </w:tcPr>
          <w:p w14:paraId="45E2BDF2"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4</w:t>
            </w:r>
          </w:p>
        </w:tc>
        <w:tc>
          <w:tcPr>
            <w:tcW w:w="1992" w:type="dxa"/>
            <w:tcBorders>
              <w:top w:val="single" w:sz="4" w:space="0" w:color="auto"/>
              <w:left w:val="single" w:sz="4" w:space="0" w:color="auto"/>
            </w:tcBorders>
          </w:tcPr>
          <w:p w14:paraId="269DD990" w14:textId="77777777" w:rsidR="006561BA" w:rsidRDefault="005B4ED6">
            <w:pPr>
              <w:widowControl w:val="0"/>
              <w:shd w:val="clear" w:color="auto" w:fill="auto"/>
              <w:spacing w:after="0" w:line="240" w:lineRule="auto"/>
              <w:ind w:left="200"/>
              <w:rPr>
                <w:rFonts w:ascii="Helvetica" w:eastAsia="Arial Unicode MS" w:hAnsi="Helvetica" w:cs="Times New Roman"/>
                <w:color w:val="000000" w:themeColor="text1"/>
                <w:sz w:val="6"/>
                <w:szCs w:val="6"/>
              </w:rPr>
            </w:pPr>
            <w:r>
              <w:rPr>
                <w:rFonts w:ascii="Helvetica" w:hAnsi="Helvetica"/>
                <w:color w:val="000000" w:themeColor="text1"/>
                <w:sz w:val="6"/>
              </w:rPr>
              <w:t>Gjeldsinstrumenter</w:t>
            </w:r>
          </w:p>
        </w:tc>
        <w:tc>
          <w:tcPr>
            <w:tcW w:w="216" w:type="dxa"/>
            <w:tcBorders>
              <w:top w:val="single" w:sz="4" w:space="0" w:color="auto"/>
              <w:left w:val="single" w:sz="4" w:space="0" w:color="auto"/>
            </w:tcBorders>
          </w:tcPr>
          <w:p w14:paraId="10B02B5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1" w:type="dxa"/>
            <w:tcBorders>
              <w:top w:val="single" w:sz="4" w:space="0" w:color="auto"/>
              <w:left w:val="single" w:sz="4" w:space="0" w:color="auto"/>
            </w:tcBorders>
          </w:tcPr>
          <w:p w14:paraId="517AE9F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9" w:type="dxa"/>
            <w:tcBorders>
              <w:top w:val="single" w:sz="4" w:space="0" w:color="auto"/>
              <w:left w:val="single" w:sz="4" w:space="0" w:color="auto"/>
            </w:tcBorders>
          </w:tcPr>
          <w:p w14:paraId="736E884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tcBorders>
          </w:tcPr>
          <w:p w14:paraId="726E62E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tcBorders>
          </w:tcPr>
          <w:p w14:paraId="0FD44B5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tcBorders>
          </w:tcPr>
          <w:p w14:paraId="5E5B67A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6" w:type="dxa"/>
            <w:tcBorders>
              <w:top w:val="single" w:sz="4" w:space="0" w:color="auto"/>
              <w:left w:val="single" w:sz="4" w:space="0" w:color="auto"/>
            </w:tcBorders>
          </w:tcPr>
          <w:p w14:paraId="73A5499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3" w:type="dxa"/>
            <w:tcBorders>
              <w:top w:val="single" w:sz="4" w:space="0" w:color="auto"/>
              <w:left w:val="single" w:sz="4" w:space="0" w:color="auto"/>
            </w:tcBorders>
          </w:tcPr>
          <w:p w14:paraId="2704F55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tcBorders>
          </w:tcPr>
          <w:p w14:paraId="0445734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2" w:type="dxa"/>
            <w:tcBorders>
              <w:top w:val="single" w:sz="4" w:space="0" w:color="auto"/>
              <w:left w:val="single" w:sz="4" w:space="0" w:color="auto"/>
            </w:tcBorders>
          </w:tcPr>
          <w:p w14:paraId="7763849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tcBorders>
          </w:tcPr>
          <w:p w14:paraId="3FE277F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2" w:type="dxa"/>
            <w:tcBorders>
              <w:top w:val="single" w:sz="4" w:space="0" w:color="auto"/>
              <w:left w:val="single" w:sz="4" w:space="0" w:color="auto"/>
            </w:tcBorders>
          </w:tcPr>
          <w:p w14:paraId="6E21E45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tcBorders>
          </w:tcPr>
          <w:p w14:paraId="25430AF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4" w:type="dxa"/>
            <w:tcBorders>
              <w:top w:val="single" w:sz="4" w:space="0" w:color="auto"/>
              <w:left w:val="single" w:sz="4" w:space="0" w:color="auto"/>
            </w:tcBorders>
          </w:tcPr>
          <w:p w14:paraId="1807B84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1" w:type="dxa"/>
            <w:tcBorders>
              <w:top w:val="single" w:sz="4" w:space="0" w:color="auto"/>
              <w:left w:val="single" w:sz="4" w:space="0" w:color="auto"/>
            </w:tcBorders>
          </w:tcPr>
          <w:p w14:paraId="7B34ADB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tcBorders>
          </w:tcPr>
          <w:p w14:paraId="2EF93B5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39" w:type="dxa"/>
            <w:tcBorders>
              <w:top w:val="single" w:sz="4" w:space="0" w:color="auto"/>
              <w:left w:val="single" w:sz="4" w:space="0" w:color="auto"/>
            </w:tcBorders>
          </w:tcPr>
          <w:p w14:paraId="2A666E2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tcBorders>
          </w:tcPr>
          <w:p w14:paraId="369D413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tcBorders>
          </w:tcPr>
          <w:p w14:paraId="49DC7DE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7" w:type="dxa"/>
            <w:tcBorders>
              <w:top w:val="single" w:sz="4" w:space="0" w:color="auto"/>
              <w:left w:val="single" w:sz="4" w:space="0" w:color="auto"/>
            </w:tcBorders>
          </w:tcPr>
          <w:p w14:paraId="2AD7D2D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tcBorders>
          </w:tcPr>
          <w:p w14:paraId="34C0C24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4" w:type="dxa"/>
            <w:tcBorders>
              <w:top w:val="single" w:sz="4" w:space="0" w:color="auto"/>
              <w:left w:val="single" w:sz="4" w:space="0" w:color="auto"/>
            </w:tcBorders>
          </w:tcPr>
          <w:p w14:paraId="61EAB3E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tcBorders>
          </w:tcPr>
          <w:p w14:paraId="04056E8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4" w:type="dxa"/>
            <w:tcBorders>
              <w:top w:val="single" w:sz="4" w:space="0" w:color="auto"/>
              <w:left w:val="single" w:sz="4" w:space="0" w:color="auto"/>
            </w:tcBorders>
          </w:tcPr>
          <w:p w14:paraId="5F6E0C4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tcBorders>
          </w:tcPr>
          <w:p w14:paraId="1BDAEF5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tcBorders>
          </w:tcPr>
          <w:p w14:paraId="391BCE3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tcBorders>
          </w:tcPr>
          <w:p w14:paraId="7AC3F5D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tcBorders>
          </w:tcPr>
          <w:p w14:paraId="4ABC1B3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93" w:type="dxa"/>
            <w:tcBorders>
              <w:top w:val="single" w:sz="4" w:space="0" w:color="auto"/>
              <w:left w:val="single" w:sz="4" w:space="0" w:color="auto"/>
              <w:right w:val="single" w:sz="4" w:space="0" w:color="auto"/>
            </w:tcBorders>
          </w:tcPr>
          <w:p w14:paraId="2D6CF79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778008E5" w14:textId="77777777">
        <w:tc>
          <w:tcPr>
            <w:tcW w:w="108" w:type="dxa"/>
            <w:tcBorders>
              <w:top w:val="single" w:sz="4" w:space="0" w:color="auto"/>
              <w:left w:val="single" w:sz="4" w:space="0" w:color="auto"/>
            </w:tcBorders>
          </w:tcPr>
          <w:p w14:paraId="35097944"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5</w:t>
            </w:r>
          </w:p>
        </w:tc>
        <w:tc>
          <w:tcPr>
            <w:tcW w:w="1992" w:type="dxa"/>
            <w:tcBorders>
              <w:top w:val="single" w:sz="4" w:space="0" w:color="auto"/>
              <w:left w:val="single" w:sz="4" w:space="0" w:color="auto"/>
            </w:tcBorders>
          </w:tcPr>
          <w:p w14:paraId="477DFB1F" w14:textId="77777777" w:rsidR="006561BA" w:rsidRDefault="005B4ED6">
            <w:pPr>
              <w:widowControl w:val="0"/>
              <w:shd w:val="clear" w:color="auto" w:fill="auto"/>
              <w:spacing w:after="0" w:line="240" w:lineRule="auto"/>
              <w:ind w:left="200"/>
              <w:rPr>
                <w:rFonts w:ascii="Helvetica" w:eastAsia="Arial Unicode MS" w:hAnsi="Helvetica" w:cs="Times New Roman"/>
                <w:color w:val="000000" w:themeColor="text1"/>
                <w:sz w:val="6"/>
                <w:szCs w:val="6"/>
              </w:rPr>
            </w:pPr>
            <w:r>
              <w:rPr>
                <w:rFonts w:ascii="Helvetica" w:hAnsi="Helvetica"/>
                <w:color w:val="000000" w:themeColor="text1"/>
                <w:sz w:val="6"/>
              </w:rPr>
              <w:t>Egenkapitalinstrumenter</w:t>
            </w:r>
          </w:p>
        </w:tc>
        <w:tc>
          <w:tcPr>
            <w:tcW w:w="216" w:type="dxa"/>
            <w:tcBorders>
              <w:top w:val="single" w:sz="4" w:space="0" w:color="auto"/>
              <w:left w:val="single" w:sz="4" w:space="0" w:color="auto"/>
            </w:tcBorders>
          </w:tcPr>
          <w:p w14:paraId="4717B0C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1" w:type="dxa"/>
            <w:tcBorders>
              <w:top w:val="single" w:sz="4" w:space="0" w:color="auto"/>
              <w:left w:val="single" w:sz="4" w:space="0" w:color="auto"/>
            </w:tcBorders>
          </w:tcPr>
          <w:p w14:paraId="72E6687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9" w:type="dxa"/>
            <w:tcBorders>
              <w:top w:val="single" w:sz="4" w:space="0" w:color="auto"/>
              <w:left w:val="single" w:sz="4" w:space="0" w:color="auto"/>
            </w:tcBorders>
          </w:tcPr>
          <w:p w14:paraId="0C42555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tcBorders>
          </w:tcPr>
          <w:p w14:paraId="67D1397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tcBorders>
          </w:tcPr>
          <w:p w14:paraId="6097111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tcBorders>
          </w:tcPr>
          <w:p w14:paraId="1E770D9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6" w:type="dxa"/>
            <w:tcBorders>
              <w:top w:val="single" w:sz="4" w:space="0" w:color="auto"/>
              <w:left w:val="single" w:sz="4" w:space="0" w:color="auto"/>
            </w:tcBorders>
          </w:tcPr>
          <w:p w14:paraId="58517E8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3" w:type="dxa"/>
            <w:tcBorders>
              <w:top w:val="single" w:sz="4" w:space="0" w:color="auto"/>
              <w:left w:val="single" w:sz="4" w:space="0" w:color="auto"/>
            </w:tcBorders>
          </w:tcPr>
          <w:p w14:paraId="4970A42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tcBorders>
          </w:tcPr>
          <w:p w14:paraId="0155C66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2" w:type="dxa"/>
            <w:tcBorders>
              <w:top w:val="single" w:sz="4" w:space="0" w:color="auto"/>
              <w:left w:val="single" w:sz="4" w:space="0" w:color="auto"/>
            </w:tcBorders>
          </w:tcPr>
          <w:p w14:paraId="52A948A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tcBorders>
          </w:tcPr>
          <w:p w14:paraId="435492A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2" w:type="dxa"/>
            <w:tcBorders>
              <w:top w:val="single" w:sz="4" w:space="0" w:color="auto"/>
              <w:left w:val="single" w:sz="4" w:space="0" w:color="auto"/>
            </w:tcBorders>
          </w:tcPr>
          <w:p w14:paraId="1E8AABC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tcBorders>
          </w:tcPr>
          <w:p w14:paraId="48ED5B2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4" w:type="dxa"/>
            <w:tcBorders>
              <w:top w:val="single" w:sz="4" w:space="0" w:color="auto"/>
              <w:left w:val="single" w:sz="4" w:space="0" w:color="auto"/>
            </w:tcBorders>
          </w:tcPr>
          <w:p w14:paraId="54CE707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1" w:type="dxa"/>
            <w:tcBorders>
              <w:top w:val="single" w:sz="4" w:space="0" w:color="auto"/>
              <w:left w:val="single" w:sz="4" w:space="0" w:color="auto"/>
            </w:tcBorders>
          </w:tcPr>
          <w:p w14:paraId="0EBD266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tcBorders>
          </w:tcPr>
          <w:p w14:paraId="0977E8F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39" w:type="dxa"/>
            <w:tcBorders>
              <w:top w:val="single" w:sz="4" w:space="0" w:color="auto"/>
              <w:left w:val="single" w:sz="4" w:space="0" w:color="auto"/>
            </w:tcBorders>
          </w:tcPr>
          <w:p w14:paraId="5831C6A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tcBorders>
          </w:tcPr>
          <w:p w14:paraId="089F4DA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tcBorders>
          </w:tcPr>
          <w:p w14:paraId="6273276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7" w:type="dxa"/>
            <w:tcBorders>
              <w:top w:val="single" w:sz="4" w:space="0" w:color="auto"/>
              <w:left w:val="single" w:sz="4" w:space="0" w:color="auto"/>
            </w:tcBorders>
          </w:tcPr>
          <w:p w14:paraId="76BC9B6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tcBorders>
          </w:tcPr>
          <w:p w14:paraId="3CA27C3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4" w:type="dxa"/>
            <w:tcBorders>
              <w:top w:val="single" w:sz="4" w:space="0" w:color="auto"/>
              <w:left w:val="single" w:sz="4" w:space="0" w:color="auto"/>
            </w:tcBorders>
          </w:tcPr>
          <w:p w14:paraId="4084DE1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tcBorders>
          </w:tcPr>
          <w:p w14:paraId="4448FF7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4" w:type="dxa"/>
            <w:tcBorders>
              <w:top w:val="single" w:sz="4" w:space="0" w:color="auto"/>
              <w:left w:val="single" w:sz="4" w:space="0" w:color="auto"/>
            </w:tcBorders>
          </w:tcPr>
          <w:p w14:paraId="3F7D02F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tcBorders>
          </w:tcPr>
          <w:p w14:paraId="39E6D6C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tcBorders>
          </w:tcPr>
          <w:p w14:paraId="67CA7A7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tcBorders>
          </w:tcPr>
          <w:p w14:paraId="5DC90FD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tcBorders>
          </w:tcPr>
          <w:p w14:paraId="057127B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93" w:type="dxa"/>
            <w:tcBorders>
              <w:top w:val="single" w:sz="4" w:space="0" w:color="auto"/>
              <w:left w:val="single" w:sz="4" w:space="0" w:color="auto"/>
              <w:right w:val="single" w:sz="4" w:space="0" w:color="auto"/>
            </w:tcBorders>
          </w:tcPr>
          <w:p w14:paraId="610E2A7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2A5178D7" w14:textId="77777777">
        <w:tc>
          <w:tcPr>
            <w:tcW w:w="108" w:type="dxa"/>
            <w:tcBorders>
              <w:top w:val="single" w:sz="4" w:space="0" w:color="auto"/>
              <w:left w:val="single" w:sz="4" w:space="0" w:color="auto"/>
            </w:tcBorders>
          </w:tcPr>
          <w:p w14:paraId="05E22817"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6</w:t>
            </w:r>
          </w:p>
        </w:tc>
        <w:tc>
          <w:tcPr>
            <w:tcW w:w="1992" w:type="dxa"/>
            <w:tcBorders>
              <w:top w:val="single" w:sz="4" w:space="0" w:color="auto"/>
              <w:left w:val="single" w:sz="4" w:space="0" w:color="auto"/>
            </w:tcBorders>
          </w:tcPr>
          <w:p w14:paraId="5028A73D" w14:textId="77777777" w:rsidR="006561BA" w:rsidRDefault="005B4ED6">
            <w:pPr>
              <w:widowControl w:val="0"/>
              <w:shd w:val="clear" w:color="auto" w:fill="auto"/>
              <w:spacing w:after="0" w:line="240" w:lineRule="auto"/>
              <w:ind w:left="160"/>
              <w:rPr>
                <w:rFonts w:ascii="Helvetica" w:eastAsia="Arial Unicode MS" w:hAnsi="Helvetica" w:cs="Times New Roman"/>
                <w:color w:val="000000" w:themeColor="text1"/>
                <w:sz w:val="6"/>
                <w:szCs w:val="6"/>
              </w:rPr>
            </w:pPr>
            <w:r>
              <w:rPr>
                <w:rFonts w:ascii="Helvetica" w:hAnsi="Helvetica"/>
                <w:color w:val="000000" w:themeColor="text1"/>
                <w:sz w:val="6"/>
              </w:rPr>
              <w:t>Andre finansforetak</w:t>
            </w:r>
          </w:p>
        </w:tc>
        <w:tc>
          <w:tcPr>
            <w:tcW w:w="216" w:type="dxa"/>
            <w:tcBorders>
              <w:top w:val="single" w:sz="4" w:space="0" w:color="auto"/>
              <w:left w:val="single" w:sz="4" w:space="0" w:color="auto"/>
            </w:tcBorders>
          </w:tcPr>
          <w:p w14:paraId="42A4A16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1" w:type="dxa"/>
            <w:tcBorders>
              <w:top w:val="single" w:sz="4" w:space="0" w:color="auto"/>
              <w:left w:val="single" w:sz="4" w:space="0" w:color="auto"/>
            </w:tcBorders>
          </w:tcPr>
          <w:p w14:paraId="40D1E3B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9" w:type="dxa"/>
            <w:tcBorders>
              <w:top w:val="single" w:sz="4" w:space="0" w:color="auto"/>
              <w:left w:val="single" w:sz="4" w:space="0" w:color="auto"/>
            </w:tcBorders>
          </w:tcPr>
          <w:p w14:paraId="4F1A76E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tcBorders>
          </w:tcPr>
          <w:p w14:paraId="4550E41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tcBorders>
          </w:tcPr>
          <w:p w14:paraId="4B4C4F6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tcBorders>
          </w:tcPr>
          <w:p w14:paraId="4990047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6" w:type="dxa"/>
            <w:tcBorders>
              <w:top w:val="single" w:sz="4" w:space="0" w:color="auto"/>
              <w:left w:val="single" w:sz="4" w:space="0" w:color="auto"/>
            </w:tcBorders>
          </w:tcPr>
          <w:p w14:paraId="3507B9A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3" w:type="dxa"/>
            <w:tcBorders>
              <w:top w:val="single" w:sz="4" w:space="0" w:color="auto"/>
              <w:left w:val="single" w:sz="4" w:space="0" w:color="auto"/>
            </w:tcBorders>
          </w:tcPr>
          <w:p w14:paraId="0469D12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tcBorders>
          </w:tcPr>
          <w:p w14:paraId="6A8A63D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2" w:type="dxa"/>
            <w:tcBorders>
              <w:top w:val="single" w:sz="4" w:space="0" w:color="auto"/>
              <w:left w:val="single" w:sz="4" w:space="0" w:color="auto"/>
            </w:tcBorders>
          </w:tcPr>
          <w:p w14:paraId="5A252DA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tcBorders>
          </w:tcPr>
          <w:p w14:paraId="5F557E3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2" w:type="dxa"/>
            <w:tcBorders>
              <w:top w:val="single" w:sz="4" w:space="0" w:color="auto"/>
              <w:left w:val="single" w:sz="4" w:space="0" w:color="auto"/>
            </w:tcBorders>
          </w:tcPr>
          <w:p w14:paraId="6DD7EB4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tcBorders>
          </w:tcPr>
          <w:p w14:paraId="0F6AFBB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4" w:type="dxa"/>
            <w:tcBorders>
              <w:top w:val="single" w:sz="4" w:space="0" w:color="auto"/>
              <w:left w:val="single" w:sz="4" w:space="0" w:color="auto"/>
            </w:tcBorders>
          </w:tcPr>
          <w:p w14:paraId="1646353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1" w:type="dxa"/>
            <w:tcBorders>
              <w:top w:val="single" w:sz="4" w:space="0" w:color="auto"/>
              <w:left w:val="single" w:sz="4" w:space="0" w:color="auto"/>
            </w:tcBorders>
          </w:tcPr>
          <w:p w14:paraId="1E74C4F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tcBorders>
          </w:tcPr>
          <w:p w14:paraId="00B4275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39" w:type="dxa"/>
            <w:tcBorders>
              <w:top w:val="single" w:sz="4" w:space="0" w:color="auto"/>
              <w:left w:val="single" w:sz="4" w:space="0" w:color="auto"/>
            </w:tcBorders>
          </w:tcPr>
          <w:p w14:paraId="1A5633F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tcBorders>
          </w:tcPr>
          <w:p w14:paraId="78151C4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tcBorders>
          </w:tcPr>
          <w:p w14:paraId="5CEB551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7" w:type="dxa"/>
            <w:tcBorders>
              <w:top w:val="single" w:sz="4" w:space="0" w:color="auto"/>
              <w:left w:val="single" w:sz="4" w:space="0" w:color="auto"/>
            </w:tcBorders>
          </w:tcPr>
          <w:p w14:paraId="4B2CC59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tcBorders>
          </w:tcPr>
          <w:p w14:paraId="0FA561C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4" w:type="dxa"/>
            <w:tcBorders>
              <w:top w:val="single" w:sz="4" w:space="0" w:color="auto"/>
              <w:left w:val="single" w:sz="4" w:space="0" w:color="auto"/>
            </w:tcBorders>
          </w:tcPr>
          <w:p w14:paraId="56A548B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tcBorders>
          </w:tcPr>
          <w:p w14:paraId="1DE46A0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4" w:type="dxa"/>
            <w:tcBorders>
              <w:top w:val="single" w:sz="4" w:space="0" w:color="auto"/>
              <w:left w:val="single" w:sz="4" w:space="0" w:color="auto"/>
            </w:tcBorders>
          </w:tcPr>
          <w:p w14:paraId="5EC37F0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tcBorders>
          </w:tcPr>
          <w:p w14:paraId="0CEE1BF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tcBorders>
          </w:tcPr>
          <w:p w14:paraId="25B4CC4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tcBorders>
          </w:tcPr>
          <w:p w14:paraId="240E3E1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tcBorders>
          </w:tcPr>
          <w:p w14:paraId="517131A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93" w:type="dxa"/>
            <w:tcBorders>
              <w:top w:val="single" w:sz="4" w:space="0" w:color="auto"/>
              <w:left w:val="single" w:sz="4" w:space="0" w:color="auto"/>
              <w:right w:val="single" w:sz="4" w:space="0" w:color="auto"/>
            </w:tcBorders>
          </w:tcPr>
          <w:p w14:paraId="7E8AB51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615E8C6F" w14:textId="77777777">
        <w:tc>
          <w:tcPr>
            <w:tcW w:w="108" w:type="dxa"/>
            <w:tcBorders>
              <w:top w:val="single" w:sz="4" w:space="0" w:color="auto"/>
              <w:left w:val="single" w:sz="4" w:space="0" w:color="auto"/>
            </w:tcBorders>
          </w:tcPr>
          <w:p w14:paraId="129588FB"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7</w:t>
            </w:r>
          </w:p>
        </w:tc>
        <w:tc>
          <w:tcPr>
            <w:tcW w:w="1992" w:type="dxa"/>
            <w:tcBorders>
              <w:top w:val="single" w:sz="4" w:space="0" w:color="auto"/>
              <w:left w:val="single" w:sz="4" w:space="0" w:color="auto"/>
            </w:tcBorders>
          </w:tcPr>
          <w:p w14:paraId="0DB4B37E" w14:textId="77777777" w:rsidR="006561BA" w:rsidRDefault="005B4ED6">
            <w:pPr>
              <w:widowControl w:val="0"/>
              <w:shd w:val="clear" w:color="auto" w:fill="auto"/>
              <w:spacing w:after="0" w:line="240" w:lineRule="auto"/>
              <w:ind w:left="200"/>
              <w:rPr>
                <w:rFonts w:ascii="Helvetica" w:eastAsia="Arial Unicode MS" w:hAnsi="Helvetica" w:cs="Times New Roman"/>
                <w:color w:val="000000" w:themeColor="text1"/>
                <w:sz w:val="6"/>
                <w:szCs w:val="6"/>
              </w:rPr>
            </w:pPr>
            <w:r>
              <w:rPr>
                <w:rFonts w:ascii="Helvetica" w:hAnsi="Helvetica"/>
                <w:color w:val="000000" w:themeColor="text1"/>
                <w:sz w:val="6"/>
              </w:rPr>
              <w:t>hvorav verdipapirforetak</w:t>
            </w:r>
          </w:p>
        </w:tc>
        <w:tc>
          <w:tcPr>
            <w:tcW w:w="216" w:type="dxa"/>
            <w:tcBorders>
              <w:top w:val="single" w:sz="4" w:space="0" w:color="auto"/>
              <w:left w:val="single" w:sz="4" w:space="0" w:color="auto"/>
            </w:tcBorders>
          </w:tcPr>
          <w:p w14:paraId="6856A5F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1" w:type="dxa"/>
            <w:tcBorders>
              <w:top w:val="single" w:sz="4" w:space="0" w:color="auto"/>
              <w:left w:val="single" w:sz="4" w:space="0" w:color="auto"/>
            </w:tcBorders>
          </w:tcPr>
          <w:p w14:paraId="5F2AC41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9" w:type="dxa"/>
            <w:tcBorders>
              <w:top w:val="single" w:sz="4" w:space="0" w:color="auto"/>
              <w:left w:val="single" w:sz="4" w:space="0" w:color="auto"/>
            </w:tcBorders>
          </w:tcPr>
          <w:p w14:paraId="06B240E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tcBorders>
          </w:tcPr>
          <w:p w14:paraId="7F71033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tcBorders>
          </w:tcPr>
          <w:p w14:paraId="2D94FCE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tcBorders>
          </w:tcPr>
          <w:p w14:paraId="47B7962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6" w:type="dxa"/>
            <w:tcBorders>
              <w:top w:val="single" w:sz="4" w:space="0" w:color="auto"/>
              <w:left w:val="single" w:sz="4" w:space="0" w:color="auto"/>
            </w:tcBorders>
          </w:tcPr>
          <w:p w14:paraId="6908BE7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3" w:type="dxa"/>
            <w:tcBorders>
              <w:top w:val="single" w:sz="4" w:space="0" w:color="auto"/>
              <w:left w:val="single" w:sz="4" w:space="0" w:color="auto"/>
            </w:tcBorders>
          </w:tcPr>
          <w:p w14:paraId="0F7EF88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tcBorders>
          </w:tcPr>
          <w:p w14:paraId="15120A9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2" w:type="dxa"/>
            <w:tcBorders>
              <w:top w:val="single" w:sz="4" w:space="0" w:color="auto"/>
              <w:left w:val="single" w:sz="4" w:space="0" w:color="auto"/>
            </w:tcBorders>
          </w:tcPr>
          <w:p w14:paraId="702D4D1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tcBorders>
          </w:tcPr>
          <w:p w14:paraId="14F396C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2" w:type="dxa"/>
            <w:tcBorders>
              <w:top w:val="single" w:sz="4" w:space="0" w:color="auto"/>
              <w:left w:val="single" w:sz="4" w:space="0" w:color="auto"/>
            </w:tcBorders>
          </w:tcPr>
          <w:p w14:paraId="5FECB40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tcBorders>
          </w:tcPr>
          <w:p w14:paraId="16C23E1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4" w:type="dxa"/>
            <w:tcBorders>
              <w:top w:val="single" w:sz="4" w:space="0" w:color="auto"/>
              <w:left w:val="single" w:sz="4" w:space="0" w:color="auto"/>
            </w:tcBorders>
          </w:tcPr>
          <w:p w14:paraId="34D3D26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1" w:type="dxa"/>
            <w:tcBorders>
              <w:top w:val="single" w:sz="4" w:space="0" w:color="auto"/>
              <w:left w:val="single" w:sz="4" w:space="0" w:color="auto"/>
            </w:tcBorders>
          </w:tcPr>
          <w:p w14:paraId="3D3B135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tcBorders>
          </w:tcPr>
          <w:p w14:paraId="1E62596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39" w:type="dxa"/>
            <w:tcBorders>
              <w:top w:val="single" w:sz="4" w:space="0" w:color="auto"/>
              <w:left w:val="single" w:sz="4" w:space="0" w:color="auto"/>
            </w:tcBorders>
          </w:tcPr>
          <w:p w14:paraId="3E0CD25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tcBorders>
          </w:tcPr>
          <w:p w14:paraId="0CEDE1C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tcBorders>
          </w:tcPr>
          <w:p w14:paraId="1CFB02B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7" w:type="dxa"/>
            <w:tcBorders>
              <w:top w:val="single" w:sz="4" w:space="0" w:color="auto"/>
              <w:left w:val="single" w:sz="4" w:space="0" w:color="auto"/>
            </w:tcBorders>
          </w:tcPr>
          <w:p w14:paraId="64A39FC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tcBorders>
          </w:tcPr>
          <w:p w14:paraId="7436C20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4" w:type="dxa"/>
            <w:tcBorders>
              <w:top w:val="single" w:sz="4" w:space="0" w:color="auto"/>
              <w:left w:val="single" w:sz="4" w:space="0" w:color="auto"/>
            </w:tcBorders>
          </w:tcPr>
          <w:p w14:paraId="73BE941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tcBorders>
          </w:tcPr>
          <w:p w14:paraId="7143C81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4" w:type="dxa"/>
            <w:tcBorders>
              <w:top w:val="single" w:sz="4" w:space="0" w:color="auto"/>
              <w:left w:val="single" w:sz="4" w:space="0" w:color="auto"/>
            </w:tcBorders>
          </w:tcPr>
          <w:p w14:paraId="5060DC5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tcBorders>
          </w:tcPr>
          <w:p w14:paraId="2EF1234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tcBorders>
          </w:tcPr>
          <w:p w14:paraId="73E2834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tcBorders>
          </w:tcPr>
          <w:p w14:paraId="53D30EA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tcBorders>
          </w:tcPr>
          <w:p w14:paraId="62E566F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93" w:type="dxa"/>
            <w:tcBorders>
              <w:top w:val="single" w:sz="4" w:space="0" w:color="auto"/>
              <w:left w:val="single" w:sz="4" w:space="0" w:color="auto"/>
              <w:right w:val="single" w:sz="4" w:space="0" w:color="auto"/>
            </w:tcBorders>
          </w:tcPr>
          <w:p w14:paraId="15AB22B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230DCC30" w14:textId="77777777">
        <w:tc>
          <w:tcPr>
            <w:tcW w:w="108" w:type="dxa"/>
            <w:tcBorders>
              <w:top w:val="single" w:sz="4" w:space="0" w:color="auto"/>
              <w:left w:val="single" w:sz="4" w:space="0" w:color="auto"/>
            </w:tcBorders>
          </w:tcPr>
          <w:p w14:paraId="033E57A5"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8</w:t>
            </w:r>
          </w:p>
        </w:tc>
        <w:tc>
          <w:tcPr>
            <w:tcW w:w="1992" w:type="dxa"/>
            <w:tcBorders>
              <w:top w:val="single" w:sz="4" w:space="0" w:color="auto"/>
              <w:left w:val="single" w:sz="4" w:space="0" w:color="auto"/>
            </w:tcBorders>
          </w:tcPr>
          <w:p w14:paraId="09B4F5D7" w14:textId="77777777" w:rsidR="006561BA" w:rsidRDefault="005B4ED6">
            <w:pPr>
              <w:widowControl w:val="0"/>
              <w:shd w:val="clear" w:color="auto" w:fill="auto"/>
              <w:spacing w:after="0" w:line="240" w:lineRule="auto"/>
              <w:ind w:left="240"/>
              <w:rPr>
                <w:rFonts w:ascii="Helvetica" w:eastAsia="Arial Unicode MS" w:hAnsi="Helvetica" w:cs="Times New Roman"/>
                <w:color w:val="000000" w:themeColor="text1"/>
                <w:sz w:val="6"/>
                <w:szCs w:val="6"/>
              </w:rPr>
            </w:pPr>
            <w:r>
              <w:rPr>
                <w:rFonts w:ascii="Helvetica" w:hAnsi="Helvetica"/>
                <w:color w:val="000000" w:themeColor="text1"/>
                <w:sz w:val="6"/>
              </w:rPr>
              <w:t>Gjeldsinstrumenter</w:t>
            </w:r>
          </w:p>
        </w:tc>
        <w:tc>
          <w:tcPr>
            <w:tcW w:w="216" w:type="dxa"/>
            <w:tcBorders>
              <w:top w:val="single" w:sz="4" w:space="0" w:color="auto"/>
              <w:left w:val="single" w:sz="4" w:space="0" w:color="auto"/>
            </w:tcBorders>
          </w:tcPr>
          <w:p w14:paraId="7E47E29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1" w:type="dxa"/>
            <w:tcBorders>
              <w:top w:val="single" w:sz="4" w:space="0" w:color="auto"/>
              <w:left w:val="single" w:sz="4" w:space="0" w:color="auto"/>
            </w:tcBorders>
          </w:tcPr>
          <w:p w14:paraId="26CDA9F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9" w:type="dxa"/>
            <w:tcBorders>
              <w:top w:val="single" w:sz="4" w:space="0" w:color="auto"/>
              <w:left w:val="single" w:sz="4" w:space="0" w:color="auto"/>
            </w:tcBorders>
          </w:tcPr>
          <w:p w14:paraId="3AFF67D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tcBorders>
          </w:tcPr>
          <w:p w14:paraId="733F728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tcBorders>
          </w:tcPr>
          <w:p w14:paraId="6419938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tcBorders>
          </w:tcPr>
          <w:p w14:paraId="443ED22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6" w:type="dxa"/>
            <w:tcBorders>
              <w:top w:val="single" w:sz="4" w:space="0" w:color="auto"/>
              <w:left w:val="single" w:sz="4" w:space="0" w:color="auto"/>
            </w:tcBorders>
          </w:tcPr>
          <w:p w14:paraId="3911100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3" w:type="dxa"/>
            <w:tcBorders>
              <w:top w:val="single" w:sz="4" w:space="0" w:color="auto"/>
              <w:left w:val="single" w:sz="4" w:space="0" w:color="auto"/>
            </w:tcBorders>
          </w:tcPr>
          <w:p w14:paraId="5EA027D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tcBorders>
          </w:tcPr>
          <w:p w14:paraId="4126554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2" w:type="dxa"/>
            <w:tcBorders>
              <w:top w:val="single" w:sz="4" w:space="0" w:color="auto"/>
              <w:left w:val="single" w:sz="4" w:space="0" w:color="auto"/>
            </w:tcBorders>
          </w:tcPr>
          <w:p w14:paraId="76A15DC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tcBorders>
          </w:tcPr>
          <w:p w14:paraId="279779D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2" w:type="dxa"/>
            <w:tcBorders>
              <w:top w:val="single" w:sz="4" w:space="0" w:color="auto"/>
              <w:left w:val="single" w:sz="4" w:space="0" w:color="auto"/>
            </w:tcBorders>
          </w:tcPr>
          <w:p w14:paraId="792A830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tcBorders>
          </w:tcPr>
          <w:p w14:paraId="6EF16D6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4" w:type="dxa"/>
            <w:tcBorders>
              <w:top w:val="single" w:sz="4" w:space="0" w:color="auto"/>
              <w:left w:val="single" w:sz="4" w:space="0" w:color="auto"/>
            </w:tcBorders>
          </w:tcPr>
          <w:p w14:paraId="3EFFA5F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1" w:type="dxa"/>
            <w:tcBorders>
              <w:top w:val="single" w:sz="4" w:space="0" w:color="auto"/>
              <w:left w:val="single" w:sz="4" w:space="0" w:color="auto"/>
            </w:tcBorders>
          </w:tcPr>
          <w:p w14:paraId="708EFDE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tcBorders>
          </w:tcPr>
          <w:p w14:paraId="38B036F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39" w:type="dxa"/>
            <w:tcBorders>
              <w:top w:val="single" w:sz="4" w:space="0" w:color="auto"/>
              <w:left w:val="single" w:sz="4" w:space="0" w:color="auto"/>
            </w:tcBorders>
          </w:tcPr>
          <w:p w14:paraId="5B39F28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tcBorders>
          </w:tcPr>
          <w:p w14:paraId="591B145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tcBorders>
          </w:tcPr>
          <w:p w14:paraId="7EE836E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7" w:type="dxa"/>
            <w:tcBorders>
              <w:top w:val="single" w:sz="4" w:space="0" w:color="auto"/>
              <w:left w:val="single" w:sz="4" w:space="0" w:color="auto"/>
            </w:tcBorders>
          </w:tcPr>
          <w:p w14:paraId="2D8E377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tcBorders>
          </w:tcPr>
          <w:p w14:paraId="43F1E4D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4" w:type="dxa"/>
            <w:tcBorders>
              <w:top w:val="single" w:sz="4" w:space="0" w:color="auto"/>
              <w:left w:val="single" w:sz="4" w:space="0" w:color="auto"/>
            </w:tcBorders>
          </w:tcPr>
          <w:p w14:paraId="31E59A9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tcBorders>
          </w:tcPr>
          <w:p w14:paraId="5068AEC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4" w:type="dxa"/>
            <w:tcBorders>
              <w:top w:val="single" w:sz="4" w:space="0" w:color="auto"/>
              <w:left w:val="single" w:sz="4" w:space="0" w:color="auto"/>
            </w:tcBorders>
          </w:tcPr>
          <w:p w14:paraId="5B06084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tcBorders>
          </w:tcPr>
          <w:p w14:paraId="1178223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tcBorders>
          </w:tcPr>
          <w:p w14:paraId="48C4BDE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tcBorders>
          </w:tcPr>
          <w:p w14:paraId="3EB6AD7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tcBorders>
          </w:tcPr>
          <w:p w14:paraId="0129D14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93" w:type="dxa"/>
            <w:tcBorders>
              <w:top w:val="single" w:sz="4" w:space="0" w:color="auto"/>
              <w:left w:val="single" w:sz="4" w:space="0" w:color="auto"/>
              <w:right w:val="single" w:sz="4" w:space="0" w:color="auto"/>
            </w:tcBorders>
          </w:tcPr>
          <w:p w14:paraId="3C4E4DD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5744CFCD" w14:textId="77777777">
        <w:tc>
          <w:tcPr>
            <w:tcW w:w="108" w:type="dxa"/>
            <w:tcBorders>
              <w:top w:val="single" w:sz="4" w:space="0" w:color="auto"/>
              <w:left w:val="single" w:sz="4" w:space="0" w:color="auto"/>
              <w:bottom w:val="single" w:sz="4" w:space="0" w:color="auto"/>
            </w:tcBorders>
          </w:tcPr>
          <w:p w14:paraId="635F1584"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9</w:t>
            </w:r>
          </w:p>
        </w:tc>
        <w:tc>
          <w:tcPr>
            <w:tcW w:w="1992" w:type="dxa"/>
            <w:tcBorders>
              <w:top w:val="single" w:sz="4" w:space="0" w:color="auto"/>
              <w:left w:val="single" w:sz="4" w:space="0" w:color="auto"/>
              <w:bottom w:val="single" w:sz="4" w:space="0" w:color="auto"/>
            </w:tcBorders>
          </w:tcPr>
          <w:p w14:paraId="51C95F1D" w14:textId="77777777" w:rsidR="006561BA" w:rsidRDefault="005B4ED6">
            <w:pPr>
              <w:widowControl w:val="0"/>
              <w:shd w:val="clear" w:color="auto" w:fill="auto"/>
              <w:spacing w:after="0" w:line="240" w:lineRule="auto"/>
              <w:ind w:left="240"/>
              <w:rPr>
                <w:rFonts w:ascii="Helvetica" w:eastAsia="Arial Unicode MS" w:hAnsi="Helvetica" w:cs="Times New Roman"/>
                <w:color w:val="000000" w:themeColor="text1"/>
                <w:sz w:val="6"/>
                <w:szCs w:val="6"/>
              </w:rPr>
            </w:pPr>
            <w:r>
              <w:rPr>
                <w:rFonts w:ascii="Helvetica" w:hAnsi="Helvetica"/>
                <w:color w:val="000000" w:themeColor="text1"/>
                <w:sz w:val="6"/>
              </w:rPr>
              <w:t>Egenkapitalinstrumenter</w:t>
            </w:r>
          </w:p>
        </w:tc>
        <w:tc>
          <w:tcPr>
            <w:tcW w:w="216" w:type="dxa"/>
            <w:tcBorders>
              <w:top w:val="single" w:sz="4" w:space="0" w:color="auto"/>
              <w:left w:val="single" w:sz="4" w:space="0" w:color="auto"/>
              <w:bottom w:val="single" w:sz="4" w:space="0" w:color="auto"/>
            </w:tcBorders>
          </w:tcPr>
          <w:p w14:paraId="3552C68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1" w:type="dxa"/>
            <w:tcBorders>
              <w:top w:val="single" w:sz="4" w:space="0" w:color="auto"/>
              <w:left w:val="single" w:sz="4" w:space="0" w:color="auto"/>
              <w:bottom w:val="single" w:sz="4" w:space="0" w:color="auto"/>
            </w:tcBorders>
          </w:tcPr>
          <w:p w14:paraId="439737E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9" w:type="dxa"/>
            <w:tcBorders>
              <w:top w:val="single" w:sz="4" w:space="0" w:color="auto"/>
              <w:left w:val="single" w:sz="4" w:space="0" w:color="auto"/>
              <w:bottom w:val="single" w:sz="4" w:space="0" w:color="auto"/>
            </w:tcBorders>
          </w:tcPr>
          <w:p w14:paraId="1B498E3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bottom w:val="single" w:sz="4" w:space="0" w:color="auto"/>
            </w:tcBorders>
          </w:tcPr>
          <w:p w14:paraId="6FE184E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bottom w:val="single" w:sz="4" w:space="0" w:color="auto"/>
            </w:tcBorders>
          </w:tcPr>
          <w:p w14:paraId="39B4A99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bottom w:val="single" w:sz="4" w:space="0" w:color="auto"/>
            </w:tcBorders>
          </w:tcPr>
          <w:p w14:paraId="62DA387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6" w:type="dxa"/>
            <w:tcBorders>
              <w:top w:val="single" w:sz="4" w:space="0" w:color="auto"/>
              <w:left w:val="single" w:sz="4" w:space="0" w:color="auto"/>
              <w:bottom w:val="single" w:sz="4" w:space="0" w:color="auto"/>
            </w:tcBorders>
          </w:tcPr>
          <w:p w14:paraId="68B4A1F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3" w:type="dxa"/>
            <w:tcBorders>
              <w:top w:val="single" w:sz="4" w:space="0" w:color="auto"/>
              <w:left w:val="single" w:sz="4" w:space="0" w:color="auto"/>
              <w:bottom w:val="single" w:sz="4" w:space="0" w:color="auto"/>
            </w:tcBorders>
          </w:tcPr>
          <w:p w14:paraId="74B75DA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bottom w:val="single" w:sz="4" w:space="0" w:color="auto"/>
            </w:tcBorders>
          </w:tcPr>
          <w:p w14:paraId="3991658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2" w:type="dxa"/>
            <w:tcBorders>
              <w:top w:val="single" w:sz="4" w:space="0" w:color="auto"/>
              <w:left w:val="single" w:sz="4" w:space="0" w:color="auto"/>
              <w:bottom w:val="single" w:sz="4" w:space="0" w:color="auto"/>
            </w:tcBorders>
          </w:tcPr>
          <w:p w14:paraId="19EFCD6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bottom w:val="single" w:sz="4" w:space="0" w:color="auto"/>
            </w:tcBorders>
          </w:tcPr>
          <w:p w14:paraId="1FA86D9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2" w:type="dxa"/>
            <w:tcBorders>
              <w:top w:val="single" w:sz="4" w:space="0" w:color="auto"/>
              <w:left w:val="single" w:sz="4" w:space="0" w:color="auto"/>
              <w:bottom w:val="single" w:sz="4" w:space="0" w:color="auto"/>
            </w:tcBorders>
          </w:tcPr>
          <w:p w14:paraId="1B8227E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bottom w:val="single" w:sz="4" w:space="0" w:color="auto"/>
            </w:tcBorders>
          </w:tcPr>
          <w:p w14:paraId="6B40C8A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4" w:type="dxa"/>
            <w:tcBorders>
              <w:top w:val="single" w:sz="4" w:space="0" w:color="auto"/>
              <w:left w:val="single" w:sz="4" w:space="0" w:color="auto"/>
              <w:bottom w:val="single" w:sz="4" w:space="0" w:color="auto"/>
            </w:tcBorders>
          </w:tcPr>
          <w:p w14:paraId="2F5E169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1" w:type="dxa"/>
            <w:tcBorders>
              <w:top w:val="single" w:sz="4" w:space="0" w:color="auto"/>
              <w:left w:val="single" w:sz="4" w:space="0" w:color="auto"/>
              <w:bottom w:val="single" w:sz="4" w:space="0" w:color="auto"/>
            </w:tcBorders>
          </w:tcPr>
          <w:p w14:paraId="4796798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bottom w:val="single" w:sz="4" w:space="0" w:color="auto"/>
            </w:tcBorders>
          </w:tcPr>
          <w:p w14:paraId="72C1DB0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39" w:type="dxa"/>
            <w:tcBorders>
              <w:top w:val="single" w:sz="4" w:space="0" w:color="auto"/>
              <w:left w:val="single" w:sz="4" w:space="0" w:color="auto"/>
              <w:bottom w:val="single" w:sz="4" w:space="0" w:color="auto"/>
            </w:tcBorders>
          </w:tcPr>
          <w:p w14:paraId="11FBABD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bottom w:val="single" w:sz="4" w:space="0" w:color="auto"/>
            </w:tcBorders>
          </w:tcPr>
          <w:p w14:paraId="7EFB9E3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bottom w:val="single" w:sz="4" w:space="0" w:color="auto"/>
            </w:tcBorders>
          </w:tcPr>
          <w:p w14:paraId="15F242C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7" w:type="dxa"/>
            <w:tcBorders>
              <w:top w:val="single" w:sz="4" w:space="0" w:color="auto"/>
              <w:left w:val="single" w:sz="4" w:space="0" w:color="auto"/>
              <w:bottom w:val="single" w:sz="4" w:space="0" w:color="auto"/>
            </w:tcBorders>
          </w:tcPr>
          <w:p w14:paraId="09F9BEF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bottom w:val="single" w:sz="4" w:space="0" w:color="auto"/>
            </w:tcBorders>
          </w:tcPr>
          <w:p w14:paraId="4D1FD34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4" w:type="dxa"/>
            <w:tcBorders>
              <w:top w:val="single" w:sz="4" w:space="0" w:color="auto"/>
              <w:left w:val="single" w:sz="4" w:space="0" w:color="auto"/>
              <w:bottom w:val="single" w:sz="4" w:space="0" w:color="auto"/>
            </w:tcBorders>
          </w:tcPr>
          <w:p w14:paraId="58FA65C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bottom w:val="single" w:sz="4" w:space="0" w:color="auto"/>
            </w:tcBorders>
          </w:tcPr>
          <w:p w14:paraId="191F423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4" w:type="dxa"/>
            <w:tcBorders>
              <w:top w:val="single" w:sz="4" w:space="0" w:color="auto"/>
              <w:left w:val="single" w:sz="4" w:space="0" w:color="auto"/>
              <w:bottom w:val="single" w:sz="4" w:space="0" w:color="auto"/>
            </w:tcBorders>
          </w:tcPr>
          <w:p w14:paraId="5F3CC17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bottom w:val="single" w:sz="4" w:space="0" w:color="auto"/>
            </w:tcBorders>
          </w:tcPr>
          <w:p w14:paraId="38D647D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bottom w:val="single" w:sz="4" w:space="0" w:color="auto"/>
            </w:tcBorders>
          </w:tcPr>
          <w:p w14:paraId="0F8E247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bottom w:val="single" w:sz="4" w:space="0" w:color="auto"/>
            </w:tcBorders>
          </w:tcPr>
          <w:p w14:paraId="5B19FFF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bottom w:val="single" w:sz="4" w:space="0" w:color="auto"/>
            </w:tcBorders>
          </w:tcPr>
          <w:p w14:paraId="0F7E521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93" w:type="dxa"/>
            <w:tcBorders>
              <w:top w:val="single" w:sz="4" w:space="0" w:color="auto"/>
              <w:left w:val="single" w:sz="4" w:space="0" w:color="auto"/>
              <w:bottom w:val="single" w:sz="4" w:space="0" w:color="auto"/>
              <w:right w:val="single" w:sz="4" w:space="0" w:color="auto"/>
            </w:tcBorders>
          </w:tcPr>
          <w:p w14:paraId="7C1F491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3A520D1D" w14:textId="77777777">
        <w:tc>
          <w:tcPr>
            <w:tcW w:w="108" w:type="dxa"/>
            <w:tcBorders>
              <w:top w:val="single" w:sz="4" w:space="0" w:color="auto"/>
              <w:left w:val="single" w:sz="4" w:space="0" w:color="auto"/>
              <w:bottom w:val="single" w:sz="2" w:space="0" w:color="auto"/>
            </w:tcBorders>
          </w:tcPr>
          <w:p w14:paraId="05E4C577"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10</w:t>
            </w:r>
          </w:p>
        </w:tc>
        <w:tc>
          <w:tcPr>
            <w:tcW w:w="1992" w:type="dxa"/>
            <w:tcBorders>
              <w:top w:val="single" w:sz="4" w:space="0" w:color="auto"/>
              <w:left w:val="single" w:sz="4" w:space="0" w:color="auto"/>
              <w:bottom w:val="single" w:sz="2" w:space="0" w:color="auto"/>
            </w:tcBorders>
          </w:tcPr>
          <w:p w14:paraId="34781F7A" w14:textId="77777777" w:rsidR="006561BA" w:rsidRDefault="005B4ED6">
            <w:pPr>
              <w:widowControl w:val="0"/>
              <w:shd w:val="clear" w:color="auto" w:fill="auto"/>
              <w:spacing w:after="0" w:line="240" w:lineRule="auto"/>
              <w:ind w:left="200"/>
              <w:rPr>
                <w:rFonts w:ascii="Helvetica" w:eastAsia="Arial Unicode MS" w:hAnsi="Helvetica" w:cs="Times New Roman"/>
                <w:color w:val="000000" w:themeColor="text1"/>
                <w:sz w:val="6"/>
                <w:szCs w:val="6"/>
              </w:rPr>
            </w:pPr>
            <w:r>
              <w:rPr>
                <w:rFonts w:ascii="Helvetica" w:hAnsi="Helvetica"/>
                <w:color w:val="000000" w:themeColor="text1"/>
                <w:sz w:val="6"/>
              </w:rPr>
              <w:t>hvorav kapitalforvaltere</w:t>
            </w:r>
          </w:p>
        </w:tc>
        <w:tc>
          <w:tcPr>
            <w:tcW w:w="216" w:type="dxa"/>
            <w:tcBorders>
              <w:top w:val="single" w:sz="4" w:space="0" w:color="auto"/>
              <w:left w:val="single" w:sz="4" w:space="0" w:color="auto"/>
              <w:bottom w:val="single" w:sz="2" w:space="0" w:color="auto"/>
            </w:tcBorders>
          </w:tcPr>
          <w:p w14:paraId="7F5C5C7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1" w:type="dxa"/>
            <w:tcBorders>
              <w:top w:val="single" w:sz="4" w:space="0" w:color="auto"/>
              <w:left w:val="single" w:sz="4" w:space="0" w:color="auto"/>
              <w:bottom w:val="single" w:sz="2" w:space="0" w:color="auto"/>
            </w:tcBorders>
          </w:tcPr>
          <w:p w14:paraId="1554369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9" w:type="dxa"/>
            <w:tcBorders>
              <w:top w:val="single" w:sz="4" w:space="0" w:color="auto"/>
              <w:left w:val="single" w:sz="4" w:space="0" w:color="auto"/>
              <w:bottom w:val="single" w:sz="2" w:space="0" w:color="auto"/>
            </w:tcBorders>
          </w:tcPr>
          <w:p w14:paraId="5ABE43E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bottom w:val="single" w:sz="2" w:space="0" w:color="auto"/>
            </w:tcBorders>
          </w:tcPr>
          <w:p w14:paraId="503FA59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bottom w:val="single" w:sz="2" w:space="0" w:color="auto"/>
            </w:tcBorders>
          </w:tcPr>
          <w:p w14:paraId="34C1A12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bottom w:val="single" w:sz="2" w:space="0" w:color="auto"/>
            </w:tcBorders>
          </w:tcPr>
          <w:p w14:paraId="0350073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6" w:type="dxa"/>
            <w:tcBorders>
              <w:top w:val="single" w:sz="4" w:space="0" w:color="auto"/>
              <w:left w:val="single" w:sz="4" w:space="0" w:color="auto"/>
              <w:bottom w:val="single" w:sz="2" w:space="0" w:color="auto"/>
            </w:tcBorders>
          </w:tcPr>
          <w:p w14:paraId="3031D61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3" w:type="dxa"/>
            <w:tcBorders>
              <w:top w:val="single" w:sz="4" w:space="0" w:color="auto"/>
              <w:left w:val="single" w:sz="4" w:space="0" w:color="auto"/>
              <w:bottom w:val="single" w:sz="2" w:space="0" w:color="auto"/>
            </w:tcBorders>
          </w:tcPr>
          <w:p w14:paraId="02EE4B8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bottom w:val="single" w:sz="2" w:space="0" w:color="auto"/>
            </w:tcBorders>
          </w:tcPr>
          <w:p w14:paraId="0AD371F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2" w:type="dxa"/>
            <w:tcBorders>
              <w:top w:val="single" w:sz="4" w:space="0" w:color="auto"/>
              <w:left w:val="single" w:sz="4" w:space="0" w:color="auto"/>
              <w:bottom w:val="single" w:sz="2" w:space="0" w:color="auto"/>
            </w:tcBorders>
          </w:tcPr>
          <w:p w14:paraId="6CC83CB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bottom w:val="single" w:sz="2" w:space="0" w:color="auto"/>
            </w:tcBorders>
          </w:tcPr>
          <w:p w14:paraId="58CD3DF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2" w:type="dxa"/>
            <w:tcBorders>
              <w:top w:val="single" w:sz="4" w:space="0" w:color="auto"/>
              <w:left w:val="single" w:sz="4" w:space="0" w:color="auto"/>
              <w:bottom w:val="single" w:sz="2" w:space="0" w:color="auto"/>
            </w:tcBorders>
          </w:tcPr>
          <w:p w14:paraId="54CEF80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bottom w:val="single" w:sz="2" w:space="0" w:color="auto"/>
            </w:tcBorders>
          </w:tcPr>
          <w:p w14:paraId="230E39C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4" w:type="dxa"/>
            <w:tcBorders>
              <w:top w:val="single" w:sz="4" w:space="0" w:color="auto"/>
              <w:left w:val="single" w:sz="4" w:space="0" w:color="auto"/>
              <w:bottom w:val="single" w:sz="2" w:space="0" w:color="auto"/>
            </w:tcBorders>
          </w:tcPr>
          <w:p w14:paraId="73CC40B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1" w:type="dxa"/>
            <w:tcBorders>
              <w:top w:val="single" w:sz="4" w:space="0" w:color="auto"/>
              <w:left w:val="single" w:sz="4" w:space="0" w:color="auto"/>
              <w:bottom w:val="single" w:sz="2" w:space="0" w:color="auto"/>
            </w:tcBorders>
          </w:tcPr>
          <w:p w14:paraId="7DDBA51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bottom w:val="single" w:sz="2" w:space="0" w:color="auto"/>
            </w:tcBorders>
          </w:tcPr>
          <w:p w14:paraId="6E5A347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39" w:type="dxa"/>
            <w:tcBorders>
              <w:top w:val="single" w:sz="4" w:space="0" w:color="auto"/>
              <w:left w:val="single" w:sz="4" w:space="0" w:color="auto"/>
              <w:bottom w:val="single" w:sz="2" w:space="0" w:color="auto"/>
            </w:tcBorders>
          </w:tcPr>
          <w:p w14:paraId="159B4E2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bottom w:val="single" w:sz="2" w:space="0" w:color="auto"/>
            </w:tcBorders>
          </w:tcPr>
          <w:p w14:paraId="0211624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bottom w:val="single" w:sz="2" w:space="0" w:color="auto"/>
            </w:tcBorders>
          </w:tcPr>
          <w:p w14:paraId="6FF3A47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7" w:type="dxa"/>
            <w:tcBorders>
              <w:top w:val="single" w:sz="4" w:space="0" w:color="auto"/>
              <w:left w:val="single" w:sz="4" w:space="0" w:color="auto"/>
              <w:bottom w:val="single" w:sz="2" w:space="0" w:color="auto"/>
            </w:tcBorders>
          </w:tcPr>
          <w:p w14:paraId="70F95A4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bottom w:val="single" w:sz="2" w:space="0" w:color="auto"/>
            </w:tcBorders>
          </w:tcPr>
          <w:p w14:paraId="290A0A2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4" w:type="dxa"/>
            <w:tcBorders>
              <w:top w:val="single" w:sz="4" w:space="0" w:color="auto"/>
              <w:left w:val="single" w:sz="4" w:space="0" w:color="auto"/>
              <w:bottom w:val="single" w:sz="2" w:space="0" w:color="auto"/>
            </w:tcBorders>
          </w:tcPr>
          <w:p w14:paraId="0133327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bottom w:val="single" w:sz="2" w:space="0" w:color="auto"/>
            </w:tcBorders>
          </w:tcPr>
          <w:p w14:paraId="2424961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4" w:type="dxa"/>
            <w:tcBorders>
              <w:top w:val="single" w:sz="4" w:space="0" w:color="auto"/>
              <w:left w:val="single" w:sz="4" w:space="0" w:color="auto"/>
              <w:bottom w:val="single" w:sz="2" w:space="0" w:color="auto"/>
            </w:tcBorders>
          </w:tcPr>
          <w:p w14:paraId="2A9FB2E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bottom w:val="single" w:sz="2" w:space="0" w:color="auto"/>
            </w:tcBorders>
          </w:tcPr>
          <w:p w14:paraId="4B9FEBA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bottom w:val="single" w:sz="2" w:space="0" w:color="auto"/>
            </w:tcBorders>
          </w:tcPr>
          <w:p w14:paraId="512034A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bottom w:val="single" w:sz="2" w:space="0" w:color="auto"/>
            </w:tcBorders>
          </w:tcPr>
          <w:p w14:paraId="5B91D29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bottom w:val="single" w:sz="2" w:space="0" w:color="auto"/>
            </w:tcBorders>
          </w:tcPr>
          <w:p w14:paraId="044A0EA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93" w:type="dxa"/>
            <w:tcBorders>
              <w:top w:val="single" w:sz="4" w:space="0" w:color="auto"/>
              <w:left w:val="single" w:sz="4" w:space="0" w:color="auto"/>
              <w:bottom w:val="single" w:sz="2" w:space="0" w:color="auto"/>
              <w:right w:val="single" w:sz="4" w:space="0" w:color="auto"/>
            </w:tcBorders>
          </w:tcPr>
          <w:p w14:paraId="2821F8C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7088DDEF" w14:textId="77777777">
        <w:tc>
          <w:tcPr>
            <w:tcW w:w="108" w:type="dxa"/>
            <w:tcBorders>
              <w:top w:val="single" w:sz="2" w:space="0" w:color="auto"/>
              <w:left w:val="single" w:sz="4" w:space="0" w:color="auto"/>
            </w:tcBorders>
          </w:tcPr>
          <w:p w14:paraId="78CDE00F"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11</w:t>
            </w:r>
          </w:p>
        </w:tc>
        <w:tc>
          <w:tcPr>
            <w:tcW w:w="1992" w:type="dxa"/>
            <w:tcBorders>
              <w:top w:val="single" w:sz="2" w:space="0" w:color="auto"/>
              <w:left w:val="single" w:sz="4" w:space="0" w:color="auto"/>
            </w:tcBorders>
          </w:tcPr>
          <w:p w14:paraId="0D198714" w14:textId="77777777" w:rsidR="006561BA" w:rsidRDefault="005B4ED6">
            <w:pPr>
              <w:widowControl w:val="0"/>
              <w:shd w:val="clear" w:color="auto" w:fill="auto"/>
              <w:spacing w:after="0" w:line="240" w:lineRule="auto"/>
              <w:ind w:left="240"/>
              <w:rPr>
                <w:rFonts w:ascii="Helvetica" w:eastAsia="Arial Unicode MS" w:hAnsi="Helvetica" w:cs="Times New Roman"/>
                <w:color w:val="000000" w:themeColor="text1"/>
                <w:sz w:val="6"/>
                <w:szCs w:val="6"/>
              </w:rPr>
            </w:pPr>
            <w:r>
              <w:rPr>
                <w:rFonts w:ascii="Helvetica" w:hAnsi="Helvetica"/>
                <w:color w:val="000000" w:themeColor="text1"/>
                <w:sz w:val="6"/>
              </w:rPr>
              <w:t>Gjeldsinstrumenter</w:t>
            </w:r>
          </w:p>
        </w:tc>
        <w:tc>
          <w:tcPr>
            <w:tcW w:w="216" w:type="dxa"/>
            <w:tcBorders>
              <w:top w:val="single" w:sz="2" w:space="0" w:color="auto"/>
              <w:left w:val="single" w:sz="4" w:space="0" w:color="auto"/>
            </w:tcBorders>
          </w:tcPr>
          <w:p w14:paraId="275FC5D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1" w:type="dxa"/>
            <w:tcBorders>
              <w:top w:val="single" w:sz="2" w:space="0" w:color="auto"/>
              <w:left w:val="single" w:sz="4" w:space="0" w:color="auto"/>
            </w:tcBorders>
          </w:tcPr>
          <w:p w14:paraId="203565B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9" w:type="dxa"/>
            <w:tcBorders>
              <w:top w:val="single" w:sz="2" w:space="0" w:color="auto"/>
              <w:left w:val="single" w:sz="4" w:space="0" w:color="auto"/>
            </w:tcBorders>
          </w:tcPr>
          <w:p w14:paraId="3B8C793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2" w:space="0" w:color="auto"/>
              <w:left w:val="single" w:sz="4" w:space="0" w:color="auto"/>
            </w:tcBorders>
          </w:tcPr>
          <w:p w14:paraId="1714363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2" w:space="0" w:color="auto"/>
              <w:left w:val="single" w:sz="4" w:space="0" w:color="auto"/>
            </w:tcBorders>
          </w:tcPr>
          <w:p w14:paraId="7D7084A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2" w:space="0" w:color="auto"/>
              <w:left w:val="single" w:sz="4" w:space="0" w:color="auto"/>
            </w:tcBorders>
          </w:tcPr>
          <w:p w14:paraId="609E5FC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6" w:type="dxa"/>
            <w:tcBorders>
              <w:top w:val="single" w:sz="2" w:space="0" w:color="auto"/>
              <w:left w:val="single" w:sz="4" w:space="0" w:color="auto"/>
            </w:tcBorders>
          </w:tcPr>
          <w:p w14:paraId="36CE00A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3" w:type="dxa"/>
            <w:tcBorders>
              <w:top w:val="single" w:sz="2" w:space="0" w:color="auto"/>
              <w:left w:val="single" w:sz="4" w:space="0" w:color="auto"/>
            </w:tcBorders>
          </w:tcPr>
          <w:p w14:paraId="17FB136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2" w:space="0" w:color="auto"/>
              <w:left w:val="single" w:sz="4" w:space="0" w:color="auto"/>
            </w:tcBorders>
          </w:tcPr>
          <w:p w14:paraId="16252ED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2" w:type="dxa"/>
            <w:tcBorders>
              <w:top w:val="single" w:sz="2" w:space="0" w:color="auto"/>
              <w:left w:val="single" w:sz="4" w:space="0" w:color="auto"/>
            </w:tcBorders>
          </w:tcPr>
          <w:p w14:paraId="2B83AE3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2" w:space="0" w:color="auto"/>
              <w:left w:val="single" w:sz="4" w:space="0" w:color="auto"/>
            </w:tcBorders>
          </w:tcPr>
          <w:p w14:paraId="75BEB32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2" w:type="dxa"/>
            <w:tcBorders>
              <w:top w:val="single" w:sz="2" w:space="0" w:color="auto"/>
              <w:left w:val="single" w:sz="4" w:space="0" w:color="auto"/>
            </w:tcBorders>
          </w:tcPr>
          <w:p w14:paraId="2FEC4DE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2" w:space="0" w:color="auto"/>
              <w:left w:val="single" w:sz="4" w:space="0" w:color="auto"/>
            </w:tcBorders>
          </w:tcPr>
          <w:p w14:paraId="1774F29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4" w:type="dxa"/>
            <w:tcBorders>
              <w:top w:val="single" w:sz="2" w:space="0" w:color="auto"/>
              <w:left w:val="single" w:sz="4" w:space="0" w:color="auto"/>
            </w:tcBorders>
          </w:tcPr>
          <w:p w14:paraId="7C8AEDE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1" w:type="dxa"/>
            <w:tcBorders>
              <w:top w:val="single" w:sz="2" w:space="0" w:color="auto"/>
              <w:left w:val="single" w:sz="4" w:space="0" w:color="auto"/>
            </w:tcBorders>
          </w:tcPr>
          <w:p w14:paraId="78D6BF5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2" w:space="0" w:color="auto"/>
              <w:left w:val="single" w:sz="4" w:space="0" w:color="auto"/>
            </w:tcBorders>
          </w:tcPr>
          <w:p w14:paraId="61766A0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39" w:type="dxa"/>
            <w:tcBorders>
              <w:top w:val="single" w:sz="2" w:space="0" w:color="auto"/>
              <w:left w:val="single" w:sz="4" w:space="0" w:color="auto"/>
            </w:tcBorders>
          </w:tcPr>
          <w:p w14:paraId="16CD91A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2" w:space="0" w:color="auto"/>
              <w:left w:val="single" w:sz="4" w:space="0" w:color="auto"/>
            </w:tcBorders>
          </w:tcPr>
          <w:p w14:paraId="6758FBE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2" w:space="0" w:color="auto"/>
              <w:left w:val="single" w:sz="4" w:space="0" w:color="auto"/>
            </w:tcBorders>
          </w:tcPr>
          <w:p w14:paraId="5BC5612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7" w:type="dxa"/>
            <w:tcBorders>
              <w:top w:val="single" w:sz="2" w:space="0" w:color="auto"/>
              <w:left w:val="single" w:sz="4" w:space="0" w:color="auto"/>
            </w:tcBorders>
          </w:tcPr>
          <w:p w14:paraId="3E2DF06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2" w:space="0" w:color="auto"/>
              <w:left w:val="single" w:sz="4" w:space="0" w:color="auto"/>
            </w:tcBorders>
          </w:tcPr>
          <w:p w14:paraId="036BD52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4" w:type="dxa"/>
            <w:tcBorders>
              <w:top w:val="single" w:sz="2" w:space="0" w:color="auto"/>
              <w:left w:val="single" w:sz="4" w:space="0" w:color="auto"/>
            </w:tcBorders>
          </w:tcPr>
          <w:p w14:paraId="5ADD85D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2" w:space="0" w:color="auto"/>
              <w:left w:val="single" w:sz="4" w:space="0" w:color="auto"/>
            </w:tcBorders>
          </w:tcPr>
          <w:p w14:paraId="7F659F2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4" w:type="dxa"/>
            <w:tcBorders>
              <w:top w:val="single" w:sz="2" w:space="0" w:color="auto"/>
              <w:left w:val="single" w:sz="4" w:space="0" w:color="auto"/>
            </w:tcBorders>
          </w:tcPr>
          <w:p w14:paraId="78970DD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2" w:space="0" w:color="auto"/>
              <w:left w:val="single" w:sz="4" w:space="0" w:color="auto"/>
            </w:tcBorders>
          </w:tcPr>
          <w:p w14:paraId="55FA71A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2" w:space="0" w:color="auto"/>
              <w:left w:val="single" w:sz="4" w:space="0" w:color="auto"/>
            </w:tcBorders>
          </w:tcPr>
          <w:p w14:paraId="03E611D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2" w:space="0" w:color="auto"/>
              <w:left w:val="single" w:sz="4" w:space="0" w:color="auto"/>
            </w:tcBorders>
          </w:tcPr>
          <w:p w14:paraId="2C46611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2" w:space="0" w:color="auto"/>
              <w:left w:val="single" w:sz="4" w:space="0" w:color="auto"/>
            </w:tcBorders>
          </w:tcPr>
          <w:p w14:paraId="23073A8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93" w:type="dxa"/>
            <w:tcBorders>
              <w:top w:val="single" w:sz="2" w:space="0" w:color="auto"/>
              <w:left w:val="single" w:sz="4" w:space="0" w:color="auto"/>
              <w:right w:val="single" w:sz="4" w:space="0" w:color="auto"/>
            </w:tcBorders>
          </w:tcPr>
          <w:p w14:paraId="675CDCA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2B0907B8" w14:textId="77777777">
        <w:tc>
          <w:tcPr>
            <w:tcW w:w="108" w:type="dxa"/>
            <w:tcBorders>
              <w:top w:val="single" w:sz="4" w:space="0" w:color="auto"/>
              <w:left w:val="single" w:sz="4" w:space="0" w:color="auto"/>
              <w:bottom w:val="single" w:sz="4" w:space="0" w:color="auto"/>
            </w:tcBorders>
          </w:tcPr>
          <w:p w14:paraId="4DB704AC"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12</w:t>
            </w:r>
          </w:p>
        </w:tc>
        <w:tc>
          <w:tcPr>
            <w:tcW w:w="1992" w:type="dxa"/>
            <w:tcBorders>
              <w:top w:val="single" w:sz="4" w:space="0" w:color="auto"/>
              <w:left w:val="single" w:sz="4" w:space="0" w:color="auto"/>
              <w:bottom w:val="single" w:sz="4" w:space="0" w:color="auto"/>
            </w:tcBorders>
          </w:tcPr>
          <w:p w14:paraId="013B153A" w14:textId="77777777" w:rsidR="006561BA" w:rsidRDefault="005B4ED6">
            <w:pPr>
              <w:widowControl w:val="0"/>
              <w:shd w:val="clear" w:color="auto" w:fill="auto"/>
              <w:spacing w:after="0" w:line="240" w:lineRule="auto"/>
              <w:ind w:left="240"/>
              <w:rPr>
                <w:rFonts w:ascii="Helvetica" w:eastAsia="Arial Unicode MS" w:hAnsi="Helvetica" w:cs="Times New Roman"/>
                <w:color w:val="000000" w:themeColor="text1"/>
                <w:sz w:val="6"/>
                <w:szCs w:val="6"/>
              </w:rPr>
            </w:pPr>
            <w:r>
              <w:rPr>
                <w:rFonts w:ascii="Helvetica" w:hAnsi="Helvetica"/>
                <w:color w:val="000000" w:themeColor="text1"/>
                <w:sz w:val="6"/>
              </w:rPr>
              <w:t>Egenkapitalinstrumenter</w:t>
            </w:r>
          </w:p>
        </w:tc>
        <w:tc>
          <w:tcPr>
            <w:tcW w:w="216" w:type="dxa"/>
            <w:tcBorders>
              <w:top w:val="single" w:sz="4" w:space="0" w:color="auto"/>
              <w:left w:val="single" w:sz="4" w:space="0" w:color="auto"/>
              <w:bottom w:val="single" w:sz="4" w:space="0" w:color="auto"/>
            </w:tcBorders>
          </w:tcPr>
          <w:p w14:paraId="52AA044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1" w:type="dxa"/>
            <w:tcBorders>
              <w:top w:val="single" w:sz="4" w:space="0" w:color="auto"/>
              <w:left w:val="single" w:sz="4" w:space="0" w:color="auto"/>
              <w:bottom w:val="single" w:sz="4" w:space="0" w:color="auto"/>
            </w:tcBorders>
          </w:tcPr>
          <w:p w14:paraId="5F72BFB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9" w:type="dxa"/>
            <w:tcBorders>
              <w:top w:val="single" w:sz="4" w:space="0" w:color="auto"/>
              <w:left w:val="single" w:sz="4" w:space="0" w:color="auto"/>
              <w:bottom w:val="single" w:sz="4" w:space="0" w:color="auto"/>
            </w:tcBorders>
          </w:tcPr>
          <w:p w14:paraId="5032471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bottom w:val="single" w:sz="4" w:space="0" w:color="auto"/>
            </w:tcBorders>
          </w:tcPr>
          <w:p w14:paraId="33DF301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bottom w:val="single" w:sz="4" w:space="0" w:color="auto"/>
            </w:tcBorders>
          </w:tcPr>
          <w:p w14:paraId="144525F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bottom w:val="single" w:sz="4" w:space="0" w:color="auto"/>
            </w:tcBorders>
          </w:tcPr>
          <w:p w14:paraId="3BCF653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6" w:type="dxa"/>
            <w:tcBorders>
              <w:top w:val="single" w:sz="4" w:space="0" w:color="auto"/>
              <w:left w:val="single" w:sz="4" w:space="0" w:color="auto"/>
              <w:bottom w:val="single" w:sz="4" w:space="0" w:color="auto"/>
            </w:tcBorders>
          </w:tcPr>
          <w:p w14:paraId="1E6B47C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3" w:type="dxa"/>
            <w:tcBorders>
              <w:top w:val="single" w:sz="4" w:space="0" w:color="auto"/>
              <w:left w:val="single" w:sz="4" w:space="0" w:color="auto"/>
              <w:bottom w:val="single" w:sz="4" w:space="0" w:color="auto"/>
            </w:tcBorders>
          </w:tcPr>
          <w:p w14:paraId="14AC56E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bottom w:val="single" w:sz="4" w:space="0" w:color="auto"/>
            </w:tcBorders>
          </w:tcPr>
          <w:p w14:paraId="328DF68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2" w:type="dxa"/>
            <w:tcBorders>
              <w:top w:val="single" w:sz="4" w:space="0" w:color="auto"/>
              <w:left w:val="single" w:sz="4" w:space="0" w:color="auto"/>
              <w:bottom w:val="single" w:sz="4" w:space="0" w:color="auto"/>
            </w:tcBorders>
          </w:tcPr>
          <w:p w14:paraId="0B37EF3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bottom w:val="single" w:sz="4" w:space="0" w:color="auto"/>
            </w:tcBorders>
          </w:tcPr>
          <w:p w14:paraId="7BDFE33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2" w:type="dxa"/>
            <w:tcBorders>
              <w:top w:val="single" w:sz="4" w:space="0" w:color="auto"/>
              <w:left w:val="single" w:sz="4" w:space="0" w:color="auto"/>
              <w:bottom w:val="single" w:sz="4" w:space="0" w:color="auto"/>
            </w:tcBorders>
          </w:tcPr>
          <w:p w14:paraId="571CD2E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bottom w:val="single" w:sz="4" w:space="0" w:color="auto"/>
            </w:tcBorders>
          </w:tcPr>
          <w:p w14:paraId="07D4CA6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4" w:type="dxa"/>
            <w:tcBorders>
              <w:top w:val="single" w:sz="4" w:space="0" w:color="auto"/>
              <w:left w:val="single" w:sz="4" w:space="0" w:color="auto"/>
              <w:bottom w:val="single" w:sz="4" w:space="0" w:color="auto"/>
            </w:tcBorders>
          </w:tcPr>
          <w:p w14:paraId="0965B86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1" w:type="dxa"/>
            <w:tcBorders>
              <w:top w:val="single" w:sz="4" w:space="0" w:color="auto"/>
              <w:left w:val="single" w:sz="4" w:space="0" w:color="auto"/>
              <w:bottom w:val="single" w:sz="4" w:space="0" w:color="auto"/>
            </w:tcBorders>
          </w:tcPr>
          <w:p w14:paraId="1E5EDE0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bottom w:val="single" w:sz="4" w:space="0" w:color="auto"/>
            </w:tcBorders>
          </w:tcPr>
          <w:p w14:paraId="3878209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39" w:type="dxa"/>
            <w:tcBorders>
              <w:top w:val="single" w:sz="4" w:space="0" w:color="auto"/>
              <w:left w:val="single" w:sz="4" w:space="0" w:color="auto"/>
              <w:bottom w:val="single" w:sz="4" w:space="0" w:color="auto"/>
            </w:tcBorders>
          </w:tcPr>
          <w:p w14:paraId="7385F75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bottom w:val="single" w:sz="4" w:space="0" w:color="auto"/>
            </w:tcBorders>
          </w:tcPr>
          <w:p w14:paraId="756FE72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bottom w:val="single" w:sz="4" w:space="0" w:color="auto"/>
            </w:tcBorders>
          </w:tcPr>
          <w:p w14:paraId="6103B5E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7" w:type="dxa"/>
            <w:tcBorders>
              <w:top w:val="single" w:sz="4" w:space="0" w:color="auto"/>
              <w:left w:val="single" w:sz="4" w:space="0" w:color="auto"/>
              <w:bottom w:val="single" w:sz="4" w:space="0" w:color="auto"/>
            </w:tcBorders>
          </w:tcPr>
          <w:p w14:paraId="66657C8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bottom w:val="single" w:sz="4" w:space="0" w:color="auto"/>
            </w:tcBorders>
          </w:tcPr>
          <w:p w14:paraId="5E67810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4" w:type="dxa"/>
            <w:tcBorders>
              <w:top w:val="single" w:sz="4" w:space="0" w:color="auto"/>
              <w:left w:val="single" w:sz="4" w:space="0" w:color="auto"/>
              <w:bottom w:val="single" w:sz="4" w:space="0" w:color="auto"/>
            </w:tcBorders>
          </w:tcPr>
          <w:p w14:paraId="43CD49D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bottom w:val="single" w:sz="4" w:space="0" w:color="auto"/>
            </w:tcBorders>
          </w:tcPr>
          <w:p w14:paraId="3596EA0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4" w:type="dxa"/>
            <w:tcBorders>
              <w:top w:val="single" w:sz="4" w:space="0" w:color="auto"/>
              <w:left w:val="single" w:sz="4" w:space="0" w:color="auto"/>
              <w:bottom w:val="single" w:sz="4" w:space="0" w:color="auto"/>
            </w:tcBorders>
          </w:tcPr>
          <w:p w14:paraId="799D642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bottom w:val="single" w:sz="4" w:space="0" w:color="auto"/>
            </w:tcBorders>
          </w:tcPr>
          <w:p w14:paraId="261873A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bottom w:val="single" w:sz="4" w:space="0" w:color="auto"/>
            </w:tcBorders>
          </w:tcPr>
          <w:p w14:paraId="1318AF5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bottom w:val="single" w:sz="4" w:space="0" w:color="auto"/>
            </w:tcBorders>
          </w:tcPr>
          <w:p w14:paraId="350BA43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bottom w:val="single" w:sz="4" w:space="0" w:color="auto"/>
            </w:tcBorders>
          </w:tcPr>
          <w:p w14:paraId="1AA8161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93" w:type="dxa"/>
            <w:tcBorders>
              <w:top w:val="single" w:sz="4" w:space="0" w:color="auto"/>
              <w:left w:val="single" w:sz="4" w:space="0" w:color="auto"/>
              <w:bottom w:val="single" w:sz="4" w:space="0" w:color="auto"/>
              <w:right w:val="single" w:sz="4" w:space="0" w:color="auto"/>
            </w:tcBorders>
          </w:tcPr>
          <w:p w14:paraId="3D63719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7E81F679" w14:textId="77777777">
        <w:tc>
          <w:tcPr>
            <w:tcW w:w="108" w:type="dxa"/>
            <w:tcBorders>
              <w:top w:val="single" w:sz="4" w:space="0" w:color="auto"/>
              <w:left w:val="single" w:sz="4" w:space="0" w:color="auto"/>
              <w:bottom w:val="single" w:sz="2" w:space="0" w:color="auto"/>
            </w:tcBorders>
          </w:tcPr>
          <w:p w14:paraId="1479E63A"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13</w:t>
            </w:r>
          </w:p>
        </w:tc>
        <w:tc>
          <w:tcPr>
            <w:tcW w:w="1992" w:type="dxa"/>
            <w:tcBorders>
              <w:top w:val="single" w:sz="4" w:space="0" w:color="auto"/>
              <w:left w:val="single" w:sz="4" w:space="0" w:color="auto"/>
              <w:bottom w:val="single" w:sz="2" w:space="0" w:color="auto"/>
            </w:tcBorders>
          </w:tcPr>
          <w:p w14:paraId="23820462" w14:textId="77777777" w:rsidR="006561BA" w:rsidRDefault="005B4ED6">
            <w:pPr>
              <w:widowControl w:val="0"/>
              <w:shd w:val="clear" w:color="auto" w:fill="auto"/>
              <w:spacing w:after="0" w:line="240" w:lineRule="auto"/>
              <w:ind w:left="200"/>
              <w:rPr>
                <w:rFonts w:ascii="Helvetica" w:eastAsia="Arial Unicode MS" w:hAnsi="Helvetica" w:cs="Times New Roman"/>
                <w:color w:val="000000" w:themeColor="text1"/>
                <w:sz w:val="6"/>
                <w:szCs w:val="6"/>
              </w:rPr>
            </w:pPr>
            <w:r>
              <w:rPr>
                <w:rFonts w:ascii="Helvetica" w:hAnsi="Helvetica"/>
                <w:color w:val="000000" w:themeColor="text1"/>
                <w:sz w:val="6"/>
              </w:rPr>
              <w:t>hvorav forsikringsforetak</w:t>
            </w:r>
          </w:p>
        </w:tc>
        <w:tc>
          <w:tcPr>
            <w:tcW w:w="216" w:type="dxa"/>
            <w:tcBorders>
              <w:top w:val="single" w:sz="4" w:space="0" w:color="auto"/>
              <w:left w:val="single" w:sz="4" w:space="0" w:color="auto"/>
              <w:bottom w:val="single" w:sz="2" w:space="0" w:color="auto"/>
            </w:tcBorders>
          </w:tcPr>
          <w:p w14:paraId="4DEED7C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1" w:type="dxa"/>
            <w:tcBorders>
              <w:top w:val="single" w:sz="4" w:space="0" w:color="auto"/>
              <w:left w:val="single" w:sz="4" w:space="0" w:color="auto"/>
              <w:bottom w:val="single" w:sz="2" w:space="0" w:color="auto"/>
            </w:tcBorders>
          </w:tcPr>
          <w:p w14:paraId="5ED7CAC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9" w:type="dxa"/>
            <w:tcBorders>
              <w:top w:val="single" w:sz="4" w:space="0" w:color="auto"/>
              <w:left w:val="single" w:sz="4" w:space="0" w:color="auto"/>
              <w:bottom w:val="single" w:sz="2" w:space="0" w:color="auto"/>
            </w:tcBorders>
          </w:tcPr>
          <w:p w14:paraId="178AE89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bottom w:val="single" w:sz="2" w:space="0" w:color="auto"/>
            </w:tcBorders>
          </w:tcPr>
          <w:p w14:paraId="4709E0D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bottom w:val="single" w:sz="2" w:space="0" w:color="auto"/>
            </w:tcBorders>
          </w:tcPr>
          <w:p w14:paraId="6102845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bottom w:val="single" w:sz="2" w:space="0" w:color="auto"/>
            </w:tcBorders>
          </w:tcPr>
          <w:p w14:paraId="389C1CA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6" w:type="dxa"/>
            <w:tcBorders>
              <w:top w:val="single" w:sz="4" w:space="0" w:color="auto"/>
              <w:left w:val="single" w:sz="4" w:space="0" w:color="auto"/>
              <w:bottom w:val="single" w:sz="2" w:space="0" w:color="auto"/>
            </w:tcBorders>
          </w:tcPr>
          <w:p w14:paraId="58050A9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3" w:type="dxa"/>
            <w:tcBorders>
              <w:top w:val="single" w:sz="4" w:space="0" w:color="auto"/>
              <w:left w:val="single" w:sz="4" w:space="0" w:color="auto"/>
              <w:bottom w:val="single" w:sz="2" w:space="0" w:color="auto"/>
            </w:tcBorders>
          </w:tcPr>
          <w:p w14:paraId="5474125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bottom w:val="single" w:sz="2" w:space="0" w:color="auto"/>
            </w:tcBorders>
          </w:tcPr>
          <w:p w14:paraId="03F0FC3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2" w:type="dxa"/>
            <w:tcBorders>
              <w:top w:val="single" w:sz="4" w:space="0" w:color="auto"/>
              <w:left w:val="single" w:sz="4" w:space="0" w:color="auto"/>
              <w:bottom w:val="single" w:sz="2" w:space="0" w:color="auto"/>
            </w:tcBorders>
          </w:tcPr>
          <w:p w14:paraId="4F0769B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bottom w:val="single" w:sz="2" w:space="0" w:color="auto"/>
            </w:tcBorders>
          </w:tcPr>
          <w:p w14:paraId="6A6F9F1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2" w:type="dxa"/>
            <w:tcBorders>
              <w:top w:val="single" w:sz="4" w:space="0" w:color="auto"/>
              <w:left w:val="single" w:sz="4" w:space="0" w:color="auto"/>
              <w:bottom w:val="single" w:sz="2" w:space="0" w:color="auto"/>
            </w:tcBorders>
          </w:tcPr>
          <w:p w14:paraId="5737411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bottom w:val="single" w:sz="2" w:space="0" w:color="auto"/>
            </w:tcBorders>
          </w:tcPr>
          <w:p w14:paraId="7DC92CB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4" w:type="dxa"/>
            <w:tcBorders>
              <w:top w:val="single" w:sz="4" w:space="0" w:color="auto"/>
              <w:left w:val="single" w:sz="4" w:space="0" w:color="auto"/>
              <w:bottom w:val="single" w:sz="2" w:space="0" w:color="auto"/>
            </w:tcBorders>
          </w:tcPr>
          <w:p w14:paraId="29C4E05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1" w:type="dxa"/>
            <w:tcBorders>
              <w:top w:val="single" w:sz="4" w:space="0" w:color="auto"/>
              <w:left w:val="single" w:sz="4" w:space="0" w:color="auto"/>
              <w:bottom w:val="single" w:sz="2" w:space="0" w:color="auto"/>
            </w:tcBorders>
          </w:tcPr>
          <w:p w14:paraId="00DE3EB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bottom w:val="single" w:sz="2" w:space="0" w:color="auto"/>
            </w:tcBorders>
          </w:tcPr>
          <w:p w14:paraId="6918002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39" w:type="dxa"/>
            <w:tcBorders>
              <w:top w:val="single" w:sz="4" w:space="0" w:color="auto"/>
              <w:left w:val="single" w:sz="4" w:space="0" w:color="auto"/>
              <w:bottom w:val="single" w:sz="2" w:space="0" w:color="auto"/>
            </w:tcBorders>
          </w:tcPr>
          <w:p w14:paraId="58CA37E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bottom w:val="single" w:sz="2" w:space="0" w:color="auto"/>
            </w:tcBorders>
          </w:tcPr>
          <w:p w14:paraId="60CE66A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bottom w:val="single" w:sz="2" w:space="0" w:color="auto"/>
            </w:tcBorders>
          </w:tcPr>
          <w:p w14:paraId="69455CE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7" w:type="dxa"/>
            <w:tcBorders>
              <w:top w:val="single" w:sz="4" w:space="0" w:color="auto"/>
              <w:left w:val="single" w:sz="4" w:space="0" w:color="auto"/>
              <w:bottom w:val="single" w:sz="2" w:space="0" w:color="auto"/>
            </w:tcBorders>
          </w:tcPr>
          <w:p w14:paraId="2508E46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bottom w:val="single" w:sz="2" w:space="0" w:color="auto"/>
            </w:tcBorders>
          </w:tcPr>
          <w:p w14:paraId="612F13E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4" w:type="dxa"/>
            <w:tcBorders>
              <w:top w:val="single" w:sz="4" w:space="0" w:color="auto"/>
              <w:left w:val="single" w:sz="4" w:space="0" w:color="auto"/>
              <w:bottom w:val="single" w:sz="2" w:space="0" w:color="auto"/>
            </w:tcBorders>
          </w:tcPr>
          <w:p w14:paraId="661AEED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bottom w:val="single" w:sz="2" w:space="0" w:color="auto"/>
            </w:tcBorders>
          </w:tcPr>
          <w:p w14:paraId="32488B5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4" w:type="dxa"/>
            <w:tcBorders>
              <w:top w:val="single" w:sz="4" w:space="0" w:color="auto"/>
              <w:left w:val="single" w:sz="4" w:space="0" w:color="auto"/>
              <w:bottom w:val="single" w:sz="2" w:space="0" w:color="auto"/>
            </w:tcBorders>
          </w:tcPr>
          <w:p w14:paraId="2417348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bottom w:val="single" w:sz="2" w:space="0" w:color="auto"/>
            </w:tcBorders>
          </w:tcPr>
          <w:p w14:paraId="2947967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bottom w:val="single" w:sz="2" w:space="0" w:color="auto"/>
            </w:tcBorders>
          </w:tcPr>
          <w:p w14:paraId="3A63D7C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bottom w:val="single" w:sz="2" w:space="0" w:color="auto"/>
            </w:tcBorders>
          </w:tcPr>
          <w:p w14:paraId="235AB06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bottom w:val="single" w:sz="2" w:space="0" w:color="auto"/>
            </w:tcBorders>
          </w:tcPr>
          <w:p w14:paraId="692D826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93" w:type="dxa"/>
            <w:tcBorders>
              <w:top w:val="single" w:sz="4" w:space="0" w:color="auto"/>
              <w:left w:val="single" w:sz="4" w:space="0" w:color="auto"/>
              <w:bottom w:val="single" w:sz="2" w:space="0" w:color="auto"/>
              <w:right w:val="single" w:sz="4" w:space="0" w:color="auto"/>
            </w:tcBorders>
          </w:tcPr>
          <w:p w14:paraId="11F1A63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24208615" w14:textId="77777777">
        <w:tc>
          <w:tcPr>
            <w:tcW w:w="108" w:type="dxa"/>
            <w:tcBorders>
              <w:top w:val="single" w:sz="2" w:space="0" w:color="auto"/>
              <w:left w:val="single" w:sz="4" w:space="0" w:color="auto"/>
            </w:tcBorders>
          </w:tcPr>
          <w:p w14:paraId="5AD97B23"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14</w:t>
            </w:r>
          </w:p>
        </w:tc>
        <w:tc>
          <w:tcPr>
            <w:tcW w:w="1992" w:type="dxa"/>
            <w:tcBorders>
              <w:top w:val="single" w:sz="2" w:space="0" w:color="auto"/>
              <w:left w:val="single" w:sz="4" w:space="0" w:color="auto"/>
            </w:tcBorders>
          </w:tcPr>
          <w:p w14:paraId="6455DF3B" w14:textId="77777777" w:rsidR="006561BA" w:rsidRDefault="005B4ED6">
            <w:pPr>
              <w:widowControl w:val="0"/>
              <w:shd w:val="clear" w:color="auto" w:fill="auto"/>
              <w:spacing w:after="0" w:line="240" w:lineRule="auto"/>
              <w:ind w:left="240"/>
              <w:rPr>
                <w:rFonts w:ascii="Helvetica" w:eastAsia="Arial Unicode MS" w:hAnsi="Helvetica" w:cs="Times New Roman"/>
                <w:color w:val="000000" w:themeColor="text1"/>
                <w:sz w:val="6"/>
                <w:szCs w:val="6"/>
              </w:rPr>
            </w:pPr>
            <w:r>
              <w:rPr>
                <w:rFonts w:ascii="Helvetica" w:hAnsi="Helvetica"/>
                <w:color w:val="000000" w:themeColor="text1"/>
                <w:sz w:val="6"/>
              </w:rPr>
              <w:t>Gjeldsinstrumenter</w:t>
            </w:r>
          </w:p>
        </w:tc>
        <w:tc>
          <w:tcPr>
            <w:tcW w:w="216" w:type="dxa"/>
            <w:tcBorders>
              <w:top w:val="single" w:sz="2" w:space="0" w:color="auto"/>
              <w:left w:val="single" w:sz="4" w:space="0" w:color="auto"/>
            </w:tcBorders>
          </w:tcPr>
          <w:p w14:paraId="4D61BB6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1" w:type="dxa"/>
            <w:tcBorders>
              <w:top w:val="single" w:sz="2" w:space="0" w:color="auto"/>
              <w:left w:val="single" w:sz="4" w:space="0" w:color="auto"/>
            </w:tcBorders>
          </w:tcPr>
          <w:p w14:paraId="395EC6D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9" w:type="dxa"/>
            <w:tcBorders>
              <w:top w:val="single" w:sz="2" w:space="0" w:color="auto"/>
              <w:left w:val="single" w:sz="4" w:space="0" w:color="auto"/>
            </w:tcBorders>
          </w:tcPr>
          <w:p w14:paraId="03FE117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2" w:space="0" w:color="auto"/>
              <w:left w:val="single" w:sz="4" w:space="0" w:color="auto"/>
            </w:tcBorders>
          </w:tcPr>
          <w:p w14:paraId="44F0343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2" w:space="0" w:color="auto"/>
              <w:left w:val="single" w:sz="4" w:space="0" w:color="auto"/>
            </w:tcBorders>
          </w:tcPr>
          <w:p w14:paraId="4E1091E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2" w:space="0" w:color="auto"/>
              <w:left w:val="single" w:sz="4" w:space="0" w:color="auto"/>
            </w:tcBorders>
          </w:tcPr>
          <w:p w14:paraId="6CBA15E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6" w:type="dxa"/>
            <w:tcBorders>
              <w:top w:val="single" w:sz="2" w:space="0" w:color="auto"/>
              <w:left w:val="single" w:sz="4" w:space="0" w:color="auto"/>
            </w:tcBorders>
          </w:tcPr>
          <w:p w14:paraId="39E7D1C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3" w:type="dxa"/>
            <w:tcBorders>
              <w:top w:val="single" w:sz="2" w:space="0" w:color="auto"/>
              <w:left w:val="single" w:sz="4" w:space="0" w:color="auto"/>
            </w:tcBorders>
          </w:tcPr>
          <w:p w14:paraId="0D66BCD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2" w:space="0" w:color="auto"/>
              <w:left w:val="single" w:sz="4" w:space="0" w:color="auto"/>
            </w:tcBorders>
          </w:tcPr>
          <w:p w14:paraId="39677B3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2" w:type="dxa"/>
            <w:tcBorders>
              <w:top w:val="single" w:sz="2" w:space="0" w:color="auto"/>
              <w:left w:val="single" w:sz="4" w:space="0" w:color="auto"/>
            </w:tcBorders>
          </w:tcPr>
          <w:p w14:paraId="51EFCC0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2" w:space="0" w:color="auto"/>
              <w:left w:val="single" w:sz="4" w:space="0" w:color="auto"/>
            </w:tcBorders>
          </w:tcPr>
          <w:p w14:paraId="7772B52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2" w:type="dxa"/>
            <w:tcBorders>
              <w:top w:val="single" w:sz="2" w:space="0" w:color="auto"/>
              <w:left w:val="single" w:sz="4" w:space="0" w:color="auto"/>
            </w:tcBorders>
          </w:tcPr>
          <w:p w14:paraId="069BA09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2" w:space="0" w:color="auto"/>
              <w:left w:val="single" w:sz="4" w:space="0" w:color="auto"/>
            </w:tcBorders>
          </w:tcPr>
          <w:p w14:paraId="1B6D509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4" w:type="dxa"/>
            <w:tcBorders>
              <w:top w:val="single" w:sz="2" w:space="0" w:color="auto"/>
              <w:left w:val="single" w:sz="4" w:space="0" w:color="auto"/>
            </w:tcBorders>
          </w:tcPr>
          <w:p w14:paraId="4BBAB65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1" w:type="dxa"/>
            <w:tcBorders>
              <w:top w:val="single" w:sz="2" w:space="0" w:color="auto"/>
              <w:left w:val="single" w:sz="4" w:space="0" w:color="auto"/>
            </w:tcBorders>
          </w:tcPr>
          <w:p w14:paraId="54F1BB2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2" w:space="0" w:color="auto"/>
              <w:left w:val="single" w:sz="4" w:space="0" w:color="auto"/>
            </w:tcBorders>
          </w:tcPr>
          <w:p w14:paraId="58A5FD6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39" w:type="dxa"/>
            <w:tcBorders>
              <w:top w:val="single" w:sz="2" w:space="0" w:color="auto"/>
              <w:left w:val="single" w:sz="4" w:space="0" w:color="auto"/>
            </w:tcBorders>
          </w:tcPr>
          <w:p w14:paraId="72F6DBF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2" w:space="0" w:color="auto"/>
              <w:left w:val="single" w:sz="4" w:space="0" w:color="auto"/>
            </w:tcBorders>
          </w:tcPr>
          <w:p w14:paraId="036074A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2" w:space="0" w:color="auto"/>
              <w:left w:val="single" w:sz="4" w:space="0" w:color="auto"/>
            </w:tcBorders>
          </w:tcPr>
          <w:p w14:paraId="26673AC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7" w:type="dxa"/>
            <w:tcBorders>
              <w:top w:val="single" w:sz="2" w:space="0" w:color="auto"/>
              <w:left w:val="single" w:sz="4" w:space="0" w:color="auto"/>
            </w:tcBorders>
          </w:tcPr>
          <w:p w14:paraId="61479D0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2" w:space="0" w:color="auto"/>
              <w:left w:val="single" w:sz="4" w:space="0" w:color="auto"/>
            </w:tcBorders>
          </w:tcPr>
          <w:p w14:paraId="13608F4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4" w:type="dxa"/>
            <w:tcBorders>
              <w:top w:val="single" w:sz="2" w:space="0" w:color="auto"/>
              <w:left w:val="single" w:sz="4" w:space="0" w:color="auto"/>
            </w:tcBorders>
          </w:tcPr>
          <w:p w14:paraId="7A65804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2" w:space="0" w:color="auto"/>
              <w:left w:val="single" w:sz="4" w:space="0" w:color="auto"/>
            </w:tcBorders>
          </w:tcPr>
          <w:p w14:paraId="22F78D7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4" w:type="dxa"/>
            <w:tcBorders>
              <w:top w:val="single" w:sz="2" w:space="0" w:color="auto"/>
              <w:left w:val="single" w:sz="4" w:space="0" w:color="auto"/>
            </w:tcBorders>
          </w:tcPr>
          <w:p w14:paraId="0DFC094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2" w:space="0" w:color="auto"/>
              <w:left w:val="single" w:sz="4" w:space="0" w:color="auto"/>
            </w:tcBorders>
          </w:tcPr>
          <w:p w14:paraId="18FD590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2" w:space="0" w:color="auto"/>
              <w:left w:val="single" w:sz="4" w:space="0" w:color="auto"/>
            </w:tcBorders>
          </w:tcPr>
          <w:p w14:paraId="4A4CAEF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2" w:space="0" w:color="auto"/>
              <w:left w:val="single" w:sz="4" w:space="0" w:color="auto"/>
            </w:tcBorders>
          </w:tcPr>
          <w:p w14:paraId="7AE122A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2" w:space="0" w:color="auto"/>
              <w:left w:val="single" w:sz="4" w:space="0" w:color="auto"/>
            </w:tcBorders>
          </w:tcPr>
          <w:p w14:paraId="29FA5FB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93" w:type="dxa"/>
            <w:tcBorders>
              <w:top w:val="single" w:sz="2" w:space="0" w:color="auto"/>
              <w:left w:val="single" w:sz="4" w:space="0" w:color="auto"/>
              <w:right w:val="single" w:sz="4" w:space="0" w:color="auto"/>
            </w:tcBorders>
          </w:tcPr>
          <w:p w14:paraId="0536D89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3F878EB2" w14:textId="77777777">
        <w:tc>
          <w:tcPr>
            <w:tcW w:w="108" w:type="dxa"/>
            <w:tcBorders>
              <w:top w:val="single" w:sz="4" w:space="0" w:color="auto"/>
              <w:left w:val="single" w:sz="4" w:space="0" w:color="auto"/>
              <w:bottom w:val="single" w:sz="4" w:space="0" w:color="auto"/>
            </w:tcBorders>
          </w:tcPr>
          <w:p w14:paraId="0EC489F5"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15</w:t>
            </w:r>
          </w:p>
        </w:tc>
        <w:tc>
          <w:tcPr>
            <w:tcW w:w="1992" w:type="dxa"/>
            <w:tcBorders>
              <w:top w:val="single" w:sz="4" w:space="0" w:color="auto"/>
              <w:left w:val="single" w:sz="4" w:space="0" w:color="auto"/>
              <w:bottom w:val="single" w:sz="4" w:space="0" w:color="auto"/>
            </w:tcBorders>
          </w:tcPr>
          <w:p w14:paraId="24ED2391" w14:textId="77777777" w:rsidR="006561BA" w:rsidRDefault="005B4ED6">
            <w:pPr>
              <w:widowControl w:val="0"/>
              <w:shd w:val="clear" w:color="auto" w:fill="auto"/>
              <w:spacing w:after="0" w:line="240" w:lineRule="auto"/>
              <w:ind w:left="240"/>
              <w:rPr>
                <w:rFonts w:ascii="Helvetica" w:eastAsia="Arial Unicode MS" w:hAnsi="Helvetica" w:cs="Times New Roman"/>
                <w:color w:val="000000" w:themeColor="text1"/>
                <w:sz w:val="6"/>
                <w:szCs w:val="6"/>
              </w:rPr>
            </w:pPr>
            <w:r>
              <w:rPr>
                <w:rFonts w:ascii="Helvetica" w:hAnsi="Helvetica"/>
                <w:color w:val="000000" w:themeColor="text1"/>
                <w:sz w:val="6"/>
              </w:rPr>
              <w:t>Egenkapitalinstrumenter</w:t>
            </w:r>
          </w:p>
        </w:tc>
        <w:tc>
          <w:tcPr>
            <w:tcW w:w="216" w:type="dxa"/>
            <w:tcBorders>
              <w:top w:val="single" w:sz="4" w:space="0" w:color="auto"/>
              <w:left w:val="single" w:sz="4" w:space="0" w:color="auto"/>
              <w:bottom w:val="single" w:sz="4" w:space="0" w:color="auto"/>
            </w:tcBorders>
          </w:tcPr>
          <w:p w14:paraId="387A47E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1" w:type="dxa"/>
            <w:tcBorders>
              <w:top w:val="single" w:sz="4" w:space="0" w:color="auto"/>
              <w:left w:val="single" w:sz="4" w:space="0" w:color="auto"/>
              <w:bottom w:val="single" w:sz="4" w:space="0" w:color="auto"/>
            </w:tcBorders>
          </w:tcPr>
          <w:p w14:paraId="4625DED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9" w:type="dxa"/>
            <w:tcBorders>
              <w:top w:val="single" w:sz="4" w:space="0" w:color="auto"/>
              <w:left w:val="single" w:sz="4" w:space="0" w:color="auto"/>
              <w:bottom w:val="single" w:sz="4" w:space="0" w:color="auto"/>
            </w:tcBorders>
          </w:tcPr>
          <w:p w14:paraId="35E270C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bottom w:val="single" w:sz="4" w:space="0" w:color="auto"/>
            </w:tcBorders>
          </w:tcPr>
          <w:p w14:paraId="4B0CCB7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bottom w:val="single" w:sz="4" w:space="0" w:color="auto"/>
            </w:tcBorders>
          </w:tcPr>
          <w:p w14:paraId="44E5AFC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bottom w:val="single" w:sz="4" w:space="0" w:color="auto"/>
            </w:tcBorders>
          </w:tcPr>
          <w:p w14:paraId="3A9442B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6" w:type="dxa"/>
            <w:tcBorders>
              <w:top w:val="single" w:sz="4" w:space="0" w:color="auto"/>
              <w:left w:val="single" w:sz="4" w:space="0" w:color="auto"/>
              <w:bottom w:val="single" w:sz="4" w:space="0" w:color="auto"/>
            </w:tcBorders>
          </w:tcPr>
          <w:p w14:paraId="64CFA0B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3" w:type="dxa"/>
            <w:tcBorders>
              <w:top w:val="single" w:sz="4" w:space="0" w:color="auto"/>
              <w:left w:val="single" w:sz="4" w:space="0" w:color="auto"/>
              <w:bottom w:val="single" w:sz="4" w:space="0" w:color="auto"/>
            </w:tcBorders>
          </w:tcPr>
          <w:p w14:paraId="0C55AEE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bottom w:val="single" w:sz="4" w:space="0" w:color="auto"/>
            </w:tcBorders>
          </w:tcPr>
          <w:p w14:paraId="4E248C2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2" w:type="dxa"/>
            <w:tcBorders>
              <w:top w:val="single" w:sz="4" w:space="0" w:color="auto"/>
              <w:left w:val="single" w:sz="4" w:space="0" w:color="auto"/>
              <w:bottom w:val="single" w:sz="4" w:space="0" w:color="auto"/>
            </w:tcBorders>
          </w:tcPr>
          <w:p w14:paraId="6B213D4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bottom w:val="single" w:sz="4" w:space="0" w:color="auto"/>
            </w:tcBorders>
          </w:tcPr>
          <w:p w14:paraId="7539DFA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2" w:type="dxa"/>
            <w:tcBorders>
              <w:top w:val="single" w:sz="4" w:space="0" w:color="auto"/>
              <w:left w:val="single" w:sz="4" w:space="0" w:color="auto"/>
              <w:bottom w:val="single" w:sz="4" w:space="0" w:color="auto"/>
            </w:tcBorders>
          </w:tcPr>
          <w:p w14:paraId="48470A4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bottom w:val="single" w:sz="4" w:space="0" w:color="auto"/>
            </w:tcBorders>
          </w:tcPr>
          <w:p w14:paraId="6862073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4" w:type="dxa"/>
            <w:tcBorders>
              <w:top w:val="single" w:sz="4" w:space="0" w:color="auto"/>
              <w:left w:val="single" w:sz="4" w:space="0" w:color="auto"/>
              <w:bottom w:val="single" w:sz="4" w:space="0" w:color="auto"/>
            </w:tcBorders>
          </w:tcPr>
          <w:p w14:paraId="13BB45B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1" w:type="dxa"/>
            <w:tcBorders>
              <w:top w:val="single" w:sz="4" w:space="0" w:color="auto"/>
              <w:left w:val="single" w:sz="4" w:space="0" w:color="auto"/>
              <w:bottom w:val="single" w:sz="4" w:space="0" w:color="auto"/>
            </w:tcBorders>
          </w:tcPr>
          <w:p w14:paraId="126D24B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bottom w:val="single" w:sz="4" w:space="0" w:color="auto"/>
            </w:tcBorders>
          </w:tcPr>
          <w:p w14:paraId="002647A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39" w:type="dxa"/>
            <w:tcBorders>
              <w:top w:val="single" w:sz="4" w:space="0" w:color="auto"/>
              <w:left w:val="single" w:sz="4" w:space="0" w:color="auto"/>
              <w:bottom w:val="single" w:sz="4" w:space="0" w:color="auto"/>
            </w:tcBorders>
          </w:tcPr>
          <w:p w14:paraId="57980DA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bottom w:val="single" w:sz="4" w:space="0" w:color="auto"/>
            </w:tcBorders>
          </w:tcPr>
          <w:p w14:paraId="7F51027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bottom w:val="single" w:sz="4" w:space="0" w:color="auto"/>
            </w:tcBorders>
          </w:tcPr>
          <w:p w14:paraId="61D91B1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7" w:type="dxa"/>
            <w:tcBorders>
              <w:top w:val="single" w:sz="4" w:space="0" w:color="auto"/>
              <w:left w:val="single" w:sz="4" w:space="0" w:color="auto"/>
              <w:bottom w:val="single" w:sz="4" w:space="0" w:color="auto"/>
            </w:tcBorders>
          </w:tcPr>
          <w:p w14:paraId="60F1760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bottom w:val="single" w:sz="4" w:space="0" w:color="auto"/>
            </w:tcBorders>
          </w:tcPr>
          <w:p w14:paraId="2A49021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4" w:type="dxa"/>
            <w:tcBorders>
              <w:top w:val="single" w:sz="4" w:space="0" w:color="auto"/>
              <w:left w:val="single" w:sz="4" w:space="0" w:color="auto"/>
              <w:bottom w:val="single" w:sz="4" w:space="0" w:color="auto"/>
            </w:tcBorders>
          </w:tcPr>
          <w:p w14:paraId="4DE2249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bottom w:val="single" w:sz="4" w:space="0" w:color="auto"/>
            </w:tcBorders>
          </w:tcPr>
          <w:p w14:paraId="77A3895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4" w:type="dxa"/>
            <w:tcBorders>
              <w:top w:val="single" w:sz="4" w:space="0" w:color="auto"/>
              <w:left w:val="single" w:sz="4" w:space="0" w:color="auto"/>
              <w:bottom w:val="single" w:sz="4" w:space="0" w:color="auto"/>
            </w:tcBorders>
          </w:tcPr>
          <w:p w14:paraId="57D843B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bottom w:val="single" w:sz="4" w:space="0" w:color="auto"/>
            </w:tcBorders>
          </w:tcPr>
          <w:p w14:paraId="1EAB9CF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bottom w:val="single" w:sz="4" w:space="0" w:color="auto"/>
            </w:tcBorders>
          </w:tcPr>
          <w:p w14:paraId="38B1EB3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bottom w:val="single" w:sz="4" w:space="0" w:color="auto"/>
            </w:tcBorders>
          </w:tcPr>
          <w:p w14:paraId="1C98EF3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bottom w:val="single" w:sz="4" w:space="0" w:color="auto"/>
            </w:tcBorders>
          </w:tcPr>
          <w:p w14:paraId="321D520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93" w:type="dxa"/>
            <w:tcBorders>
              <w:top w:val="single" w:sz="4" w:space="0" w:color="auto"/>
              <w:left w:val="single" w:sz="4" w:space="0" w:color="auto"/>
              <w:bottom w:val="single" w:sz="4" w:space="0" w:color="auto"/>
              <w:right w:val="single" w:sz="4" w:space="0" w:color="auto"/>
            </w:tcBorders>
          </w:tcPr>
          <w:p w14:paraId="29E133A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40B10EEB" w14:textId="77777777">
        <w:tc>
          <w:tcPr>
            <w:tcW w:w="108" w:type="dxa"/>
            <w:tcBorders>
              <w:top w:val="single" w:sz="4" w:space="0" w:color="auto"/>
              <w:left w:val="single" w:sz="4" w:space="0" w:color="auto"/>
              <w:bottom w:val="single" w:sz="2" w:space="0" w:color="auto"/>
            </w:tcBorders>
          </w:tcPr>
          <w:p w14:paraId="4E7A1443"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16</w:t>
            </w:r>
          </w:p>
        </w:tc>
        <w:tc>
          <w:tcPr>
            <w:tcW w:w="1992" w:type="dxa"/>
            <w:tcBorders>
              <w:top w:val="single" w:sz="4" w:space="0" w:color="auto"/>
              <w:left w:val="single" w:sz="4" w:space="0" w:color="auto"/>
              <w:bottom w:val="single" w:sz="2" w:space="0" w:color="auto"/>
            </w:tcBorders>
          </w:tcPr>
          <w:p w14:paraId="3C6820C3" w14:textId="77777777" w:rsidR="006561BA" w:rsidRDefault="005B4ED6">
            <w:pPr>
              <w:widowControl w:val="0"/>
              <w:shd w:val="clear" w:color="auto" w:fill="auto"/>
              <w:spacing w:after="0" w:line="240" w:lineRule="auto"/>
              <w:ind w:left="120"/>
              <w:rPr>
                <w:rFonts w:ascii="Helvetica" w:eastAsia="Arial Unicode MS" w:hAnsi="Helvetica" w:cs="Times New Roman"/>
                <w:color w:val="000000" w:themeColor="text1"/>
                <w:sz w:val="6"/>
                <w:szCs w:val="6"/>
              </w:rPr>
            </w:pPr>
            <w:r>
              <w:rPr>
                <w:rFonts w:ascii="Helvetica" w:hAnsi="Helvetica"/>
                <w:b/>
                <w:color w:val="000000" w:themeColor="text1"/>
                <w:sz w:val="6"/>
              </w:rPr>
              <w:t>Ikke-finansielle foretak</w:t>
            </w:r>
          </w:p>
        </w:tc>
        <w:tc>
          <w:tcPr>
            <w:tcW w:w="216" w:type="dxa"/>
            <w:tcBorders>
              <w:top w:val="single" w:sz="4" w:space="0" w:color="auto"/>
              <w:left w:val="single" w:sz="4" w:space="0" w:color="auto"/>
              <w:bottom w:val="single" w:sz="2" w:space="0" w:color="auto"/>
            </w:tcBorders>
          </w:tcPr>
          <w:p w14:paraId="01BDAB3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1" w:type="dxa"/>
            <w:tcBorders>
              <w:top w:val="single" w:sz="4" w:space="0" w:color="auto"/>
              <w:left w:val="single" w:sz="4" w:space="0" w:color="auto"/>
              <w:bottom w:val="single" w:sz="2" w:space="0" w:color="auto"/>
            </w:tcBorders>
          </w:tcPr>
          <w:p w14:paraId="645D1BD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9" w:type="dxa"/>
            <w:tcBorders>
              <w:top w:val="single" w:sz="4" w:space="0" w:color="auto"/>
              <w:left w:val="single" w:sz="4" w:space="0" w:color="auto"/>
              <w:bottom w:val="single" w:sz="2" w:space="0" w:color="auto"/>
            </w:tcBorders>
          </w:tcPr>
          <w:p w14:paraId="6300F06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bottom w:val="single" w:sz="2" w:space="0" w:color="auto"/>
            </w:tcBorders>
          </w:tcPr>
          <w:p w14:paraId="36146BB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bottom w:val="single" w:sz="2" w:space="0" w:color="auto"/>
            </w:tcBorders>
          </w:tcPr>
          <w:p w14:paraId="4875882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bottom w:val="single" w:sz="2" w:space="0" w:color="auto"/>
            </w:tcBorders>
          </w:tcPr>
          <w:p w14:paraId="5FF501E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6" w:type="dxa"/>
            <w:tcBorders>
              <w:top w:val="single" w:sz="4" w:space="0" w:color="auto"/>
              <w:left w:val="single" w:sz="4" w:space="0" w:color="auto"/>
              <w:bottom w:val="single" w:sz="2" w:space="0" w:color="auto"/>
            </w:tcBorders>
          </w:tcPr>
          <w:p w14:paraId="5555FA0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3" w:type="dxa"/>
            <w:tcBorders>
              <w:top w:val="single" w:sz="4" w:space="0" w:color="auto"/>
              <w:left w:val="single" w:sz="4" w:space="0" w:color="auto"/>
              <w:bottom w:val="single" w:sz="2" w:space="0" w:color="auto"/>
            </w:tcBorders>
          </w:tcPr>
          <w:p w14:paraId="5E6641A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bottom w:val="single" w:sz="2" w:space="0" w:color="auto"/>
            </w:tcBorders>
          </w:tcPr>
          <w:p w14:paraId="13F16C5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2" w:type="dxa"/>
            <w:tcBorders>
              <w:top w:val="single" w:sz="4" w:space="0" w:color="auto"/>
              <w:left w:val="single" w:sz="4" w:space="0" w:color="auto"/>
              <w:bottom w:val="single" w:sz="2" w:space="0" w:color="auto"/>
            </w:tcBorders>
          </w:tcPr>
          <w:p w14:paraId="2FD6738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bottom w:val="single" w:sz="2" w:space="0" w:color="auto"/>
            </w:tcBorders>
          </w:tcPr>
          <w:p w14:paraId="511A58F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2" w:type="dxa"/>
            <w:tcBorders>
              <w:top w:val="single" w:sz="4" w:space="0" w:color="auto"/>
              <w:left w:val="single" w:sz="4" w:space="0" w:color="auto"/>
              <w:bottom w:val="single" w:sz="2" w:space="0" w:color="auto"/>
            </w:tcBorders>
          </w:tcPr>
          <w:p w14:paraId="7AD480B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bottom w:val="single" w:sz="2" w:space="0" w:color="auto"/>
            </w:tcBorders>
          </w:tcPr>
          <w:p w14:paraId="455A6C5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4" w:type="dxa"/>
            <w:tcBorders>
              <w:top w:val="single" w:sz="4" w:space="0" w:color="auto"/>
              <w:left w:val="single" w:sz="4" w:space="0" w:color="auto"/>
              <w:bottom w:val="single" w:sz="2" w:space="0" w:color="auto"/>
            </w:tcBorders>
          </w:tcPr>
          <w:p w14:paraId="38FAC4E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1" w:type="dxa"/>
            <w:tcBorders>
              <w:top w:val="single" w:sz="4" w:space="0" w:color="auto"/>
              <w:left w:val="single" w:sz="4" w:space="0" w:color="auto"/>
              <w:bottom w:val="single" w:sz="2" w:space="0" w:color="auto"/>
            </w:tcBorders>
          </w:tcPr>
          <w:p w14:paraId="0761C65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bottom w:val="single" w:sz="2" w:space="0" w:color="auto"/>
            </w:tcBorders>
          </w:tcPr>
          <w:p w14:paraId="4D01BB7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39" w:type="dxa"/>
            <w:tcBorders>
              <w:top w:val="single" w:sz="4" w:space="0" w:color="auto"/>
              <w:left w:val="single" w:sz="4" w:space="0" w:color="auto"/>
              <w:bottom w:val="single" w:sz="2" w:space="0" w:color="auto"/>
            </w:tcBorders>
          </w:tcPr>
          <w:p w14:paraId="568173E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bottom w:val="single" w:sz="2" w:space="0" w:color="auto"/>
            </w:tcBorders>
          </w:tcPr>
          <w:p w14:paraId="3F47930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bottom w:val="single" w:sz="2" w:space="0" w:color="auto"/>
            </w:tcBorders>
          </w:tcPr>
          <w:p w14:paraId="37E0129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7" w:type="dxa"/>
            <w:tcBorders>
              <w:top w:val="single" w:sz="4" w:space="0" w:color="auto"/>
              <w:left w:val="single" w:sz="4" w:space="0" w:color="auto"/>
              <w:bottom w:val="single" w:sz="2" w:space="0" w:color="auto"/>
            </w:tcBorders>
          </w:tcPr>
          <w:p w14:paraId="2A34FFC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bottom w:val="single" w:sz="2" w:space="0" w:color="auto"/>
            </w:tcBorders>
          </w:tcPr>
          <w:p w14:paraId="4E45F4A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4" w:type="dxa"/>
            <w:tcBorders>
              <w:top w:val="single" w:sz="4" w:space="0" w:color="auto"/>
              <w:left w:val="single" w:sz="4" w:space="0" w:color="auto"/>
              <w:bottom w:val="single" w:sz="2" w:space="0" w:color="auto"/>
            </w:tcBorders>
          </w:tcPr>
          <w:p w14:paraId="6CC75F5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bottom w:val="single" w:sz="2" w:space="0" w:color="auto"/>
            </w:tcBorders>
          </w:tcPr>
          <w:p w14:paraId="37A1810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4" w:type="dxa"/>
            <w:tcBorders>
              <w:top w:val="single" w:sz="4" w:space="0" w:color="auto"/>
              <w:left w:val="single" w:sz="4" w:space="0" w:color="auto"/>
              <w:bottom w:val="single" w:sz="2" w:space="0" w:color="auto"/>
            </w:tcBorders>
          </w:tcPr>
          <w:p w14:paraId="49E0675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bottom w:val="single" w:sz="2" w:space="0" w:color="auto"/>
            </w:tcBorders>
          </w:tcPr>
          <w:p w14:paraId="40E8BD4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bottom w:val="single" w:sz="2" w:space="0" w:color="auto"/>
            </w:tcBorders>
          </w:tcPr>
          <w:p w14:paraId="3BB3579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bottom w:val="single" w:sz="2" w:space="0" w:color="auto"/>
            </w:tcBorders>
          </w:tcPr>
          <w:p w14:paraId="6A34182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bottom w:val="single" w:sz="2" w:space="0" w:color="auto"/>
            </w:tcBorders>
          </w:tcPr>
          <w:p w14:paraId="6B8FFB1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93" w:type="dxa"/>
            <w:tcBorders>
              <w:top w:val="single" w:sz="4" w:space="0" w:color="auto"/>
              <w:left w:val="single" w:sz="4" w:space="0" w:color="auto"/>
              <w:bottom w:val="single" w:sz="2" w:space="0" w:color="auto"/>
              <w:right w:val="single" w:sz="4" w:space="0" w:color="auto"/>
            </w:tcBorders>
          </w:tcPr>
          <w:p w14:paraId="0D9FA60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3DBCAAA1" w14:textId="77777777">
        <w:tc>
          <w:tcPr>
            <w:tcW w:w="108" w:type="dxa"/>
            <w:tcBorders>
              <w:top w:val="single" w:sz="2" w:space="0" w:color="auto"/>
              <w:left w:val="single" w:sz="4" w:space="0" w:color="auto"/>
            </w:tcBorders>
          </w:tcPr>
          <w:p w14:paraId="639625EF"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17</w:t>
            </w:r>
          </w:p>
        </w:tc>
        <w:tc>
          <w:tcPr>
            <w:tcW w:w="1992" w:type="dxa"/>
            <w:tcBorders>
              <w:top w:val="single" w:sz="2" w:space="0" w:color="auto"/>
              <w:left w:val="single" w:sz="4" w:space="0" w:color="auto"/>
            </w:tcBorders>
          </w:tcPr>
          <w:p w14:paraId="123A367E" w14:textId="77777777" w:rsidR="006561BA" w:rsidRDefault="005B4ED6">
            <w:pPr>
              <w:widowControl w:val="0"/>
              <w:shd w:val="clear" w:color="auto" w:fill="auto"/>
              <w:spacing w:after="0" w:line="240" w:lineRule="auto"/>
              <w:ind w:left="160"/>
              <w:rPr>
                <w:rFonts w:ascii="Helvetica" w:eastAsia="Arial Unicode MS" w:hAnsi="Helvetica" w:cs="Times New Roman"/>
                <w:color w:val="000000" w:themeColor="text1"/>
                <w:sz w:val="6"/>
                <w:szCs w:val="6"/>
              </w:rPr>
            </w:pPr>
            <w:r>
              <w:rPr>
                <w:rFonts w:ascii="Helvetica" w:hAnsi="Helvetica"/>
                <w:color w:val="000000" w:themeColor="text1"/>
                <w:sz w:val="6"/>
              </w:rPr>
              <w:t>Gjeldsinstrumenter</w:t>
            </w:r>
          </w:p>
        </w:tc>
        <w:tc>
          <w:tcPr>
            <w:tcW w:w="216" w:type="dxa"/>
            <w:tcBorders>
              <w:top w:val="single" w:sz="2" w:space="0" w:color="auto"/>
              <w:left w:val="single" w:sz="4" w:space="0" w:color="auto"/>
            </w:tcBorders>
          </w:tcPr>
          <w:p w14:paraId="5E492C2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1" w:type="dxa"/>
            <w:tcBorders>
              <w:top w:val="single" w:sz="2" w:space="0" w:color="auto"/>
              <w:left w:val="single" w:sz="4" w:space="0" w:color="auto"/>
            </w:tcBorders>
          </w:tcPr>
          <w:p w14:paraId="382EDC3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9" w:type="dxa"/>
            <w:tcBorders>
              <w:top w:val="single" w:sz="2" w:space="0" w:color="auto"/>
              <w:left w:val="single" w:sz="4" w:space="0" w:color="auto"/>
            </w:tcBorders>
          </w:tcPr>
          <w:p w14:paraId="78C2BE8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2" w:space="0" w:color="auto"/>
              <w:left w:val="single" w:sz="4" w:space="0" w:color="auto"/>
            </w:tcBorders>
          </w:tcPr>
          <w:p w14:paraId="6213789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2" w:space="0" w:color="auto"/>
              <w:left w:val="single" w:sz="4" w:space="0" w:color="auto"/>
            </w:tcBorders>
          </w:tcPr>
          <w:p w14:paraId="2005F9F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2" w:space="0" w:color="auto"/>
              <w:left w:val="single" w:sz="4" w:space="0" w:color="auto"/>
            </w:tcBorders>
          </w:tcPr>
          <w:p w14:paraId="2053730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6" w:type="dxa"/>
            <w:tcBorders>
              <w:top w:val="single" w:sz="2" w:space="0" w:color="auto"/>
              <w:left w:val="single" w:sz="4" w:space="0" w:color="auto"/>
            </w:tcBorders>
          </w:tcPr>
          <w:p w14:paraId="3C7024B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3" w:type="dxa"/>
            <w:tcBorders>
              <w:top w:val="single" w:sz="2" w:space="0" w:color="auto"/>
              <w:left w:val="single" w:sz="4" w:space="0" w:color="auto"/>
            </w:tcBorders>
          </w:tcPr>
          <w:p w14:paraId="353D462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2" w:space="0" w:color="auto"/>
              <w:left w:val="single" w:sz="4" w:space="0" w:color="auto"/>
            </w:tcBorders>
          </w:tcPr>
          <w:p w14:paraId="0AB9904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2" w:type="dxa"/>
            <w:tcBorders>
              <w:top w:val="single" w:sz="2" w:space="0" w:color="auto"/>
              <w:left w:val="single" w:sz="4" w:space="0" w:color="auto"/>
            </w:tcBorders>
          </w:tcPr>
          <w:p w14:paraId="0BDFBCA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2" w:space="0" w:color="auto"/>
              <w:left w:val="single" w:sz="4" w:space="0" w:color="auto"/>
            </w:tcBorders>
          </w:tcPr>
          <w:p w14:paraId="2155C8A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2" w:type="dxa"/>
            <w:tcBorders>
              <w:top w:val="single" w:sz="2" w:space="0" w:color="auto"/>
              <w:left w:val="single" w:sz="4" w:space="0" w:color="auto"/>
            </w:tcBorders>
          </w:tcPr>
          <w:p w14:paraId="72FFBB6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2" w:space="0" w:color="auto"/>
              <w:left w:val="single" w:sz="4" w:space="0" w:color="auto"/>
            </w:tcBorders>
          </w:tcPr>
          <w:p w14:paraId="57C47D1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4" w:type="dxa"/>
            <w:tcBorders>
              <w:top w:val="single" w:sz="2" w:space="0" w:color="auto"/>
              <w:left w:val="single" w:sz="4" w:space="0" w:color="auto"/>
            </w:tcBorders>
          </w:tcPr>
          <w:p w14:paraId="27FF90C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1" w:type="dxa"/>
            <w:tcBorders>
              <w:top w:val="single" w:sz="2" w:space="0" w:color="auto"/>
              <w:left w:val="single" w:sz="4" w:space="0" w:color="auto"/>
            </w:tcBorders>
          </w:tcPr>
          <w:p w14:paraId="12620FB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2" w:space="0" w:color="auto"/>
              <w:left w:val="single" w:sz="4" w:space="0" w:color="auto"/>
            </w:tcBorders>
          </w:tcPr>
          <w:p w14:paraId="5700B44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39" w:type="dxa"/>
            <w:tcBorders>
              <w:top w:val="single" w:sz="2" w:space="0" w:color="auto"/>
              <w:left w:val="single" w:sz="4" w:space="0" w:color="auto"/>
            </w:tcBorders>
          </w:tcPr>
          <w:p w14:paraId="5110930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2" w:space="0" w:color="auto"/>
              <w:left w:val="single" w:sz="4" w:space="0" w:color="auto"/>
            </w:tcBorders>
          </w:tcPr>
          <w:p w14:paraId="03E57D3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2" w:space="0" w:color="auto"/>
              <w:left w:val="single" w:sz="4" w:space="0" w:color="auto"/>
            </w:tcBorders>
          </w:tcPr>
          <w:p w14:paraId="160067C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7" w:type="dxa"/>
            <w:tcBorders>
              <w:top w:val="single" w:sz="2" w:space="0" w:color="auto"/>
              <w:left w:val="single" w:sz="4" w:space="0" w:color="auto"/>
            </w:tcBorders>
          </w:tcPr>
          <w:p w14:paraId="28998F1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2" w:space="0" w:color="auto"/>
              <w:left w:val="single" w:sz="4" w:space="0" w:color="auto"/>
            </w:tcBorders>
          </w:tcPr>
          <w:p w14:paraId="26122FE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4" w:type="dxa"/>
            <w:tcBorders>
              <w:top w:val="single" w:sz="2" w:space="0" w:color="auto"/>
              <w:left w:val="single" w:sz="4" w:space="0" w:color="auto"/>
            </w:tcBorders>
          </w:tcPr>
          <w:p w14:paraId="22C3A72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2" w:space="0" w:color="auto"/>
              <w:left w:val="single" w:sz="4" w:space="0" w:color="auto"/>
            </w:tcBorders>
          </w:tcPr>
          <w:p w14:paraId="46EF4F0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4" w:type="dxa"/>
            <w:tcBorders>
              <w:top w:val="single" w:sz="2" w:space="0" w:color="auto"/>
              <w:left w:val="single" w:sz="4" w:space="0" w:color="auto"/>
            </w:tcBorders>
          </w:tcPr>
          <w:p w14:paraId="65B8195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2" w:space="0" w:color="auto"/>
              <w:left w:val="single" w:sz="4" w:space="0" w:color="auto"/>
            </w:tcBorders>
          </w:tcPr>
          <w:p w14:paraId="62B1B96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2" w:space="0" w:color="auto"/>
              <w:left w:val="single" w:sz="4" w:space="0" w:color="auto"/>
            </w:tcBorders>
          </w:tcPr>
          <w:p w14:paraId="5721D21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2" w:space="0" w:color="auto"/>
              <w:left w:val="single" w:sz="4" w:space="0" w:color="auto"/>
            </w:tcBorders>
          </w:tcPr>
          <w:p w14:paraId="4784E4D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2" w:space="0" w:color="auto"/>
              <w:left w:val="single" w:sz="4" w:space="0" w:color="auto"/>
            </w:tcBorders>
          </w:tcPr>
          <w:p w14:paraId="504BDFF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93" w:type="dxa"/>
            <w:tcBorders>
              <w:top w:val="single" w:sz="2" w:space="0" w:color="auto"/>
              <w:left w:val="single" w:sz="4" w:space="0" w:color="auto"/>
              <w:right w:val="single" w:sz="4" w:space="0" w:color="auto"/>
            </w:tcBorders>
          </w:tcPr>
          <w:p w14:paraId="09DB50F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050338E0" w14:textId="77777777">
        <w:tc>
          <w:tcPr>
            <w:tcW w:w="108" w:type="dxa"/>
            <w:tcBorders>
              <w:top w:val="single" w:sz="4" w:space="0" w:color="auto"/>
              <w:left w:val="single" w:sz="4" w:space="0" w:color="auto"/>
            </w:tcBorders>
          </w:tcPr>
          <w:p w14:paraId="09EAB91C"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18</w:t>
            </w:r>
          </w:p>
        </w:tc>
        <w:tc>
          <w:tcPr>
            <w:tcW w:w="1992" w:type="dxa"/>
            <w:tcBorders>
              <w:top w:val="single" w:sz="4" w:space="0" w:color="auto"/>
              <w:left w:val="single" w:sz="4" w:space="0" w:color="auto"/>
            </w:tcBorders>
          </w:tcPr>
          <w:p w14:paraId="0CCC19C0" w14:textId="77777777" w:rsidR="006561BA" w:rsidRDefault="005B4ED6">
            <w:pPr>
              <w:widowControl w:val="0"/>
              <w:shd w:val="clear" w:color="auto" w:fill="auto"/>
              <w:spacing w:after="0" w:line="240" w:lineRule="auto"/>
              <w:ind w:left="160"/>
              <w:rPr>
                <w:rFonts w:ascii="Helvetica" w:eastAsia="Arial Unicode MS" w:hAnsi="Helvetica" w:cs="Times New Roman"/>
                <w:color w:val="000000" w:themeColor="text1"/>
                <w:sz w:val="6"/>
                <w:szCs w:val="6"/>
              </w:rPr>
            </w:pPr>
            <w:r>
              <w:rPr>
                <w:rFonts w:ascii="Helvetica" w:hAnsi="Helvetica"/>
                <w:color w:val="000000" w:themeColor="text1"/>
                <w:sz w:val="6"/>
              </w:rPr>
              <w:t>Egenkapitalinstrumenter</w:t>
            </w:r>
          </w:p>
        </w:tc>
        <w:tc>
          <w:tcPr>
            <w:tcW w:w="216" w:type="dxa"/>
            <w:tcBorders>
              <w:top w:val="single" w:sz="4" w:space="0" w:color="auto"/>
              <w:left w:val="single" w:sz="4" w:space="0" w:color="auto"/>
            </w:tcBorders>
          </w:tcPr>
          <w:p w14:paraId="0D04A58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1" w:type="dxa"/>
            <w:tcBorders>
              <w:top w:val="single" w:sz="4" w:space="0" w:color="auto"/>
              <w:left w:val="single" w:sz="4" w:space="0" w:color="auto"/>
            </w:tcBorders>
          </w:tcPr>
          <w:p w14:paraId="064F108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9" w:type="dxa"/>
            <w:tcBorders>
              <w:top w:val="single" w:sz="4" w:space="0" w:color="auto"/>
              <w:left w:val="single" w:sz="4" w:space="0" w:color="auto"/>
            </w:tcBorders>
          </w:tcPr>
          <w:p w14:paraId="2239AE6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tcBorders>
          </w:tcPr>
          <w:p w14:paraId="19E4C1C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tcBorders>
          </w:tcPr>
          <w:p w14:paraId="77EB65C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tcBorders>
          </w:tcPr>
          <w:p w14:paraId="1CAD809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6" w:type="dxa"/>
            <w:tcBorders>
              <w:top w:val="single" w:sz="4" w:space="0" w:color="auto"/>
              <w:left w:val="single" w:sz="4" w:space="0" w:color="auto"/>
            </w:tcBorders>
          </w:tcPr>
          <w:p w14:paraId="472B7C0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3" w:type="dxa"/>
            <w:tcBorders>
              <w:top w:val="single" w:sz="4" w:space="0" w:color="auto"/>
              <w:left w:val="single" w:sz="4" w:space="0" w:color="auto"/>
            </w:tcBorders>
          </w:tcPr>
          <w:p w14:paraId="6A41B11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tcBorders>
          </w:tcPr>
          <w:p w14:paraId="7534BBE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2" w:type="dxa"/>
            <w:tcBorders>
              <w:top w:val="single" w:sz="4" w:space="0" w:color="auto"/>
              <w:left w:val="single" w:sz="4" w:space="0" w:color="auto"/>
            </w:tcBorders>
          </w:tcPr>
          <w:p w14:paraId="0319EF0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tcBorders>
          </w:tcPr>
          <w:p w14:paraId="14F4A70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2" w:type="dxa"/>
            <w:tcBorders>
              <w:top w:val="single" w:sz="4" w:space="0" w:color="auto"/>
              <w:left w:val="single" w:sz="4" w:space="0" w:color="auto"/>
            </w:tcBorders>
          </w:tcPr>
          <w:p w14:paraId="08B99C0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tcBorders>
          </w:tcPr>
          <w:p w14:paraId="53A4990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4" w:type="dxa"/>
            <w:tcBorders>
              <w:top w:val="single" w:sz="4" w:space="0" w:color="auto"/>
              <w:left w:val="single" w:sz="4" w:space="0" w:color="auto"/>
            </w:tcBorders>
          </w:tcPr>
          <w:p w14:paraId="6C8EA5F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1" w:type="dxa"/>
            <w:tcBorders>
              <w:top w:val="single" w:sz="4" w:space="0" w:color="auto"/>
              <w:left w:val="single" w:sz="4" w:space="0" w:color="auto"/>
            </w:tcBorders>
          </w:tcPr>
          <w:p w14:paraId="3782A09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tcBorders>
          </w:tcPr>
          <w:p w14:paraId="2957BE5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39" w:type="dxa"/>
            <w:tcBorders>
              <w:top w:val="single" w:sz="4" w:space="0" w:color="auto"/>
              <w:left w:val="single" w:sz="4" w:space="0" w:color="auto"/>
            </w:tcBorders>
          </w:tcPr>
          <w:p w14:paraId="262EB2C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tcBorders>
          </w:tcPr>
          <w:p w14:paraId="688D509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tcBorders>
          </w:tcPr>
          <w:p w14:paraId="1059719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7" w:type="dxa"/>
            <w:tcBorders>
              <w:top w:val="single" w:sz="4" w:space="0" w:color="auto"/>
              <w:left w:val="single" w:sz="4" w:space="0" w:color="auto"/>
            </w:tcBorders>
          </w:tcPr>
          <w:p w14:paraId="5267ABA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tcBorders>
          </w:tcPr>
          <w:p w14:paraId="6E314B4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4" w:type="dxa"/>
            <w:tcBorders>
              <w:top w:val="single" w:sz="4" w:space="0" w:color="auto"/>
              <w:left w:val="single" w:sz="4" w:space="0" w:color="auto"/>
            </w:tcBorders>
          </w:tcPr>
          <w:p w14:paraId="74210D2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tcBorders>
          </w:tcPr>
          <w:p w14:paraId="3302537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4" w:type="dxa"/>
            <w:tcBorders>
              <w:top w:val="single" w:sz="4" w:space="0" w:color="auto"/>
              <w:left w:val="single" w:sz="4" w:space="0" w:color="auto"/>
            </w:tcBorders>
          </w:tcPr>
          <w:p w14:paraId="7B49661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tcBorders>
          </w:tcPr>
          <w:p w14:paraId="49DE09A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tcBorders>
          </w:tcPr>
          <w:p w14:paraId="6624ECD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tcBorders>
          </w:tcPr>
          <w:p w14:paraId="319F9FA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tcBorders>
          </w:tcPr>
          <w:p w14:paraId="53BD449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93" w:type="dxa"/>
            <w:tcBorders>
              <w:top w:val="single" w:sz="4" w:space="0" w:color="auto"/>
              <w:left w:val="single" w:sz="4" w:space="0" w:color="auto"/>
              <w:right w:val="single" w:sz="4" w:space="0" w:color="auto"/>
            </w:tcBorders>
          </w:tcPr>
          <w:p w14:paraId="1EFDADD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6A89782A" w14:textId="77777777">
        <w:tc>
          <w:tcPr>
            <w:tcW w:w="108" w:type="dxa"/>
            <w:tcBorders>
              <w:top w:val="single" w:sz="4" w:space="0" w:color="auto"/>
              <w:left w:val="single" w:sz="4" w:space="0" w:color="auto"/>
            </w:tcBorders>
          </w:tcPr>
          <w:p w14:paraId="67A99116"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19</w:t>
            </w:r>
          </w:p>
        </w:tc>
        <w:tc>
          <w:tcPr>
            <w:tcW w:w="1992" w:type="dxa"/>
            <w:tcBorders>
              <w:top w:val="single" w:sz="4" w:space="0" w:color="auto"/>
              <w:left w:val="single" w:sz="4" w:space="0" w:color="auto"/>
            </w:tcBorders>
          </w:tcPr>
          <w:p w14:paraId="6F2FDD2B" w14:textId="77777777" w:rsidR="006561BA" w:rsidRDefault="005B4ED6">
            <w:pPr>
              <w:widowControl w:val="0"/>
              <w:shd w:val="clear" w:color="auto" w:fill="auto"/>
              <w:spacing w:after="0" w:line="240" w:lineRule="auto"/>
              <w:ind w:left="120"/>
              <w:rPr>
                <w:rFonts w:ascii="Helvetica" w:eastAsia="Arial Unicode MS" w:hAnsi="Helvetica" w:cs="Times New Roman"/>
                <w:color w:val="000000" w:themeColor="text1"/>
                <w:sz w:val="6"/>
                <w:szCs w:val="6"/>
              </w:rPr>
            </w:pPr>
            <w:r>
              <w:rPr>
                <w:rFonts w:ascii="Helvetica" w:hAnsi="Helvetica"/>
                <w:b/>
                <w:color w:val="000000" w:themeColor="text1"/>
                <w:sz w:val="6"/>
              </w:rPr>
              <w:t>Motparter som ikke er omfattet av opplysningsplikten i direktivet om ikke-finansiell rapportering, herunder motparter i tredjeland</w:t>
            </w:r>
          </w:p>
        </w:tc>
        <w:tc>
          <w:tcPr>
            <w:tcW w:w="216" w:type="dxa"/>
            <w:tcBorders>
              <w:top w:val="single" w:sz="4" w:space="0" w:color="auto"/>
              <w:left w:val="single" w:sz="4" w:space="0" w:color="auto"/>
            </w:tcBorders>
          </w:tcPr>
          <w:p w14:paraId="1A44B535"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61" w:type="dxa"/>
            <w:tcBorders>
              <w:top w:val="single" w:sz="4" w:space="0" w:color="auto"/>
              <w:left w:val="single" w:sz="4" w:space="0" w:color="auto"/>
            </w:tcBorders>
          </w:tcPr>
          <w:p w14:paraId="58E86C06"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19" w:type="dxa"/>
            <w:tcBorders>
              <w:top w:val="single" w:sz="4" w:space="0" w:color="auto"/>
              <w:left w:val="single" w:sz="4" w:space="0" w:color="auto"/>
            </w:tcBorders>
          </w:tcPr>
          <w:p w14:paraId="6784FDBD"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76" w:type="dxa"/>
            <w:tcBorders>
              <w:top w:val="single" w:sz="4" w:space="0" w:color="auto"/>
              <w:left w:val="single" w:sz="4" w:space="0" w:color="auto"/>
            </w:tcBorders>
          </w:tcPr>
          <w:p w14:paraId="74073A83"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11" w:type="dxa"/>
            <w:tcBorders>
              <w:top w:val="single" w:sz="4" w:space="0" w:color="auto"/>
              <w:left w:val="single" w:sz="4" w:space="0" w:color="auto"/>
            </w:tcBorders>
          </w:tcPr>
          <w:p w14:paraId="545CA149"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68" w:type="dxa"/>
            <w:tcBorders>
              <w:top w:val="single" w:sz="4" w:space="0" w:color="auto"/>
              <w:left w:val="single" w:sz="4" w:space="0" w:color="auto"/>
            </w:tcBorders>
          </w:tcPr>
          <w:p w14:paraId="00A4445E"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06" w:type="dxa"/>
            <w:tcBorders>
              <w:top w:val="single" w:sz="4" w:space="0" w:color="auto"/>
              <w:left w:val="single" w:sz="4" w:space="0" w:color="auto"/>
            </w:tcBorders>
          </w:tcPr>
          <w:p w14:paraId="38DF6B44"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263" w:type="dxa"/>
            <w:tcBorders>
              <w:top w:val="single" w:sz="4" w:space="0" w:color="auto"/>
              <w:left w:val="single" w:sz="4" w:space="0" w:color="auto"/>
            </w:tcBorders>
          </w:tcPr>
          <w:p w14:paraId="6E22F47B"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76" w:type="dxa"/>
            <w:tcBorders>
              <w:top w:val="single" w:sz="4" w:space="0" w:color="auto"/>
              <w:left w:val="single" w:sz="4" w:space="0" w:color="auto"/>
            </w:tcBorders>
          </w:tcPr>
          <w:p w14:paraId="4E0A03C0"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42" w:type="dxa"/>
            <w:tcBorders>
              <w:top w:val="single" w:sz="4" w:space="0" w:color="auto"/>
              <w:left w:val="single" w:sz="4" w:space="0" w:color="auto"/>
            </w:tcBorders>
          </w:tcPr>
          <w:p w14:paraId="713EBA55"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76" w:type="dxa"/>
            <w:gridSpan w:val="2"/>
            <w:tcBorders>
              <w:top w:val="single" w:sz="4" w:space="0" w:color="auto"/>
              <w:left w:val="single" w:sz="4" w:space="0" w:color="auto"/>
            </w:tcBorders>
          </w:tcPr>
          <w:p w14:paraId="0E7F4A10"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12" w:type="dxa"/>
            <w:tcBorders>
              <w:top w:val="single" w:sz="4" w:space="0" w:color="auto"/>
              <w:left w:val="single" w:sz="4" w:space="0" w:color="auto"/>
            </w:tcBorders>
          </w:tcPr>
          <w:p w14:paraId="444912F7"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68" w:type="dxa"/>
            <w:gridSpan w:val="2"/>
            <w:tcBorders>
              <w:top w:val="single" w:sz="4" w:space="0" w:color="auto"/>
              <w:left w:val="single" w:sz="4" w:space="0" w:color="auto"/>
            </w:tcBorders>
          </w:tcPr>
          <w:p w14:paraId="42696EB0"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04" w:type="dxa"/>
            <w:tcBorders>
              <w:top w:val="single" w:sz="4" w:space="0" w:color="auto"/>
              <w:left w:val="single" w:sz="4" w:space="0" w:color="auto"/>
            </w:tcBorders>
          </w:tcPr>
          <w:p w14:paraId="61C8316C"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261" w:type="dxa"/>
            <w:tcBorders>
              <w:top w:val="single" w:sz="4" w:space="0" w:color="auto"/>
              <w:left w:val="single" w:sz="4" w:space="0" w:color="auto"/>
            </w:tcBorders>
          </w:tcPr>
          <w:p w14:paraId="581CF41E"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76" w:type="dxa"/>
            <w:gridSpan w:val="2"/>
            <w:tcBorders>
              <w:top w:val="single" w:sz="4" w:space="0" w:color="auto"/>
              <w:left w:val="single" w:sz="4" w:space="0" w:color="auto"/>
            </w:tcBorders>
          </w:tcPr>
          <w:p w14:paraId="69CE14B6"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39" w:type="dxa"/>
            <w:tcBorders>
              <w:top w:val="single" w:sz="4" w:space="0" w:color="auto"/>
              <w:left w:val="single" w:sz="4" w:space="0" w:color="auto"/>
            </w:tcBorders>
          </w:tcPr>
          <w:p w14:paraId="21FD86F3"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76" w:type="dxa"/>
            <w:tcBorders>
              <w:top w:val="single" w:sz="4" w:space="0" w:color="auto"/>
              <w:left w:val="single" w:sz="4" w:space="0" w:color="auto"/>
            </w:tcBorders>
          </w:tcPr>
          <w:p w14:paraId="162EE349"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11" w:type="dxa"/>
            <w:tcBorders>
              <w:top w:val="single" w:sz="4" w:space="0" w:color="auto"/>
              <w:left w:val="single" w:sz="4" w:space="0" w:color="auto"/>
            </w:tcBorders>
          </w:tcPr>
          <w:p w14:paraId="1FD2142E"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47" w:type="dxa"/>
            <w:tcBorders>
              <w:top w:val="single" w:sz="4" w:space="0" w:color="auto"/>
              <w:left w:val="single" w:sz="4" w:space="0" w:color="auto"/>
            </w:tcBorders>
          </w:tcPr>
          <w:p w14:paraId="595CE613"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11" w:type="dxa"/>
            <w:tcBorders>
              <w:top w:val="single" w:sz="4" w:space="0" w:color="auto"/>
              <w:left w:val="single" w:sz="4" w:space="0" w:color="auto"/>
            </w:tcBorders>
          </w:tcPr>
          <w:p w14:paraId="5BF35E09"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264" w:type="dxa"/>
            <w:tcBorders>
              <w:top w:val="single" w:sz="4" w:space="0" w:color="auto"/>
              <w:left w:val="single" w:sz="4" w:space="0" w:color="auto"/>
            </w:tcBorders>
          </w:tcPr>
          <w:p w14:paraId="226B7822"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68" w:type="dxa"/>
            <w:tcBorders>
              <w:top w:val="single" w:sz="4" w:space="0" w:color="auto"/>
              <w:left w:val="single" w:sz="4" w:space="0" w:color="auto"/>
            </w:tcBorders>
          </w:tcPr>
          <w:p w14:paraId="0FEC634E"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44" w:type="dxa"/>
            <w:tcBorders>
              <w:top w:val="single" w:sz="4" w:space="0" w:color="auto"/>
              <w:left w:val="single" w:sz="4" w:space="0" w:color="auto"/>
            </w:tcBorders>
          </w:tcPr>
          <w:p w14:paraId="7AAA6E97"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68" w:type="dxa"/>
            <w:gridSpan w:val="2"/>
            <w:tcBorders>
              <w:top w:val="single" w:sz="4" w:space="0" w:color="auto"/>
              <w:left w:val="single" w:sz="4" w:space="0" w:color="auto"/>
            </w:tcBorders>
          </w:tcPr>
          <w:p w14:paraId="77618D17"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08" w:type="dxa"/>
            <w:tcBorders>
              <w:top w:val="single" w:sz="4" w:space="0" w:color="auto"/>
              <w:left w:val="single" w:sz="4" w:space="0" w:color="auto"/>
            </w:tcBorders>
          </w:tcPr>
          <w:p w14:paraId="746E9D78"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68" w:type="dxa"/>
            <w:gridSpan w:val="2"/>
            <w:tcBorders>
              <w:top w:val="single" w:sz="4" w:space="0" w:color="auto"/>
              <w:left w:val="single" w:sz="4" w:space="0" w:color="auto"/>
            </w:tcBorders>
          </w:tcPr>
          <w:p w14:paraId="529BF702"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08" w:type="dxa"/>
            <w:tcBorders>
              <w:top w:val="single" w:sz="4" w:space="0" w:color="auto"/>
              <w:left w:val="single" w:sz="4" w:space="0" w:color="auto"/>
            </w:tcBorders>
          </w:tcPr>
          <w:p w14:paraId="445FEFA7"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293" w:type="dxa"/>
            <w:tcBorders>
              <w:top w:val="single" w:sz="4" w:space="0" w:color="auto"/>
              <w:left w:val="single" w:sz="4" w:space="0" w:color="auto"/>
              <w:right w:val="single" w:sz="4" w:space="0" w:color="auto"/>
            </w:tcBorders>
          </w:tcPr>
          <w:p w14:paraId="2F79B109"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r>
      <w:tr w:rsidR="006561BA" w14:paraId="0EB7E934" w14:textId="77777777">
        <w:tc>
          <w:tcPr>
            <w:tcW w:w="108" w:type="dxa"/>
            <w:tcBorders>
              <w:top w:val="single" w:sz="4" w:space="0" w:color="auto"/>
              <w:left w:val="single" w:sz="4" w:space="0" w:color="auto"/>
            </w:tcBorders>
          </w:tcPr>
          <w:p w14:paraId="36D3D18E"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20</w:t>
            </w:r>
          </w:p>
        </w:tc>
        <w:tc>
          <w:tcPr>
            <w:tcW w:w="1992" w:type="dxa"/>
            <w:tcBorders>
              <w:top w:val="single" w:sz="4" w:space="0" w:color="auto"/>
              <w:left w:val="single" w:sz="4" w:space="0" w:color="auto"/>
            </w:tcBorders>
          </w:tcPr>
          <w:p w14:paraId="771AF672" w14:textId="77777777" w:rsidR="006561BA" w:rsidRDefault="005B4ED6">
            <w:pPr>
              <w:widowControl w:val="0"/>
              <w:shd w:val="clear" w:color="auto" w:fill="auto"/>
              <w:spacing w:after="0" w:line="240" w:lineRule="auto"/>
              <w:ind w:left="160"/>
              <w:rPr>
                <w:rFonts w:ascii="Helvetica" w:eastAsia="Arial Unicode MS" w:hAnsi="Helvetica" w:cs="Times New Roman"/>
                <w:color w:val="000000" w:themeColor="text1"/>
                <w:sz w:val="6"/>
                <w:szCs w:val="6"/>
              </w:rPr>
            </w:pPr>
            <w:r>
              <w:rPr>
                <w:rFonts w:ascii="Helvetica" w:hAnsi="Helvetica"/>
                <w:color w:val="000000" w:themeColor="text1"/>
                <w:sz w:val="6"/>
              </w:rPr>
              <w:t>Gjeldsinstrumenter</w:t>
            </w:r>
          </w:p>
        </w:tc>
        <w:tc>
          <w:tcPr>
            <w:tcW w:w="216" w:type="dxa"/>
            <w:tcBorders>
              <w:top w:val="single" w:sz="4" w:space="0" w:color="auto"/>
              <w:left w:val="single" w:sz="4" w:space="0" w:color="auto"/>
            </w:tcBorders>
          </w:tcPr>
          <w:p w14:paraId="606D66A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1" w:type="dxa"/>
            <w:tcBorders>
              <w:top w:val="single" w:sz="4" w:space="0" w:color="auto"/>
              <w:left w:val="single" w:sz="4" w:space="0" w:color="auto"/>
            </w:tcBorders>
          </w:tcPr>
          <w:p w14:paraId="6007FC9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9" w:type="dxa"/>
            <w:tcBorders>
              <w:top w:val="single" w:sz="4" w:space="0" w:color="auto"/>
              <w:left w:val="single" w:sz="4" w:space="0" w:color="auto"/>
            </w:tcBorders>
          </w:tcPr>
          <w:p w14:paraId="2D722A9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tcBorders>
          </w:tcPr>
          <w:p w14:paraId="0FD88E6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tcBorders>
          </w:tcPr>
          <w:p w14:paraId="01DB5A4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tcBorders>
          </w:tcPr>
          <w:p w14:paraId="57227E3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6" w:type="dxa"/>
            <w:tcBorders>
              <w:top w:val="single" w:sz="4" w:space="0" w:color="auto"/>
              <w:left w:val="single" w:sz="4" w:space="0" w:color="auto"/>
            </w:tcBorders>
          </w:tcPr>
          <w:p w14:paraId="61505DC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3" w:type="dxa"/>
            <w:tcBorders>
              <w:top w:val="single" w:sz="4" w:space="0" w:color="auto"/>
              <w:left w:val="single" w:sz="4" w:space="0" w:color="auto"/>
            </w:tcBorders>
          </w:tcPr>
          <w:p w14:paraId="632A26F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tcBorders>
          </w:tcPr>
          <w:p w14:paraId="632651E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2" w:type="dxa"/>
            <w:tcBorders>
              <w:top w:val="single" w:sz="4" w:space="0" w:color="auto"/>
              <w:left w:val="single" w:sz="4" w:space="0" w:color="auto"/>
            </w:tcBorders>
          </w:tcPr>
          <w:p w14:paraId="5021329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tcBorders>
          </w:tcPr>
          <w:p w14:paraId="249F51C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2" w:type="dxa"/>
            <w:tcBorders>
              <w:top w:val="single" w:sz="4" w:space="0" w:color="auto"/>
              <w:left w:val="single" w:sz="4" w:space="0" w:color="auto"/>
            </w:tcBorders>
          </w:tcPr>
          <w:p w14:paraId="0F11279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tcBorders>
          </w:tcPr>
          <w:p w14:paraId="2028C61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4" w:type="dxa"/>
            <w:tcBorders>
              <w:top w:val="single" w:sz="4" w:space="0" w:color="auto"/>
              <w:left w:val="single" w:sz="4" w:space="0" w:color="auto"/>
            </w:tcBorders>
          </w:tcPr>
          <w:p w14:paraId="5743377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1" w:type="dxa"/>
            <w:tcBorders>
              <w:top w:val="single" w:sz="4" w:space="0" w:color="auto"/>
              <w:left w:val="single" w:sz="4" w:space="0" w:color="auto"/>
            </w:tcBorders>
          </w:tcPr>
          <w:p w14:paraId="48B3C06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tcBorders>
          </w:tcPr>
          <w:p w14:paraId="32E8DFA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39" w:type="dxa"/>
            <w:tcBorders>
              <w:top w:val="single" w:sz="4" w:space="0" w:color="auto"/>
              <w:left w:val="single" w:sz="4" w:space="0" w:color="auto"/>
            </w:tcBorders>
          </w:tcPr>
          <w:p w14:paraId="2AD9A26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tcBorders>
          </w:tcPr>
          <w:p w14:paraId="7A38FA5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tcBorders>
          </w:tcPr>
          <w:p w14:paraId="76EA195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7" w:type="dxa"/>
            <w:tcBorders>
              <w:top w:val="single" w:sz="4" w:space="0" w:color="auto"/>
              <w:left w:val="single" w:sz="4" w:space="0" w:color="auto"/>
            </w:tcBorders>
          </w:tcPr>
          <w:p w14:paraId="0DDB81D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tcBorders>
          </w:tcPr>
          <w:p w14:paraId="3911D1F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4" w:type="dxa"/>
            <w:tcBorders>
              <w:top w:val="single" w:sz="4" w:space="0" w:color="auto"/>
              <w:left w:val="single" w:sz="4" w:space="0" w:color="auto"/>
            </w:tcBorders>
          </w:tcPr>
          <w:p w14:paraId="7BB143B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tcBorders>
          </w:tcPr>
          <w:p w14:paraId="5A80239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4" w:type="dxa"/>
            <w:tcBorders>
              <w:top w:val="single" w:sz="4" w:space="0" w:color="auto"/>
              <w:left w:val="single" w:sz="4" w:space="0" w:color="auto"/>
            </w:tcBorders>
          </w:tcPr>
          <w:p w14:paraId="00E23CC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tcBorders>
          </w:tcPr>
          <w:p w14:paraId="0242B83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tcBorders>
          </w:tcPr>
          <w:p w14:paraId="54A1337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tcBorders>
          </w:tcPr>
          <w:p w14:paraId="473FAD9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tcBorders>
          </w:tcPr>
          <w:p w14:paraId="70F326C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93" w:type="dxa"/>
            <w:tcBorders>
              <w:top w:val="single" w:sz="4" w:space="0" w:color="auto"/>
              <w:left w:val="single" w:sz="4" w:space="0" w:color="auto"/>
              <w:right w:val="single" w:sz="4" w:space="0" w:color="auto"/>
            </w:tcBorders>
          </w:tcPr>
          <w:p w14:paraId="3B24D2C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58484341" w14:textId="77777777">
        <w:tc>
          <w:tcPr>
            <w:tcW w:w="108" w:type="dxa"/>
            <w:tcBorders>
              <w:top w:val="single" w:sz="4" w:space="0" w:color="auto"/>
              <w:left w:val="single" w:sz="4" w:space="0" w:color="auto"/>
              <w:bottom w:val="single" w:sz="4" w:space="0" w:color="auto"/>
            </w:tcBorders>
          </w:tcPr>
          <w:p w14:paraId="407A247E"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21</w:t>
            </w:r>
          </w:p>
        </w:tc>
        <w:tc>
          <w:tcPr>
            <w:tcW w:w="1992" w:type="dxa"/>
            <w:tcBorders>
              <w:top w:val="single" w:sz="4" w:space="0" w:color="auto"/>
              <w:left w:val="single" w:sz="4" w:space="0" w:color="auto"/>
              <w:bottom w:val="single" w:sz="4" w:space="0" w:color="auto"/>
            </w:tcBorders>
          </w:tcPr>
          <w:p w14:paraId="28D6BCE2" w14:textId="77777777" w:rsidR="006561BA" w:rsidRDefault="005B4ED6">
            <w:pPr>
              <w:widowControl w:val="0"/>
              <w:shd w:val="clear" w:color="auto" w:fill="auto"/>
              <w:spacing w:after="0" w:line="240" w:lineRule="auto"/>
              <w:ind w:left="160"/>
              <w:rPr>
                <w:rFonts w:ascii="Helvetica" w:eastAsia="Arial Unicode MS" w:hAnsi="Helvetica" w:cs="Times New Roman"/>
                <w:color w:val="000000" w:themeColor="text1"/>
                <w:sz w:val="6"/>
                <w:szCs w:val="6"/>
              </w:rPr>
            </w:pPr>
            <w:r>
              <w:rPr>
                <w:rFonts w:ascii="Helvetica" w:hAnsi="Helvetica"/>
                <w:color w:val="000000" w:themeColor="text1"/>
                <w:sz w:val="6"/>
              </w:rPr>
              <w:t>Egenkapitalinstrumenter</w:t>
            </w:r>
          </w:p>
        </w:tc>
        <w:tc>
          <w:tcPr>
            <w:tcW w:w="216" w:type="dxa"/>
            <w:tcBorders>
              <w:top w:val="single" w:sz="4" w:space="0" w:color="auto"/>
              <w:left w:val="single" w:sz="4" w:space="0" w:color="auto"/>
              <w:bottom w:val="single" w:sz="4" w:space="0" w:color="auto"/>
            </w:tcBorders>
          </w:tcPr>
          <w:p w14:paraId="5118EC0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1" w:type="dxa"/>
            <w:tcBorders>
              <w:top w:val="single" w:sz="4" w:space="0" w:color="auto"/>
              <w:left w:val="single" w:sz="4" w:space="0" w:color="auto"/>
              <w:bottom w:val="single" w:sz="4" w:space="0" w:color="auto"/>
            </w:tcBorders>
          </w:tcPr>
          <w:p w14:paraId="44240F7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9" w:type="dxa"/>
            <w:tcBorders>
              <w:top w:val="single" w:sz="4" w:space="0" w:color="auto"/>
              <w:left w:val="single" w:sz="4" w:space="0" w:color="auto"/>
              <w:bottom w:val="single" w:sz="4" w:space="0" w:color="auto"/>
            </w:tcBorders>
          </w:tcPr>
          <w:p w14:paraId="36729EF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bottom w:val="single" w:sz="4" w:space="0" w:color="auto"/>
            </w:tcBorders>
          </w:tcPr>
          <w:p w14:paraId="6649A69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bottom w:val="single" w:sz="4" w:space="0" w:color="auto"/>
            </w:tcBorders>
          </w:tcPr>
          <w:p w14:paraId="328A1EB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bottom w:val="single" w:sz="4" w:space="0" w:color="auto"/>
            </w:tcBorders>
          </w:tcPr>
          <w:p w14:paraId="77CA37F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6" w:type="dxa"/>
            <w:tcBorders>
              <w:top w:val="single" w:sz="4" w:space="0" w:color="auto"/>
              <w:left w:val="single" w:sz="4" w:space="0" w:color="auto"/>
              <w:bottom w:val="single" w:sz="4" w:space="0" w:color="auto"/>
            </w:tcBorders>
          </w:tcPr>
          <w:p w14:paraId="23D1C98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3" w:type="dxa"/>
            <w:tcBorders>
              <w:top w:val="single" w:sz="4" w:space="0" w:color="auto"/>
              <w:left w:val="single" w:sz="4" w:space="0" w:color="auto"/>
              <w:bottom w:val="single" w:sz="4" w:space="0" w:color="auto"/>
            </w:tcBorders>
          </w:tcPr>
          <w:p w14:paraId="422C64D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bottom w:val="single" w:sz="4" w:space="0" w:color="auto"/>
            </w:tcBorders>
          </w:tcPr>
          <w:p w14:paraId="3C25FD3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2" w:type="dxa"/>
            <w:tcBorders>
              <w:top w:val="single" w:sz="4" w:space="0" w:color="auto"/>
              <w:left w:val="single" w:sz="4" w:space="0" w:color="auto"/>
              <w:bottom w:val="single" w:sz="4" w:space="0" w:color="auto"/>
            </w:tcBorders>
          </w:tcPr>
          <w:p w14:paraId="1870617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bottom w:val="single" w:sz="4" w:space="0" w:color="auto"/>
            </w:tcBorders>
          </w:tcPr>
          <w:p w14:paraId="2A58632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2" w:type="dxa"/>
            <w:tcBorders>
              <w:top w:val="single" w:sz="4" w:space="0" w:color="auto"/>
              <w:left w:val="single" w:sz="4" w:space="0" w:color="auto"/>
              <w:bottom w:val="single" w:sz="4" w:space="0" w:color="auto"/>
            </w:tcBorders>
          </w:tcPr>
          <w:p w14:paraId="1BDFD2B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bottom w:val="single" w:sz="4" w:space="0" w:color="auto"/>
            </w:tcBorders>
          </w:tcPr>
          <w:p w14:paraId="74A3754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4" w:type="dxa"/>
            <w:tcBorders>
              <w:top w:val="single" w:sz="4" w:space="0" w:color="auto"/>
              <w:left w:val="single" w:sz="4" w:space="0" w:color="auto"/>
              <w:bottom w:val="single" w:sz="4" w:space="0" w:color="auto"/>
            </w:tcBorders>
          </w:tcPr>
          <w:p w14:paraId="3DD6BA2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1" w:type="dxa"/>
            <w:tcBorders>
              <w:top w:val="single" w:sz="4" w:space="0" w:color="auto"/>
              <w:left w:val="single" w:sz="4" w:space="0" w:color="auto"/>
              <w:bottom w:val="single" w:sz="4" w:space="0" w:color="auto"/>
            </w:tcBorders>
          </w:tcPr>
          <w:p w14:paraId="71B014C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gridSpan w:val="2"/>
            <w:tcBorders>
              <w:top w:val="single" w:sz="4" w:space="0" w:color="auto"/>
              <w:left w:val="single" w:sz="4" w:space="0" w:color="auto"/>
              <w:bottom w:val="single" w:sz="4" w:space="0" w:color="auto"/>
            </w:tcBorders>
          </w:tcPr>
          <w:p w14:paraId="0B1AE3E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39" w:type="dxa"/>
            <w:tcBorders>
              <w:top w:val="single" w:sz="4" w:space="0" w:color="auto"/>
              <w:left w:val="single" w:sz="4" w:space="0" w:color="auto"/>
              <w:bottom w:val="single" w:sz="4" w:space="0" w:color="auto"/>
            </w:tcBorders>
          </w:tcPr>
          <w:p w14:paraId="21A4D55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bottom w:val="single" w:sz="4" w:space="0" w:color="auto"/>
            </w:tcBorders>
          </w:tcPr>
          <w:p w14:paraId="4B98BFE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bottom w:val="single" w:sz="4" w:space="0" w:color="auto"/>
            </w:tcBorders>
          </w:tcPr>
          <w:p w14:paraId="3E069FD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7" w:type="dxa"/>
            <w:tcBorders>
              <w:top w:val="single" w:sz="4" w:space="0" w:color="auto"/>
              <w:left w:val="single" w:sz="4" w:space="0" w:color="auto"/>
              <w:bottom w:val="single" w:sz="4" w:space="0" w:color="auto"/>
            </w:tcBorders>
          </w:tcPr>
          <w:p w14:paraId="1F2FBBC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11" w:type="dxa"/>
            <w:tcBorders>
              <w:top w:val="single" w:sz="4" w:space="0" w:color="auto"/>
              <w:left w:val="single" w:sz="4" w:space="0" w:color="auto"/>
              <w:bottom w:val="single" w:sz="4" w:space="0" w:color="auto"/>
            </w:tcBorders>
          </w:tcPr>
          <w:p w14:paraId="05446B2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64" w:type="dxa"/>
            <w:tcBorders>
              <w:top w:val="single" w:sz="4" w:space="0" w:color="auto"/>
              <w:left w:val="single" w:sz="4" w:space="0" w:color="auto"/>
              <w:bottom w:val="single" w:sz="4" w:space="0" w:color="auto"/>
            </w:tcBorders>
          </w:tcPr>
          <w:p w14:paraId="2CCED20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tcBorders>
              <w:top w:val="single" w:sz="4" w:space="0" w:color="auto"/>
              <w:left w:val="single" w:sz="4" w:space="0" w:color="auto"/>
              <w:bottom w:val="single" w:sz="4" w:space="0" w:color="auto"/>
            </w:tcBorders>
          </w:tcPr>
          <w:p w14:paraId="155BB50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44" w:type="dxa"/>
            <w:tcBorders>
              <w:top w:val="single" w:sz="4" w:space="0" w:color="auto"/>
              <w:left w:val="single" w:sz="4" w:space="0" w:color="auto"/>
              <w:bottom w:val="single" w:sz="4" w:space="0" w:color="auto"/>
            </w:tcBorders>
          </w:tcPr>
          <w:p w14:paraId="7A3D862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bottom w:val="single" w:sz="4" w:space="0" w:color="auto"/>
            </w:tcBorders>
          </w:tcPr>
          <w:p w14:paraId="25500BC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bottom w:val="single" w:sz="4" w:space="0" w:color="auto"/>
            </w:tcBorders>
          </w:tcPr>
          <w:p w14:paraId="0AE10FD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68" w:type="dxa"/>
            <w:gridSpan w:val="2"/>
            <w:tcBorders>
              <w:top w:val="single" w:sz="4" w:space="0" w:color="auto"/>
              <w:left w:val="single" w:sz="4" w:space="0" w:color="auto"/>
              <w:bottom w:val="single" w:sz="4" w:space="0" w:color="auto"/>
            </w:tcBorders>
          </w:tcPr>
          <w:p w14:paraId="77295B3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08" w:type="dxa"/>
            <w:tcBorders>
              <w:top w:val="single" w:sz="4" w:space="0" w:color="auto"/>
              <w:left w:val="single" w:sz="4" w:space="0" w:color="auto"/>
              <w:bottom w:val="single" w:sz="4" w:space="0" w:color="auto"/>
            </w:tcBorders>
          </w:tcPr>
          <w:p w14:paraId="089CF1A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293" w:type="dxa"/>
            <w:tcBorders>
              <w:top w:val="single" w:sz="4" w:space="0" w:color="auto"/>
              <w:left w:val="single" w:sz="4" w:space="0" w:color="auto"/>
              <w:bottom w:val="single" w:sz="4" w:space="0" w:color="auto"/>
              <w:right w:val="single" w:sz="4" w:space="0" w:color="auto"/>
            </w:tcBorders>
          </w:tcPr>
          <w:p w14:paraId="07EE33D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bl>
    <w:p w14:paraId="674907A0" w14:textId="77777777" w:rsidR="006561BA" w:rsidRDefault="006561BA">
      <w:pPr>
        <w:pStyle w:val="Para"/>
        <w:spacing w:line="240" w:lineRule="auto"/>
        <w:ind w:left="279"/>
        <w:jc w:val="left"/>
      </w:pPr>
    </w:p>
    <w:tbl>
      <w:tblPr>
        <w:tblOverlap w:val="never"/>
        <w:tblW w:w="14047" w:type="dxa"/>
        <w:tblInd w:w="279" w:type="dxa"/>
        <w:tblLayout w:type="fixed"/>
        <w:tblCellMar>
          <w:left w:w="10" w:type="dxa"/>
          <w:right w:w="10" w:type="dxa"/>
        </w:tblCellMar>
        <w:tblLook w:val="04A0" w:firstRow="1" w:lastRow="0" w:firstColumn="1" w:lastColumn="0" w:noHBand="0" w:noVBand="1"/>
      </w:tblPr>
      <w:tblGrid>
        <w:gridCol w:w="127"/>
        <w:gridCol w:w="2515"/>
        <w:gridCol w:w="332"/>
        <w:gridCol w:w="599"/>
        <w:gridCol w:w="556"/>
        <w:gridCol w:w="592"/>
        <w:gridCol w:w="519"/>
        <w:gridCol w:w="22"/>
        <w:gridCol w:w="541"/>
        <w:gridCol w:w="29"/>
        <w:gridCol w:w="513"/>
        <w:gridCol w:w="333"/>
        <w:gridCol w:w="592"/>
        <w:gridCol w:w="556"/>
        <w:gridCol w:w="592"/>
        <w:gridCol w:w="527"/>
        <w:gridCol w:w="592"/>
        <w:gridCol w:w="505"/>
        <w:gridCol w:w="332"/>
        <w:gridCol w:w="592"/>
        <w:gridCol w:w="527"/>
        <w:gridCol w:w="592"/>
        <w:gridCol w:w="527"/>
        <w:gridCol w:w="592"/>
        <w:gridCol w:w="527"/>
        <w:gridCol w:w="316"/>
      </w:tblGrid>
      <w:tr w:rsidR="006561BA" w14:paraId="0647EBD7" w14:textId="77777777">
        <w:tc>
          <w:tcPr>
            <w:tcW w:w="127" w:type="dxa"/>
            <w:tcMar>
              <w:top w:w="10" w:type="dxa"/>
              <w:left w:w="10" w:type="dxa"/>
              <w:bottom w:w="10" w:type="dxa"/>
              <w:right w:w="10" w:type="dxa"/>
            </w:tcMar>
          </w:tcPr>
          <w:p w14:paraId="77B67E5B"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2515" w:type="dxa"/>
            <w:tcMar>
              <w:top w:w="10" w:type="dxa"/>
              <w:left w:w="10" w:type="dxa"/>
              <w:bottom w:w="10" w:type="dxa"/>
              <w:right w:w="10" w:type="dxa"/>
            </w:tcMar>
          </w:tcPr>
          <w:p w14:paraId="2F1A6537"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332" w:type="dxa"/>
            <w:tcBorders>
              <w:top w:val="single" w:sz="4" w:space="0" w:color="auto"/>
              <w:right w:val="single" w:sz="2" w:space="0" w:color="auto"/>
            </w:tcBorders>
            <w:tcMar>
              <w:top w:w="10" w:type="dxa"/>
              <w:left w:w="10" w:type="dxa"/>
              <w:bottom w:w="10" w:type="dxa"/>
              <w:right w:w="10" w:type="dxa"/>
            </w:tcMar>
            <w:vAlign w:val="bottom"/>
          </w:tcPr>
          <w:p w14:paraId="22A9C813"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ad</w:t>
            </w:r>
          </w:p>
        </w:tc>
        <w:tc>
          <w:tcPr>
            <w:tcW w:w="599" w:type="dxa"/>
            <w:tcBorders>
              <w:top w:val="single" w:sz="2" w:space="0" w:color="auto"/>
              <w:left w:val="single" w:sz="2" w:space="0" w:color="auto"/>
              <w:bottom w:val="single" w:sz="2" w:space="0" w:color="auto"/>
              <w:right w:val="single" w:sz="2" w:space="0" w:color="auto"/>
            </w:tcBorders>
            <w:tcMar>
              <w:top w:w="10" w:type="dxa"/>
              <w:left w:w="10" w:type="dxa"/>
              <w:bottom w:w="10" w:type="dxa"/>
              <w:right w:w="10" w:type="dxa"/>
            </w:tcMar>
            <w:vAlign w:val="bottom"/>
          </w:tcPr>
          <w:p w14:paraId="666D3341"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proofErr w:type="spellStart"/>
            <w:r>
              <w:rPr>
                <w:rFonts w:ascii="Helvetica" w:hAnsi="Helvetica"/>
                <w:color w:val="000000" w:themeColor="text1"/>
                <w:sz w:val="6"/>
              </w:rPr>
              <w:t>ae</w:t>
            </w:r>
            <w:proofErr w:type="spellEnd"/>
          </w:p>
        </w:tc>
        <w:tc>
          <w:tcPr>
            <w:tcW w:w="556" w:type="dxa"/>
            <w:tcBorders>
              <w:top w:val="single" w:sz="2" w:space="0" w:color="auto"/>
              <w:left w:val="single" w:sz="2" w:space="0" w:color="auto"/>
              <w:bottom w:val="single" w:sz="2" w:space="0" w:color="auto"/>
              <w:right w:val="single" w:sz="2" w:space="0" w:color="auto"/>
            </w:tcBorders>
            <w:tcMar>
              <w:top w:w="10" w:type="dxa"/>
              <w:left w:w="10" w:type="dxa"/>
              <w:bottom w:w="10" w:type="dxa"/>
              <w:right w:w="10" w:type="dxa"/>
            </w:tcMar>
          </w:tcPr>
          <w:p w14:paraId="065420DB"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proofErr w:type="spellStart"/>
            <w:r>
              <w:rPr>
                <w:rFonts w:ascii="Helvetica" w:hAnsi="Helvetica"/>
                <w:color w:val="000000" w:themeColor="text1"/>
                <w:sz w:val="6"/>
              </w:rPr>
              <w:t>ae</w:t>
            </w:r>
            <w:proofErr w:type="spellEnd"/>
          </w:p>
        </w:tc>
        <w:tc>
          <w:tcPr>
            <w:tcW w:w="592" w:type="dxa"/>
            <w:tcBorders>
              <w:top w:val="single" w:sz="2" w:space="0" w:color="auto"/>
              <w:left w:val="single" w:sz="2" w:space="0" w:color="auto"/>
              <w:bottom w:val="single" w:sz="2" w:space="0" w:color="auto"/>
              <w:right w:val="single" w:sz="2" w:space="0" w:color="auto"/>
            </w:tcBorders>
            <w:tcMar>
              <w:top w:w="10" w:type="dxa"/>
              <w:left w:w="10" w:type="dxa"/>
              <w:bottom w:w="10" w:type="dxa"/>
              <w:right w:w="10" w:type="dxa"/>
            </w:tcMar>
            <w:vAlign w:val="bottom"/>
          </w:tcPr>
          <w:p w14:paraId="647D15AC"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proofErr w:type="spellStart"/>
            <w:r>
              <w:rPr>
                <w:rFonts w:ascii="Helvetica" w:hAnsi="Helvetica"/>
                <w:color w:val="000000" w:themeColor="text1"/>
                <w:sz w:val="6"/>
              </w:rPr>
              <w:t>af</w:t>
            </w:r>
            <w:proofErr w:type="spellEnd"/>
          </w:p>
        </w:tc>
        <w:tc>
          <w:tcPr>
            <w:tcW w:w="541" w:type="dxa"/>
            <w:gridSpan w:val="2"/>
            <w:tcBorders>
              <w:top w:val="single" w:sz="2" w:space="0" w:color="auto"/>
              <w:left w:val="single" w:sz="2" w:space="0" w:color="auto"/>
              <w:bottom w:val="single" w:sz="2" w:space="0" w:color="auto"/>
              <w:right w:val="single" w:sz="2" w:space="0" w:color="auto"/>
            </w:tcBorders>
            <w:tcMar>
              <w:top w:w="10" w:type="dxa"/>
              <w:left w:w="10" w:type="dxa"/>
              <w:bottom w:w="10" w:type="dxa"/>
              <w:right w:w="10" w:type="dxa"/>
            </w:tcMar>
            <w:vAlign w:val="bottom"/>
          </w:tcPr>
          <w:p w14:paraId="2DB55674" w14:textId="77777777" w:rsidR="006561BA" w:rsidRDefault="005B4ED6">
            <w:pPr>
              <w:widowControl w:val="0"/>
              <w:shd w:val="clear" w:color="auto" w:fill="auto"/>
              <w:tabs>
                <w:tab w:val="left" w:pos="472"/>
                <w:tab w:val="left" w:pos="724"/>
                <w:tab w:val="left" w:pos="1037"/>
                <w:tab w:val="left" w:pos="1258"/>
                <w:tab w:val="left" w:pos="1519"/>
              </w:tabs>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ag</w:t>
            </w:r>
          </w:p>
        </w:tc>
        <w:tc>
          <w:tcPr>
            <w:tcW w:w="541" w:type="dxa"/>
            <w:tcBorders>
              <w:top w:val="single" w:sz="2" w:space="0" w:color="auto"/>
              <w:left w:val="single" w:sz="2" w:space="0" w:color="auto"/>
              <w:bottom w:val="single" w:sz="2" w:space="0" w:color="auto"/>
              <w:right w:val="single" w:sz="2" w:space="0" w:color="auto"/>
            </w:tcBorders>
            <w:vAlign w:val="bottom"/>
          </w:tcPr>
          <w:p w14:paraId="20C27A5B" w14:textId="77777777" w:rsidR="006561BA" w:rsidRDefault="005B4ED6">
            <w:pPr>
              <w:widowControl w:val="0"/>
              <w:shd w:val="clear" w:color="auto" w:fill="auto"/>
              <w:tabs>
                <w:tab w:val="left" w:pos="472"/>
                <w:tab w:val="left" w:pos="724"/>
                <w:tab w:val="left" w:pos="1037"/>
                <w:tab w:val="left" w:pos="1258"/>
                <w:tab w:val="left" w:pos="1519"/>
              </w:tabs>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ah</w:t>
            </w:r>
          </w:p>
        </w:tc>
        <w:tc>
          <w:tcPr>
            <w:tcW w:w="542" w:type="dxa"/>
            <w:gridSpan w:val="2"/>
            <w:tcBorders>
              <w:top w:val="single" w:sz="2" w:space="0" w:color="auto"/>
              <w:left w:val="single" w:sz="2" w:space="0" w:color="auto"/>
              <w:bottom w:val="single" w:sz="2" w:space="0" w:color="auto"/>
              <w:right w:val="single" w:sz="2" w:space="0" w:color="auto"/>
            </w:tcBorders>
            <w:vAlign w:val="bottom"/>
          </w:tcPr>
          <w:p w14:paraId="5FDCC335" w14:textId="77777777" w:rsidR="006561BA" w:rsidRDefault="005B4ED6">
            <w:pPr>
              <w:widowControl w:val="0"/>
              <w:shd w:val="clear" w:color="auto" w:fill="auto"/>
              <w:tabs>
                <w:tab w:val="left" w:pos="472"/>
                <w:tab w:val="left" w:pos="724"/>
                <w:tab w:val="left" w:pos="1037"/>
                <w:tab w:val="left" w:pos="1258"/>
                <w:tab w:val="left" w:pos="1519"/>
              </w:tabs>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ai</w:t>
            </w:r>
          </w:p>
        </w:tc>
        <w:tc>
          <w:tcPr>
            <w:tcW w:w="333" w:type="dxa"/>
            <w:tcBorders>
              <w:top w:val="single" w:sz="2" w:space="0" w:color="auto"/>
              <w:left w:val="single" w:sz="2" w:space="0" w:color="auto"/>
              <w:bottom w:val="single" w:sz="2" w:space="0" w:color="auto"/>
              <w:right w:val="single" w:sz="2" w:space="0" w:color="auto"/>
            </w:tcBorders>
            <w:tcMar>
              <w:top w:w="10" w:type="dxa"/>
              <w:left w:w="10" w:type="dxa"/>
              <w:bottom w:w="10" w:type="dxa"/>
              <w:right w:w="10" w:type="dxa"/>
            </w:tcMar>
            <w:vAlign w:val="bottom"/>
          </w:tcPr>
          <w:p w14:paraId="3339B367"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proofErr w:type="spellStart"/>
            <w:r>
              <w:rPr>
                <w:rFonts w:ascii="Helvetica" w:hAnsi="Helvetica"/>
                <w:color w:val="000000" w:themeColor="text1"/>
                <w:sz w:val="6"/>
              </w:rPr>
              <w:t>aj</w:t>
            </w:r>
            <w:proofErr w:type="spellEnd"/>
          </w:p>
        </w:tc>
        <w:tc>
          <w:tcPr>
            <w:tcW w:w="592" w:type="dxa"/>
            <w:tcBorders>
              <w:top w:val="single" w:sz="2" w:space="0" w:color="auto"/>
              <w:left w:val="single" w:sz="2" w:space="0" w:color="auto"/>
              <w:bottom w:val="single" w:sz="2" w:space="0" w:color="auto"/>
              <w:right w:val="single" w:sz="2" w:space="0" w:color="auto"/>
            </w:tcBorders>
            <w:tcMar>
              <w:top w:w="10" w:type="dxa"/>
              <w:left w:w="10" w:type="dxa"/>
              <w:bottom w:w="10" w:type="dxa"/>
              <w:right w:w="10" w:type="dxa"/>
            </w:tcMar>
            <w:vAlign w:val="bottom"/>
          </w:tcPr>
          <w:p w14:paraId="47A44684" w14:textId="77777777" w:rsidR="006561BA" w:rsidRDefault="005B4ED6">
            <w:pPr>
              <w:widowControl w:val="0"/>
              <w:shd w:val="clear" w:color="auto" w:fill="auto"/>
              <w:tabs>
                <w:tab w:val="left" w:pos="303"/>
              </w:tabs>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ak</w:t>
            </w:r>
          </w:p>
        </w:tc>
        <w:tc>
          <w:tcPr>
            <w:tcW w:w="556" w:type="dxa"/>
            <w:tcBorders>
              <w:top w:val="single" w:sz="2" w:space="0" w:color="auto"/>
              <w:left w:val="single" w:sz="2" w:space="0" w:color="auto"/>
              <w:bottom w:val="single" w:sz="2" w:space="0" w:color="auto"/>
              <w:right w:val="single" w:sz="2" w:space="0" w:color="auto"/>
            </w:tcBorders>
            <w:tcMar>
              <w:top w:w="10" w:type="dxa"/>
              <w:left w:w="10" w:type="dxa"/>
              <w:bottom w:w="10" w:type="dxa"/>
              <w:right w:w="10" w:type="dxa"/>
            </w:tcMar>
            <w:vAlign w:val="bottom"/>
          </w:tcPr>
          <w:p w14:paraId="04321677"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al</w:t>
            </w:r>
          </w:p>
        </w:tc>
        <w:tc>
          <w:tcPr>
            <w:tcW w:w="592" w:type="dxa"/>
            <w:tcBorders>
              <w:top w:val="single" w:sz="2" w:space="0" w:color="auto"/>
              <w:left w:val="single" w:sz="2" w:space="0" w:color="auto"/>
              <w:bottom w:val="single" w:sz="2" w:space="0" w:color="auto"/>
              <w:right w:val="single" w:sz="2" w:space="0" w:color="auto"/>
            </w:tcBorders>
            <w:tcMar>
              <w:top w:w="10" w:type="dxa"/>
              <w:left w:w="10" w:type="dxa"/>
              <w:bottom w:w="10" w:type="dxa"/>
              <w:right w:w="10" w:type="dxa"/>
            </w:tcMar>
            <w:vAlign w:val="bottom"/>
          </w:tcPr>
          <w:p w14:paraId="109484E9"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am</w:t>
            </w:r>
          </w:p>
        </w:tc>
        <w:tc>
          <w:tcPr>
            <w:tcW w:w="527" w:type="dxa"/>
            <w:tcBorders>
              <w:top w:val="single" w:sz="2" w:space="0" w:color="auto"/>
              <w:left w:val="single" w:sz="2" w:space="0" w:color="auto"/>
              <w:bottom w:val="single" w:sz="2" w:space="0" w:color="auto"/>
              <w:right w:val="single" w:sz="2" w:space="0" w:color="auto"/>
            </w:tcBorders>
            <w:tcMar>
              <w:top w:w="10" w:type="dxa"/>
              <w:left w:w="10" w:type="dxa"/>
              <w:bottom w:w="10" w:type="dxa"/>
              <w:right w:w="10" w:type="dxa"/>
            </w:tcMar>
            <w:vAlign w:val="bottom"/>
          </w:tcPr>
          <w:p w14:paraId="2CBBA288"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an</w:t>
            </w:r>
          </w:p>
        </w:tc>
        <w:tc>
          <w:tcPr>
            <w:tcW w:w="592" w:type="dxa"/>
            <w:tcBorders>
              <w:top w:val="single" w:sz="2" w:space="0" w:color="auto"/>
              <w:left w:val="single" w:sz="2" w:space="0" w:color="auto"/>
              <w:bottom w:val="single" w:sz="2" w:space="0" w:color="auto"/>
              <w:right w:val="single" w:sz="2" w:space="0" w:color="auto"/>
            </w:tcBorders>
            <w:tcMar>
              <w:top w:w="10" w:type="dxa"/>
              <w:left w:w="10" w:type="dxa"/>
              <w:bottom w:w="10" w:type="dxa"/>
              <w:right w:w="10" w:type="dxa"/>
            </w:tcMar>
            <w:vAlign w:val="bottom"/>
          </w:tcPr>
          <w:p w14:paraId="3557049D"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proofErr w:type="spellStart"/>
            <w:r>
              <w:rPr>
                <w:rFonts w:ascii="Helvetica" w:hAnsi="Helvetica"/>
                <w:color w:val="000000" w:themeColor="text1"/>
                <w:sz w:val="6"/>
              </w:rPr>
              <w:t>ao</w:t>
            </w:r>
            <w:proofErr w:type="spellEnd"/>
          </w:p>
        </w:tc>
        <w:tc>
          <w:tcPr>
            <w:tcW w:w="505" w:type="dxa"/>
            <w:tcBorders>
              <w:top w:val="single" w:sz="2" w:space="0" w:color="auto"/>
              <w:left w:val="single" w:sz="2" w:space="0" w:color="auto"/>
              <w:bottom w:val="single" w:sz="2" w:space="0" w:color="auto"/>
              <w:right w:val="single" w:sz="2" w:space="0" w:color="auto"/>
            </w:tcBorders>
            <w:tcMar>
              <w:top w:w="10" w:type="dxa"/>
              <w:left w:w="10" w:type="dxa"/>
              <w:bottom w:w="10" w:type="dxa"/>
              <w:right w:w="10" w:type="dxa"/>
            </w:tcMar>
            <w:vAlign w:val="bottom"/>
          </w:tcPr>
          <w:p w14:paraId="6658C044"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ap</w:t>
            </w:r>
          </w:p>
        </w:tc>
        <w:tc>
          <w:tcPr>
            <w:tcW w:w="332" w:type="dxa"/>
            <w:tcBorders>
              <w:top w:val="single" w:sz="2" w:space="0" w:color="auto"/>
              <w:left w:val="single" w:sz="2" w:space="0" w:color="auto"/>
              <w:bottom w:val="single" w:sz="2" w:space="0" w:color="auto"/>
              <w:right w:val="single" w:sz="2" w:space="0" w:color="auto"/>
            </w:tcBorders>
            <w:tcMar>
              <w:top w:w="10" w:type="dxa"/>
              <w:left w:w="10" w:type="dxa"/>
              <w:bottom w:w="10" w:type="dxa"/>
              <w:right w:w="10" w:type="dxa"/>
            </w:tcMar>
            <w:vAlign w:val="bottom"/>
          </w:tcPr>
          <w:p w14:paraId="75D4EA9C"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proofErr w:type="spellStart"/>
            <w:r>
              <w:rPr>
                <w:rFonts w:ascii="Helvetica" w:hAnsi="Helvetica"/>
                <w:color w:val="000000" w:themeColor="text1"/>
                <w:sz w:val="6"/>
              </w:rPr>
              <w:t>aq</w:t>
            </w:r>
            <w:proofErr w:type="spellEnd"/>
          </w:p>
        </w:tc>
        <w:tc>
          <w:tcPr>
            <w:tcW w:w="592" w:type="dxa"/>
            <w:tcBorders>
              <w:top w:val="single" w:sz="2" w:space="0" w:color="auto"/>
              <w:left w:val="single" w:sz="2" w:space="0" w:color="auto"/>
              <w:bottom w:val="single" w:sz="2" w:space="0" w:color="auto"/>
              <w:right w:val="single" w:sz="2" w:space="0" w:color="auto"/>
            </w:tcBorders>
            <w:tcMar>
              <w:top w:w="10" w:type="dxa"/>
              <w:left w:w="10" w:type="dxa"/>
              <w:bottom w:w="10" w:type="dxa"/>
              <w:right w:w="10" w:type="dxa"/>
            </w:tcMar>
            <w:vAlign w:val="bottom"/>
          </w:tcPr>
          <w:p w14:paraId="043950D2" w14:textId="77777777" w:rsidR="006561BA" w:rsidRDefault="005B4ED6">
            <w:pPr>
              <w:widowControl w:val="0"/>
              <w:shd w:val="clear" w:color="auto" w:fill="auto"/>
              <w:tabs>
                <w:tab w:val="left" w:pos="536"/>
              </w:tabs>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ar</w:t>
            </w:r>
          </w:p>
        </w:tc>
        <w:tc>
          <w:tcPr>
            <w:tcW w:w="527" w:type="dxa"/>
            <w:tcBorders>
              <w:top w:val="single" w:sz="2" w:space="0" w:color="auto"/>
              <w:left w:val="single" w:sz="2" w:space="0" w:color="auto"/>
              <w:bottom w:val="single" w:sz="2" w:space="0" w:color="auto"/>
              <w:right w:val="single" w:sz="2" w:space="0" w:color="auto"/>
            </w:tcBorders>
            <w:tcMar>
              <w:top w:w="10" w:type="dxa"/>
              <w:left w:w="10" w:type="dxa"/>
              <w:bottom w:w="10" w:type="dxa"/>
              <w:right w:w="10" w:type="dxa"/>
            </w:tcMar>
            <w:vAlign w:val="bottom"/>
          </w:tcPr>
          <w:p w14:paraId="25DE3C5E" w14:textId="77777777" w:rsidR="006561BA" w:rsidRDefault="005B4ED6">
            <w:pPr>
              <w:widowControl w:val="0"/>
              <w:shd w:val="clear" w:color="auto" w:fill="auto"/>
              <w:tabs>
                <w:tab w:val="left" w:pos="469"/>
              </w:tabs>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as</w:t>
            </w:r>
          </w:p>
        </w:tc>
        <w:tc>
          <w:tcPr>
            <w:tcW w:w="592" w:type="dxa"/>
            <w:tcBorders>
              <w:top w:val="single" w:sz="2" w:space="0" w:color="auto"/>
              <w:left w:val="single" w:sz="2" w:space="0" w:color="auto"/>
              <w:bottom w:val="single" w:sz="2" w:space="0" w:color="auto"/>
              <w:right w:val="single" w:sz="2" w:space="0" w:color="auto"/>
            </w:tcBorders>
            <w:tcMar>
              <w:top w:w="10" w:type="dxa"/>
              <w:left w:w="10" w:type="dxa"/>
              <w:bottom w:w="10" w:type="dxa"/>
              <w:right w:w="10" w:type="dxa"/>
            </w:tcMar>
            <w:vAlign w:val="bottom"/>
          </w:tcPr>
          <w:p w14:paraId="59BE9ED7" w14:textId="77777777" w:rsidR="006561BA" w:rsidRDefault="005B4ED6">
            <w:pPr>
              <w:widowControl w:val="0"/>
              <w:shd w:val="clear" w:color="auto" w:fill="auto"/>
              <w:tabs>
                <w:tab w:val="left" w:pos="300"/>
              </w:tabs>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at</w:t>
            </w:r>
          </w:p>
        </w:tc>
        <w:tc>
          <w:tcPr>
            <w:tcW w:w="527" w:type="dxa"/>
            <w:tcBorders>
              <w:top w:val="single" w:sz="2" w:space="0" w:color="auto"/>
              <w:left w:val="single" w:sz="2" w:space="0" w:color="auto"/>
              <w:bottom w:val="single" w:sz="2" w:space="0" w:color="auto"/>
              <w:right w:val="single" w:sz="2" w:space="0" w:color="auto"/>
            </w:tcBorders>
            <w:tcMar>
              <w:top w:w="10" w:type="dxa"/>
              <w:left w:w="10" w:type="dxa"/>
              <w:bottom w:w="10" w:type="dxa"/>
              <w:right w:w="10" w:type="dxa"/>
            </w:tcMar>
            <w:vAlign w:val="bottom"/>
          </w:tcPr>
          <w:p w14:paraId="00E07CE5"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au</w:t>
            </w:r>
          </w:p>
        </w:tc>
        <w:tc>
          <w:tcPr>
            <w:tcW w:w="592" w:type="dxa"/>
            <w:tcBorders>
              <w:top w:val="single" w:sz="2" w:space="0" w:color="auto"/>
              <w:left w:val="single" w:sz="2" w:space="0" w:color="auto"/>
              <w:bottom w:val="single" w:sz="2" w:space="0" w:color="auto"/>
              <w:right w:val="single" w:sz="2" w:space="0" w:color="auto"/>
            </w:tcBorders>
            <w:tcMar>
              <w:top w:w="10" w:type="dxa"/>
              <w:left w:w="10" w:type="dxa"/>
              <w:bottom w:w="10" w:type="dxa"/>
              <w:right w:w="10" w:type="dxa"/>
            </w:tcMar>
            <w:vAlign w:val="bottom"/>
          </w:tcPr>
          <w:p w14:paraId="3F24080D"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av</w:t>
            </w:r>
          </w:p>
        </w:tc>
        <w:tc>
          <w:tcPr>
            <w:tcW w:w="527" w:type="dxa"/>
            <w:tcBorders>
              <w:top w:val="single" w:sz="2" w:space="0" w:color="auto"/>
              <w:left w:val="single" w:sz="2" w:space="0" w:color="auto"/>
              <w:bottom w:val="single" w:sz="2" w:space="0" w:color="auto"/>
              <w:right w:val="single" w:sz="2" w:space="0" w:color="auto"/>
            </w:tcBorders>
            <w:tcMar>
              <w:top w:w="10" w:type="dxa"/>
              <w:left w:w="10" w:type="dxa"/>
              <w:bottom w:w="10" w:type="dxa"/>
              <w:right w:w="10" w:type="dxa"/>
            </w:tcMar>
            <w:vAlign w:val="bottom"/>
          </w:tcPr>
          <w:p w14:paraId="6455B0AA"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proofErr w:type="spellStart"/>
            <w:r>
              <w:rPr>
                <w:rFonts w:ascii="Helvetica" w:hAnsi="Helvetica"/>
                <w:color w:val="000000" w:themeColor="text1"/>
                <w:sz w:val="6"/>
              </w:rPr>
              <w:t>aw</w:t>
            </w:r>
            <w:proofErr w:type="spellEnd"/>
          </w:p>
        </w:tc>
        <w:tc>
          <w:tcPr>
            <w:tcW w:w="316" w:type="dxa"/>
            <w:tcBorders>
              <w:top w:val="single" w:sz="2" w:space="0" w:color="auto"/>
              <w:left w:val="single" w:sz="2" w:space="0" w:color="auto"/>
              <w:bottom w:val="single" w:sz="2" w:space="0" w:color="auto"/>
              <w:right w:val="single" w:sz="2" w:space="0" w:color="auto"/>
            </w:tcBorders>
            <w:tcMar>
              <w:top w:w="10" w:type="dxa"/>
              <w:left w:w="10" w:type="dxa"/>
              <w:bottom w:w="10" w:type="dxa"/>
              <w:right w:w="10" w:type="dxa"/>
            </w:tcMar>
            <w:vAlign w:val="bottom"/>
          </w:tcPr>
          <w:p w14:paraId="46675C2C"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proofErr w:type="spellStart"/>
            <w:r>
              <w:rPr>
                <w:rFonts w:ascii="Helvetica" w:hAnsi="Helvetica"/>
                <w:color w:val="000000" w:themeColor="text1"/>
                <w:sz w:val="6"/>
              </w:rPr>
              <w:t>ax</w:t>
            </w:r>
            <w:proofErr w:type="spellEnd"/>
          </w:p>
        </w:tc>
      </w:tr>
      <w:tr w:rsidR="006561BA" w:rsidRPr="00980A19" w14:paraId="178EDD48" w14:textId="77777777">
        <w:tc>
          <w:tcPr>
            <w:tcW w:w="127" w:type="dxa"/>
            <w:vMerge w:val="restart"/>
            <w:tcMar>
              <w:top w:w="10" w:type="dxa"/>
              <w:left w:w="10" w:type="dxa"/>
              <w:bottom w:w="10" w:type="dxa"/>
              <w:right w:w="10" w:type="dxa"/>
            </w:tcMar>
          </w:tcPr>
          <w:p w14:paraId="102F4125"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2515" w:type="dxa"/>
            <w:vMerge w:val="restart"/>
            <w:tcBorders>
              <w:top w:val="single" w:sz="4" w:space="0" w:color="auto"/>
              <w:left w:val="single" w:sz="4" w:space="0" w:color="auto"/>
            </w:tcBorders>
            <w:tcMar>
              <w:top w:w="10" w:type="dxa"/>
              <w:left w:w="10" w:type="dxa"/>
              <w:bottom w:w="10" w:type="dxa"/>
              <w:right w:w="10" w:type="dxa"/>
            </w:tcMar>
          </w:tcPr>
          <w:p w14:paraId="7FE2D818"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332" w:type="dxa"/>
            <w:tcBorders>
              <w:top w:val="single" w:sz="4" w:space="0" w:color="auto"/>
              <w:left w:val="single" w:sz="4" w:space="0" w:color="auto"/>
            </w:tcBorders>
            <w:shd w:val="clear" w:color="auto" w:fill="B5B5B5"/>
            <w:tcMar>
              <w:top w:w="10" w:type="dxa"/>
              <w:left w:w="10" w:type="dxa"/>
              <w:bottom w:w="10" w:type="dxa"/>
              <w:right w:w="10" w:type="dxa"/>
            </w:tcMar>
          </w:tcPr>
          <w:p w14:paraId="3C88FEA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704" w:type="dxa"/>
            <w:gridSpan w:val="9"/>
            <w:tcBorders>
              <w:top w:val="single" w:sz="2" w:space="0" w:color="auto"/>
              <w:left w:val="single" w:sz="4" w:space="0" w:color="auto"/>
            </w:tcBorders>
            <w:shd w:val="clear" w:color="auto" w:fill="B5B5B5"/>
            <w:tcMar>
              <w:top w:w="10" w:type="dxa"/>
              <w:left w:w="10" w:type="dxa"/>
              <w:bottom w:w="10" w:type="dxa"/>
              <w:right w:w="10" w:type="dxa"/>
            </w:tcMar>
            <w:vAlign w:val="bottom"/>
          </w:tcPr>
          <w:p w14:paraId="6E9D9F09" w14:textId="77777777" w:rsidR="006561BA" w:rsidRDefault="005B4ED6">
            <w:pPr>
              <w:widowControl w:val="0"/>
              <w:shd w:val="clear" w:color="auto" w:fill="auto"/>
              <w:spacing w:after="0" w:line="240" w:lineRule="auto"/>
              <w:jc w:val="center"/>
              <w:rPr>
                <w:rFonts w:ascii="Helvetica" w:eastAsia="Arial Unicode MS" w:hAnsi="Helvetica" w:cs="Times New Roman"/>
                <w:b/>
                <w:color w:val="000000" w:themeColor="text1"/>
                <w:sz w:val="6"/>
                <w:szCs w:val="6"/>
              </w:rPr>
            </w:pPr>
            <w:r>
              <w:rPr>
                <w:rFonts w:ascii="Helvetica" w:hAnsi="Helvetica"/>
                <w:b/>
                <w:color w:val="000000" w:themeColor="text1"/>
                <w:sz w:val="6"/>
              </w:rPr>
              <w:t>Forurensning (PPC)</w:t>
            </w:r>
          </w:p>
        </w:tc>
        <w:tc>
          <w:tcPr>
            <w:tcW w:w="3696" w:type="dxa"/>
            <w:gridSpan w:val="7"/>
            <w:tcBorders>
              <w:top w:val="single" w:sz="2" w:space="0" w:color="auto"/>
              <w:left w:val="single" w:sz="4" w:space="0" w:color="auto"/>
            </w:tcBorders>
            <w:shd w:val="clear" w:color="auto" w:fill="B5B5B5"/>
            <w:tcMar>
              <w:top w:w="10" w:type="dxa"/>
              <w:left w:w="10" w:type="dxa"/>
              <w:bottom w:w="10" w:type="dxa"/>
              <w:right w:w="10" w:type="dxa"/>
            </w:tcMar>
            <w:vAlign w:val="bottom"/>
          </w:tcPr>
          <w:p w14:paraId="2FEB04B9" w14:textId="77777777" w:rsidR="006561BA" w:rsidRDefault="005B4ED6">
            <w:pPr>
              <w:widowControl w:val="0"/>
              <w:shd w:val="clear" w:color="auto" w:fill="auto"/>
              <w:spacing w:after="0" w:line="240" w:lineRule="auto"/>
              <w:jc w:val="center"/>
              <w:rPr>
                <w:rFonts w:ascii="Helvetica" w:eastAsia="Arial Unicode MS" w:hAnsi="Helvetica" w:cs="Times New Roman"/>
                <w:b/>
                <w:color w:val="000000" w:themeColor="text1"/>
                <w:sz w:val="6"/>
                <w:szCs w:val="6"/>
              </w:rPr>
            </w:pPr>
            <w:r>
              <w:rPr>
                <w:rFonts w:ascii="Helvetica" w:hAnsi="Helvetica"/>
                <w:b/>
                <w:color w:val="000000" w:themeColor="text1"/>
                <w:sz w:val="6"/>
              </w:rPr>
              <w:t>Biologisk mangfold og økosystemer (BIO)</w:t>
            </w:r>
          </w:p>
        </w:tc>
        <w:tc>
          <w:tcPr>
            <w:tcW w:w="3673" w:type="dxa"/>
            <w:gridSpan w:val="7"/>
            <w:tcBorders>
              <w:top w:val="single" w:sz="2" w:space="0" w:color="auto"/>
              <w:left w:val="single" w:sz="4" w:space="0" w:color="auto"/>
              <w:right w:val="single" w:sz="4" w:space="0" w:color="auto"/>
            </w:tcBorders>
            <w:shd w:val="clear" w:color="auto" w:fill="B5B5B5"/>
            <w:tcMar>
              <w:top w:w="10" w:type="dxa"/>
              <w:left w:w="10" w:type="dxa"/>
              <w:bottom w:w="10" w:type="dxa"/>
              <w:right w:w="10" w:type="dxa"/>
            </w:tcMar>
            <w:vAlign w:val="bottom"/>
          </w:tcPr>
          <w:p w14:paraId="6620E8C6" w14:textId="77777777" w:rsidR="006561BA" w:rsidRPr="00770AA2" w:rsidRDefault="005B4ED6">
            <w:pPr>
              <w:widowControl w:val="0"/>
              <w:shd w:val="clear" w:color="auto" w:fill="auto"/>
              <w:spacing w:after="0" w:line="240" w:lineRule="auto"/>
              <w:jc w:val="center"/>
              <w:rPr>
                <w:rFonts w:ascii="Helvetica" w:eastAsia="Arial Unicode MS" w:hAnsi="Helvetica" w:cs="Times New Roman"/>
                <w:b/>
                <w:color w:val="000000" w:themeColor="text1"/>
                <w:sz w:val="6"/>
                <w:szCs w:val="6"/>
                <w:lang w:val="en-US"/>
              </w:rPr>
            </w:pPr>
            <w:r w:rsidRPr="00770AA2">
              <w:rPr>
                <w:rFonts w:ascii="Helvetica" w:hAnsi="Helvetica"/>
                <w:b/>
                <w:color w:val="000000" w:themeColor="text1"/>
                <w:sz w:val="6"/>
                <w:lang w:val="en-US"/>
              </w:rPr>
              <w:t>SUM (CCM + CCA + WTR + CE + PPC + BIO)</w:t>
            </w:r>
          </w:p>
        </w:tc>
      </w:tr>
      <w:tr w:rsidR="006561BA" w14:paraId="1D53D52D" w14:textId="77777777">
        <w:tc>
          <w:tcPr>
            <w:tcW w:w="127" w:type="dxa"/>
            <w:vMerge/>
            <w:tcMar>
              <w:top w:w="10" w:type="dxa"/>
              <w:left w:w="10" w:type="dxa"/>
              <w:bottom w:w="10" w:type="dxa"/>
              <w:right w:w="10" w:type="dxa"/>
            </w:tcMar>
          </w:tcPr>
          <w:p w14:paraId="5ECBD577"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2515" w:type="dxa"/>
            <w:vMerge/>
            <w:tcBorders>
              <w:left w:val="single" w:sz="4" w:space="0" w:color="auto"/>
            </w:tcBorders>
            <w:tcMar>
              <w:top w:w="10" w:type="dxa"/>
              <w:left w:w="10" w:type="dxa"/>
              <w:bottom w:w="10" w:type="dxa"/>
              <w:right w:w="10" w:type="dxa"/>
            </w:tcMar>
          </w:tcPr>
          <w:p w14:paraId="4CC92CEB"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332" w:type="dxa"/>
            <w:vMerge w:val="restart"/>
            <w:tcBorders>
              <w:top w:val="single" w:sz="4" w:space="0" w:color="auto"/>
              <w:left w:val="single" w:sz="4" w:space="0" w:color="auto"/>
            </w:tcBorders>
            <w:tcMar>
              <w:top w:w="10" w:type="dxa"/>
              <w:left w:w="10" w:type="dxa"/>
              <w:bottom w:w="10" w:type="dxa"/>
              <w:right w:w="10" w:type="dxa"/>
            </w:tcMar>
            <w:vAlign w:val="center"/>
          </w:tcPr>
          <w:p w14:paraId="5CCD026B"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KPI for handel</w:t>
            </w:r>
          </w:p>
        </w:tc>
        <w:tc>
          <w:tcPr>
            <w:tcW w:w="1155" w:type="dxa"/>
            <w:gridSpan w:val="2"/>
            <w:tcBorders>
              <w:top w:val="single" w:sz="4" w:space="0" w:color="auto"/>
              <w:left w:val="single" w:sz="4" w:space="0" w:color="auto"/>
            </w:tcBorders>
            <w:tcMar>
              <w:top w:w="10" w:type="dxa"/>
              <w:left w:w="10" w:type="dxa"/>
              <w:bottom w:w="10" w:type="dxa"/>
              <w:right w:w="10" w:type="dxa"/>
            </w:tcMar>
            <w:vAlign w:val="center"/>
          </w:tcPr>
          <w:p w14:paraId="3FE2B4EA"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Absolutte kjøp</w:t>
            </w:r>
          </w:p>
        </w:tc>
        <w:tc>
          <w:tcPr>
            <w:tcW w:w="1111" w:type="dxa"/>
            <w:gridSpan w:val="2"/>
            <w:tcBorders>
              <w:top w:val="single" w:sz="4" w:space="0" w:color="auto"/>
              <w:left w:val="single" w:sz="4" w:space="0" w:color="auto"/>
            </w:tcBorders>
            <w:tcMar>
              <w:top w:w="10" w:type="dxa"/>
              <w:left w:w="10" w:type="dxa"/>
              <w:bottom w:w="10" w:type="dxa"/>
              <w:right w:w="10" w:type="dxa"/>
            </w:tcMar>
            <w:vAlign w:val="center"/>
          </w:tcPr>
          <w:p w14:paraId="77433A04"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Absolutte salg</w:t>
            </w:r>
          </w:p>
        </w:tc>
        <w:tc>
          <w:tcPr>
            <w:tcW w:w="1105" w:type="dxa"/>
            <w:gridSpan w:val="4"/>
            <w:tcBorders>
              <w:top w:val="single" w:sz="4" w:space="0" w:color="auto"/>
              <w:left w:val="single" w:sz="4" w:space="0" w:color="auto"/>
            </w:tcBorders>
            <w:tcMar>
              <w:top w:w="10" w:type="dxa"/>
              <w:left w:w="10" w:type="dxa"/>
              <w:bottom w:w="10" w:type="dxa"/>
              <w:right w:w="10" w:type="dxa"/>
            </w:tcMar>
          </w:tcPr>
          <w:p w14:paraId="69159074"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Absolutte kjøp pluss absolutte salg</w:t>
            </w:r>
          </w:p>
        </w:tc>
        <w:tc>
          <w:tcPr>
            <w:tcW w:w="333" w:type="dxa"/>
            <w:vMerge w:val="restart"/>
            <w:tcBorders>
              <w:top w:val="single" w:sz="4" w:space="0" w:color="auto"/>
              <w:left w:val="single" w:sz="4" w:space="0" w:color="auto"/>
            </w:tcBorders>
            <w:tcMar>
              <w:top w:w="10" w:type="dxa"/>
              <w:left w:w="10" w:type="dxa"/>
              <w:bottom w:w="10" w:type="dxa"/>
              <w:right w:w="10" w:type="dxa"/>
            </w:tcMar>
            <w:vAlign w:val="center"/>
          </w:tcPr>
          <w:p w14:paraId="7B53ACA5"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KPI for handel</w:t>
            </w:r>
          </w:p>
        </w:tc>
        <w:tc>
          <w:tcPr>
            <w:tcW w:w="1148" w:type="dxa"/>
            <w:gridSpan w:val="2"/>
            <w:tcBorders>
              <w:top w:val="single" w:sz="4" w:space="0" w:color="auto"/>
              <w:left w:val="single" w:sz="4" w:space="0" w:color="auto"/>
            </w:tcBorders>
            <w:tcMar>
              <w:top w:w="10" w:type="dxa"/>
              <w:left w:w="10" w:type="dxa"/>
              <w:bottom w:w="10" w:type="dxa"/>
              <w:right w:w="10" w:type="dxa"/>
            </w:tcMar>
            <w:vAlign w:val="center"/>
          </w:tcPr>
          <w:p w14:paraId="54133578"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Absolutte kjøp</w:t>
            </w:r>
          </w:p>
        </w:tc>
        <w:tc>
          <w:tcPr>
            <w:tcW w:w="1119" w:type="dxa"/>
            <w:gridSpan w:val="2"/>
            <w:tcBorders>
              <w:top w:val="single" w:sz="4" w:space="0" w:color="auto"/>
              <w:left w:val="single" w:sz="4" w:space="0" w:color="auto"/>
            </w:tcBorders>
            <w:tcMar>
              <w:top w:w="10" w:type="dxa"/>
              <w:left w:w="10" w:type="dxa"/>
              <w:bottom w:w="10" w:type="dxa"/>
              <w:right w:w="10" w:type="dxa"/>
            </w:tcMar>
            <w:vAlign w:val="center"/>
          </w:tcPr>
          <w:p w14:paraId="7FF71C6C"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Absolutte salg</w:t>
            </w:r>
          </w:p>
        </w:tc>
        <w:tc>
          <w:tcPr>
            <w:tcW w:w="1097" w:type="dxa"/>
            <w:gridSpan w:val="2"/>
            <w:tcBorders>
              <w:top w:val="single" w:sz="4" w:space="0" w:color="auto"/>
              <w:left w:val="single" w:sz="4" w:space="0" w:color="auto"/>
            </w:tcBorders>
            <w:tcMar>
              <w:top w:w="10" w:type="dxa"/>
              <w:left w:w="10" w:type="dxa"/>
              <w:bottom w:w="10" w:type="dxa"/>
              <w:right w:w="10" w:type="dxa"/>
            </w:tcMar>
            <w:vAlign w:val="bottom"/>
          </w:tcPr>
          <w:p w14:paraId="460A67A6"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Absolutte kjøp pluss absolutte salg</w:t>
            </w:r>
          </w:p>
        </w:tc>
        <w:tc>
          <w:tcPr>
            <w:tcW w:w="332" w:type="dxa"/>
            <w:vMerge w:val="restart"/>
            <w:tcBorders>
              <w:top w:val="single" w:sz="4" w:space="0" w:color="auto"/>
              <w:left w:val="single" w:sz="4" w:space="0" w:color="auto"/>
            </w:tcBorders>
            <w:tcMar>
              <w:top w:w="10" w:type="dxa"/>
              <w:left w:w="10" w:type="dxa"/>
              <w:bottom w:w="10" w:type="dxa"/>
              <w:right w:w="10" w:type="dxa"/>
            </w:tcMar>
            <w:vAlign w:val="center"/>
          </w:tcPr>
          <w:p w14:paraId="1837346F"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KPI for handel</w:t>
            </w:r>
          </w:p>
        </w:tc>
        <w:tc>
          <w:tcPr>
            <w:tcW w:w="1119" w:type="dxa"/>
            <w:gridSpan w:val="2"/>
            <w:tcBorders>
              <w:top w:val="single" w:sz="4" w:space="0" w:color="auto"/>
              <w:left w:val="single" w:sz="4" w:space="0" w:color="auto"/>
            </w:tcBorders>
            <w:tcMar>
              <w:top w:w="10" w:type="dxa"/>
              <w:left w:w="10" w:type="dxa"/>
              <w:bottom w:w="10" w:type="dxa"/>
              <w:right w:w="10" w:type="dxa"/>
            </w:tcMar>
            <w:vAlign w:val="center"/>
          </w:tcPr>
          <w:p w14:paraId="18E333BC"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Absolutte kjøp</w:t>
            </w:r>
          </w:p>
        </w:tc>
        <w:tc>
          <w:tcPr>
            <w:tcW w:w="1119" w:type="dxa"/>
            <w:gridSpan w:val="2"/>
            <w:tcBorders>
              <w:top w:val="single" w:sz="4" w:space="0" w:color="auto"/>
              <w:left w:val="single" w:sz="4" w:space="0" w:color="auto"/>
            </w:tcBorders>
            <w:tcMar>
              <w:top w:w="10" w:type="dxa"/>
              <w:left w:w="10" w:type="dxa"/>
              <w:bottom w:w="10" w:type="dxa"/>
              <w:right w:w="10" w:type="dxa"/>
            </w:tcMar>
            <w:vAlign w:val="center"/>
          </w:tcPr>
          <w:p w14:paraId="5F44699E"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Absolutte salg</w:t>
            </w:r>
          </w:p>
        </w:tc>
        <w:tc>
          <w:tcPr>
            <w:tcW w:w="1119" w:type="dxa"/>
            <w:gridSpan w:val="2"/>
            <w:tcBorders>
              <w:top w:val="single" w:sz="4" w:space="0" w:color="auto"/>
              <w:left w:val="single" w:sz="4" w:space="0" w:color="auto"/>
            </w:tcBorders>
            <w:tcMar>
              <w:top w:w="10" w:type="dxa"/>
              <w:left w:w="10" w:type="dxa"/>
              <w:bottom w:w="10" w:type="dxa"/>
              <w:right w:w="10" w:type="dxa"/>
            </w:tcMar>
          </w:tcPr>
          <w:p w14:paraId="5E94C6B0"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Absolutte kjøp pluss absolutte salg</w:t>
            </w:r>
          </w:p>
        </w:tc>
        <w:tc>
          <w:tcPr>
            <w:tcW w:w="316" w:type="dxa"/>
            <w:vMerge w:val="restart"/>
            <w:tcBorders>
              <w:top w:val="single" w:sz="4" w:space="0" w:color="auto"/>
              <w:left w:val="single" w:sz="4" w:space="0" w:color="auto"/>
              <w:right w:val="single" w:sz="4" w:space="0" w:color="auto"/>
            </w:tcBorders>
            <w:tcMar>
              <w:top w:w="10" w:type="dxa"/>
              <w:left w:w="10" w:type="dxa"/>
              <w:bottom w:w="10" w:type="dxa"/>
              <w:right w:w="10" w:type="dxa"/>
            </w:tcMar>
            <w:vAlign w:val="center"/>
          </w:tcPr>
          <w:p w14:paraId="0C97242F"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KPI for handel</w:t>
            </w:r>
          </w:p>
        </w:tc>
      </w:tr>
      <w:tr w:rsidR="006561BA" w14:paraId="0EBFA34B" w14:textId="77777777">
        <w:tc>
          <w:tcPr>
            <w:tcW w:w="127" w:type="dxa"/>
            <w:vMerge/>
            <w:tcMar>
              <w:top w:w="10" w:type="dxa"/>
              <w:left w:w="10" w:type="dxa"/>
              <w:bottom w:w="10" w:type="dxa"/>
              <w:right w:w="10" w:type="dxa"/>
            </w:tcMar>
          </w:tcPr>
          <w:p w14:paraId="3425D85E"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2515" w:type="dxa"/>
            <w:vMerge/>
            <w:tcBorders>
              <w:left w:val="single" w:sz="4" w:space="0" w:color="auto"/>
            </w:tcBorders>
            <w:tcMar>
              <w:top w:w="10" w:type="dxa"/>
              <w:left w:w="10" w:type="dxa"/>
              <w:bottom w:w="10" w:type="dxa"/>
              <w:right w:w="10" w:type="dxa"/>
            </w:tcMar>
          </w:tcPr>
          <w:p w14:paraId="2AEA70C1"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332" w:type="dxa"/>
            <w:vMerge/>
            <w:tcBorders>
              <w:left w:val="single" w:sz="4" w:space="0" w:color="auto"/>
            </w:tcBorders>
            <w:tcMar>
              <w:top w:w="10" w:type="dxa"/>
              <w:left w:w="10" w:type="dxa"/>
              <w:bottom w:w="10" w:type="dxa"/>
              <w:right w:w="10" w:type="dxa"/>
            </w:tcMar>
            <w:vAlign w:val="center"/>
          </w:tcPr>
          <w:p w14:paraId="7EF4777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9" w:type="dxa"/>
            <w:tcBorders>
              <w:left w:val="single" w:sz="4" w:space="0" w:color="auto"/>
            </w:tcBorders>
            <w:tcMar>
              <w:top w:w="10" w:type="dxa"/>
              <w:left w:w="10" w:type="dxa"/>
              <w:bottom w:w="10" w:type="dxa"/>
              <w:right w:w="10" w:type="dxa"/>
            </w:tcMar>
          </w:tcPr>
          <w:p w14:paraId="039760B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6166936A"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miljømessig bærekraftige (taksonomiforenlige)</w:t>
            </w:r>
          </w:p>
        </w:tc>
        <w:tc>
          <w:tcPr>
            <w:tcW w:w="592" w:type="dxa"/>
            <w:tcBorders>
              <w:left w:val="single" w:sz="4" w:space="0" w:color="auto"/>
            </w:tcBorders>
            <w:tcMar>
              <w:top w:w="10" w:type="dxa"/>
              <w:left w:w="10" w:type="dxa"/>
              <w:bottom w:w="10" w:type="dxa"/>
              <w:right w:w="10" w:type="dxa"/>
            </w:tcMar>
          </w:tcPr>
          <w:p w14:paraId="37322D2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9" w:type="dxa"/>
            <w:tcBorders>
              <w:top w:val="single" w:sz="4" w:space="0" w:color="auto"/>
              <w:left w:val="single" w:sz="4" w:space="0" w:color="auto"/>
            </w:tcBorders>
            <w:tcMar>
              <w:top w:w="10" w:type="dxa"/>
              <w:left w:w="10" w:type="dxa"/>
              <w:bottom w:w="10" w:type="dxa"/>
              <w:right w:w="10" w:type="dxa"/>
            </w:tcMar>
            <w:vAlign w:val="bottom"/>
          </w:tcPr>
          <w:p w14:paraId="1AFB6E11"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miljømessig bærekraftige (taksonomiforenlige)</w:t>
            </w:r>
          </w:p>
        </w:tc>
        <w:tc>
          <w:tcPr>
            <w:tcW w:w="592" w:type="dxa"/>
            <w:gridSpan w:val="3"/>
            <w:tcBorders>
              <w:left w:val="single" w:sz="4" w:space="0" w:color="auto"/>
            </w:tcBorders>
            <w:tcMar>
              <w:top w:w="10" w:type="dxa"/>
              <w:left w:w="10" w:type="dxa"/>
              <w:bottom w:w="10" w:type="dxa"/>
              <w:right w:w="10" w:type="dxa"/>
            </w:tcMar>
          </w:tcPr>
          <w:p w14:paraId="3ABA326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3" w:type="dxa"/>
            <w:tcBorders>
              <w:top w:val="single" w:sz="4" w:space="0" w:color="auto"/>
              <w:left w:val="single" w:sz="4" w:space="0" w:color="auto"/>
            </w:tcBorders>
            <w:tcMar>
              <w:top w:w="10" w:type="dxa"/>
              <w:left w:w="10" w:type="dxa"/>
              <w:bottom w:w="10" w:type="dxa"/>
              <w:right w:w="10" w:type="dxa"/>
            </w:tcMar>
            <w:vAlign w:val="bottom"/>
          </w:tcPr>
          <w:p w14:paraId="142D7EE7"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miljømessig bærekraftige (taksonomiforenlige)</w:t>
            </w:r>
          </w:p>
        </w:tc>
        <w:tc>
          <w:tcPr>
            <w:tcW w:w="333" w:type="dxa"/>
            <w:vMerge/>
            <w:tcBorders>
              <w:left w:val="single" w:sz="4" w:space="0" w:color="auto"/>
            </w:tcBorders>
            <w:tcMar>
              <w:top w:w="10" w:type="dxa"/>
              <w:left w:w="10" w:type="dxa"/>
              <w:bottom w:w="10" w:type="dxa"/>
              <w:right w:w="10" w:type="dxa"/>
            </w:tcMar>
            <w:vAlign w:val="center"/>
          </w:tcPr>
          <w:p w14:paraId="306A2EB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left w:val="single" w:sz="4" w:space="0" w:color="auto"/>
            </w:tcBorders>
            <w:tcMar>
              <w:top w:w="10" w:type="dxa"/>
              <w:left w:w="10" w:type="dxa"/>
              <w:bottom w:w="10" w:type="dxa"/>
              <w:right w:w="10" w:type="dxa"/>
            </w:tcMar>
          </w:tcPr>
          <w:p w14:paraId="748E472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114C202D"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miljømessig bærekraftige (taksonomiforenlige)</w:t>
            </w:r>
          </w:p>
        </w:tc>
        <w:tc>
          <w:tcPr>
            <w:tcW w:w="592" w:type="dxa"/>
            <w:tcBorders>
              <w:left w:val="single" w:sz="4" w:space="0" w:color="auto"/>
            </w:tcBorders>
            <w:tcMar>
              <w:top w:w="10" w:type="dxa"/>
              <w:left w:w="10" w:type="dxa"/>
              <w:bottom w:w="10" w:type="dxa"/>
              <w:right w:w="10" w:type="dxa"/>
            </w:tcMar>
          </w:tcPr>
          <w:p w14:paraId="307B07A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vAlign w:val="bottom"/>
          </w:tcPr>
          <w:p w14:paraId="7AE0AEE9"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miljømessig bærekraftige (taksonomiforenlige)</w:t>
            </w:r>
          </w:p>
        </w:tc>
        <w:tc>
          <w:tcPr>
            <w:tcW w:w="592" w:type="dxa"/>
            <w:tcBorders>
              <w:left w:val="single" w:sz="4" w:space="0" w:color="auto"/>
            </w:tcBorders>
            <w:tcMar>
              <w:top w:w="10" w:type="dxa"/>
              <w:left w:w="10" w:type="dxa"/>
              <w:bottom w:w="10" w:type="dxa"/>
              <w:right w:w="10" w:type="dxa"/>
            </w:tcMar>
          </w:tcPr>
          <w:p w14:paraId="18A3116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05" w:type="dxa"/>
            <w:tcBorders>
              <w:top w:val="single" w:sz="4" w:space="0" w:color="auto"/>
              <w:left w:val="single" w:sz="4" w:space="0" w:color="auto"/>
            </w:tcBorders>
            <w:tcMar>
              <w:top w:w="10" w:type="dxa"/>
              <w:left w:w="10" w:type="dxa"/>
              <w:bottom w:w="10" w:type="dxa"/>
              <w:right w:w="10" w:type="dxa"/>
            </w:tcMar>
            <w:vAlign w:val="bottom"/>
          </w:tcPr>
          <w:p w14:paraId="42DFD138"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miljømessig bærekraftige (taksonomiforenlige)</w:t>
            </w:r>
          </w:p>
        </w:tc>
        <w:tc>
          <w:tcPr>
            <w:tcW w:w="332" w:type="dxa"/>
            <w:vMerge/>
            <w:tcBorders>
              <w:left w:val="single" w:sz="4" w:space="0" w:color="auto"/>
            </w:tcBorders>
            <w:tcMar>
              <w:top w:w="10" w:type="dxa"/>
              <w:left w:w="10" w:type="dxa"/>
              <w:bottom w:w="10" w:type="dxa"/>
              <w:right w:w="10" w:type="dxa"/>
            </w:tcMar>
            <w:vAlign w:val="center"/>
          </w:tcPr>
          <w:p w14:paraId="1F6A36A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left w:val="single" w:sz="4" w:space="0" w:color="auto"/>
            </w:tcBorders>
            <w:tcMar>
              <w:top w:w="10" w:type="dxa"/>
              <w:left w:w="10" w:type="dxa"/>
              <w:bottom w:w="10" w:type="dxa"/>
              <w:right w:w="10" w:type="dxa"/>
            </w:tcMar>
          </w:tcPr>
          <w:p w14:paraId="48BF47F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vAlign w:val="bottom"/>
          </w:tcPr>
          <w:p w14:paraId="6D38710C"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miljømessig bærekraftige (taksonomiforenlige)</w:t>
            </w:r>
          </w:p>
        </w:tc>
        <w:tc>
          <w:tcPr>
            <w:tcW w:w="592" w:type="dxa"/>
            <w:tcBorders>
              <w:left w:val="single" w:sz="4" w:space="0" w:color="auto"/>
            </w:tcBorders>
            <w:tcMar>
              <w:top w:w="10" w:type="dxa"/>
              <w:left w:w="10" w:type="dxa"/>
              <w:bottom w:w="10" w:type="dxa"/>
              <w:right w:w="10" w:type="dxa"/>
            </w:tcMar>
          </w:tcPr>
          <w:p w14:paraId="2955BA8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vAlign w:val="bottom"/>
          </w:tcPr>
          <w:p w14:paraId="58E23099"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miljømessig bærekraftige (taksonomiforenlige)</w:t>
            </w:r>
          </w:p>
        </w:tc>
        <w:tc>
          <w:tcPr>
            <w:tcW w:w="592" w:type="dxa"/>
            <w:tcBorders>
              <w:left w:val="single" w:sz="4" w:space="0" w:color="auto"/>
            </w:tcBorders>
            <w:tcMar>
              <w:top w:w="10" w:type="dxa"/>
              <w:left w:w="10" w:type="dxa"/>
              <w:bottom w:w="10" w:type="dxa"/>
              <w:right w:w="10" w:type="dxa"/>
            </w:tcMar>
          </w:tcPr>
          <w:p w14:paraId="786F501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vAlign w:val="bottom"/>
          </w:tcPr>
          <w:p w14:paraId="615FB15B"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miljømessig bærekraftige (taksonomiforenlige)</w:t>
            </w:r>
          </w:p>
        </w:tc>
        <w:tc>
          <w:tcPr>
            <w:tcW w:w="316" w:type="dxa"/>
            <w:vMerge/>
            <w:tcBorders>
              <w:left w:val="single" w:sz="4" w:space="0" w:color="auto"/>
              <w:right w:val="single" w:sz="4" w:space="0" w:color="auto"/>
            </w:tcBorders>
            <w:tcMar>
              <w:top w:w="10" w:type="dxa"/>
              <w:left w:w="10" w:type="dxa"/>
              <w:bottom w:w="10" w:type="dxa"/>
              <w:right w:w="10" w:type="dxa"/>
            </w:tcMar>
            <w:vAlign w:val="center"/>
          </w:tcPr>
          <w:p w14:paraId="2F23E2C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71D0DBBA" w14:textId="77777777">
        <w:tc>
          <w:tcPr>
            <w:tcW w:w="127" w:type="dxa"/>
            <w:tcBorders>
              <w:top w:val="single" w:sz="4" w:space="0" w:color="auto"/>
              <w:left w:val="single" w:sz="4" w:space="0" w:color="auto"/>
            </w:tcBorders>
            <w:tcMar>
              <w:top w:w="10" w:type="dxa"/>
              <w:left w:w="10" w:type="dxa"/>
              <w:bottom w:w="10" w:type="dxa"/>
              <w:right w:w="10" w:type="dxa"/>
            </w:tcMar>
          </w:tcPr>
          <w:p w14:paraId="68E83428"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1</w:t>
            </w:r>
          </w:p>
        </w:tc>
        <w:tc>
          <w:tcPr>
            <w:tcW w:w="2515" w:type="dxa"/>
            <w:tcBorders>
              <w:top w:val="single" w:sz="4" w:space="0" w:color="auto"/>
              <w:left w:val="single" w:sz="4" w:space="0" w:color="auto"/>
            </w:tcBorders>
            <w:tcMar>
              <w:top w:w="10" w:type="dxa"/>
              <w:left w:w="10" w:type="dxa"/>
              <w:bottom w:w="10" w:type="dxa"/>
              <w:right w:w="10" w:type="dxa"/>
            </w:tcMar>
          </w:tcPr>
          <w:p w14:paraId="2F25E06A" w14:textId="77777777" w:rsidR="006561BA" w:rsidRDefault="005B4ED6">
            <w:pPr>
              <w:widowControl w:val="0"/>
              <w:shd w:val="clear" w:color="auto" w:fill="auto"/>
              <w:spacing w:after="0" w:line="240" w:lineRule="auto"/>
              <w:jc w:val="left"/>
              <w:rPr>
                <w:rFonts w:ascii="Helvetica" w:eastAsia="Arial Unicode MS" w:hAnsi="Helvetica" w:cs="Times New Roman"/>
                <w:b/>
                <w:color w:val="000000" w:themeColor="text1"/>
                <w:sz w:val="6"/>
                <w:szCs w:val="6"/>
                <w:u w:val="single"/>
              </w:rPr>
            </w:pPr>
            <w:r>
              <w:rPr>
                <w:rFonts w:ascii="Helvetica" w:hAnsi="Helvetica"/>
                <w:b/>
                <w:color w:val="000000" w:themeColor="text1"/>
                <w:sz w:val="6"/>
                <w:u w:val="single"/>
              </w:rPr>
              <w:t>Finansielle eiendeler som innehas for handelsformål (gjeldsinstrumenter og egenkapitalinstrumenter) – Foretak som er omfattet av direktivet om ikke-finansiell rapportering</w:t>
            </w:r>
          </w:p>
        </w:tc>
        <w:tc>
          <w:tcPr>
            <w:tcW w:w="332" w:type="dxa"/>
            <w:tcBorders>
              <w:top w:val="single" w:sz="4" w:space="0" w:color="auto"/>
              <w:left w:val="single" w:sz="4" w:space="0" w:color="auto"/>
            </w:tcBorders>
            <w:tcMar>
              <w:top w:w="10" w:type="dxa"/>
              <w:left w:w="10" w:type="dxa"/>
              <w:bottom w:w="10" w:type="dxa"/>
              <w:right w:w="10" w:type="dxa"/>
            </w:tcMar>
          </w:tcPr>
          <w:p w14:paraId="5B1EFBFA"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99" w:type="dxa"/>
            <w:tcBorders>
              <w:top w:val="single" w:sz="4" w:space="0" w:color="auto"/>
              <w:left w:val="single" w:sz="4" w:space="0" w:color="auto"/>
            </w:tcBorders>
            <w:tcMar>
              <w:top w:w="10" w:type="dxa"/>
              <w:left w:w="10" w:type="dxa"/>
              <w:bottom w:w="10" w:type="dxa"/>
              <w:right w:w="10" w:type="dxa"/>
            </w:tcMar>
          </w:tcPr>
          <w:p w14:paraId="4EB58BDF"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56" w:type="dxa"/>
            <w:tcBorders>
              <w:top w:val="single" w:sz="4" w:space="0" w:color="auto"/>
              <w:left w:val="single" w:sz="4" w:space="0" w:color="auto"/>
            </w:tcBorders>
            <w:tcMar>
              <w:top w:w="10" w:type="dxa"/>
              <w:left w:w="10" w:type="dxa"/>
              <w:bottom w:w="10" w:type="dxa"/>
              <w:right w:w="10" w:type="dxa"/>
            </w:tcMar>
          </w:tcPr>
          <w:p w14:paraId="25C3D2FD"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92" w:type="dxa"/>
            <w:tcBorders>
              <w:top w:val="single" w:sz="4" w:space="0" w:color="auto"/>
              <w:left w:val="single" w:sz="4" w:space="0" w:color="auto"/>
            </w:tcBorders>
            <w:tcMar>
              <w:top w:w="10" w:type="dxa"/>
              <w:left w:w="10" w:type="dxa"/>
              <w:bottom w:w="10" w:type="dxa"/>
              <w:right w:w="10" w:type="dxa"/>
            </w:tcMar>
          </w:tcPr>
          <w:p w14:paraId="6481F9BE"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19" w:type="dxa"/>
            <w:tcBorders>
              <w:top w:val="single" w:sz="4" w:space="0" w:color="auto"/>
              <w:left w:val="single" w:sz="4" w:space="0" w:color="auto"/>
            </w:tcBorders>
            <w:tcMar>
              <w:top w:w="10" w:type="dxa"/>
              <w:left w:w="10" w:type="dxa"/>
              <w:bottom w:w="10" w:type="dxa"/>
              <w:right w:w="10" w:type="dxa"/>
            </w:tcMar>
          </w:tcPr>
          <w:p w14:paraId="6956D2F3"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92" w:type="dxa"/>
            <w:gridSpan w:val="3"/>
            <w:tcBorders>
              <w:top w:val="single" w:sz="4" w:space="0" w:color="auto"/>
              <w:left w:val="single" w:sz="4" w:space="0" w:color="auto"/>
            </w:tcBorders>
            <w:tcMar>
              <w:top w:w="10" w:type="dxa"/>
              <w:left w:w="10" w:type="dxa"/>
              <w:bottom w:w="10" w:type="dxa"/>
              <w:right w:w="10" w:type="dxa"/>
            </w:tcMar>
          </w:tcPr>
          <w:p w14:paraId="42E7A7D1"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13" w:type="dxa"/>
            <w:tcBorders>
              <w:top w:val="single" w:sz="4" w:space="0" w:color="auto"/>
              <w:left w:val="single" w:sz="4" w:space="0" w:color="auto"/>
            </w:tcBorders>
            <w:tcMar>
              <w:top w:w="10" w:type="dxa"/>
              <w:left w:w="10" w:type="dxa"/>
              <w:bottom w:w="10" w:type="dxa"/>
              <w:right w:w="10" w:type="dxa"/>
            </w:tcMar>
          </w:tcPr>
          <w:p w14:paraId="4C1DDA36"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333" w:type="dxa"/>
            <w:tcBorders>
              <w:top w:val="single" w:sz="4" w:space="0" w:color="auto"/>
              <w:left w:val="single" w:sz="4" w:space="0" w:color="auto"/>
            </w:tcBorders>
            <w:tcMar>
              <w:top w:w="10" w:type="dxa"/>
              <w:left w:w="10" w:type="dxa"/>
              <w:bottom w:w="10" w:type="dxa"/>
              <w:right w:w="10" w:type="dxa"/>
            </w:tcMar>
          </w:tcPr>
          <w:p w14:paraId="304928ED"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92" w:type="dxa"/>
            <w:tcBorders>
              <w:top w:val="single" w:sz="4" w:space="0" w:color="auto"/>
              <w:left w:val="single" w:sz="4" w:space="0" w:color="auto"/>
            </w:tcBorders>
            <w:tcMar>
              <w:top w:w="10" w:type="dxa"/>
              <w:left w:w="10" w:type="dxa"/>
              <w:bottom w:w="10" w:type="dxa"/>
              <w:right w:w="10" w:type="dxa"/>
            </w:tcMar>
          </w:tcPr>
          <w:p w14:paraId="01B3E7BD"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56" w:type="dxa"/>
            <w:tcBorders>
              <w:top w:val="single" w:sz="4" w:space="0" w:color="auto"/>
              <w:left w:val="single" w:sz="4" w:space="0" w:color="auto"/>
            </w:tcBorders>
            <w:tcMar>
              <w:top w:w="10" w:type="dxa"/>
              <w:left w:w="10" w:type="dxa"/>
              <w:bottom w:w="10" w:type="dxa"/>
              <w:right w:w="10" w:type="dxa"/>
            </w:tcMar>
          </w:tcPr>
          <w:p w14:paraId="6DCDF6C1"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92" w:type="dxa"/>
            <w:tcBorders>
              <w:top w:val="single" w:sz="4" w:space="0" w:color="auto"/>
              <w:left w:val="single" w:sz="4" w:space="0" w:color="auto"/>
            </w:tcBorders>
            <w:tcMar>
              <w:top w:w="10" w:type="dxa"/>
              <w:left w:w="10" w:type="dxa"/>
              <w:bottom w:w="10" w:type="dxa"/>
              <w:right w:w="10" w:type="dxa"/>
            </w:tcMar>
          </w:tcPr>
          <w:p w14:paraId="118033B1"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27" w:type="dxa"/>
            <w:tcBorders>
              <w:top w:val="single" w:sz="4" w:space="0" w:color="auto"/>
              <w:left w:val="single" w:sz="4" w:space="0" w:color="auto"/>
            </w:tcBorders>
            <w:tcMar>
              <w:top w:w="10" w:type="dxa"/>
              <w:left w:w="10" w:type="dxa"/>
              <w:bottom w:w="10" w:type="dxa"/>
              <w:right w:w="10" w:type="dxa"/>
            </w:tcMar>
          </w:tcPr>
          <w:p w14:paraId="7E4BD527"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92" w:type="dxa"/>
            <w:tcBorders>
              <w:top w:val="single" w:sz="4" w:space="0" w:color="auto"/>
              <w:left w:val="single" w:sz="4" w:space="0" w:color="auto"/>
            </w:tcBorders>
            <w:tcMar>
              <w:top w:w="10" w:type="dxa"/>
              <w:left w:w="10" w:type="dxa"/>
              <w:bottom w:w="10" w:type="dxa"/>
              <w:right w:w="10" w:type="dxa"/>
            </w:tcMar>
          </w:tcPr>
          <w:p w14:paraId="3E3D40CA"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05" w:type="dxa"/>
            <w:tcBorders>
              <w:top w:val="single" w:sz="4" w:space="0" w:color="auto"/>
              <w:left w:val="single" w:sz="4" w:space="0" w:color="auto"/>
            </w:tcBorders>
            <w:tcMar>
              <w:top w:w="10" w:type="dxa"/>
              <w:left w:w="10" w:type="dxa"/>
              <w:bottom w:w="10" w:type="dxa"/>
              <w:right w:w="10" w:type="dxa"/>
            </w:tcMar>
          </w:tcPr>
          <w:p w14:paraId="4EEB5688"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332" w:type="dxa"/>
            <w:tcBorders>
              <w:top w:val="single" w:sz="4" w:space="0" w:color="auto"/>
              <w:left w:val="single" w:sz="4" w:space="0" w:color="auto"/>
            </w:tcBorders>
            <w:tcMar>
              <w:top w:w="10" w:type="dxa"/>
              <w:left w:w="10" w:type="dxa"/>
              <w:bottom w:w="10" w:type="dxa"/>
              <w:right w:w="10" w:type="dxa"/>
            </w:tcMar>
          </w:tcPr>
          <w:p w14:paraId="35636E62"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92" w:type="dxa"/>
            <w:tcBorders>
              <w:top w:val="single" w:sz="4" w:space="0" w:color="auto"/>
              <w:left w:val="single" w:sz="4" w:space="0" w:color="auto"/>
            </w:tcBorders>
            <w:tcMar>
              <w:top w:w="10" w:type="dxa"/>
              <w:left w:w="10" w:type="dxa"/>
              <w:bottom w:w="10" w:type="dxa"/>
              <w:right w:w="10" w:type="dxa"/>
            </w:tcMar>
          </w:tcPr>
          <w:p w14:paraId="428E6A50"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27" w:type="dxa"/>
            <w:tcBorders>
              <w:top w:val="single" w:sz="4" w:space="0" w:color="auto"/>
              <w:left w:val="single" w:sz="4" w:space="0" w:color="auto"/>
            </w:tcBorders>
            <w:tcMar>
              <w:top w:w="10" w:type="dxa"/>
              <w:left w:w="10" w:type="dxa"/>
              <w:bottom w:w="10" w:type="dxa"/>
              <w:right w:w="10" w:type="dxa"/>
            </w:tcMar>
          </w:tcPr>
          <w:p w14:paraId="6C914831"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92" w:type="dxa"/>
            <w:tcBorders>
              <w:top w:val="single" w:sz="4" w:space="0" w:color="auto"/>
              <w:left w:val="single" w:sz="4" w:space="0" w:color="auto"/>
            </w:tcBorders>
            <w:tcMar>
              <w:top w:w="10" w:type="dxa"/>
              <w:left w:w="10" w:type="dxa"/>
              <w:bottom w:w="10" w:type="dxa"/>
              <w:right w:w="10" w:type="dxa"/>
            </w:tcMar>
          </w:tcPr>
          <w:p w14:paraId="1C8B646F"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27" w:type="dxa"/>
            <w:tcBorders>
              <w:top w:val="single" w:sz="4" w:space="0" w:color="auto"/>
              <w:left w:val="single" w:sz="4" w:space="0" w:color="auto"/>
            </w:tcBorders>
            <w:tcMar>
              <w:top w:w="10" w:type="dxa"/>
              <w:left w:w="10" w:type="dxa"/>
              <w:bottom w:w="10" w:type="dxa"/>
              <w:right w:w="10" w:type="dxa"/>
            </w:tcMar>
          </w:tcPr>
          <w:p w14:paraId="2A98A7B4"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92" w:type="dxa"/>
            <w:tcBorders>
              <w:top w:val="single" w:sz="4" w:space="0" w:color="auto"/>
              <w:left w:val="single" w:sz="4" w:space="0" w:color="auto"/>
            </w:tcBorders>
            <w:tcMar>
              <w:top w:w="10" w:type="dxa"/>
              <w:left w:w="10" w:type="dxa"/>
              <w:bottom w:w="10" w:type="dxa"/>
              <w:right w:w="10" w:type="dxa"/>
            </w:tcMar>
          </w:tcPr>
          <w:p w14:paraId="3D6672C4"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27" w:type="dxa"/>
            <w:tcBorders>
              <w:top w:val="single" w:sz="4" w:space="0" w:color="auto"/>
              <w:left w:val="single" w:sz="4" w:space="0" w:color="auto"/>
            </w:tcBorders>
            <w:tcMar>
              <w:top w:w="10" w:type="dxa"/>
              <w:left w:w="10" w:type="dxa"/>
              <w:bottom w:w="10" w:type="dxa"/>
              <w:right w:w="10" w:type="dxa"/>
            </w:tcMar>
          </w:tcPr>
          <w:p w14:paraId="1E4DA2E5"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316" w:type="dxa"/>
            <w:tcBorders>
              <w:top w:val="single" w:sz="4" w:space="0" w:color="auto"/>
              <w:left w:val="single" w:sz="4" w:space="0" w:color="auto"/>
              <w:right w:val="single" w:sz="4" w:space="0" w:color="auto"/>
            </w:tcBorders>
            <w:tcMar>
              <w:top w:w="10" w:type="dxa"/>
              <w:left w:w="10" w:type="dxa"/>
              <w:bottom w:w="10" w:type="dxa"/>
              <w:right w:w="10" w:type="dxa"/>
            </w:tcMar>
          </w:tcPr>
          <w:p w14:paraId="236EEEEE"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r>
      <w:tr w:rsidR="006561BA" w14:paraId="62D3D6B8" w14:textId="77777777">
        <w:tc>
          <w:tcPr>
            <w:tcW w:w="127" w:type="dxa"/>
            <w:tcBorders>
              <w:left w:val="single" w:sz="4" w:space="0" w:color="auto"/>
            </w:tcBorders>
            <w:tcMar>
              <w:top w:w="10" w:type="dxa"/>
              <w:left w:w="10" w:type="dxa"/>
              <w:bottom w:w="10" w:type="dxa"/>
              <w:right w:w="10" w:type="dxa"/>
            </w:tcMar>
          </w:tcPr>
          <w:p w14:paraId="748A6268"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2</w:t>
            </w:r>
          </w:p>
        </w:tc>
        <w:tc>
          <w:tcPr>
            <w:tcW w:w="2515" w:type="dxa"/>
            <w:tcBorders>
              <w:top w:val="single" w:sz="4" w:space="0" w:color="auto"/>
              <w:left w:val="single" w:sz="4" w:space="0" w:color="auto"/>
            </w:tcBorders>
            <w:tcMar>
              <w:top w:w="10" w:type="dxa"/>
              <w:left w:w="10" w:type="dxa"/>
              <w:bottom w:w="10" w:type="dxa"/>
              <w:right w:w="10" w:type="dxa"/>
            </w:tcMar>
          </w:tcPr>
          <w:p w14:paraId="7BEE2916" w14:textId="77777777" w:rsidR="006561BA" w:rsidRDefault="005B4ED6">
            <w:pPr>
              <w:widowControl w:val="0"/>
              <w:shd w:val="clear" w:color="auto" w:fill="auto"/>
              <w:spacing w:after="0" w:line="240" w:lineRule="auto"/>
              <w:ind w:left="160"/>
              <w:jc w:val="left"/>
              <w:rPr>
                <w:rFonts w:ascii="Helvetica" w:eastAsia="Arial Unicode MS" w:hAnsi="Helvetica" w:cs="Times New Roman"/>
                <w:b/>
                <w:color w:val="000000" w:themeColor="text1"/>
                <w:sz w:val="6"/>
                <w:szCs w:val="6"/>
              </w:rPr>
            </w:pPr>
            <w:r>
              <w:rPr>
                <w:rFonts w:ascii="Helvetica" w:hAnsi="Helvetica"/>
                <w:b/>
                <w:color w:val="000000" w:themeColor="text1"/>
                <w:sz w:val="6"/>
              </w:rPr>
              <w:t>Finansforetak</w:t>
            </w:r>
          </w:p>
        </w:tc>
        <w:tc>
          <w:tcPr>
            <w:tcW w:w="332" w:type="dxa"/>
            <w:tcBorders>
              <w:top w:val="single" w:sz="4" w:space="0" w:color="auto"/>
              <w:left w:val="single" w:sz="4" w:space="0" w:color="auto"/>
            </w:tcBorders>
            <w:tcMar>
              <w:top w:w="10" w:type="dxa"/>
              <w:left w:w="10" w:type="dxa"/>
              <w:bottom w:w="10" w:type="dxa"/>
              <w:right w:w="10" w:type="dxa"/>
            </w:tcMar>
          </w:tcPr>
          <w:p w14:paraId="7AAB343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9" w:type="dxa"/>
            <w:tcBorders>
              <w:top w:val="single" w:sz="4" w:space="0" w:color="auto"/>
              <w:left w:val="single" w:sz="4" w:space="0" w:color="auto"/>
            </w:tcBorders>
            <w:tcMar>
              <w:top w:w="10" w:type="dxa"/>
              <w:left w:w="10" w:type="dxa"/>
              <w:bottom w:w="10" w:type="dxa"/>
              <w:right w:w="10" w:type="dxa"/>
            </w:tcMar>
          </w:tcPr>
          <w:p w14:paraId="14FE17B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72E182B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5060137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9" w:type="dxa"/>
            <w:tcBorders>
              <w:top w:val="single" w:sz="4" w:space="0" w:color="auto"/>
              <w:left w:val="single" w:sz="4" w:space="0" w:color="auto"/>
            </w:tcBorders>
            <w:tcMar>
              <w:top w:w="10" w:type="dxa"/>
              <w:left w:w="10" w:type="dxa"/>
              <w:bottom w:w="10" w:type="dxa"/>
              <w:right w:w="10" w:type="dxa"/>
            </w:tcMar>
          </w:tcPr>
          <w:p w14:paraId="10D6F78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gridSpan w:val="3"/>
            <w:tcBorders>
              <w:top w:val="single" w:sz="4" w:space="0" w:color="auto"/>
              <w:left w:val="single" w:sz="4" w:space="0" w:color="auto"/>
            </w:tcBorders>
            <w:tcMar>
              <w:top w:w="10" w:type="dxa"/>
              <w:left w:w="10" w:type="dxa"/>
              <w:bottom w:w="10" w:type="dxa"/>
              <w:right w:w="10" w:type="dxa"/>
            </w:tcMar>
          </w:tcPr>
          <w:p w14:paraId="21E293D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3" w:type="dxa"/>
            <w:tcBorders>
              <w:top w:val="single" w:sz="4" w:space="0" w:color="auto"/>
              <w:left w:val="single" w:sz="4" w:space="0" w:color="auto"/>
            </w:tcBorders>
            <w:tcMar>
              <w:top w:w="10" w:type="dxa"/>
              <w:left w:w="10" w:type="dxa"/>
              <w:bottom w:w="10" w:type="dxa"/>
              <w:right w:w="10" w:type="dxa"/>
            </w:tcMar>
          </w:tcPr>
          <w:p w14:paraId="0C4F6A5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3" w:type="dxa"/>
            <w:tcBorders>
              <w:top w:val="single" w:sz="4" w:space="0" w:color="auto"/>
              <w:left w:val="single" w:sz="4" w:space="0" w:color="auto"/>
            </w:tcBorders>
            <w:tcMar>
              <w:top w:w="10" w:type="dxa"/>
              <w:left w:w="10" w:type="dxa"/>
              <w:bottom w:w="10" w:type="dxa"/>
              <w:right w:w="10" w:type="dxa"/>
            </w:tcMar>
          </w:tcPr>
          <w:p w14:paraId="5DB04CE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4F82E89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6C2215A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72A5092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405DB9A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66A8C97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05" w:type="dxa"/>
            <w:tcBorders>
              <w:top w:val="single" w:sz="4" w:space="0" w:color="auto"/>
              <w:left w:val="single" w:sz="4" w:space="0" w:color="auto"/>
            </w:tcBorders>
            <w:tcMar>
              <w:top w:w="10" w:type="dxa"/>
              <w:left w:w="10" w:type="dxa"/>
              <w:bottom w:w="10" w:type="dxa"/>
              <w:right w:w="10" w:type="dxa"/>
            </w:tcMar>
          </w:tcPr>
          <w:p w14:paraId="7446774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2" w:type="dxa"/>
            <w:tcBorders>
              <w:top w:val="single" w:sz="4" w:space="0" w:color="auto"/>
              <w:left w:val="single" w:sz="4" w:space="0" w:color="auto"/>
            </w:tcBorders>
            <w:tcMar>
              <w:top w:w="10" w:type="dxa"/>
              <w:left w:w="10" w:type="dxa"/>
              <w:bottom w:w="10" w:type="dxa"/>
              <w:right w:w="10" w:type="dxa"/>
            </w:tcMar>
          </w:tcPr>
          <w:p w14:paraId="4E59F75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6C71BE4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629CD00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34E585A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6445C4E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639F3B8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6EBB04E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16" w:type="dxa"/>
            <w:tcBorders>
              <w:top w:val="single" w:sz="4" w:space="0" w:color="auto"/>
              <w:left w:val="single" w:sz="4" w:space="0" w:color="auto"/>
              <w:right w:val="single" w:sz="4" w:space="0" w:color="auto"/>
            </w:tcBorders>
            <w:tcMar>
              <w:top w:w="10" w:type="dxa"/>
              <w:left w:w="10" w:type="dxa"/>
              <w:bottom w:w="10" w:type="dxa"/>
              <w:right w:w="10" w:type="dxa"/>
            </w:tcMar>
          </w:tcPr>
          <w:p w14:paraId="17B701F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2DB1D540" w14:textId="77777777">
        <w:tc>
          <w:tcPr>
            <w:tcW w:w="127" w:type="dxa"/>
            <w:tcBorders>
              <w:top w:val="single" w:sz="4" w:space="0" w:color="auto"/>
              <w:left w:val="single" w:sz="4" w:space="0" w:color="auto"/>
            </w:tcBorders>
            <w:tcMar>
              <w:top w:w="10" w:type="dxa"/>
              <w:left w:w="10" w:type="dxa"/>
              <w:bottom w:w="10" w:type="dxa"/>
              <w:right w:w="10" w:type="dxa"/>
            </w:tcMar>
          </w:tcPr>
          <w:p w14:paraId="73E13731"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3</w:t>
            </w:r>
          </w:p>
        </w:tc>
        <w:tc>
          <w:tcPr>
            <w:tcW w:w="2515" w:type="dxa"/>
            <w:tcBorders>
              <w:top w:val="single" w:sz="4" w:space="0" w:color="auto"/>
              <w:left w:val="single" w:sz="4" w:space="0" w:color="auto"/>
            </w:tcBorders>
            <w:tcMar>
              <w:top w:w="10" w:type="dxa"/>
              <w:left w:w="10" w:type="dxa"/>
              <w:bottom w:w="10" w:type="dxa"/>
              <w:right w:w="10" w:type="dxa"/>
            </w:tcMar>
          </w:tcPr>
          <w:p w14:paraId="220F57A7" w14:textId="77777777" w:rsidR="006561BA" w:rsidRDefault="005B4ED6">
            <w:pPr>
              <w:widowControl w:val="0"/>
              <w:shd w:val="clear" w:color="auto" w:fill="auto"/>
              <w:spacing w:after="0" w:line="240" w:lineRule="auto"/>
              <w:ind w:left="200"/>
              <w:jc w:val="left"/>
              <w:rPr>
                <w:rFonts w:ascii="Helvetica" w:eastAsia="Arial Unicode MS" w:hAnsi="Helvetica" w:cs="Times New Roman"/>
                <w:color w:val="000000" w:themeColor="text1"/>
                <w:sz w:val="6"/>
                <w:szCs w:val="6"/>
              </w:rPr>
            </w:pPr>
            <w:r>
              <w:rPr>
                <w:rFonts w:ascii="Helvetica" w:hAnsi="Helvetica"/>
                <w:color w:val="000000" w:themeColor="text1"/>
                <w:sz w:val="6"/>
              </w:rPr>
              <w:t>Kredittinstitusjoner</w:t>
            </w:r>
          </w:p>
        </w:tc>
        <w:tc>
          <w:tcPr>
            <w:tcW w:w="332" w:type="dxa"/>
            <w:tcBorders>
              <w:top w:val="single" w:sz="4" w:space="0" w:color="auto"/>
              <w:left w:val="single" w:sz="4" w:space="0" w:color="auto"/>
            </w:tcBorders>
            <w:tcMar>
              <w:top w:w="10" w:type="dxa"/>
              <w:left w:w="10" w:type="dxa"/>
              <w:bottom w:w="10" w:type="dxa"/>
              <w:right w:w="10" w:type="dxa"/>
            </w:tcMar>
          </w:tcPr>
          <w:p w14:paraId="41A2571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9" w:type="dxa"/>
            <w:tcBorders>
              <w:top w:val="single" w:sz="4" w:space="0" w:color="auto"/>
              <w:left w:val="single" w:sz="4" w:space="0" w:color="auto"/>
            </w:tcBorders>
            <w:tcMar>
              <w:top w:w="10" w:type="dxa"/>
              <w:left w:w="10" w:type="dxa"/>
              <w:bottom w:w="10" w:type="dxa"/>
              <w:right w:w="10" w:type="dxa"/>
            </w:tcMar>
          </w:tcPr>
          <w:p w14:paraId="0BF3FAC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29E7791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301CF29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9" w:type="dxa"/>
            <w:tcBorders>
              <w:top w:val="single" w:sz="4" w:space="0" w:color="auto"/>
              <w:left w:val="single" w:sz="4" w:space="0" w:color="auto"/>
            </w:tcBorders>
            <w:tcMar>
              <w:top w:w="10" w:type="dxa"/>
              <w:left w:w="10" w:type="dxa"/>
              <w:bottom w:w="10" w:type="dxa"/>
              <w:right w:w="10" w:type="dxa"/>
            </w:tcMar>
          </w:tcPr>
          <w:p w14:paraId="6193947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gridSpan w:val="3"/>
            <w:tcBorders>
              <w:top w:val="single" w:sz="4" w:space="0" w:color="auto"/>
              <w:left w:val="single" w:sz="4" w:space="0" w:color="auto"/>
            </w:tcBorders>
            <w:tcMar>
              <w:top w:w="10" w:type="dxa"/>
              <w:left w:w="10" w:type="dxa"/>
              <w:bottom w:w="10" w:type="dxa"/>
              <w:right w:w="10" w:type="dxa"/>
            </w:tcMar>
          </w:tcPr>
          <w:p w14:paraId="75B4BFD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3" w:type="dxa"/>
            <w:tcBorders>
              <w:top w:val="single" w:sz="4" w:space="0" w:color="auto"/>
              <w:left w:val="single" w:sz="4" w:space="0" w:color="auto"/>
            </w:tcBorders>
            <w:tcMar>
              <w:top w:w="10" w:type="dxa"/>
              <w:left w:w="10" w:type="dxa"/>
              <w:bottom w:w="10" w:type="dxa"/>
              <w:right w:w="10" w:type="dxa"/>
            </w:tcMar>
          </w:tcPr>
          <w:p w14:paraId="322FECE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3" w:type="dxa"/>
            <w:tcBorders>
              <w:top w:val="single" w:sz="4" w:space="0" w:color="auto"/>
              <w:left w:val="single" w:sz="4" w:space="0" w:color="auto"/>
            </w:tcBorders>
            <w:tcMar>
              <w:top w:w="10" w:type="dxa"/>
              <w:left w:w="10" w:type="dxa"/>
              <w:bottom w:w="10" w:type="dxa"/>
              <w:right w:w="10" w:type="dxa"/>
            </w:tcMar>
          </w:tcPr>
          <w:p w14:paraId="739F248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3B48BF4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70E00E2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5E8B701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2658FE4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3F1E9E7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05" w:type="dxa"/>
            <w:tcBorders>
              <w:top w:val="single" w:sz="4" w:space="0" w:color="auto"/>
              <w:left w:val="single" w:sz="4" w:space="0" w:color="auto"/>
            </w:tcBorders>
            <w:tcMar>
              <w:top w:w="10" w:type="dxa"/>
              <w:left w:w="10" w:type="dxa"/>
              <w:bottom w:w="10" w:type="dxa"/>
              <w:right w:w="10" w:type="dxa"/>
            </w:tcMar>
          </w:tcPr>
          <w:p w14:paraId="14B1099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2" w:type="dxa"/>
            <w:tcBorders>
              <w:top w:val="single" w:sz="4" w:space="0" w:color="auto"/>
              <w:left w:val="single" w:sz="4" w:space="0" w:color="auto"/>
            </w:tcBorders>
            <w:tcMar>
              <w:top w:w="10" w:type="dxa"/>
              <w:left w:w="10" w:type="dxa"/>
              <w:bottom w:w="10" w:type="dxa"/>
              <w:right w:w="10" w:type="dxa"/>
            </w:tcMar>
          </w:tcPr>
          <w:p w14:paraId="66C932E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4FB2B45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15BD411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18765D1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0FDDA6A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45500F9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2B72FE6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16" w:type="dxa"/>
            <w:tcBorders>
              <w:top w:val="single" w:sz="4" w:space="0" w:color="auto"/>
              <w:left w:val="single" w:sz="4" w:space="0" w:color="auto"/>
              <w:right w:val="single" w:sz="4" w:space="0" w:color="auto"/>
            </w:tcBorders>
            <w:tcMar>
              <w:top w:w="10" w:type="dxa"/>
              <w:left w:w="10" w:type="dxa"/>
              <w:bottom w:w="10" w:type="dxa"/>
              <w:right w:w="10" w:type="dxa"/>
            </w:tcMar>
          </w:tcPr>
          <w:p w14:paraId="75969A7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3D01F2E3" w14:textId="77777777">
        <w:tc>
          <w:tcPr>
            <w:tcW w:w="127" w:type="dxa"/>
            <w:tcBorders>
              <w:top w:val="single" w:sz="4" w:space="0" w:color="auto"/>
              <w:left w:val="single" w:sz="4" w:space="0" w:color="auto"/>
            </w:tcBorders>
            <w:tcMar>
              <w:top w:w="10" w:type="dxa"/>
              <w:left w:w="10" w:type="dxa"/>
              <w:bottom w:w="10" w:type="dxa"/>
              <w:right w:w="10" w:type="dxa"/>
            </w:tcMar>
          </w:tcPr>
          <w:p w14:paraId="1A4ECD4C"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4</w:t>
            </w:r>
          </w:p>
        </w:tc>
        <w:tc>
          <w:tcPr>
            <w:tcW w:w="2515" w:type="dxa"/>
            <w:tcBorders>
              <w:top w:val="single" w:sz="4" w:space="0" w:color="auto"/>
              <w:left w:val="single" w:sz="4" w:space="0" w:color="auto"/>
            </w:tcBorders>
            <w:tcMar>
              <w:top w:w="10" w:type="dxa"/>
              <w:left w:w="10" w:type="dxa"/>
              <w:bottom w:w="10" w:type="dxa"/>
              <w:right w:w="10" w:type="dxa"/>
            </w:tcMar>
          </w:tcPr>
          <w:p w14:paraId="5C26964E" w14:textId="77777777" w:rsidR="006561BA" w:rsidRDefault="005B4ED6">
            <w:pPr>
              <w:widowControl w:val="0"/>
              <w:shd w:val="clear" w:color="auto" w:fill="auto"/>
              <w:spacing w:after="0" w:line="240" w:lineRule="auto"/>
              <w:ind w:left="240"/>
              <w:jc w:val="left"/>
              <w:rPr>
                <w:rFonts w:ascii="Helvetica" w:eastAsia="Arial Unicode MS" w:hAnsi="Helvetica" w:cs="Times New Roman"/>
                <w:color w:val="000000" w:themeColor="text1"/>
                <w:sz w:val="6"/>
                <w:szCs w:val="6"/>
              </w:rPr>
            </w:pPr>
            <w:r>
              <w:rPr>
                <w:rFonts w:ascii="Helvetica" w:hAnsi="Helvetica"/>
                <w:color w:val="000000" w:themeColor="text1"/>
                <w:sz w:val="6"/>
              </w:rPr>
              <w:t>Gjeldsinstrumenter</w:t>
            </w:r>
          </w:p>
        </w:tc>
        <w:tc>
          <w:tcPr>
            <w:tcW w:w="332" w:type="dxa"/>
            <w:tcBorders>
              <w:top w:val="single" w:sz="4" w:space="0" w:color="auto"/>
              <w:left w:val="single" w:sz="4" w:space="0" w:color="auto"/>
            </w:tcBorders>
            <w:tcMar>
              <w:top w:w="10" w:type="dxa"/>
              <w:left w:w="10" w:type="dxa"/>
              <w:bottom w:w="10" w:type="dxa"/>
              <w:right w:w="10" w:type="dxa"/>
            </w:tcMar>
          </w:tcPr>
          <w:p w14:paraId="4F6102E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9" w:type="dxa"/>
            <w:tcBorders>
              <w:top w:val="single" w:sz="4" w:space="0" w:color="auto"/>
              <w:left w:val="single" w:sz="4" w:space="0" w:color="auto"/>
            </w:tcBorders>
            <w:tcMar>
              <w:top w:w="10" w:type="dxa"/>
              <w:left w:w="10" w:type="dxa"/>
              <w:bottom w:w="10" w:type="dxa"/>
              <w:right w:w="10" w:type="dxa"/>
            </w:tcMar>
          </w:tcPr>
          <w:p w14:paraId="57BA411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1F5F3CD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23AE9E4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9" w:type="dxa"/>
            <w:tcBorders>
              <w:top w:val="single" w:sz="4" w:space="0" w:color="auto"/>
              <w:left w:val="single" w:sz="4" w:space="0" w:color="auto"/>
            </w:tcBorders>
            <w:tcMar>
              <w:top w:w="10" w:type="dxa"/>
              <w:left w:w="10" w:type="dxa"/>
              <w:bottom w:w="10" w:type="dxa"/>
              <w:right w:w="10" w:type="dxa"/>
            </w:tcMar>
          </w:tcPr>
          <w:p w14:paraId="7CFB329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gridSpan w:val="3"/>
            <w:tcBorders>
              <w:top w:val="single" w:sz="4" w:space="0" w:color="auto"/>
              <w:left w:val="single" w:sz="4" w:space="0" w:color="auto"/>
            </w:tcBorders>
            <w:tcMar>
              <w:top w:w="10" w:type="dxa"/>
              <w:left w:w="10" w:type="dxa"/>
              <w:bottom w:w="10" w:type="dxa"/>
              <w:right w:w="10" w:type="dxa"/>
            </w:tcMar>
          </w:tcPr>
          <w:p w14:paraId="4BD1473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3" w:type="dxa"/>
            <w:tcBorders>
              <w:top w:val="single" w:sz="4" w:space="0" w:color="auto"/>
              <w:left w:val="single" w:sz="4" w:space="0" w:color="auto"/>
            </w:tcBorders>
            <w:tcMar>
              <w:top w:w="10" w:type="dxa"/>
              <w:left w:w="10" w:type="dxa"/>
              <w:bottom w:w="10" w:type="dxa"/>
              <w:right w:w="10" w:type="dxa"/>
            </w:tcMar>
          </w:tcPr>
          <w:p w14:paraId="36A5D9D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3" w:type="dxa"/>
            <w:tcBorders>
              <w:top w:val="single" w:sz="4" w:space="0" w:color="auto"/>
              <w:left w:val="single" w:sz="4" w:space="0" w:color="auto"/>
            </w:tcBorders>
            <w:tcMar>
              <w:top w:w="10" w:type="dxa"/>
              <w:left w:w="10" w:type="dxa"/>
              <w:bottom w:w="10" w:type="dxa"/>
              <w:right w:w="10" w:type="dxa"/>
            </w:tcMar>
          </w:tcPr>
          <w:p w14:paraId="13A2737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5A350AE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3FEF215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53E005D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544DCCA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47B0BC3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05" w:type="dxa"/>
            <w:tcBorders>
              <w:top w:val="single" w:sz="4" w:space="0" w:color="auto"/>
              <w:left w:val="single" w:sz="4" w:space="0" w:color="auto"/>
            </w:tcBorders>
            <w:tcMar>
              <w:top w:w="10" w:type="dxa"/>
              <w:left w:w="10" w:type="dxa"/>
              <w:bottom w:w="10" w:type="dxa"/>
              <w:right w:w="10" w:type="dxa"/>
            </w:tcMar>
          </w:tcPr>
          <w:p w14:paraId="623187D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2" w:type="dxa"/>
            <w:tcBorders>
              <w:top w:val="single" w:sz="4" w:space="0" w:color="auto"/>
              <w:left w:val="single" w:sz="4" w:space="0" w:color="auto"/>
            </w:tcBorders>
            <w:tcMar>
              <w:top w:w="10" w:type="dxa"/>
              <w:left w:w="10" w:type="dxa"/>
              <w:bottom w:w="10" w:type="dxa"/>
              <w:right w:w="10" w:type="dxa"/>
            </w:tcMar>
          </w:tcPr>
          <w:p w14:paraId="2135E2C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2B48EC2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2798F03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3144F3A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3D434C6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59D7720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393F13A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16" w:type="dxa"/>
            <w:tcBorders>
              <w:top w:val="single" w:sz="4" w:space="0" w:color="auto"/>
              <w:left w:val="single" w:sz="4" w:space="0" w:color="auto"/>
              <w:right w:val="single" w:sz="4" w:space="0" w:color="auto"/>
            </w:tcBorders>
            <w:tcMar>
              <w:top w:w="10" w:type="dxa"/>
              <w:left w:w="10" w:type="dxa"/>
              <w:bottom w:w="10" w:type="dxa"/>
              <w:right w:w="10" w:type="dxa"/>
            </w:tcMar>
          </w:tcPr>
          <w:p w14:paraId="43E1804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796EABD1" w14:textId="77777777">
        <w:tc>
          <w:tcPr>
            <w:tcW w:w="127" w:type="dxa"/>
            <w:tcBorders>
              <w:top w:val="single" w:sz="4" w:space="0" w:color="auto"/>
              <w:left w:val="single" w:sz="4" w:space="0" w:color="auto"/>
              <w:bottom w:val="single" w:sz="2" w:space="0" w:color="auto"/>
            </w:tcBorders>
            <w:tcMar>
              <w:top w:w="10" w:type="dxa"/>
              <w:left w:w="10" w:type="dxa"/>
              <w:bottom w:w="10" w:type="dxa"/>
              <w:right w:w="10" w:type="dxa"/>
            </w:tcMar>
          </w:tcPr>
          <w:p w14:paraId="0ECFCDED"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5</w:t>
            </w:r>
          </w:p>
        </w:tc>
        <w:tc>
          <w:tcPr>
            <w:tcW w:w="2515" w:type="dxa"/>
            <w:tcBorders>
              <w:top w:val="single" w:sz="4" w:space="0" w:color="auto"/>
              <w:left w:val="single" w:sz="4" w:space="0" w:color="auto"/>
              <w:bottom w:val="single" w:sz="2" w:space="0" w:color="auto"/>
            </w:tcBorders>
            <w:tcMar>
              <w:top w:w="10" w:type="dxa"/>
              <w:left w:w="10" w:type="dxa"/>
              <w:bottom w:w="10" w:type="dxa"/>
              <w:right w:w="10" w:type="dxa"/>
            </w:tcMar>
          </w:tcPr>
          <w:p w14:paraId="551BC04F" w14:textId="77777777" w:rsidR="006561BA" w:rsidRDefault="005B4ED6">
            <w:pPr>
              <w:widowControl w:val="0"/>
              <w:shd w:val="clear" w:color="auto" w:fill="auto"/>
              <w:spacing w:after="0" w:line="240" w:lineRule="auto"/>
              <w:ind w:left="240"/>
              <w:jc w:val="left"/>
              <w:rPr>
                <w:rFonts w:ascii="Helvetica" w:eastAsia="Arial Unicode MS" w:hAnsi="Helvetica" w:cs="Times New Roman"/>
                <w:color w:val="000000" w:themeColor="text1"/>
                <w:sz w:val="6"/>
                <w:szCs w:val="6"/>
              </w:rPr>
            </w:pPr>
            <w:r>
              <w:rPr>
                <w:rFonts w:ascii="Helvetica" w:hAnsi="Helvetica"/>
                <w:color w:val="000000" w:themeColor="text1"/>
                <w:sz w:val="6"/>
              </w:rPr>
              <w:t>Egenkapitalinstrumenter</w:t>
            </w:r>
          </w:p>
        </w:tc>
        <w:tc>
          <w:tcPr>
            <w:tcW w:w="332" w:type="dxa"/>
            <w:tcBorders>
              <w:top w:val="single" w:sz="4" w:space="0" w:color="auto"/>
              <w:left w:val="single" w:sz="4" w:space="0" w:color="auto"/>
              <w:bottom w:val="single" w:sz="2" w:space="0" w:color="auto"/>
            </w:tcBorders>
            <w:tcMar>
              <w:top w:w="10" w:type="dxa"/>
              <w:left w:w="10" w:type="dxa"/>
              <w:bottom w:w="10" w:type="dxa"/>
              <w:right w:w="10" w:type="dxa"/>
            </w:tcMar>
          </w:tcPr>
          <w:p w14:paraId="24AD6DE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9" w:type="dxa"/>
            <w:tcBorders>
              <w:top w:val="single" w:sz="4" w:space="0" w:color="auto"/>
              <w:left w:val="single" w:sz="4" w:space="0" w:color="auto"/>
              <w:bottom w:val="single" w:sz="2" w:space="0" w:color="auto"/>
            </w:tcBorders>
            <w:tcMar>
              <w:top w:w="10" w:type="dxa"/>
              <w:left w:w="10" w:type="dxa"/>
              <w:bottom w:w="10" w:type="dxa"/>
              <w:right w:w="10" w:type="dxa"/>
            </w:tcMar>
          </w:tcPr>
          <w:p w14:paraId="2C5E945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bottom w:val="single" w:sz="2" w:space="0" w:color="auto"/>
            </w:tcBorders>
            <w:tcMar>
              <w:top w:w="10" w:type="dxa"/>
              <w:left w:w="10" w:type="dxa"/>
              <w:bottom w:w="10" w:type="dxa"/>
              <w:right w:w="10" w:type="dxa"/>
            </w:tcMar>
          </w:tcPr>
          <w:p w14:paraId="436D510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bottom w:val="single" w:sz="2" w:space="0" w:color="auto"/>
            </w:tcBorders>
            <w:tcMar>
              <w:top w:w="10" w:type="dxa"/>
              <w:left w:w="10" w:type="dxa"/>
              <w:bottom w:w="10" w:type="dxa"/>
              <w:right w:w="10" w:type="dxa"/>
            </w:tcMar>
          </w:tcPr>
          <w:p w14:paraId="53CB473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9" w:type="dxa"/>
            <w:tcBorders>
              <w:top w:val="single" w:sz="4" w:space="0" w:color="auto"/>
              <w:left w:val="single" w:sz="4" w:space="0" w:color="auto"/>
              <w:bottom w:val="single" w:sz="2" w:space="0" w:color="auto"/>
            </w:tcBorders>
            <w:tcMar>
              <w:top w:w="10" w:type="dxa"/>
              <w:left w:w="10" w:type="dxa"/>
              <w:bottom w:w="10" w:type="dxa"/>
              <w:right w:w="10" w:type="dxa"/>
            </w:tcMar>
          </w:tcPr>
          <w:p w14:paraId="3877437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gridSpan w:val="3"/>
            <w:tcBorders>
              <w:top w:val="single" w:sz="4" w:space="0" w:color="auto"/>
              <w:left w:val="single" w:sz="4" w:space="0" w:color="auto"/>
              <w:bottom w:val="single" w:sz="2" w:space="0" w:color="auto"/>
            </w:tcBorders>
            <w:tcMar>
              <w:top w:w="10" w:type="dxa"/>
              <w:left w:w="10" w:type="dxa"/>
              <w:bottom w:w="10" w:type="dxa"/>
              <w:right w:w="10" w:type="dxa"/>
            </w:tcMar>
          </w:tcPr>
          <w:p w14:paraId="5263570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3" w:type="dxa"/>
            <w:tcBorders>
              <w:top w:val="single" w:sz="4" w:space="0" w:color="auto"/>
              <w:left w:val="single" w:sz="4" w:space="0" w:color="auto"/>
              <w:bottom w:val="single" w:sz="2" w:space="0" w:color="auto"/>
            </w:tcBorders>
            <w:tcMar>
              <w:top w:w="10" w:type="dxa"/>
              <w:left w:w="10" w:type="dxa"/>
              <w:bottom w:w="10" w:type="dxa"/>
              <w:right w:w="10" w:type="dxa"/>
            </w:tcMar>
          </w:tcPr>
          <w:p w14:paraId="480EE05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3" w:type="dxa"/>
            <w:tcBorders>
              <w:top w:val="single" w:sz="4" w:space="0" w:color="auto"/>
              <w:left w:val="single" w:sz="4" w:space="0" w:color="auto"/>
              <w:bottom w:val="single" w:sz="2" w:space="0" w:color="auto"/>
            </w:tcBorders>
            <w:tcMar>
              <w:top w:w="10" w:type="dxa"/>
              <w:left w:w="10" w:type="dxa"/>
              <w:bottom w:w="10" w:type="dxa"/>
              <w:right w:w="10" w:type="dxa"/>
            </w:tcMar>
          </w:tcPr>
          <w:p w14:paraId="7DC05A6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bottom w:val="single" w:sz="2" w:space="0" w:color="auto"/>
            </w:tcBorders>
            <w:tcMar>
              <w:top w:w="10" w:type="dxa"/>
              <w:left w:w="10" w:type="dxa"/>
              <w:bottom w:w="10" w:type="dxa"/>
              <w:right w:w="10" w:type="dxa"/>
            </w:tcMar>
          </w:tcPr>
          <w:p w14:paraId="5759904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bottom w:val="single" w:sz="2" w:space="0" w:color="auto"/>
            </w:tcBorders>
            <w:tcMar>
              <w:top w:w="10" w:type="dxa"/>
              <w:left w:w="10" w:type="dxa"/>
              <w:bottom w:w="10" w:type="dxa"/>
              <w:right w:w="10" w:type="dxa"/>
            </w:tcMar>
          </w:tcPr>
          <w:p w14:paraId="2201436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bottom w:val="single" w:sz="2" w:space="0" w:color="auto"/>
            </w:tcBorders>
            <w:tcMar>
              <w:top w:w="10" w:type="dxa"/>
              <w:left w:w="10" w:type="dxa"/>
              <w:bottom w:w="10" w:type="dxa"/>
              <w:right w:w="10" w:type="dxa"/>
            </w:tcMar>
          </w:tcPr>
          <w:p w14:paraId="2584463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bottom w:val="single" w:sz="2" w:space="0" w:color="auto"/>
            </w:tcBorders>
            <w:tcMar>
              <w:top w:w="10" w:type="dxa"/>
              <w:left w:w="10" w:type="dxa"/>
              <w:bottom w:w="10" w:type="dxa"/>
              <w:right w:w="10" w:type="dxa"/>
            </w:tcMar>
          </w:tcPr>
          <w:p w14:paraId="5E86D73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bottom w:val="single" w:sz="2" w:space="0" w:color="auto"/>
            </w:tcBorders>
            <w:tcMar>
              <w:top w:w="10" w:type="dxa"/>
              <w:left w:w="10" w:type="dxa"/>
              <w:bottom w:w="10" w:type="dxa"/>
              <w:right w:w="10" w:type="dxa"/>
            </w:tcMar>
          </w:tcPr>
          <w:p w14:paraId="75FA4E8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05" w:type="dxa"/>
            <w:tcBorders>
              <w:top w:val="single" w:sz="4" w:space="0" w:color="auto"/>
              <w:left w:val="single" w:sz="4" w:space="0" w:color="auto"/>
              <w:bottom w:val="single" w:sz="2" w:space="0" w:color="auto"/>
            </w:tcBorders>
            <w:tcMar>
              <w:top w:w="10" w:type="dxa"/>
              <w:left w:w="10" w:type="dxa"/>
              <w:bottom w:w="10" w:type="dxa"/>
              <w:right w:w="10" w:type="dxa"/>
            </w:tcMar>
          </w:tcPr>
          <w:p w14:paraId="1EA2DE0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2" w:type="dxa"/>
            <w:tcBorders>
              <w:top w:val="single" w:sz="4" w:space="0" w:color="auto"/>
              <w:left w:val="single" w:sz="4" w:space="0" w:color="auto"/>
              <w:bottom w:val="single" w:sz="2" w:space="0" w:color="auto"/>
            </w:tcBorders>
            <w:tcMar>
              <w:top w:w="10" w:type="dxa"/>
              <w:left w:w="10" w:type="dxa"/>
              <w:bottom w:w="10" w:type="dxa"/>
              <w:right w:w="10" w:type="dxa"/>
            </w:tcMar>
          </w:tcPr>
          <w:p w14:paraId="692C24F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bottom w:val="single" w:sz="2" w:space="0" w:color="auto"/>
            </w:tcBorders>
            <w:tcMar>
              <w:top w:w="10" w:type="dxa"/>
              <w:left w:w="10" w:type="dxa"/>
              <w:bottom w:w="10" w:type="dxa"/>
              <w:right w:w="10" w:type="dxa"/>
            </w:tcMar>
          </w:tcPr>
          <w:p w14:paraId="5D938FB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bottom w:val="single" w:sz="2" w:space="0" w:color="auto"/>
            </w:tcBorders>
            <w:tcMar>
              <w:top w:w="10" w:type="dxa"/>
              <w:left w:w="10" w:type="dxa"/>
              <w:bottom w:w="10" w:type="dxa"/>
              <w:right w:w="10" w:type="dxa"/>
            </w:tcMar>
          </w:tcPr>
          <w:p w14:paraId="00FE4EB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bottom w:val="single" w:sz="2" w:space="0" w:color="auto"/>
            </w:tcBorders>
            <w:tcMar>
              <w:top w:w="10" w:type="dxa"/>
              <w:left w:w="10" w:type="dxa"/>
              <w:bottom w:w="10" w:type="dxa"/>
              <w:right w:w="10" w:type="dxa"/>
            </w:tcMar>
          </w:tcPr>
          <w:p w14:paraId="371E31B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bottom w:val="single" w:sz="2" w:space="0" w:color="auto"/>
            </w:tcBorders>
            <w:tcMar>
              <w:top w:w="10" w:type="dxa"/>
              <w:left w:w="10" w:type="dxa"/>
              <w:bottom w:w="10" w:type="dxa"/>
              <w:right w:w="10" w:type="dxa"/>
            </w:tcMar>
          </w:tcPr>
          <w:p w14:paraId="1C655F7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bottom w:val="single" w:sz="2" w:space="0" w:color="auto"/>
            </w:tcBorders>
            <w:tcMar>
              <w:top w:w="10" w:type="dxa"/>
              <w:left w:w="10" w:type="dxa"/>
              <w:bottom w:w="10" w:type="dxa"/>
              <w:right w:w="10" w:type="dxa"/>
            </w:tcMar>
          </w:tcPr>
          <w:p w14:paraId="780D444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bottom w:val="single" w:sz="2" w:space="0" w:color="auto"/>
            </w:tcBorders>
            <w:tcMar>
              <w:top w:w="10" w:type="dxa"/>
              <w:left w:w="10" w:type="dxa"/>
              <w:bottom w:w="10" w:type="dxa"/>
              <w:right w:w="10" w:type="dxa"/>
            </w:tcMar>
          </w:tcPr>
          <w:p w14:paraId="300254E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16" w:type="dxa"/>
            <w:tcBorders>
              <w:top w:val="single" w:sz="4" w:space="0" w:color="auto"/>
              <w:left w:val="single" w:sz="4" w:space="0" w:color="auto"/>
              <w:bottom w:val="single" w:sz="2" w:space="0" w:color="auto"/>
              <w:right w:val="single" w:sz="4" w:space="0" w:color="auto"/>
            </w:tcBorders>
            <w:tcMar>
              <w:top w:w="10" w:type="dxa"/>
              <w:left w:w="10" w:type="dxa"/>
              <w:bottom w:w="10" w:type="dxa"/>
              <w:right w:w="10" w:type="dxa"/>
            </w:tcMar>
          </w:tcPr>
          <w:p w14:paraId="647F0EF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4DCCC2E2" w14:textId="77777777">
        <w:tc>
          <w:tcPr>
            <w:tcW w:w="127" w:type="dxa"/>
            <w:tcBorders>
              <w:top w:val="single" w:sz="2" w:space="0" w:color="auto"/>
              <w:left w:val="single" w:sz="2" w:space="0" w:color="auto"/>
              <w:right w:val="single" w:sz="2" w:space="0" w:color="auto"/>
            </w:tcBorders>
            <w:tcMar>
              <w:top w:w="10" w:type="dxa"/>
              <w:left w:w="10" w:type="dxa"/>
              <w:bottom w:w="10" w:type="dxa"/>
              <w:right w:w="10" w:type="dxa"/>
            </w:tcMar>
          </w:tcPr>
          <w:p w14:paraId="25C25BB3"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6</w:t>
            </w:r>
          </w:p>
        </w:tc>
        <w:tc>
          <w:tcPr>
            <w:tcW w:w="2515" w:type="dxa"/>
            <w:tcBorders>
              <w:top w:val="single" w:sz="2" w:space="0" w:color="auto"/>
              <w:left w:val="single" w:sz="2" w:space="0" w:color="auto"/>
              <w:right w:val="single" w:sz="2" w:space="0" w:color="auto"/>
            </w:tcBorders>
            <w:tcMar>
              <w:top w:w="10" w:type="dxa"/>
              <w:left w:w="10" w:type="dxa"/>
              <w:bottom w:w="10" w:type="dxa"/>
              <w:right w:w="10" w:type="dxa"/>
            </w:tcMar>
          </w:tcPr>
          <w:p w14:paraId="2C44B5B9" w14:textId="77777777" w:rsidR="006561BA" w:rsidRDefault="005B4ED6">
            <w:pPr>
              <w:widowControl w:val="0"/>
              <w:shd w:val="clear" w:color="auto" w:fill="auto"/>
              <w:spacing w:after="0" w:line="240" w:lineRule="auto"/>
              <w:ind w:left="200"/>
              <w:jc w:val="left"/>
              <w:rPr>
                <w:rFonts w:ascii="Helvetica" w:eastAsia="Arial Unicode MS" w:hAnsi="Helvetica" w:cs="Times New Roman"/>
                <w:color w:val="000000" w:themeColor="text1"/>
                <w:sz w:val="6"/>
                <w:szCs w:val="6"/>
              </w:rPr>
            </w:pPr>
            <w:r>
              <w:rPr>
                <w:rFonts w:ascii="Helvetica" w:hAnsi="Helvetica"/>
                <w:color w:val="000000" w:themeColor="text1"/>
                <w:sz w:val="6"/>
              </w:rPr>
              <w:t>Andre finansforetak</w:t>
            </w:r>
          </w:p>
        </w:tc>
        <w:tc>
          <w:tcPr>
            <w:tcW w:w="332" w:type="dxa"/>
            <w:tcBorders>
              <w:top w:val="single" w:sz="2" w:space="0" w:color="auto"/>
              <w:left w:val="single" w:sz="2" w:space="0" w:color="auto"/>
              <w:right w:val="single" w:sz="2" w:space="0" w:color="auto"/>
            </w:tcBorders>
            <w:tcMar>
              <w:top w:w="10" w:type="dxa"/>
              <w:left w:w="10" w:type="dxa"/>
              <w:bottom w:w="10" w:type="dxa"/>
              <w:right w:w="10" w:type="dxa"/>
            </w:tcMar>
          </w:tcPr>
          <w:p w14:paraId="62FC4FE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9" w:type="dxa"/>
            <w:tcBorders>
              <w:top w:val="single" w:sz="2" w:space="0" w:color="auto"/>
              <w:left w:val="single" w:sz="2" w:space="0" w:color="auto"/>
              <w:right w:val="single" w:sz="2" w:space="0" w:color="auto"/>
            </w:tcBorders>
            <w:tcMar>
              <w:top w:w="10" w:type="dxa"/>
              <w:left w:w="10" w:type="dxa"/>
              <w:bottom w:w="10" w:type="dxa"/>
              <w:right w:w="10" w:type="dxa"/>
            </w:tcMar>
          </w:tcPr>
          <w:p w14:paraId="0493092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2" w:space="0" w:color="auto"/>
              <w:left w:val="single" w:sz="2" w:space="0" w:color="auto"/>
              <w:right w:val="single" w:sz="2" w:space="0" w:color="auto"/>
            </w:tcBorders>
            <w:tcMar>
              <w:top w:w="10" w:type="dxa"/>
              <w:left w:w="10" w:type="dxa"/>
              <w:bottom w:w="10" w:type="dxa"/>
              <w:right w:w="10" w:type="dxa"/>
            </w:tcMar>
          </w:tcPr>
          <w:p w14:paraId="17D2A65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2" w:space="0" w:color="auto"/>
              <w:left w:val="single" w:sz="2" w:space="0" w:color="auto"/>
              <w:right w:val="single" w:sz="2" w:space="0" w:color="auto"/>
            </w:tcBorders>
            <w:tcMar>
              <w:top w:w="10" w:type="dxa"/>
              <w:left w:w="10" w:type="dxa"/>
              <w:bottom w:w="10" w:type="dxa"/>
              <w:right w:w="10" w:type="dxa"/>
            </w:tcMar>
          </w:tcPr>
          <w:p w14:paraId="074304B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9" w:type="dxa"/>
            <w:tcBorders>
              <w:top w:val="single" w:sz="2" w:space="0" w:color="auto"/>
              <w:left w:val="single" w:sz="2" w:space="0" w:color="auto"/>
              <w:right w:val="single" w:sz="2" w:space="0" w:color="auto"/>
            </w:tcBorders>
            <w:tcMar>
              <w:top w:w="10" w:type="dxa"/>
              <w:left w:w="10" w:type="dxa"/>
              <w:bottom w:w="10" w:type="dxa"/>
              <w:right w:w="10" w:type="dxa"/>
            </w:tcMar>
          </w:tcPr>
          <w:p w14:paraId="31177B3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gridSpan w:val="3"/>
            <w:tcBorders>
              <w:top w:val="single" w:sz="2" w:space="0" w:color="auto"/>
              <w:left w:val="single" w:sz="2" w:space="0" w:color="auto"/>
              <w:right w:val="single" w:sz="2" w:space="0" w:color="auto"/>
            </w:tcBorders>
            <w:tcMar>
              <w:top w:w="10" w:type="dxa"/>
              <w:left w:w="10" w:type="dxa"/>
              <w:bottom w:w="10" w:type="dxa"/>
              <w:right w:w="10" w:type="dxa"/>
            </w:tcMar>
          </w:tcPr>
          <w:p w14:paraId="6CDE344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3" w:type="dxa"/>
            <w:tcBorders>
              <w:top w:val="single" w:sz="2" w:space="0" w:color="auto"/>
              <w:left w:val="single" w:sz="2" w:space="0" w:color="auto"/>
              <w:right w:val="single" w:sz="2" w:space="0" w:color="auto"/>
            </w:tcBorders>
            <w:tcMar>
              <w:top w:w="10" w:type="dxa"/>
              <w:left w:w="10" w:type="dxa"/>
              <w:bottom w:w="10" w:type="dxa"/>
              <w:right w:w="10" w:type="dxa"/>
            </w:tcMar>
          </w:tcPr>
          <w:p w14:paraId="2387B4E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3" w:type="dxa"/>
            <w:tcBorders>
              <w:top w:val="single" w:sz="2" w:space="0" w:color="auto"/>
              <w:left w:val="single" w:sz="2" w:space="0" w:color="auto"/>
              <w:right w:val="single" w:sz="2" w:space="0" w:color="auto"/>
            </w:tcBorders>
            <w:tcMar>
              <w:top w:w="10" w:type="dxa"/>
              <w:left w:w="10" w:type="dxa"/>
              <w:bottom w:w="10" w:type="dxa"/>
              <w:right w:w="10" w:type="dxa"/>
            </w:tcMar>
          </w:tcPr>
          <w:p w14:paraId="28349FC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2" w:space="0" w:color="auto"/>
              <w:left w:val="single" w:sz="2" w:space="0" w:color="auto"/>
              <w:right w:val="single" w:sz="2" w:space="0" w:color="auto"/>
            </w:tcBorders>
            <w:tcMar>
              <w:top w:w="10" w:type="dxa"/>
              <w:left w:w="10" w:type="dxa"/>
              <w:bottom w:w="10" w:type="dxa"/>
              <w:right w:w="10" w:type="dxa"/>
            </w:tcMar>
          </w:tcPr>
          <w:p w14:paraId="05E220D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2" w:space="0" w:color="auto"/>
              <w:left w:val="single" w:sz="2" w:space="0" w:color="auto"/>
              <w:right w:val="single" w:sz="2" w:space="0" w:color="auto"/>
            </w:tcBorders>
            <w:tcMar>
              <w:top w:w="10" w:type="dxa"/>
              <w:left w:w="10" w:type="dxa"/>
              <w:bottom w:w="10" w:type="dxa"/>
              <w:right w:w="10" w:type="dxa"/>
            </w:tcMar>
          </w:tcPr>
          <w:p w14:paraId="4F12642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2" w:space="0" w:color="auto"/>
              <w:left w:val="single" w:sz="2" w:space="0" w:color="auto"/>
              <w:right w:val="single" w:sz="2" w:space="0" w:color="auto"/>
            </w:tcBorders>
            <w:tcMar>
              <w:top w:w="10" w:type="dxa"/>
              <w:left w:w="10" w:type="dxa"/>
              <w:bottom w:w="10" w:type="dxa"/>
              <w:right w:w="10" w:type="dxa"/>
            </w:tcMar>
          </w:tcPr>
          <w:p w14:paraId="0F99A8D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2" w:space="0" w:color="auto"/>
              <w:left w:val="single" w:sz="2" w:space="0" w:color="auto"/>
              <w:right w:val="single" w:sz="2" w:space="0" w:color="auto"/>
            </w:tcBorders>
            <w:tcMar>
              <w:top w:w="10" w:type="dxa"/>
              <w:left w:w="10" w:type="dxa"/>
              <w:bottom w:w="10" w:type="dxa"/>
              <w:right w:w="10" w:type="dxa"/>
            </w:tcMar>
          </w:tcPr>
          <w:p w14:paraId="14EE936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2" w:space="0" w:color="auto"/>
              <w:left w:val="single" w:sz="2" w:space="0" w:color="auto"/>
              <w:right w:val="single" w:sz="2" w:space="0" w:color="auto"/>
            </w:tcBorders>
            <w:tcMar>
              <w:top w:w="10" w:type="dxa"/>
              <w:left w:w="10" w:type="dxa"/>
              <w:bottom w:w="10" w:type="dxa"/>
              <w:right w:w="10" w:type="dxa"/>
            </w:tcMar>
          </w:tcPr>
          <w:p w14:paraId="1F9892D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05" w:type="dxa"/>
            <w:tcBorders>
              <w:top w:val="single" w:sz="2" w:space="0" w:color="auto"/>
              <w:left w:val="single" w:sz="2" w:space="0" w:color="auto"/>
              <w:right w:val="single" w:sz="2" w:space="0" w:color="auto"/>
            </w:tcBorders>
            <w:tcMar>
              <w:top w:w="10" w:type="dxa"/>
              <w:left w:w="10" w:type="dxa"/>
              <w:bottom w:w="10" w:type="dxa"/>
              <w:right w:w="10" w:type="dxa"/>
            </w:tcMar>
          </w:tcPr>
          <w:p w14:paraId="3B46B24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2" w:type="dxa"/>
            <w:tcBorders>
              <w:top w:val="single" w:sz="2" w:space="0" w:color="auto"/>
              <w:left w:val="single" w:sz="2" w:space="0" w:color="auto"/>
              <w:right w:val="single" w:sz="2" w:space="0" w:color="auto"/>
            </w:tcBorders>
            <w:tcMar>
              <w:top w:w="10" w:type="dxa"/>
              <w:left w:w="10" w:type="dxa"/>
              <w:bottom w:w="10" w:type="dxa"/>
              <w:right w:w="10" w:type="dxa"/>
            </w:tcMar>
          </w:tcPr>
          <w:p w14:paraId="2231212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2" w:space="0" w:color="auto"/>
              <w:left w:val="single" w:sz="2" w:space="0" w:color="auto"/>
              <w:right w:val="single" w:sz="2" w:space="0" w:color="auto"/>
            </w:tcBorders>
            <w:tcMar>
              <w:top w:w="10" w:type="dxa"/>
              <w:left w:w="10" w:type="dxa"/>
              <w:bottom w:w="10" w:type="dxa"/>
              <w:right w:w="10" w:type="dxa"/>
            </w:tcMar>
          </w:tcPr>
          <w:p w14:paraId="51D1E88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2" w:space="0" w:color="auto"/>
              <w:left w:val="single" w:sz="2" w:space="0" w:color="auto"/>
              <w:right w:val="single" w:sz="2" w:space="0" w:color="auto"/>
            </w:tcBorders>
            <w:tcMar>
              <w:top w:w="10" w:type="dxa"/>
              <w:left w:w="10" w:type="dxa"/>
              <w:bottom w:w="10" w:type="dxa"/>
              <w:right w:w="10" w:type="dxa"/>
            </w:tcMar>
          </w:tcPr>
          <w:p w14:paraId="7CD34E1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2" w:space="0" w:color="auto"/>
              <w:left w:val="single" w:sz="2" w:space="0" w:color="auto"/>
              <w:right w:val="single" w:sz="2" w:space="0" w:color="auto"/>
            </w:tcBorders>
            <w:tcMar>
              <w:top w:w="10" w:type="dxa"/>
              <w:left w:w="10" w:type="dxa"/>
              <w:bottom w:w="10" w:type="dxa"/>
              <w:right w:w="10" w:type="dxa"/>
            </w:tcMar>
          </w:tcPr>
          <w:p w14:paraId="51671B7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2" w:space="0" w:color="auto"/>
              <w:left w:val="single" w:sz="2" w:space="0" w:color="auto"/>
              <w:right w:val="single" w:sz="2" w:space="0" w:color="auto"/>
            </w:tcBorders>
            <w:tcMar>
              <w:top w:w="10" w:type="dxa"/>
              <w:left w:w="10" w:type="dxa"/>
              <w:bottom w:w="10" w:type="dxa"/>
              <w:right w:w="10" w:type="dxa"/>
            </w:tcMar>
          </w:tcPr>
          <w:p w14:paraId="7B95D26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2" w:space="0" w:color="auto"/>
              <w:left w:val="single" w:sz="2" w:space="0" w:color="auto"/>
              <w:right w:val="single" w:sz="2" w:space="0" w:color="auto"/>
            </w:tcBorders>
            <w:tcMar>
              <w:top w:w="10" w:type="dxa"/>
              <w:left w:w="10" w:type="dxa"/>
              <w:bottom w:w="10" w:type="dxa"/>
              <w:right w:w="10" w:type="dxa"/>
            </w:tcMar>
          </w:tcPr>
          <w:p w14:paraId="3DB6F89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2" w:space="0" w:color="auto"/>
              <w:left w:val="single" w:sz="2" w:space="0" w:color="auto"/>
              <w:right w:val="single" w:sz="2" w:space="0" w:color="auto"/>
            </w:tcBorders>
            <w:tcMar>
              <w:top w:w="10" w:type="dxa"/>
              <w:left w:w="10" w:type="dxa"/>
              <w:bottom w:w="10" w:type="dxa"/>
              <w:right w:w="10" w:type="dxa"/>
            </w:tcMar>
          </w:tcPr>
          <w:p w14:paraId="2F6B93E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16" w:type="dxa"/>
            <w:tcBorders>
              <w:top w:val="single" w:sz="2" w:space="0" w:color="auto"/>
              <w:left w:val="single" w:sz="2" w:space="0" w:color="auto"/>
              <w:right w:val="single" w:sz="2" w:space="0" w:color="auto"/>
            </w:tcBorders>
            <w:tcMar>
              <w:top w:w="10" w:type="dxa"/>
              <w:left w:w="10" w:type="dxa"/>
              <w:bottom w:w="10" w:type="dxa"/>
              <w:right w:w="10" w:type="dxa"/>
            </w:tcMar>
          </w:tcPr>
          <w:p w14:paraId="4D15864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280FE488" w14:textId="77777777">
        <w:tc>
          <w:tcPr>
            <w:tcW w:w="127" w:type="dxa"/>
            <w:tcBorders>
              <w:top w:val="single" w:sz="4" w:space="0" w:color="auto"/>
              <w:left w:val="single" w:sz="4" w:space="0" w:color="auto"/>
            </w:tcBorders>
            <w:tcMar>
              <w:top w:w="10" w:type="dxa"/>
              <w:left w:w="10" w:type="dxa"/>
              <w:bottom w:w="10" w:type="dxa"/>
              <w:right w:w="10" w:type="dxa"/>
            </w:tcMar>
          </w:tcPr>
          <w:p w14:paraId="435D2C52"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7</w:t>
            </w:r>
          </w:p>
        </w:tc>
        <w:tc>
          <w:tcPr>
            <w:tcW w:w="2515" w:type="dxa"/>
            <w:tcBorders>
              <w:top w:val="single" w:sz="4" w:space="0" w:color="auto"/>
              <w:left w:val="single" w:sz="4" w:space="0" w:color="auto"/>
            </w:tcBorders>
            <w:tcMar>
              <w:top w:w="10" w:type="dxa"/>
              <w:left w:w="10" w:type="dxa"/>
              <w:bottom w:w="10" w:type="dxa"/>
              <w:right w:w="10" w:type="dxa"/>
            </w:tcMar>
          </w:tcPr>
          <w:p w14:paraId="687A25EB" w14:textId="77777777" w:rsidR="006561BA" w:rsidRDefault="005B4ED6">
            <w:pPr>
              <w:widowControl w:val="0"/>
              <w:shd w:val="clear" w:color="auto" w:fill="auto"/>
              <w:spacing w:after="0" w:line="240" w:lineRule="auto"/>
              <w:ind w:left="240"/>
              <w:jc w:val="left"/>
              <w:rPr>
                <w:rFonts w:ascii="Helvetica" w:eastAsia="Arial Unicode MS" w:hAnsi="Helvetica" w:cs="Times New Roman"/>
                <w:color w:val="000000" w:themeColor="text1"/>
                <w:sz w:val="6"/>
                <w:szCs w:val="6"/>
              </w:rPr>
            </w:pPr>
            <w:r>
              <w:rPr>
                <w:rFonts w:ascii="Helvetica" w:hAnsi="Helvetica"/>
                <w:color w:val="000000" w:themeColor="text1"/>
                <w:sz w:val="6"/>
              </w:rPr>
              <w:t>hvorav verdipapirforetak</w:t>
            </w:r>
          </w:p>
        </w:tc>
        <w:tc>
          <w:tcPr>
            <w:tcW w:w="332" w:type="dxa"/>
            <w:tcBorders>
              <w:top w:val="single" w:sz="4" w:space="0" w:color="auto"/>
              <w:left w:val="single" w:sz="4" w:space="0" w:color="auto"/>
            </w:tcBorders>
            <w:tcMar>
              <w:top w:w="10" w:type="dxa"/>
              <w:left w:w="10" w:type="dxa"/>
              <w:bottom w:w="10" w:type="dxa"/>
              <w:right w:w="10" w:type="dxa"/>
            </w:tcMar>
          </w:tcPr>
          <w:p w14:paraId="310DAA4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9" w:type="dxa"/>
            <w:tcBorders>
              <w:top w:val="single" w:sz="4" w:space="0" w:color="auto"/>
              <w:left w:val="single" w:sz="4" w:space="0" w:color="auto"/>
            </w:tcBorders>
            <w:tcMar>
              <w:top w:w="10" w:type="dxa"/>
              <w:left w:w="10" w:type="dxa"/>
              <w:bottom w:w="10" w:type="dxa"/>
              <w:right w:w="10" w:type="dxa"/>
            </w:tcMar>
          </w:tcPr>
          <w:p w14:paraId="744AFE1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7C02F2C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1828932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9" w:type="dxa"/>
            <w:tcBorders>
              <w:top w:val="single" w:sz="4" w:space="0" w:color="auto"/>
              <w:left w:val="single" w:sz="4" w:space="0" w:color="auto"/>
            </w:tcBorders>
            <w:tcMar>
              <w:top w:w="10" w:type="dxa"/>
              <w:left w:w="10" w:type="dxa"/>
              <w:bottom w:w="10" w:type="dxa"/>
              <w:right w:w="10" w:type="dxa"/>
            </w:tcMar>
          </w:tcPr>
          <w:p w14:paraId="67A16D4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gridSpan w:val="3"/>
            <w:tcBorders>
              <w:top w:val="single" w:sz="4" w:space="0" w:color="auto"/>
              <w:left w:val="single" w:sz="4" w:space="0" w:color="auto"/>
            </w:tcBorders>
            <w:tcMar>
              <w:top w:w="10" w:type="dxa"/>
              <w:left w:w="10" w:type="dxa"/>
              <w:bottom w:w="10" w:type="dxa"/>
              <w:right w:w="10" w:type="dxa"/>
            </w:tcMar>
          </w:tcPr>
          <w:p w14:paraId="36E9DBD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3" w:type="dxa"/>
            <w:tcBorders>
              <w:top w:val="single" w:sz="4" w:space="0" w:color="auto"/>
              <w:left w:val="single" w:sz="4" w:space="0" w:color="auto"/>
            </w:tcBorders>
            <w:tcMar>
              <w:top w:w="10" w:type="dxa"/>
              <w:left w:w="10" w:type="dxa"/>
              <w:bottom w:w="10" w:type="dxa"/>
              <w:right w:w="10" w:type="dxa"/>
            </w:tcMar>
          </w:tcPr>
          <w:p w14:paraId="44A29C0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3" w:type="dxa"/>
            <w:tcBorders>
              <w:top w:val="single" w:sz="4" w:space="0" w:color="auto"/>
              <w:left w:val="single" w:sz="4" w:space="0" w:color="auto"/>
            </w:tcBorders>
            <w:tcMar>
              <w:top w:w="10" w:type="dxa"/>
              <w:left w:w="10" w:type="dxa"/>
              <w:bottom w:w="10" w:type="dxa"/>
              <w:right w:w="10" w:type="dxa"/>
            </w:tcMar>
          </w:tcPr>
          <w:p w14:paraId="2D4937E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6CF24D9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26978E4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1F3AB79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2AA1648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0C9B99D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05" w:type="dxa"/>
            <w:tcBorders>
              <w:top w:val="single" w:sz="4" w:space="0" w:color="auto"/>
              <w:left w:val="single" w:sz="4" w:space="0" w:color="auto"/>
            </w:tcBorders>
            <w:tcMar>
              <w:top w:w="10" w:type="dxa"/>
              <w:left w:w="10" w:type="dxa"/>
              <w:bottom w:w="10" w:type="dxa"/>
              <w:right w:w="10" w:type="dxa"/>
            </w:tcMar>
          </w:tcPr>
          <w:p w14:paraId="4869A96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2" w:type="dxa"/>
            <w:tcBorders>
              <w:top w:val="single" w:sz="4" w:space="0" w:color="auto"/>
              <w:left w:val="single" w:sz="4" w:space="0" w:color="auto"/>
            </w:tcBorders>
            <w:tcMar>
              <w:top w:w="10" w:type="dxa"/>
              <w:left w:w="10" w:type="dxa"/>
              <w:bottom w:w="10" w:type="dxa"/>
              <w:right w:w="10" w:type="dxa"/>
            </w:tcMar>
          </w:tcPr>
          <w:p w14:paraId="18953F5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30AAF14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28F6E50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22BCBB7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3D6FDAF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072FBAF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4D24D7B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16" w:type="dxa"/>
            <w:tcBorders>
              <w:top w:val="single" w:sz="4" w:space="0" w:color="auto"/>
              <w:left w:val="single" w:sz="4" w:space="0" w:color="auto"/>
              <w:right w:val="single" w:sz="4" w:space="0" w:color="auto"/>
            </w:tcBorders>
            <w:tcMar>
              <w:top w:w="10" w:type="dxa"/>
              <w:left w:w="10" w:type="dxa"/>
              <w:bottom w:w="10" w:type="dxa"/>
              <w:right w:w="10" w:type="dxa"/>
            </w:tcMar>
          </w:tcPr>
          <w:p w14:paraId="197491F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3807756F" w14:textId="77777777">
        <w:tc>
          <w:tcPr>
            <w:tcW w:w="127" w:type="dxa"/>
            <w:tcBorders>
              <w:top w:val="single" w:sz="4" w:space="0" w:color="auto"/>
              <w:left w:val="single" w:sz="4" w:space="0" w:color="auto"/>
            </w:tcBorders>
            <w:tcMar>
              <w:top w:w="10" w:type="dxa"/>
              <w:left w:w="10" w:type="dxa"/>
              <w:bottom w:w="10" w:type="dxa"/>
              <w:right w:w="10" w:type="dxa"/>
            </w:tcMar>
          </w:tcPr>
          <w:p w14:paraId="04BEF34D"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8</w:t>
            </w:r>
          </w:p>
        </w:tc>
        <w:tc>
          <w:tcPr>
            <w:tcW w:w="2515" w:type="dxa"/>
            <w:tcBorders>
              <w:top w:val="single" w:sz="4" w:space="0" w:color="auto"/>
              <w:left w:val="single" w:sz="4" w:space="0" w:color="auto"/>
            </w:tcBorders>
            <w:tcMar>
              <w:top w:w="10" w:type="dxa"/>
              <w:left w:w="10" w:type="dxa"/>
              <w:bottom w:w="10" w:type="dxa"/>
              <w:right w:w="10" w:type="dxa"/>
            </w:tcMar>
          </w:tcPr>
          <w:p w14:paraId="2C8885CC" w14:textId="77777777" w:rsidR="006561BA" w:rsidRDefault="005B4ED6">
            <w:pPr>
              <w:widowControl w:val="0"/>
              <w:shd w:val="clear" w:color="auto" w:fill="auto"/>
              <w:spacing w:after="0" w:line="240" w:lineRule="auto"/>
              <w:ind w:left="280"/>
              <w:jc w:val="left"/>
              <w:rPr>
                <w:rFonts w:ascii="Helvetica" w:eastAsia="Arial Unicode MS" w:hAnsi="Helvetica" w:cs="Times New Roman"/>
                <w:color w:val="000000" w:themeColor="text1"/>
                <w:sz w:val="6"/>
                <w:szCs w:val="6"/>
              </w:rPr>
            </w:pPr>
            <w:r>
              <w:rPr>
                <w:rFonts w:ascii="Helvetica" w:hAnsi="Helvetica"/>
                <w:color w:val="000000" w:themeColor="text1"/>
                <w:sz w:val="6"/>
              </w:rPr>
              <w:t>Gjeldsinstrumenter</w:t>
            </w:r>
          </w:p>
        </w:tc>
        <w:tc>
          <w:tcPr>
            <w:tcW w:w="332" w:type="dxa"/>
            <w:tcBorders>
              <w:top w:val="single" w:sz="4" w:space="0" w:color="auto"/>
              <w:left w:val="single" w:sz="4" w:space="0" w:color="auto"/>
            </w:tcBorders>
            <w:tcMar>
              <w:top w:w="10" w:type="dxa"/>
              <w:left w:w="10" w:type="dxa"/>
              <w:bottom w:w="10" w:type="dxa"/>
              <w:right w:w="10" w:type="dxa"/>
            </w:tcMar>
          </w:tcPr>
          <w:p w14:paraId="0C81BF2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9" w:type="dxa"/>
            <w:tcBorders>
              <w:top w:val="single" w:sz="4" w:space="0" w:color="auto"/>
              <w:left w:val="single" w:sz="4" w:space="0" w:color="auto"/>
            </w:tcBorders>
            <w:tcMar>
              <w:top w:w="10" w:type="dxa"/>
              <w:left w:w="10" w:type="dxa"/>
              <w:bottom w:w="10" w:type="dxa"/>
              <w:right w:w="10" w:type="dxa"/>
            </w:tcMar>
          </w:tcPr>
          <w:p w14:paraId="688DE43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26784D7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7041DA3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9" w:type="dxa"/>
            <w:tcBorders>
              <w:top w:val="single" w:sz="4" w:space="0" w:color="auto"/>
              <w:left w:val="single" w:sz="4" w:space="0" w:color="auto"/>
            </w:tcBorders>
            <w:tcMar>
              <w:top w:w="10" w:type="dxa"/>
              <w:left w:w="10" w:type="dxa"/>
              <w:bottom w:w="10" w:type="dxa"/>
              <w:right w:w="10" w:type="dxa"/>
            </w:tcMar>
          </w:tcPr>
          <w:p w14:paraId="295DBBC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gridSpan w:val="3"/>
            <w:tcBorders>
              <w:top w:val="single" w:sz="4" w:space="0" w:color="auto"/>
              <w:left w:val="single" w:sz="4" w:space="0" w:color="auto"/>
            </w:tcBorders>
            <w:tcMar>
              <w:top w:w="10" w:type="dxa"/>
              <w:left w:w="10" w:type="dxa"/>
              <w:bottom w:w="10" w:type="dxa"/>
              <w:right w:w="10" w:type="dxa"/>
            </w:tcMar>
          </w:tcPr>
          <w:p w14:paraId="0BF9EA4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3" w:type="dxa"/>
            <w:tcBorders>
              <w:top w:val="single" w:sz="4" w:space="0" w:color="auto"/>
              <w:left w:val="single" w:sz="4" w:space="0" w:color="auto"/>
            </w:tcBorders>
            <w:tcMar>
              <w:top w:w="10" w:type="dxa"/>
              <w:left w:w="10" w:type="dxa"/>
              <w:bottom w:w="10" w:type="dxa"/>
              <w:right w:w="10" w:type="dxa"/>
            </w:tcMar>
          </w:tcPr>
          <w:p w14:paraId="0D9CB07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3" w:type="dxa"/>
            <w:tcBorders>
              <w:top w:val="single" w:sz="4" w:space="0" w:color="auto"/>
              <w:left w:val="single" w:sz="4" w:space="0" w:color="auto"/>
            </w:tcBorders>
            <w:tcMar>
              <w:top w:w="10" w:type="dxa"/>
              <w:left w:w="10" w:type="dxa"/>
              <w:bottom w:w="10" w:type="dxa"/>
              <w:right w:w="10" w:type="dxa"/>
            </w:tcMar>
          </w:tcPr>
          <w:p w14:paraId="4F2A411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2310A96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513F091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7A4D88A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0B8171A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7FF2B41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05" w:type="dxa"/>
            <w:tcBorders>
              <w:top w:val="single" w:sz="4" w:space="0" w:color="auto"/>
              <w:left w:val="single" w:sz="4" w:space="0" w:color="auto"/>
            </w:tcBorders>
            <w:tcMar>
              <w:top w:w="10" w:type="dxa"/>
              <w:left w:w="10" w:type="dxa"/>
              <w:bottom w:w="10" w:type="dxa"/>
              <w:right w:w="10" w:type="dxa"/>
            </w:tcMar>
          </w:tcPr>
          <w:p w14:paraId="1CF2CF3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2" w:type="dxa"/>
            <w:tcBorders>
              <w:top w:val="single" w:sz="4" w:space="0" w:color="auto"/>
              <w:left w:val="single" w:sz="4" w:space="0" w:color="auto"/>
            </w:tcBorders>
            <w:tcMar>
              <w:top w:w="10" w:type="dxa"/>
              <w:left w:w="10" w:type="dxa"/>
              <w:bottom w:w="10" w:type="dxa"/>
              <w:right w:w="10" w:type="dxa"/>
            </w:tcMar>
          </w:tcPr>
          <w:p w14:paraId="2A03243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5590A87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299BEBA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5DACE46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4CC3F34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1457CD4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076B976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16" w:type="dxa"/>
            <w:tcBorders>
              <w:top w:val="single" w:sz="4" w:space="0" w:color="auto"/>
              <w:left w:val="single" w:sz="4" w:space="0" w:color="auto"/>
              <w:right w:val="single" w:sz="4" w:space="0" w:color="auto"/>
            </w:tcBorders>
            <w:tcMar>
              <w:top w:w="10" w:type="dxa"/>
              <w:left w:w="10" w:type="dxa"/>
              <w:bottom w:w="10" w:type="dxa"/>
              <w:right w:w="10" w:type="dxa"/>
            </w:tcMar>
          </w:tcPr>
          <w:p w14:paraId="459D20F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6BCB0727" w14:textId="77777777">
        <w:tc>
          <w:tcPr>
            <w:tcW w:w="127" w:type="dxa"/>
            <w:tcBorders>
              <w:top w:val="single" w:sz="4" w:space="0" w:color="auto"/>
              <w:left w:val="single" w:sz="4" w:space="0" w:color="auto"/>
            </w:tcBorders>
            <w:tcMar>
              <w:top w:w="10" w:type="dxa"/>
              <w:left w:w="10" w:type="dxa"/>
              <w:bottom w:w="10" w:type="dxa"/>
              <w:right w:w="10" w:type="dxa"/>
            </w:tcMar>
          </w:tcPr>
          <w:p w14:paraId="1130EFE7"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9</w:t>
            </w:r>
          </w:p>
        </w:tc>
        <w:tc>
          <w:tcPr>
            <w:tcW w:w="2515" w:type="dxa"/>
            <w:tcBorders>
              <w:top w:val="single" w:sz="4" w:space="0" w:color="auto"/>
              <w:left w:val="single" w:sz="4" w:space="0" w:color="auto"/>
            </w:tcBorders>
            <w:tcMar>
              <w:top w:w="10" w:type="dxa"/>
              <w:left w:w="10" w:type="dxa"/>
              <w:bottom w:w="10" w:type="dxa"/>
              <w:right w:w="10" w:type="dxa"/>
            </w:tcMar>
          </w:tcPr>
          <w:p w14:paraId="1D703CD3" w14:textId="77777777" w:rsidR="006561BA" w:rsidRDefault="005B4ED6">
            <w:pPr>
              <w:widowControl w:val="0"/>
              <w:shd w:val="clear" w:color="auto" w:fill="auto"/>
              <w:spacing w:after="0" w:line="240" w:lineRule="auto"/>
              <w:ind w:left="280"/>
              <w:jc w:val="left"/>
              <w:rPr>
                <w:rFonts w:ascii="Helvetica" w:eastAsia="Arial Unicode MS" w:hAnsi="Helvetica" w:cs="Times New Roman"/>
                <w:color w:val="000000" w:themeColor="text1"/>
                <w:sz w:val="6"/>
                <w:szCs w:val="6"/>
              </w:rPr>
            </w:pPr>
            <w:r>
              <w:rPr>
                <w:rFonts w:ascii="Helvetica" w:hAnsi="Helvetica"/>
                <w:color w:val="000000" w:themeColor="text1"/>
                <w:sz w:val="6"/>
              </w:rPr>
              <w:t>Egenkapitalinstrumenter</w:t>
            </w:r>
          </w:p>
        </w:tc>
        <w:tc>
          <w:tcPr>
            <w:tcW w:w="332" w:type="dxa"/>
            <w:tcBorders>
              <w:top w:val="single" w:sz="4" w:space="0" w:color="auto"/>
              <w:left w:val="single" w:sz="4" w:space="0" w:color="auto"/>
            </w:tcBorders>
            <w:tcMar>
              <w:top w:w="10" w:type="dxa"/>
              <w:left w:w="10" w:type="dxa"/>
              <w:bottom w:w="10" w:type="dxa"/>
              <w:right w:w="10" w:type="dxa"/>
            </w:tcMar>
          </w:tcPr>
          <w:p w14:paraId="75DA1E3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9" w:type="dxa"/>
            <w:tcBorders>
              <w:top w:val="single" w:sz="4" w:space="0" w:color="auto"/>
              <w:left w:val="single" w:sz="4" w:space="0" w:color="auto"/>
            </w:tcBorders>
            <w:tcMar>
              <w:top w:w="10" w:type="dxa"/>
              <w:left w:w="10" w:type="dxa"/>
              <w:bottom w:w="10" w:type="dxa"/>
              <w:right w:w="10" w:type="dxa"/>
            </w:tcMar>
          </w:tcPr>
          <w:p w14:paraId="4BC5898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7439FBB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6F7BCA5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9" w:type="dxa"/>
            <w:tcBorders>
              <w:top w:val="single" w:sz="4" w:space="0" w:color="auto"/>
              <w:left w:val="single" w:sz="4" w:space="0" w:color="auto"/>
            </w:tcBorders>
            <w:tcMar>
              <w:top w:w="10" w:type="dxa"/>
              <w:left w:w="10" w:type="dxa"/>
              <w:bottom w:w="10" w:type="dxa"/>
              <w:right w:w="10" w:type="dxa"/>
            </w:tcMar>
          </w:tcPr>
          <w:p w14:paraId="7B0D700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gridSpan w:val="3"/>
            <w:tcBorders>
              <w:top w:val="single" w:sz="4" w:space="0" w:color="auto"/>
              <w:left w:val="single" w:sz="4" w:space="0" w:color="auto"/>
            </w:tcBorders>
            <w:tcMar>
              <w:top w:w="10" w:type="dxa"/>
              <w:left w:w="10" w:type="dxa"/>
              <w:bottom w:w="10" w:type="dxa"/>
              <w:right w:w="10" w:type="dxa"/>
            </w:tcMar>
          </w:tcPr>
          <w:p w14:paraId="4D90687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3" w:type="dxa"/>
            <w:tcBorders>
              <w:top w:val="single" w:sz="4" w:space="0" w:color="auto"/>
              <w:left w:val="single" w:sz="4" w:space="0" w:color="auto"/>
            </w:tcBorders>
            <w:tcMar>
              <w:top w:w="10" w:type="dxa"/>
              <w:left w:w="10" w:type="dxa"/>
              <w:bottom w:w="10" w:type="dxa"/>
              <w:right w:w="10" w:type="dxa"/>
            </w:tcMar>
          </w:tcPr>
          <w:p w14:paraId="380514B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3" w:type="dxa"/>
            <w:tcBorders>
              <w:top w:val="single" w:sz="4" w:space="0" w:color="auto"/>
              <w:left w:val="single" w:sz="4" w:space="0" w:color="auto"/>
            </w:tcBorders>
            <w:tcMar>
              <w:top w:w="10" w:type="dxa"/>
              <w:left w:w="10" w:type="dxa"/>
              <w:bottom w:w="10" w:type="dxa"/>
              <w:right w:w="10" w:type="dxa"/>
            </w:tcMar>
          </w:tcPr>
          <w:p w14:paraId="35F8AF1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20629DF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0252C99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3D0BD2C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09A14BD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0BE6A4F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05" w:type="dxa"/>
            <w:tcBorders>
              <w:top w:val="single" w:sz="4" w:space="0" w:color="auto"/>
              <w:left w:val="single" w:sz="4" w:space="0" w:color="auto"/>
            </w:tcBorders>
            <w:tcMar>
              <w:top w:w="10" w:type="dxa"/>
              <w:left w:w="10" w:type="dxa"/>
              <w:bottom w:w="10" w:type="dxa"/>
              <w:right w:w="10" w:type="dxa"/>
            </w:tcMar>
          </w:tcPr>
          <w:p w14:paraId="2A542E6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2" w:type="dxa"/>
            <w:tcBorders>
              <w:top w:val="single" w:sz="4" w:space="0" w:color="auto"/>
              <w:left w:val="single" w:sz="4" w:space="0" w:color="auto"/>
            </w:tcBorders>
            <w:tcMar>
              <w:top w:w="10" w:type="dxa"/>
              <w:left w:w="10" w:type="dxa"/>
              <w:bottom w:w="10" w:type="dxa"/>
              <w:right w:w="10" w:type="dxa"/>
            </w:tcMar>
          </w:tcPr>
          <w:p w14:paraId="7A8479C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4741DEF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4514027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2BB0AEA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3428574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0AA994F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26C399F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16" w:type="dxa"/>
            <w:tcBorders>
              <w:top w:val="single" w:sz="4" w:space="0" w:color="auto"/>
              <w:left w:val="single" w:sz="4" w:space="0" w:color="auto"/>
              <w:right w:val="single" w:sz="4" w:space="0" w:color="auto"/>
            </w:tcBorders>
            <w:tcMar>
              <w:top w:w="10" w:type="dxa"/>
              <w:left w:w="10" w:type="dxa"/>
              <w:bottom w:w="10" w:type="dxa"/>
              <w:right w:w="10" w:type="dxa"/>
            </w:tcMar>
          </w:tcPr>
          <w:p w14:paraId="38F6B6A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73A68A14" w14:textId="77777777">
        <w:tc>
          <w:tcPr>
            <w:tcW w:w="127" w:type="dxa"/>
            <w:tcBorders>
              <w:top w:val="single" w:sz="4" w:space="0" w:color="auto"/>
              <w:left w:val="single" w:sz="4" w:space="0" w:color="auto"/>
            </w:tcBorders>
            <w:tcMar>
              <w:top w:w="10" w:type="dxa"/>
              <w:left w:w="10" w:type="dxa"/>
              <w:bottom w:w="10" w:type="dxa"/>
              <w:right w:w="10" w:type="dxa"/>
            </w:tcMar>
          </w:tcPr>
          <w:p w14:paraId="66DE4A1E"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10</w:t>
            </w:r>
          </w:p>
        </w:tc>
        <w:tc>
          <w:tcPr>
            <w:tcW w:w="2515" w:type="dxa"/>
            <w:tcBorders>
              <w:top w:val="single" w:sz="4" w:space="0" w:color="auto"/>
              <w:left w:val="single" w:sz="4" w:space="0" w:color="auto"/>
            </w:tcBorders>
            <w:tcMar>
              <w:top w:w="10" w:type="dxa"/>
              <w:left w:w="10" w:type="dxa"/>
              <w:bottom w:w="10" w:type="dxa"/>
              <w:right w:w="10" w:type="dxa"/>
            </w:tcMar>
          </w:tcPr>
          <w:p w14:paraId="78CE50EA" w14:textId="77777777" w:rsidR="006561BA" w:rsidRDefault="005B4ED6">
            <w:pPr>
              <w:widowControl w:val="0"/>
              <w:shd w:val="clear" w:color="auto" w:fill="auto"/>
              <w:spacing w:after="0" w:line="240" w:lineRule="auto"/>
              <w:ind w:left="240"/>
              <w:jc w:val="left"/>
              <w:rPr>
                <w:rFonts w:ascii="Helvetica" w:eastAsia="Arial Unicode MS" w:hAnsi="Helvetica" w:cs="Times New Roman"/>
                <w:color w:val="000000" w:themeColor="text1"/>
                <w:sz w:val="6"/>
                <w:szCs w:val="6"/>
              </w:rPr>
            </w:pPr>
            <w:r>
              <w:rPr>
                <w:rFonts w:ascii="Helvetica" w:hAnsi="Helvetica"/>
                <w:color w:val="000000" w:themeColor="text1"/>
                <w:sz w:val="6"/>
              </w:rPr>
              <w:t>hvorav kapitalforvaltere</w:t>
            </w:r>
          </w:p>
        </w:tc>
        <w:tc>
          <w:tcPr>
            <w:tcW w:w="332" w:type="dxa"/>
            <w:tcBorders>
              <w:top w:val="single" w:sz="4" w:space="0" w:color="auto"/>
              <w:left w:val="single" w:sz="4" w:space="0" w:color="auto"/>
            </w:tcBorders>
            <w:tcMar>
              <w:top w:w="10" w:type="dxa"/>
              <w:left w:w="10" w:type="dxa"/>
              <w:bottom w:w="10" w:type="dxa"/>
              <w:right w:w="10" w:type="dxa"/>
            </w:tcMar>
          </w:tcPr>
          <w:p w14:paraId="1E03100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9" w:type="dxa"/>
            <w:tcBorders>
              <w:top w:val="single" w:sz="4" w:space="0" w:color="auto"/>
              <w:left w:val="single" w:sz="4" w:space="0" w:color="auto"/>
            </w:tcBorders>
            <w:tcMar>
              <w:top w:w="10" w:type="dxa"/>
              <w:left w:w="10" w:type="dxa"/>
              <w:bottom w:w="10" w:type="dxa"/>
              <w:right w:w="10" w:type="dxa"/>
            </w:tcMar>
          </w:tcPr>
          <w:p w14:paraId="768BA40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6621850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2EFA272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9" w:type="dxa"/>
            <w:tcBorders>
              <w:top w:val="single" w:sz="4" w:space="0" w:color="auto"/>
              <w:left w:val="single" w:sz="4" w:space="0" w:color="auto"/>
            </w:tcBorders>
            <w:tcMar>
              <w:top w:w="10" w:type="dxa"/>
              <w:left w:w="10" w:type="dxa"/>
              <w:bottom w:w="10" w:type="dxa"/>
              <w:right w:w="10" w:type="dxa"/>
            </w:tcMar>
          </w:tcPr>
          <w:p w14:paraId="4DBCDE6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gridSpan w:val="3"/>
            <w:tcBorders>
              <w:top w:val="single" w:sz="4" w:space="0" w:color="auto"/>
              <w:left w:val="single" w:sz="4" w:space="0" w:color="auto"/>
            </w:tcBorders>
            <w:tcMar>
              <w:top w:w="10" w:type="dxa"/>
              <w:left w:w="10" w:type="dxa"/>
              <w:bottom w:w="10" w:type="dxa"/>
              <w:right w:w="10" w:type="dxa"/>
            </w:tcMar>
          </w:tcPr>
          <w:p w14:paraId="61AE04F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3" w:type="dxa"/>
            <w:tcBorders>
              <w:top w:val="single" w:sz="4" w:space="0" w:color="auto"/>
              <w:left w:val="single" w:sz="4" w:space="0" w:color="auto"/>
            </w:tcBorders>
            <w:tcMar>
              <w:top w:w="10" w:type="dxa"/>
              <w:left w:w="10" w:type="dxa"/>
              <w:bottom w:w="10" w:type="dxa"/>
              <w:right w:w="10" w:type="dxa"/>
            </w:tcMar>
          </w:tcPr>
          <w:p w14:paraId="6C00695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3" w:type="dxa"/>
            <w:tcBorders>
              <w:top w:val="single" w:sz="4" w:space="0" w:color="auto"/>
              <w:left w:val="single" w:sz="4" w:space="0" w:color="auto"/>
            </w:tcBorders>
            <w:tcMar>
              <w:top w:w="10" w:type="dxa"/>
              <w:left w:w="10" w:type="dxa"/>
              <w:bottom w:w="10" w:type="dxa"/>
              <w:right w:w="10" w:type="dxa"/>
            </w:tcMar>
          </w:tcPr>
          <w:p w14:paraId="66D7107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63A0876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2077DEF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31B0EA4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6B18124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1583583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05" w:type="dxa"/>
            <w:tcBorders>
              <w:top w:val="single" w:sz="4" w:space="0" w:color="auto"/>
              <w:left w:val="single" w:sz="4" w:space="0" w:color="auto"/>
            </w:tcBorders>
            <w:tcMar>
              <w:top w:w="10" w:type="dxa"/>
              <w:left w:w="10" w:type="dxa"/>
              <w:bottom w:w="10" w:type="dxa"/>
              <w:right w:w="10" w:type="dxa"/>
            </w:tcMar>
          </w:tcPr>
          <w:p w14:paraId="6ADBDEA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2" w:type="dxa"/>
            <w:tcBorders>
              <w:top w:val="single" w:sz="4" w:space="0" w:color="auto"/>
              <w:left w:val="single" w:sz="4" w:space="0" w:color="auto"/>
            </w:tcBorders>
            <w:tcMar>
              <w:top w:w="10" w:type="dxa"/>
              <w:left w:w="10" w:type="dxa"/>
              <w:bottom w:w="10" w:type="dxa"/>
              <w:right w:w="10" w:type="dxa"/>
            </w:tcMar>
          </w:tcPr>
          <w:p w14:paraId="0FFA11C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0789AAA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4763D56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5BFFA8D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79FE003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205A7D2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4A80AFF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16" w:type="dxa"/>
            <w:tcBorders>
              <w:top w:val="single" w:sz="4" w:space="0" w:color="auto"/>
              <w:left w:val="single" w:sz="4" w:space="0" w:color="auto"/>
              <w:right w:val="single" w:sz="4" w:space="0" w:color="auto"/>
            </w:tcBorders>
            <w:tcMar>
              <w:top w:w="10" w:type="dxa"/>
              <w:left w:w="10" w:type="dxa"/>
              <w:bottom w:w="10" w:type="dxa"/>
              <w:right w:w="10" w:type="dxa"/>
            </w:tcMar>
          </w:tcPr>
          <w:p w14:paraId="45EB6C4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1AE3631B" w14:textId="77777777">
        <w:tc>
          <w:tcPr>
            <w:tcW w:w="127" w:type="dxa"/>
            <w:tcBorders>
              <w:top w:val="single" w:sz="4" w:space="0" w:color="auto"/>
              <w:left w:val="single" w:sz="4" w:space="0" w:color="auto"/>
            </w:tcBorders>
            <w:tcMar>
              <w:top w:w="10" w:type="dxa"/>
              <w:left w:w="10" w:type="dxa"/>
              <w:bottom w:w="10" w:type="dxa"/>
              <w:right w:w="10" w:type="dxa"/>
            </w:tcMar>
          </w:tcPr>
          <w:p w14:paraId="570C25BD"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11</w:t>
            </w:r>
          </w:p>
        </w:tc>
        <w:tc>
          <w:tcPr>
            <w:tcW w:w="2515" w:type="dxa"/>
            <w:tcBorders>
              <w:top w:val="single" w:sz="4" w:space="0" w:color="auto"/>
              <w:left w:val="single" w:sz="4" w:space="0" w:color="auto"/>
            </w:tcBorders>
            <w:tcMar>
              <w:top w:w="10" w:type="dxa"/>
              <w:left w:w="10" w:type="dxa"/>
              <w:bottom w:w="10" w:type="dxa"/>
              <w:right w:w="10" w:type="dxa"/>
            </w:tcMar>
          </w:tcPr>
          <w:p w14:paraId="0810A2E6" w14:textId="77777777" w:rsidR="006561BA" w:rsidRDefault="005B4ED6">
            <w:pPr>
              <w:widowControl w:val="0"/>
              <w:shd w:val="clear" w:color="auto" w:fill="auto"/>
              <w:spacing w:after="0" w:line="240" w:lineRule="auto"/>
              <w:ind w:left="280"/>
              <w:jc w:val="left"/>
              <w:rPr>
                <w:rFonts w:ascii="Helvetica" w:eastAsia="Arial Unicode MS" w:hAnsi="Helvetica" w:cs="Times New Roman"/>
                <w:color w:val="000000" w:themeColor="text1"/>
                <w:sz w:val="6"/>
                <w:szCs w:val="6"/>
              </w:rPr>
            </w:pPr>
            <w:r>
              <w:rPr>
                <w:rFonts w:ascii="Helvetica" w:hAnsi="Helvetica"/>
                <w:color w:val="000000" w:themeColor="text1"/>
                <w:sz w:val="6"/>
              </w:rPr>
              <w:t>Gjeldsinstrumenter</w:t>
            </w:r>
          </w:p>
        </w:tc>
        <w:tc>
          <w:tcPr>
            <w:tcW w:w="332" w:type="dxa"/>
            <w:tcBorders>
              <w:top w:val="single" w:sz="4" w:space="0" w:color="auto"/>
              <w:left w:val="single" w:sz="4" w:space="0" w:color="auto"/>
            </w:tcBorders>
            <w:tcMar>
              <w:top w:w="10" w:type="dxa"/>
              <w:left w:w="10" w:type="dxa"/>
              <w:bottom w:w="10" w:type="dxa"/>
              <w:right w:w="10" w:type="dxa"/>
            </w:tcMar>
          </w:tcPr>
          <w:p w14:paraId="0145FFD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9" w:type="dxa"/>
            <w:tcBorders>
              <w:top w:val="single" w:sz="4" w:space="0" w:color="auto"/>
              <w:left w:val="single" w:sz="4" w:space="0" w:color="auto"/>
            </w:tcBorders>
            <w:tcMar>
              <w:top w:w="10" w:type="dxa"/>
              <w:left w:w="10" w:type="dxa"/>
              <w:bottom w:w="10" w:type="dxa"/>
              <w:right w:w="10" w:type="dxa"/>
            </w:tcMar>
          </w:tcPr>
          <w:p w14:paraId="75757E8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3782DDB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3280024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9" w:type="dxa"/>
            <w:tcBorders>
              <w:top w:val="single" w:sz="4" w:space="0" w:color="auto"/>
              <w:left w:val="single" w:sz="4" w:space="0" w:color="auto"/>
            </w:tcBorders>
            <w:tcMar>
              <w:top w:w="10" w:type="dxa"/>
              <w:left w:w="10" w:type="dxa"/>
              <w:bottom w:w="10" w:type="dxa"/>
              <w:right w:w="10" w:type="dxa"/>
            </w:tcMar>
          </w:tcPr>
          <w:p w14:paraId="73E541D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gridSpan w:val="3"/>
            <w:tcBorders>
              <w:top w:val="single" w:sz="4" w:space="0" w:color="auto"/>
              <w:left w:val="single" w:sz="4" w:space="0" w:color="auto"/>
            </w:tcBorders>
            <w:tcMar>
              <w:top w:w="10" w:type="dxa"/>
              <w:left w:w="10" w:type="dxa"/>
              <w:bottom w:w="10" w:type="dxa"/>
              <w:right w:w="10" w:type="dxa"/>
            </w:tcMar>
          </w:tcPr>
          <w:p w14:paraId="3D1C280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3" w:type="dxa"/>
            <w:tcBorders>
              <w:top w:val="single" w:sz="4" w:space="0" w:color="auto"/>
              <w:left w:val="single" w:sz="4" w:space="0" w:color="auto"/>
            </w:tcBorders>
            <w:tcMar>
              <w:top w:w="10" w:type="dxa"/>
              <w:left w:w="10" w:type="dxa"/>
              <w:bottom w:w="10" w:type="dxa"/>
              <w:right w:w="10" w:type="dxa"/>
            </w:tcMar>
          </w:tcPr>
          <w:p w14:paraId="7C387AA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3" w:type="dxa"/>
            <w:tcBorders>
              <w:top w:val="single" w:sz="4" w:space="0" w:color="auto"/>
              <w:left w:val="single" w:sz="4" w:space="0" w:color="auto"/>
            </w:tcBorders>
            <w:tcMar>
              <w:top w:w="10" w:type="dxa"/>
              <w:left w:w="10" w:type="dxa"/>
              <w:bottom w:w="10" w:type="dxa"/>
              <w:right w:w="10" w:type="dxa"/>
            </w:tcMar>
          </w:tcPr>
          <w:p w14:paraId="1DC6E21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71DB680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0933148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07A6A72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1F675A8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5B090BA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05" w:type="dxa"/>
            <w:tcBorders>
              <w:top w:val="single" w:sz="4" w:space="0" w:color="auto"/>
              <w:left w:val="single" w:sz="4" w:space="0" w:color="auto"/>
            </w:tcBorders>
            <w:tcMar>
              <w:top w:w="10" w:type="dxa"/>
              <w:left w:w="10" w:type="dxa"/>
              <w:bottom w:w="10" w:type="dxa"/>
              <w:right w:w="10" w:type="dxa"/>
            </w:tcMar>
          </w:tcPr>
          <w:p w14:paraId="0511670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2" w:type="dxa"/>
            <w:tcBorders>
              <w:top w:val="single" w:sz="4" w:space="0" w:color="auto"/>
              <w:left w:val="single" w:sz="4" w:space="0" w:color="auto"/>
            </w:tcBorders>
            <w:tcMar>
              <w:top w:w="10" w:type="dxa"/>
              <w:left w:w="10" w:type="dxa"/>
              <w:bottom w:w="10" w:type="dxa"/>
              <w:right w:w="10" w:type="dxa"/>
            </w:tcMar>
          </w:tcPr>
          <w:p w14:paraId="07AB45F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50A7482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3C87E7F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44D9F85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7919221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543E535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7610931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16" w:type="dxa"/>
            <w:tcBorders>
              <w:top w:val="single" w:sz="4" w:space="0" w:color="auto"/>
              <w:left w:val="single" w:sz="4" w:space="0" w:color="auto"/>
              <w:right w:val="single" w:sz="4" w:space="0" w:color="auto"/>
            </w:tcBorders>
            <w:tcMar>
              <w:top w:w="10" w:type="dxa"/>
              <w:left w:w="10" w:type="dxa"/>
              <w:bottom w:w="10" w:type="dxa"/>
              <w:right w:w="10" w:type="dxa"/>
            </w:tcMar>
          </w:tcPr>
          <w:p w14:paraId="74E89D3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46F0DA2F" w14:textId="77777777">
        <w:tc>
          <w:tcPr>
            <w:tcW w:w="127" w:type="dxa"/>
            <w:tcBorders>
              <w:top w:val="single" w:sz="4" w:space="0" w:color="auto"/>
              <w:left w:val="single" w:sz="4" w:space="0" w:color="auto"/>
            </w:tcBorders>
            <w:tcMar>
              <w:top w:w="10" w:type="dxa"/>
              <w:left w:w="10" w:type="dxa"/>
              <w:bottom w:w="10" w:type="dxa"/>
              <w:right w:w="10" w:type="dxa"/>
            </w:tcMar>
          </w:tcPr>
          <w:p w14:paraId="205DB17E"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12</w:t>
            </w:r>
          </w:p>
        </w:tc>
        <w:tc>
          <w:tcPr>
            <w:tcW w:w="2515" w:type="dxa"/>
            <w:tcBorders>
              <w:top w:val="single" w:sz="4" w:space="0" w:color="auto"/>
              <w:left w:val="single" w:sz="4" w:space="0" w:color="auto"/>
            </w:tcBorders>
            <w:tcMar>
              <w:top w:w="10" w:type="dxa"/>
              <w:left w:w="10" w:type="dxa"/>
              <w:bottom w:w="10" w:type="dxa"/>
              <w:right w:w="10" w:type="dxa"/>
            </w:tcMar>
          </w:tcPr>
          <w:p w14:paraId="456EE878" w14:textId="77777777" w:rsidR="006561BA" w:rsidRDefault="005B4ED6">
            <w:pPr>
              <w:widowControl w:val="0"/>
              <w:shd w:val="clear" w:color="auto" w:fill="auto"/>
              <w:spacing w:after="0" w:line="240" w:lineRule="auto"/>
              <w:ind w:left="280"/>
              <w:jc w:val="left"/>
              <w:rPr>
                <w:rFonts w:ascii="Helvetica" w:eastAsia="Arial Unicode MS" w:hAnsi="Helvetica" w:cs="Times New Roman"/>
                <w:color w:val="000000" w:themeColor="text1"/>
                <w:sz w:val="6"/>
                <w:szCs w:val="6"/>
              </w:rPr>
            </w:pPr>
            <w:r>
              <w:rPr>
                <w:rFonts w:ascii="Helvetica" w:hAnsi="Helvetica"/>
                <w:color w:val="000000" w:themeColor="text1"/>
                <w:sz w:val="6"/>
              </w:rPr>
              <w:t>Egenkapitalinstrumenter</w:t>
            </w:r>
          </w:p>
        </w:tc>
        <w:tc>
          <w:tcPr>
            <w:tcW w:w="332" w:type="dxa"/>
            <w:tcBorders>
              <w:top w:val="single" w:sz="4" w:space="0" w:color="auto"/>
              <w:left w:val="single" w:sz="4" w:space="0" w:color="auto"/>
            </w:tcBorders>
            <w:tcMar>
              <w:top w:w="10" w:type="dxa"/>
              <w:left w:w="10" w:type="dxa"/>
              <w:bottom w:w="10" w:type="dxa"/>
              <w:right w:w="10" w:type="dxa"/>
            </w:tcMar>
          </w:tcPr>
          <w:p w14:paraId="4AD9183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9" w:type="dxa"/>
            <w:tcBorders>
              <w:top w:val="single" w:sz="4" w:space="0" w:color="auto"/>
              <w:left w:val="single" w:sz="4" w:space="0" w:color="auto"/>
            </w:tcBorders>
            <w:tcMar>
              <w:top w:w="10" w:type="dxa"/>
              <w:left w:w="10" w:type="dxa"/>
              <w:bottom w:w="10" w:type="dxa"/>
              <w:right w:w="10" w:type="dxa"/>
            </w:tcMar>
          </w:tcPr>
          <w:p w14:paraId="0581C60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5E97A7A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7B08989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9" w:type="dxa"/>
            <w:tcBorders>
              <w:top w:val="single" w:sz="4" w:space="0" w:color="auto"/>
              <w:left w:val="single" w:sz="4" w:space="0" w:color="auto"/>
            </w:tcBorders>
            <w:tcMar>
              <w:top w:w="10" w:type="dxa"/>
              <w:left w:w="10" w:type="dxa"/>
              <w:bottom w:w="10" w:type="dxa"/>
              <w:right w:w="10" w:type="dxa"/>
            </w:tcMar>
          </w:tcPr>
          <w:p w14:paraId="13D21B7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gridSpan w:val="3"/>
            <w:tcBorders>
              <w:top w:val="single" w:sz="4" w:space="0" w:color="auto"/>
              <w:left w:val="single" w:sz="4" w:space="0" w:color="auto"/>
            </w:tcBorders>
            <w:tcMar>
              <w:top w:w="10" w:type="dxa"/>
              <w:left w:w="10" w:type="dxa"/>
              <w:bottom w:w="10" w:type="dxa"/>
              <w:right w:w="10" w:type="dxa"/>
            </w:tcMar>
          </w:tcPr>
          <w:p w14:paraId="7E756D6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3" w:type="dxa"/>
            <w:tcBorders>
              <w:top w:val="single" w:sz="4" w:space="0" w:color="auto"/>
              <w:left w:val="single" w:sz="4" w:space="0" w:color="auto"/>
            </w:tcBorders>
            <w:tcMar>
              <w:top w:w="10" w:type="dxa"/>
              <w:left w:w="10" w:type="dxa"/>
              <w:bottom w:w="10" w:type="dxa"/>
              <w:right w:w="10" w:type="dxa"/>
            </w:tcMar>
          </w:tcPr>
          <w:p w14:paraId="79F26D2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3" w:type="dxa"/>
            <w:tcBorders>
              <w:top w:val="single" w:sz="4" w:space="0" w:color="auto"/>
              <w:left w:val="single" w:sz="4" w:space="0" w:color="auto"/>
            </w:tcBorders>
            <w:tcMar>
              <w:top w:w="10" w:type="dxa"/>
              <w:left w:w="10" w:type="dxa"/>
              <w:bottom w:w="10" w:type="dxa"/>
              <w:right w:w="10" w:type="dxa"/>
            </w:tcMar>
          </w:tcPr>
          <w:p w14:paraId="6451F9C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37E869A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6A2A69D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782B10B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272DB58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1F9A66A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05" w:type="dxa"/>
            <w:tcBorders>
              <w:top w:val="single" w:sz="4" w:space="0" w:color="auto"/>
              <w:left w:val="single" w:sz="4" w:space="0" w:color="auto"/>
            </w:tcBorders>
            <w:tcMar>
              <w:top w:w="10" w:type="dxa"/>
              <w:left w:w="10" w:type="dxa"/>
              <w:bottom w:w="10" w:type="dxa"/>
              <w:right w:w="10" w:type="dxa"/>
            </w:tcMar>
          </w:tcPr>
          <w:p w14:paraId="016096E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2" w:type="dxa"/>
            <w:tcBorders>
              <w:top w:val="single" w:sz="4" w:space="0" w:color="auto"/>
              <w:left w:val="single" w:sz="4" w:space="0" w:color="auto"/>
            </w:tcBorders>
            <w:tcMar>
              <w:top w:w="10" w:type="dxa"/>
              <w:left w:w="10" w:type="dxa"/>
              <w:bottom w:w="10" w:type="dxa"/>
              <w:right w:w="10" w:type="dxa"/>
            </w:tcMar>
          </w:tcPr>
          <w:p w14:paraId="718A7A1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687A40C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351342A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3EF08A8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2D0068E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03C4BD9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2DAAC7C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16" w:type="dxa"/>
            <w:tcBorders>
              <w:top w:val="single" w:sz="4" w:space="0" w:color="auto"/>
              <w:left w:val="single" w:sz="4" w:space="0" w:color="auto"/>
              <w:right w:val="single" w:sz="4" w:space="0" w:color="auto"/>
            </w:tcBorders>
            <w:tcMar>
              <w:top w:w="10" w:type="dxa"/>
              <w:left w:w="10" w:type="dxa"/>
              <w:bottom w:w="10" w:type="dxa"/>
              <w:right w:w="10" w:type="dxa"/>
            </w:tcMar>
          </w:tcPr>
          <w:p w14:paraId="0BBF5A1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10C03B3A" w14:textId="77777777">
        <w:tc>
          <w:tcPr>
            <w:tcW w:w="127" w:type="dxa"/>
            <w:tcBorders>
              <w:top w:val="single" w:sz="4" w:space="0" w:color="auto"/>
              <w:left w:val="single" w:sz="4" w:space="0" w:color="auto"/>
            </w:tcBorders>
            <w:tcMar>
              <w:top w:w="10" w:type="dxa"/>
              <w:left w:w="10" w:type="dxa"/>
              <w:bottom w:w="10" w:type="dxa"/>
              <w:right w:w="10" w:type="dxa"/>
            </w:tcMar>
          </w:tcPr>
          <w:p w14:paraId="20EF1A23"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13</w:t>
            </w:r>
          </w:p>
        </w:tc>
        <w:tc>
          <w:tcPr>
            <w:tcW w:w="2515" w:type="dxa"/>
            <w:tcBorders>
              <w:top w:val="single" w:sz="4" w:space="0" w:color="auto"/>
              <w:left w:val="single" w:sz="4" w:space="0" w:color="auto"/>
            </w:tcBorders>
            <w:tcMar>
              <w:top w:w="10" w:type="dxa"/>
              <w:left w:w="10" w:type="dxa"/>
              <w:bottom w:w="10" w:type="dxa"/>
              <w:right w:w="10" w:type="dxa"/>
            </w:tcMar>
          </w:tcPr>
          <w:p w14:paraId="0FCA7B1F" w14:textId="77777777" w:rsidR="006561BA" w:rsidRDefault="005B4ED6">
            <w:pPr>
              <w:widowControl w:val="0"/>
              <w:shd w:val="clear" w:color="auto" w:fill="auto"/>
              <w:spacing w:after="0" w:line="240" w:lineRule="auto"/>
              <w:ind w:left="240"/>
              <w:jc w:val="left"/>
              <w:rPr>
                <w:rFonts w:ascii="Helvetica" w:eastAsia="Arial Unicode MS" w:hAnsi="Helvetica" w:cs="Times New Roman"/>
                <w:color w:val="000000" w:themeColor="text1"/>
                <w:sz w:val="6"/>
                <w:szCs w:val="6"/>
              </w:rPr>
            </w:pPr>
            <w:r>
              <w:rPr>
                <w:rFonts w:ascii="Helvetica" w:hAnsi="Helvetica"/>
                <w:color w:val="000000" w:themeColor="text1"/>
                <w:sz w:val="6"/>
              </w:rPr>
              <w:t>hvorav forsikringsforetak</w:t>
            </w:r>
          </w:p>
        </w:tc>
        <w:tc>
          <w:tcPr>
            <w:tcW w:w="332" w:type="dxa"/>
            <w:tcBorders>
              <w:top w:val="single" w:sz="4" w:space="0" w:color="auto"/>
              <w:left w:val="single" w:sz="4" w:space="0" w:color="auto"/>
            </w:tcBorders>
            <w:tcMar>
              <w:top w:w="10" w:type="dxa"/>
              <w:left w:w="10" w:type="dxa"/>
              <w:bottom w:w="10" w:type="dxa"/>
              <w:right w:w="10" w:type="dxa"/>
            </w:tcMar>
          </w:tcPr>
          <w:p w14:paraId="65E215E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9" w:type="dxa"/>
            <w:tcBorders>
              <w:top w:val="single" w:sz="4" w:space="0" w:color="auto"/>
              <w:left w:val="single" w:sz="4" w:space="0" w:color="auto"/>
            </w:tcBorders>
            <w:tcMar>
              <w:top w:w="10" w:type="dxa"/>
              <w:left w:w="10" w:type="dxa"/>
              <w:bottom w:w="10" w:type="dxa"/>
              <w:right w:w="10" w:type="dxa"/>
            </w:tcMar>
          </w:tcPr>
          <w:p w14:paraId="2D6EF6E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1502569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15C1409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9" w:type="dxa"/>
            <w:tcBorders>
              <w:top w:val="single" w:sz="4" w:space="0" w:color="auto"/>
              <w:left w:val="single" w:sz="4" w:space="0" w:color="auto"/>
            </w:tcBorders>
            <w:tcMar>
              <w:top w:w="10" w:type="dxa"/>
              <w:left w:w="10" w:type="dxa"/>
              <w:bottom w:w="10" w:type="dxa"/>
              <w:right w:w="10" w:type="dxa"/>
            </w:tcMar>
          </w:tcPr>
          <w:p w14:paraId="31D8ABB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gridSpan w:val="3"/>
            <w:tcBorders>
              <w:top w:val="single" w:sz="4" w:space="0" w:color="auto"/>
              <w:left w:val="single" w:sz="4" w:space="0" w:color="auto"/>
            </w:tcBorders>
            <w:tcMar>
              <w:top w:w="10" w:type="dxa"/>
              <w:left w:w="10" w:type="dxa"/>
              <w:bottom w:w="10" w:type="dxa"/>
              <w:right w:w="10" w:type="dxa"/>
            </w:tcMar>
          </w:tcPr>
          <w:p w14:paraId="6041504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3" w:type="dxa"/>
            <w:tcBorders>
              <w:top w:val="single" w:sz="4" w:space="0" w:color="auto"/>
              <w:left w:val="single" w:sz="4" w:space="0" w:color="auto"/>
            </w:tcBorders>
            <w:tcMar>
              <w:top w:w="10" w:type="dxa"/>
              <w:left w:w="10" w:type="dxa"/>
              <w:bottom w:w="10" w:type="dxa"/>
              <w:right w:w="10" w:type="dxa"/>
            </w:tcMar>
          </w:tcPr>
          <w:p w14:paraId="44B236E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3" w:type="dxa"/>
            <w:tcBorders>
              <w:top w:val="single" w:sz="4" w:space="0" w:color="auto"/>
              <w:left w:val="single" w:sz="4" w:space="0" w:color="auto"/>
            </w:tcBorders>
            <w:tcMar>
              <w:top w:w="10" w:type="dxa"/>
              <w:left w:w="10" w:type="dxa"/>
              <w:bottom w:w="10" w:type="dxa"/>
              <w:right w:w="10" w:type="dxa"/>
            </w:tcMar>
          </w:tcPr>
          <w:p w14:paraId="03F0CD6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4803C21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533949D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57D1948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1E3B71A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698319F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05" w:type="dxa"/>
            <w:tcBorders>
              <w:top w:val="single" w:sz="4" w:space="0" w:color="auto"/>
              <w:left w:val="single" w:sz="4" w:space="0" w:color="auto"/>
            </w:tcBorders>
            <w:tcMar>
              <w:top w:w="10" w:type="dxa"/>
              <w:left w:w="10" w:type="dxa"/>
              <w:bottom w:w="10" w:type="dxa"/>
              <w:right w:w="10" w:type="dxa"/>
            </w:tcMar>
          </w:tcPr>
          <w:p w14:paraId="6588B2F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2" w:type="dxa"/>
            <w:tcBorders>
              <w:top w:val="single" w:sz="4" w:space="0" w:color="auto"/>
              <w:left w:val="single" w:sz="4" w:space="0" w:color="auto"/>
            </w:tcBorders>
            <w:tcMar>
              <w:top w:w="10" w:type="dxa"/>
              <w:left w:w="10" w:type="dxa"/>
              <w:bottom w:w="10" w:type="dxa"/>
              <w:right w:w="10" w:type="dxa"/>
            </w:tcMar>
          </w:tcPr>
          <w:p w14:paraId="4847509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72EC02B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6331912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7F9A817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6565E5E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1131E54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423683A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16" w:type="dxa"/>
            <w:tcBorders>
              <w:top w:val="single" w:sz="4" w:space="0" w:color="auto"/>
              <w:left w:val="single" w:sz="4" w:space="0" w:color="auto"/>
              <w:right w:val="single" w:sz="4" w:space="0" w:color="auto"/>
            </w:tcBorders>
            <w:tcMar>
              <w:top w:w="10" w:type="dxa"/>
              <w:left w:w="10" w:type="dxa"/>
              <w:bottom w:w="10" w:type="dxa"/>
              <w:right w:w="10" w:type="dxa"/>
            </w:tcMar>
          </w:tcPr>
          <w:p w14:paraId="40657ED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370CA737" w14:textId="77777777">
        <w:tc>
          <w:tcPr>
            <w:tcW w:w="127" w:type="dxa"/>
            <w:tcBorders>
              <w:top w:val="single" w:sz="4" w:space="0" w:color="auto"/>
              <w:left w:val="single" w:sz="4" w:space="0" w:color="auto"/>
            </w:tcBorders>
            <w:tcMar>
              <w:top w:w="10" w:type="dxa"/>
              <w:left w:w="10" w:type="dxa"/>
              <w:bottom w:w="10" w:type="dxa"/>
              <w:right w:w="10" w:type="dxa"/>
            </w:tcMar>
          </w:tcPr>
          <w:p w14:paraId="39ACE53B"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14</w:t>
            </w:r>
          </w:p>
        </w:tc>
        <w:tc>
          <w:tcPr>
            <w:tcW w:w="2515" w:type="dxa"/>
            <w:tcBorders>
              <w:top w:val="single" w:sz="4" w:space="0" w:color="auto"/>
              <w:left w:val="single" w:sz="4" w:space="0" w:color="auto"/>
            </w:tcBorders>
            <w:tcMar>
              <w:top w:w="10" w:type="dxa"/>
              <w:left w:w="10" w:type="dxa"/>
              <w:bottom w:w="10" w:type="dxa"/>
              <w:right w:w="10" w:type="dxa"/>
            </w:tcMar>
          </w:tcPr>
          <w:p w14:paraId="38E2D503" w14:textId="77777777" w:rsidR="006561BA" w:rsidRDefault="005B4ED6">
            <w:pPr>
              <w:widowControl w:val="0"/>
              <w:shd w:val="clear" w:color="auto" w:fill="auto"/>
              <w:spacing w:after="0" w:line="240" w:lineRule="auto"/>
              <w:ind w:left="280"/>
              <w:jc w:val="left"/>
              <w:rPr>
                <w:rFonts w:ascii="Helvetica" w:eastAsia="Arial Unicode MS" w:hAnsi="Helvetica" w:cs="Times New Roman"/>
                <w:color w:val="000000" w:themeColor="text1"/>
                <w:sz w:val="6"/>
                <w:szCs w:val="6"/>
              </w:rPr>
            </w:pPr>
            <w:r>
              <w:rPr>
                <w:rFonts w:ascii="Helvetica" w:hAnsi="Helvetica"/>
                <w:color w:val="000000" w:themeColor="text1"/>
                <w:sz w:val="6"/>
              </w:rPr>
              <w:t>Gjeldsinstrumenter</w:t>
            </w:r>
          </w:p>
        </w:tc>
        <w:tc>
          <w:tcPr>
            <w:tcW w:w="332" w:type="dxa"/>
            <w:tcBorders>
              <w:top w:val="single" w:sz="4" w:space="0" w:color="auto"/>
              <w:left w:val="single" w:sz="4" w:space="0" w:color="auto"/>
            </w:tcBorders>
            <w:tcMar>
              <w:top w:w="10" w:type="dxa"/>
              <w:left w:w="10" w:type="dxa"/>
              <w:bottom w:w="10" w:type="dxa"/>
              <w:right w:w="10" w:type="dxa"/>
            </w:tcMar>
          </w:tcPr>
          <w:p w14:paraId="71129FF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9" w:type="dxa"/>
            <w:tcBorders>
              <w:top w:val="single" w:sz="4" w:space="0" w:color="auto"/>
              <w:left w:val="single" w:sz="4" w:space="0" w:color="auto"/>
            </w:tcBorders>
            <w:tcMar>
              <w:top w:w="10" w:type="dxa"/>
              <w:left w:w="10" w:type="dxa"/>
              <w:bottom w:w="10" w:type="dxa"/>
              <w:right w:w="10" w:type="dxa"/>
            </w:tcMar>
          </w:tcPr>
          <w:p w14:paraId="7290AD2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3350E31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41244B9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9" w:type="dxa"/>
            <w:tcBorders>
              <w:top w:val="single" w:sz="4" w:space="0" w:color="auto"/>
              <w:left w:val="single" w:sz="4" w:space="0" w:color="auto"/>
            </w:tcBorders>
            <w:tcMar>
              <w:top w:w="10" w:type="dxa"/>
              <w:left w:w="10" w:type="dxa"/>
              <w:bottom w:w="10" w:type="dxa"/>
              <w:right w:w="10" w:type="dxa"/>
            </w:tcMar>
          </w:tcPr>
          <w:p w14:paraId="2875753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gridSpan w:val="3"/>
            <w:tcBorders>
              <w:top w:val="single" w:sz="4" w:space="0" w:color="auto"/>
              <w:left w:val="single" w:sz="4" w:space="0" w:color="auto"/>
            </w:tcBorders>
            <w:tcMar>
              <w:top w:w="10" w:type="dxa"/>
              <w:left w:w="10" w:type="dxa"/>
              <w:bottom w:w="10" w:type="dxa"/>
              <w:right w:w="10" w:type="dxa"/>
            </w:tcMar>
          </w:tcPr>
          <w:p w14:paraId="3D1F8FA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3" w:type="dxa"/>
            <w:tcBorders>
              <w:top w:val="single" w:sz="4" w:space="0" w:color="auto"/>
              <w:left w:val="single" w:sz="4" w:space="0" w:color="auto"/>
            </w:tcBorders>
            <w:tcMar>
              <w:top w:w="10" w:type="dxa"/>
              <w:left w:w="10" w:type="dxa"/>
              <w:bottom w:w="10" w:type="dxa"/>
              <w:right w:w="10" w:type="dxa"/>
            </w:tcMar>
          </w:tcPr>
          <w:p w14:paraId="7ED617F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3" w:type="dxa"/>
            <w:tcBorders>
              <w:top w:val="single" w:sz="4" w:space="0" w:color="auto"/>
              <w:left w:val="single" w:sz="4" w:space="0" w:color="auto"/>
            </w:tcBorders>
            <w:tcMar>
              <w:top w:w="10" w:type="dxa"/>
              <w:left w:w="10" w:type="dxa"/>
              <w:bottom w:w="10" w:type="dxa"/>
              <w:right w:w="10" w:type="dxa"/>
            </w:tcMar>
          </w:tcPr>
          <w:p w14:paraId="7662179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2C3043B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52A1A18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1DBFD70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63A7CBA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373BB4E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05" w:type="dxa"/>
            <w:tcBorders>
              <w:top w:val="single" w:sz="4" w:space="0" w:color="auto"/>
              <w:left w:val="single" w:sz="4" w:space="0" w:color="auto"/>
            </w:tcBorders>
            <w:tcMar>
              <w:top w:w="10" w:type="dxa"/>
              <w:left w:w="10" w:type="dxa"/>
              <w:bottom w:w="10" w:type="dxa"/>
              <w:right w:w="10" w:type="dxa"/>
            </w:tcMar>
          </w:tcPr>
          <w:p w14:paraId="089804D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2" w:type="dxa"/>
            <w:tcBorders>
              <w:top w:val="single" w:sz="4" w:space="0" w:color="auto"/>
              <w:left w:val="single" w:sz="4" w:space="0" w:color="auto"/>
            </w:tcBorders>
            <w:tcMar>
              <w:top w:w="10" w:type="dxa"/>
              <w:left w:w="10" w:type="dxa"/>
              <w:bottom w:w="10" w:type="dxa"/>
              <w:right w:w="10" w:type="dxa"/>
            </w:tcMar>
          </w:tcPr>
          <w:p w14:paraId="4AFDAC4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00C6FE4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6D15C58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7746CC4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721823F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2327FED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5069392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16" w:type="dxa"/>
            <w:tcBorders>
              <w:top w:val="single" w:sz="4" w:space="0" w:color="auto"/>
              <w:left w:val="single" w:sz="4" w:space="0" w:color="auto"/>
              <w:right w:val="single" w:sz="4" w:space="0" w:color="auto"/>
            </w:tcBorders>
            <w:tcMar>
              <w:top w:w="10" w:type="dxa"/>
              <w:left w:w="10" w:type="dxa"/>
              <w:bottom w:w="10" w:type="dxa"/>
              <w:right w:w="10" w:type="dxa"/>
            </w:tcMar>
          </w:tcPr>
          <w:p w14:paraId="6FC36BD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5538ADFC" w14:textId="77777777">
        <w:tc>
          <w:tcPr>
            <w:tcW w:w="127" w:type="dxa"/>
            <w:tcBorders>
              <w:top w:val="single" w:sz="4" w:space="0" w:color="auto"/>
              <w:left w:val="single" w:sz="4" w:space="0" w:color="auto"/>
            </w:tcBorders>
            <w:tcMar>
              <w:top w:w="10" w:type="dxa"/>
              <w:left w:w="10" w:type="dxa"/>
              <w:bottom w:w="10" w:type="dxa"/>
              <w:right w:w="10" w:type="dxa"/>
            </w:tcMar>
          </w:tcPr>
          <w:p w14:paraId="7B77C4EA"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15</w:t>
            </w:r>
          </w:p>
        </w:tc>
        <w:tc>
          <w:tcPr>
            <w:tcW w:w="2515" w:type="dxa"/>
            <w:tcBorders>
              <w:top w:val="single" w:sz="4" w:space="0" w:color="auto"/>
              <w:left w:val="single" w:sz="4" w:space="0" w:color="auto"/>
            </w:tcBorders>
            <w:tcMar>
              <w:top w:w="10" w:type="dxa"/>
              <w:left w:w="10" w:type="dxa"/>
              <w:bottom w:w="10" w:type="dxa"/>
              <w:right w:w="10" w:type="dxa"/>
            </w:tcMar>
          </w:tcPr>
          <w:p w14:paraId="3CCA4057" w14:textId="77777777" w:rsidR="006561BA" w:rsidRDefault="005B4ED6">
            <w:pPr>
              <w:widowControl w:val="0"/>
              <w:shd w:val="clear" w:color="auto" w:fill="auto"/>
              <w:spacing w:after="0" w:line="240" w:lineRule="auto"/>
              <w:ind w:left="280"/>
              <w:jc w:val="left"/>
              <w:rPr>
                <w:rFonts w:ascii="Helvetica" w:eastAsia="Arial Unicode MS" w:hAnsi="Helvetica" w:cs="Times New Roman"/>
                <w:color w:val="000000" w:themeColor="text1"/>
                <w:sz w:val="6"/>
                <w:szCs w:val="6"/>
              </w:rPr>
            </w:pPr>
            <w:r>
              <w:rPr>
                <w:rFonts w:ascii="Helvetica" w:hAnsi="Helvetica"/>
                <w:color w:val="000000" w:themeColor="text1"/>
                <w:sz w:val="6"/>
              </w:rPr>
              <w:t>Egenkapitalinstrumenter</w:t>
            </w:r>
          </w:p>
        </w:tc>
        <w:tc>
          <w:tcPr>
            <w:tcW w:w="332" w:type="dxa"/>
            <w:tcBorders>
              <w:top w:val="single" w:sz="4" w:space="0" w:color="auto"/>
              <w:left w:val="single" w:sz="4" w:space="0" w:color="auto"/>
            </w:tcBorders>
            <w:tcMar>
              <w:top w:w="10" w:type="dxa"/>
              <w:left w:w="10" w:type="dxa"/>
              <w:bottom w:w="10" w:type="dxa"/>
              <w:right w:w="10" w:type="dxa"/>
            </w:tcMar>
          </w:tcPr>
          <w:p w14:paraId="361322D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9" w:type="dxa"/>
            <w:tcBorders>
              <w:top w:val="single" w:sz="4" w:space="0" w:color="auto"/>
              <w:left w:val="single" w:sz="4" w:space="0" w:color="auto"/>
            </w:tcBorders>
            <w:tcMar>
              <w:top w:w="10" w:type="dxa"/>
              <w:left w:w="10" w:type="dxa"/>
              <w:bottom w:w="10" w:type="dxa"/>
              <w:right w:w="10" w:type="dxa"/>
            </w:tcMar>
          </w:tcPr>
          <w:p w14:paraId="172C9F2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25E13C4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4CD17B3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9" w:type="dxa"/>
            <w:tcBorders>
              <w:top w:val="single" w:sz="4" w:space="0" w:color="auto"/>
              <w:left w:val="single" w:sz="4" w:space="0" w:color="auto"/>
            </w:tcBorders>
            <w:tcMar>
              <w:top w:w="10" w:type="dxa"/>
              <w:left w:w="10" w:type="dxa"/>
              <w:bottom w:w="10" w:type="dxa"/>
              <w:right w:w="10" w:type="dxa"/>
            </w:tcMar>
          </w:tcPr>
          <w:p w14:paraId="1B7061D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gridSpan w:val="3"/>
            <w:tcBorders>
              <w:top w:val="single" w:sz="4" w:space="0" w:color="auto"/>
              <w:left w:val="single" w:sz="4" w:space="0" w:color="auto"/>
            </w:tcBorders>
            <w:tcMar>
              <w:top w:w="10" w:type="dxa"/>
              <w:left w:w="10" w:type="dxa"/>
              <w:bottom w:w="10" w:type="dxa"/>
              <w:right w:w="10" w:type="dxa"/>
            </w:tcMar>
          </w:tcPr>
          <w:p w14:paraId="4165664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3" w:type="dxa"/>
            <w:tcBorders>
              <w:top w:val="single" w:sz="4" w:space="0" w:color="auto"/>
              <w:left w:val="single" w:sz="4" w:space="0" w:color="auto"/>
            </w:tcBorders>
            <w:tcMar>
              <w:top w:w="10" w:type="dxa"/>
              <w:left w:w="10" w:type="dxa"/>
              <w:bottom w:w="10" w:type="dxa"/>
              <w:right w:w="10" w:type="dxa"/>
            </w:tcMar>
          </w:tcPr>
          <w:p w14:paraId="6A121D2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3" w:type="dxa"/>
            <w:tcBorders>
              <w:top w:val="single" w:sz="4" w:space="0" w:color="auto"/>
              <w:left w:val="single" w:sz="4" w:space="0" w:color="auto"/>
            </w:tcBorders>
            <w:tcMar>
              <w:top w:w="10" w:type="dxa"/>
              <w:left w:w="10" w:type="dxa"/>
              <w:bottom w:w="10" w:type="dxa"/>
              <w:right w:w="10" w:type="dxa"/>
            </w:tcMar>
          </w:tcPr>
          <w:p w14:paraId="53F4DC5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73B710B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5109EF8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053742B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34067E0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781DCAC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05" w:type="dxa"/>
            <w:tcBorders>
              <w:top w:val="single" w:sz="4" w:space="0" w:color="auto"/>
              <w:left w:val="single" w:sz="4" w:space="0" w:color="auto"/>
            </w:tcBorders>
            <w:tcMar>
              <w:top w:w="10" w:type="dxa"/>
              <w:left w:w="10" w:type="dxa"/>
              <w:bottom w:w="10" w:type="dxa"/>
              <w:right w:w="10" w:type="dxa"/>
            </w:tcMar>
          </w:tcPr>
          <w:p w14:paraId="29FA08C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2" w:type="dxa"/>
            <w:tcBorders>
              <w:top w:val="single" w:sz="4" w:space="0" w:color="auto"/>
              <w:left w:val="single" w:sz="4" w:space="0" w:color="auto"/>
            </w:tcBorders>
            <w:tcMar>
              <w:top w:w="10" w:type="dxa"/>
              <w:left w:w="10" w:type="dxa"/>
              <w:bottom w:w="10" w:type="dxa"/>
              <w:right w:w="10" w:type="dxa"/>
            </w:tcMar>
          </w:tcPr>
          <w:p w14:paraId="782F2F6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453B5BD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113F08A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3A3C5F7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3928104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51066EA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7ECEFEB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16" w:type="dxa"/>
            <w:tcBorders>
              <w:top w:val="single" w:sz="4" w:space="0" w:color="auto"/>
              <w:left w:val="single" w:sz="4" w:space="0" w:color="auto"/>
              <w:right w:val="single" w:sz="4" w:space="0" w:color="auto"/>
            </w:tcBorders>
            <w:tcMar>
              <w:top w:w="10" w:type="dxa"/>
              <w:left w:w="10" w:type="dxa"/>
              <w:bottom w:w="10" w:type="dxa"/>
              <w:right w:w="10" w:type="dxa"/>
            </w:tcMar>
          </w:tcPr>
          <w:p w14:paraId="660E7F5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0C686D72" w14:textId="77777777">
        <w:tc>
          <w:tcPr>
            <w:tcW w:w="127" w:type="dxa"/>
            <w:tcBorders>
              <w:top w:val="single" w:sz="4" w:space="0" w:color="auto"/>
              <w:left w:val="single" w:sz="4" w:space="0" w:color="auto"/>
            </w:tcBorders>
            <w:tcMar>
              <w:top w:w="10" w:type="dxa"/>
              <w:left w:w="10" w:type="dxa"/>
              <w:bottom w:w="10" w:type="dxa"/>
              <w:right w:w="10" w:type="dxa"/>
            </w:tcMar>
          </w:tcPr>
          <w:p w14:paraId="7A7773E9"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16</w:t>
            </w:r>
          </w:p>
        </w:tc>
        <w:tc>
          <w:tcPr>
            <w:tcW w:w="2515" w:type="dxa"/>
            <w:tcBorders>
              <w:top w:val="single" w:sz="4" w:space="0" w:color="auto"/>
              <w:left w:val="single" w:sz="4" w:space="0" w:color="auto"/>
            </w:tcBorders>
            <w:tcMar>
              <w:top w:w="10" w:type="dxa"/>
              <w:left w:w="10" w:type="dxa"/>
              <w:bottom w:w="10" w:type="dxa"/>
              <w:right w:w="10" w:type="dxa"/>
            </w:tcMar>
          </w:tcPr>
          <w:p w14:paraId="53A6A9E7" w14:textId="77777777" w:rsidR="006561BA" w:rsidRDefault="005B4ED6">
            <w:pPr>
              <w:widowControl w:val="0"/>
              <w:shd w:val="clear" w:color="auto" w:fill="auto"/>
              <w:spacing w:after="0" w:line="240" w:lineRule="auto"/>
              <w:ind w:left="160"/>
              <w:jc w:val="left"/>
              <w:rPr>
                <w:rFonts w:ascii="Helvetica" w:eastAsia="Arial Unicode MS" w:hAnsi="Helvetica" w:cs="Times New Roman"/>
                <w:color w:val="000000" w:themeColor="text1"/>
                <w:sz w:val="6"/>
                <w:szCs w:val="6"/>
              </w:rPr>
            </w:pPr>
            <w:r>
              <w:rPr>
                <w:rFonts w:ascii="Helvetica" w:hAnsi="Helvetica"/>
                <w:b/>
                <w:color w:val="000000" w:themeColor="text1"/>
                <w:sz w:val="6"/>
              </w:rPr>
              <w:t>Ikke-finansielle foretak</w:t>
            </w:r>
          </w:p>
        </w:tc>
        <w:tc>
          <w:tcPr>
            <w:tcW w:w="332" w:type="dxa"/>
            <w:tcBorders>
              <w:top w:val="single" w:sz="4" w:space="0" w:color="auto"/>
              <w:left w:val="single" w:sz="4" w:space="0" w:color="auto"/>
            </w:tcBorders>
            <w:tcMar>
              <w:top w:w="10" w:type="dxa"/>
              <w:left w:w="10" w:type="dxa"/>
              <w:bottom w:w="10" w:type="dxa"/>
              <w:right w:w="10" w:type="dxa"/>
            </w:tcMar>
          </w:tcPr>
          <w:p w14:paraId="3BD0F14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9" w:type="dxa"/>
            <w:tcBorders>
              <w:top w:val="single" w:sz="4" w:space="0" w:color="auto"/>
              <w:left w:val="single" w:sz="4" w:space="0" w:color="auto"/>
            </w:tcBorders>
            <w:tcMar>
              <w:top w:w="10" w:type="dxa"/>
              <w:left w:w="10" w:type="dxa"/>
              <w:bottom w:w="10" w:type="dxa"/>
              <w:right w:w="10" w:type="dxa"/>
            </w:tcMar>
          </w:tcPr>
          <w:p w14:paraId="59C56CB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05E8713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414CF2F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9" w:type="dxa"/>
            <w:tcBorders>
              <w:top w:val="single" w:sz="4" w:space="0" w:color="auto"/>
              <w:left w:val="single" w:sz="4" w:space="0" w:color="auto"/>
            </w:tcBorders>
            <w:tcMar>
              <w:top w:w="10" w:type="dxa"/>
              <w:left w:w="10" w:type="dxa"/>
              <w:bottom w:w="10" w:type="dxa"/>
              <w:right w:w="10" w:type="dxa"/>
            </w:tcMar>
          </w:tcPr>
          <w:p w14:paraId="40111A3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gridSpan w:val="3"/>
            <w:tcBorders>
              <w:top w:val="single" w:sz="4" w:space="0" w:color="auto"/>
              <w:left w:val="single" w:sz="4" w:space="0" w:color="auto"/>
            </w:tcBorders>
            <w:tcMar>
              <w:top w:w="10" w:type="dxa"/>
              <w:left w:w="10" w:type="dxa"/>
              <w:bottom w:w="10" w:type="dxa"/>
              <w:right w:w="10" w:type="dxa"/>
            </w:tcMar>
          </w:tcPr>
          <w:p w14:paraId="6B2668F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3" w:type="dxa"/>
            <w:tcBorders>
              <w:top w:val="single" w:sz="4" w:space="0" w:color="auto"/>
              <w:left w:val="single" w:sz="4" w:space="0" w:color="auto"/>
            </w:tcBorders>
            <w:tcMar>
              <w:top w:w="10" w:type="dxa"/>
              <w:left w:w="10" w:type="dxa"/>
              <w:bottom w:w="10" w:type="dxa"/>
              <w:right w:w="10" w:type="dxa"/>
            </w:tcMar>
          </w:tcPr>
          <w:p w14:paraId="3B95E18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3" w:type="dxa"/>
            <w:tcBorders>
              <w:top w:val="single" w:sz="4" w:space="0" w:color="auto"/>
              <w:left w:val="single" w:sz="4" w:space="0" w:color="auto"/>
            </w:tcBorders>
            <w:tcMar>
              <w:top w:w="10" w:type="dxa"/>
              <w:left w:w="10" w:type="dxa"/>
              <w:bottom w:w="10" w:type="dxa"/>
              <w:right w:w="10" w:type="dxa"/>
            </w:tcMar>
          </w:tcPr>
          <w:p w14:paraId="7FF93C5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178C1EE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758A93B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6051500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2A7835A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60ADF21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05" w:type="dxa"/>
            <w:tcBorders>
              <w:top w:val="single" w:sz="4" w:space="0" w:color="auto"/>
              <w:left w:val="single" w:sz="4" w:space="0" w:color="auto"/>
            </w:tcBorders>
            <w:tcMar>
              <w:top w:w="10" w:type="dxa"/>
              <w:left w:w="10" w:type="dxa"/>
              <w:bottom w:w="10" w:type="dxa"/>
              <w:right w:w="10" w:type="dxa"/>
            </w:tcMar>
          </w:tcPr>
          <w:p w14:paraId="0C2E758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2" w:type="dxa"/>
            <w:tcBorders>
              <w:top w:val="single" w:sz="4" w:space="0" w:color="auto"/>
              <w:left w:val="single" w:sz="4" w:space="0" w:color="auto"/>
            </w:tcBorders>
            <w:tcMar>
              <w:top w:w="10" w:type="dxa"/>
              <w:left w:w="10" w:type="dxa"/>
              <w:bottom w:w="10" w:type="dxa"/>
              <w:right w:w="10" w:type="dxa"/>
            </w:tcMar>
          </w:tcPr>
          <w:p w14:paraId="6D6006A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17EBEE2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511B9AD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2B101A0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23C4267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370355A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15F8CB2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16" w:type="dxa"/>
            <w:tcBorders>
              <w:top w:val="single" w:sz="4" w:space="0" w:color="auto"/>
              <w:left w:val="single" w:sz="4" w:space="0" w:color="auto"/>
              <w:right w:val="single" w:sz="4" w:space="0" w:color="auto"/>
            </w:tcBorders>
            <w:tcMar>
              <w:top w:w="10" w:type="dxa"/>
              <w:left w:w="10" w:type="dxa"/>
              <w:bottom w:w="10" w:type="dxa"/>
              <w:right w:w="10" w:type="dxa"/>
            </w:tcMar>
          </w:tcPr>
          <w:p w14:paraId="0496132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1299ACE4" w14:textId="77777777">
        <w:tc>
          <w:tcPr>
            <w:tcW w:w="127" w:type="dxa"/>
            <w:tcBorders>
              <w:top w:val="single" w:sz="4" w:space="0" w:color="auto"/>
              <w:left w:val="single" w:sz="4" w:space="0" w:color="auto"/>
            </w:tcBorders>
            <w:tcMar>
              <w:top w:w="10" w:type="dxa"/>
              <w:left w:w="10" w:type="dxa"/>
              <w:bottom w:w="10" w:type="dxa"/>
              <w:right w:w="10" w:type="dxa"/>
            </w:tcMar>
          </w:tcPr>
          <w:p w14:paraId="1D3B7872"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17</w:t>
            </w:r>
          </w:p>
        </w:tc>
        <w:tc>
          <w:tcPr>
            <w:tcW w:w="2515" w:type="dxa"/>
            <w:tcBorders>
              <w:top w:val="single" w:sz="4" w:space="0" w:color="auto"/>
              <w:left w:val="single" w:sz="4" w:space="0" w:color="auto"/>
            </w:tcBorders>
            <w:tcMar>
              <w:top w:w="10" w:type="dxa"/>
              <w:left w:w="10" w:type="dxa"/>
              <w:bottom w:w="10" w:type="dxa"/>
              <w:right w:w="10" w:type="dxa"/>
            </w:tcMar>
          </w:tcPr>
          <w:p w14:paraId="0D887294" w14:textId="77777777" w:rsidR="006561BA" w:rsidRDefault="005B4ED6">
            <w:pPr>
              <w:widowControl w:val="0"/>
              <w:shd w:val="clear" w:color="auto" w:fill="auto"/>
              <w:spacing w:after="0" w:line="240" w:lineRule="auto"/>
              <w:ind w:left="200"/>
              <w:jc w:val="left"/>
              <w:rPr>
                <w:rFonts w:ascii="Helvetica" w:eastAsia="Arial Unicode MS" w:hAnsi="Helvetica" w:cs="Times New Roman"/>
                <w:color w:val="000000" w:themeColor="text1"/>
                <w:sz w:val="6"/>
                <w:szCs w:val="6"/>
              </w:rPr>
            </w:pPr>
            <w:r>
              <w:rPr>
                <w:rFonts w:ascii="Helvetica" w:hAnsi="Helvetica"/>
                <w:color w:val="000000" w:themeColor="text1"/>
                <w:sz w:val="6"/>
              </w:rPr>
              <w:t>Gjeldsinstrumenter</w:t>
            </w:r>
          </w:p>
        </w:tc>
        <w:tc>
          <w:tcPr>
            <w:tcW w:w="332" w:type="dxa"/>
            <w:tcBorders>
              <w:top w:val="single" w:sz="4" w:space="0" w:color="auto"/>
              <w:left w:val="single" w:sz="4" w:space="0" w:color="auto"/>
            </w:tcBorders>
            <w:tcMar>
              <w:top w:w="10" w:type="dxa"/>
              <w:left w:w="10" w:type="dxa"/>
              <w:bottom w:w="10" w:type="dxa"/>
              <w:right w:w="10" w:type="dxa"/>
            </w:tcMar>
          </w:tcPr>
          <w:p w14:paraId="46A03DF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9" w:type="dxa"/>
            <w:tcBorders>
              <w:top w:val="single" w:sz="4" w:space="0" w:color="auto"/>
              <w:left w:val="single" w:sz="4" w:space="0" w:color="auto"/>
            </w:tcBorders>
            <w:tcMar>
              <w:top w:w="10" w:type="dxa"/>
              <w:left w:w="10" w:type="dxa"/>
              <w:bottom w:w="10" w:type="dxa"/>
              <w:right w:w="10" w:type="dxa"/>
            </w:tcMar>
          </w:tcPr>
          <w:p w14:paraId="0C76921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3BCF2FE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166DAFE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9" w:type="dxa"/>
            <w:tcBorders>
              <w:top w:val="single" w:sz="4" w:space="0" w:color="auto"/>
              <w:left w:val="single" w:sz="4" w:space="0" w:color="auto"/>
            </w:tcBorders>
            <w:tcMar>
              <w:top w:w="10" w:type="dxa"/>
              <w:left w:w="10" w:type="dxa"/>
              <w:bottom w:w="10" w:type="dxa"/>
              <w:right w:w="10" w:type="dxa"/>
            </w:tcMar>
          </w:tcPr>
          <w:p w14:paraId="0902C60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gridSpan w:val="3"/>
            <w:tcBorders>
              <w:top w:val="single" w:sz="4" w:space="0" w:color="auto"/>
              <w:left w:val="single" w:sz="4" w:space="0" w:color="auto"/>
            </w:tcBorders>
            <w:tcMar>
              <w:top w:w="10" w:type="dxa"/>
              <w:left w:w="10" w:type="dxa"/>
              <w:bottom w:w="10" w:type="dxa"/>
              <w:right w:w="10" w:type="dxa"/>
            </w:tcMar>
          </w:tcPr>
          <w:p w14:paraId="4A72E2F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3" w:type="dxa"/>
            <w:tcBorders>
              <w:top w:val="single" w:sz="4" w:space="0" w:color="auto"/>
              <w:left w:val="single" w:sz="4" w:space="0" w:color="auto"/>
            </w:tcBorders>
            <w:tcMar>
              <w:top w:w="10" w:type="dxa"/>
              <w:left w:w="10" w:type="dxa"/>
              <w:bottom w:w="10" w:type="dxa"/>
              <w:right w:w="10" w:type="dxa"/>
            </w:tcMar>
          </w:tcPr>
          <w:p w14:paraId="3479E5F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3" w:type="dxa"/>
            <w:tcBorders>
              <w:top w:val="single" w:sz="4" w:space="0" w:color="auto"/>
              <w:left w:val="single" w:sz="4" w:space="0" w:color="auto"/>
            </w:tcBorders>
            <w:tcMar>
              <w:top w:w="10" w:type="dxa"/>
              <w:left w:w="10" w:type="dxa"/>
              <w:bottom w:w="10" w:type="dxa"/>
              <w:right w:w="10" w:type="dxa"/>
            </w:tcMar>
          </w:tcPr>
          <w:p w14:paraId="4377EC1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6AA9843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044181C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601D772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6571F42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5FB0713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05" w:type="dxa"/>
            <w:tcBorders>
              <w:top w:val="single" w:sz="4" w:space="0" w:color="auto"/>
              <w:left w:val="single" w:sz="4" w:space="0" w:color="auto"/>
            </w:tcBorders>
            <w:tcMar>
              <w:top w:w="10" w:type="dxa"/>
              <w:left w:w="10" w:type="dxa"/>
              <w:bottom w:w="10" w:type="dxa"/>
              <w:right w:w="10" w:type="dxa"/>
            </w:tcMar>
          </w:tcPr>
          <w:p w14:paraId="0EF3CD7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2" w:type="dxa"/>
            <w:tcBorders>
              <w:top w:val="single" w:sz="4" w:space="0" w:color="auto"/>
              <w:left w:val="single" w:sz="4" w:space="0" w:color="auto"/>
            </w:tcBorders>
            <w:tcMar>
              <w:top w:w="10" w:type="dxa"/>
              <w:left w:w="10" w:type="dxa"/>
              <w:bottom w:w="10" w:type="dxa"/>
              <w:right w:w="10" w:type="dxa"/>
            </w:tcMar>
          </w:tcPr>
          <w:p w14:paraId="3A1DB4C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20AC333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0936B74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1321EBE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1763868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602C0CA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14EE644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16" w:type="dxa"/>
            <w:tcBorders>
              <w:top w:val="single" w:sz="4" w:space="0" w:color="auto"/>
              <w:left w:val="single" w:sz="4" w:space="0" w:color="auto"/>
              <w:right w:val="single" w:sz="4" w:space="0" w:color="auto"/>
            </w:tcBorders>
            <w:tcMar>
              <w:top w:w="10" w:type="dxa"/>
              <w:left w:w="10" w:type="dxa"/>
              <w:bottom w:w="10" w:type="dxa"/>
              <w:right w:w="10" w:type="dxa"/>
            </w:tcMar>
          </w:tcPr>
          <w:p w14:paraId="188A743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51744AD1" w14:textId="77777777">
        <w:tc>
          <w:tcPr>
            <w:tcW w:w="127" w:type="dxa"/>
            <w:tcBorders>
              <w:top w:val="single" w:sz="4" w:space="0" w:color="auto"/>
              <w:left w:val="single" w:sz="4" w:space="0" w:color="auto"/>
            </w:tcBorders>
            <w:tcMar>
              <w:top w:w="10" w:type="dxa"/>
              <w:left w:w="10" w:type="dxa"/>
              <w:bottom w:w="10" w:type="dxa"/>
              <w:right w:w="10" w:type="dxa"/>
            </w:tcMar>
          </w:tcPr>
          <w:p w14:paraId="2C8A55CF"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18</w:t>
            </w:r>
          </w:p>
        </w:tc>
        <w:tc>
          <w:tcPr>
            <w:tcW w:w="2515" w:type="dxa"/>
            <w:tcBorders>
              <w:top w:val="single" w:sz="4" w:space="0" w:color="auto"/>
              <w:left w:val="single" w:sz="4" w:space="0" w:color="auto"/>
            </w:tcBorders>
            <w:tcMar>
              <w:top w:w="10" w:type="dxa"/>
              <w:left w:w="10" w:type="dxa"/>
              <w:bottom w:w="10" w:type="dxa"/>
              <w:right w:w="10" w:type="dxa"/>
            </w:tcMar>
          </w:tcPr>
          <w:p w14:paraId="520ABBC4" w14:textId="77777777" w:rsidR="006561BA" w:rsidRDefault="005B4ED6">
            <w:pPr>
              <w:widowControl w:val="0"/>
              <w:shd w:val="clear" w:color="auto" w:fill="auto"/>
              <w:spacing w:after="0" w:line="240" w:lineRule="auto"/>
              <w:ind w:left="200"/>
              <w:jc w:val="left"/>
              <w:rPr>
                <w:rFonts w:ascii="Helvetica" w:eastAsia="Arial Unicode MS" w:hAnsi="Helvetica" w:cs="Times New Roman"/>
                <w:color w:val="000000" w:themeColor="text1"/>
                <w:sz w:val="6"/>
                <w:szCs w:val="6"/>
              </w:rPr>
            </w:pPr>
            <w:r>
              <w:rPr>
                <w:rFonts w:ascii="Helvetica" w:hAnsi="Helvetica"/>
                <w:color w:val="000000" w:themeColor="text1"/>
                <w:sz w:val="6"/>
              </w:rPr>
              <w:t>Egenkapitalinstrumenter</w:t>
            </w:r>
          </w:p>
        </w:tc>
        <w:tc>
          <w:tcPr>
            <w:tcW w:w="332" w:type="dxa"/>
            <w:tcBorders>
              <w:top w:val="single" w:sz="4" w:space="0" w:color="auto"/>
              <w:left w:val="single" w:sz="4" w:space="0" w:color="auto"/>
            </w:tcBorders>
            <w:tcMar>
              <w:top w:w="10" w:type="dxa"/>
              <w:left w:w="10" w:type="dxa"/>
              <w:bottom w:w="10" w:type="dxa"/>
              <w:right w:w="10" w:type="dxa"/>
            </w:tcMar>
          </w:tcPr>
          <w:p w14:paraId="00D238A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9" w:type="dxa"/>
            <w:tcBorders>
              <w:top w:val="single" w:sz="4" w:space="0" w:color="auto"/>
              <w:left w:val="single" w:sz="4" w:space="0" w:color="auto"/>
            </w:tcBorders>
            <w:tcMar>
              <w:top w:w="10" w:type="dxa"/>
              <w:left w:w="10" w:type="dxa"/>
              <w:bottom w:w="10" w:type="dxa"/>
              <w:right w:w="10" w:type="dxa"/>
            </w:tcMar>
          </w:tcPr>
          <w:p w14:paraId="1BD522F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5AAAF03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6ACF345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9" w:type="dxa"/>
            <w:tcBorders>
              <w:top w:val="single" w:sz="4" w:space="0" w:color="auto"/>
              <w:left w:val="single" w:sz="4" w:space="0" w:color="auto"/>
            </w:tcBorders>
            <w:tcMar>
              <w:top w:w="10" w:type="dxa"/>
              <w:left w:w="10" w:type="dxa"/>
              <w:bottom w:w="10" w:type="dxa"/>
              <w:right w:w="10" w:type="dxa"/>
            </w:tcMar>
          </w:tcPr>
          <w:p w14:paraId="2A176CB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gridSpan w:val="3"/>
            <w:tcBorders>
              <w:top w:val="single" w:sz="4" w:space="0" w:color="auto"/>
              <w:left w:val="single" w:sz="4" w:space="0" w:color="auto"/>
            </w:tcBorders>
            <w:tcMar>
              <w:top w:w="10" w:type="dxa"/>
              <w:left w:w="10" w:type="dxa"/>
              <w:bottom w:w="10" w:type="dxa"/>
              <w:right w:w="10" w:type="dxa"/>
            </w:tcMar>
          </w:tcPr>
          <w:p w14:paraId="5FB22EB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3" w:type="dxa"/>
            <w:tcBorders>
              <w:top w:val="single" w:sz="4" w:space="0" w:color="auto"/>
              <w:left w:val="single" w:sz="4" w:space="0" w:color="auto"/>
            </w:tcBorders>
            <w:tcMar>
              <w:top w:w="10" w:type="dxa"/>
              <w:left w:w="10" w:type="dxa"/>
              <w:bottom w:w="10" w:type="dxa"/>
              <w:right w:w="10" w:type="dxa"/>
            </w:tcMar>
          </w:tcPr>
          <w:p w14:paraId="51B665CA"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3" w:type="dxa"/>
            <w:tcBorders>
              <w:top w:val="single" w:sz="4" w:space="0" w:color="auto"/>
              <w:left w:val="single" w:sz="4" w:space="0" w:color="auto"/>
            </w:tcBorders>
            <w:tcMar>
              <w:top w:w="10" w:type="dxa"/>
              <w:left w:w="10" w:type="dxa"/>
              <w:bottom w:w="10" w:type="dxa"/>
              <w:right w:w="10" w:type="dxa"/>
            </w:tcMar>
          </w:tcPr>
          <w:p w14:paraId="5D6BCB4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0B6234E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5194D1D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5543275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0C48B5E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5C7655F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05" w:type="dxa"/>
            <w:tcBorders>
              <w:top w:val="single" w:sz="4" w:space="0" w:color="auto"/>
              <w:left w:val="single" w:sz="4" w:space="0" w:color="auto"/>
            </w:tcBorders>
            <w:tcMar>
              <w:top w:w="10" w:type="dxa"/>
              <w:left w:w="10" w:type="dxa"/>
              <w:bottom w:w="10" w:type="dxa"/>
              <w:right w:w="10" w:type="dxa"/>
            </w:tcMar>
          </w:tcPr>
          <w:p w14:paraId="42CC239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2" w:type="dxa"/>
            <w:tcBorders>
              <w:top w:val="single" w:sz="4" w:space="0" w:color="auto"/>
              <w:left w:val="single" w:sz="4" w:space="0" w:color="auto"/>
            </w:tcBorders>
            <w:tcMar>
              <w:top w:w="10" w:type="dxa"/>
              <w:left w:w="10" w:type="dxa"/>
              <w:bottom w:w="10" w:type="dxa"/>
              <w:right w:w="10" w:type="dxa"/>
            </w:tcMar>
          </w:tcPr>
          <w:p w14:paraId="2C7F442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2966919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5EED212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4A1CDAC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50031FA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22E2051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53E9F86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16" w:type="dxa"/>
            <w:tcBorders>
              <w:top w:val="single" w:sz="4" w:space="0" w:color="auto"/>
              <w:left w:val="single" w:sz="4" w:space="0" w:color="auto"/>
              <w:right w:val="single" w:sz="4" w:space="0" w:color="auto"/>
            </w:tcBorders>
            <w:tcMar>
              <w:top w:w="10" w:type="dxa"/>
              <w:left w:w="10" w:type="dxa"/>
              <w:bottom w:w="10" w:type="dxa"/>
              <w:right w:w="10" w:type="dxa"/>
            </w:tcMar>
          </w:tcPr>
          <w:p w14:paraId="51EB785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01E0ECBE" w14:textId="77777777">
        <w:tc>
          <w:tcPr>
            <w:tcW w:w="127" w:type="dxa"/>
            <w:tcBorders>
              <w:top w:val="single" w:sz="4" w:space="0" w:color="auto"/>
              <w:left w:val="single" w:sz="4" w:space="0" w:color="auto"/>
            </w:tcBorders>
            <w:tcMar>
              <w:top w:w="10" w:type="dxa"/>
              <w:left w:w="10" w:type="dxa"/>
              <w:bottom w:w="10" w:type="dxa"/>
              <w:right w:w="10" w:type="dxa"/>
            </w:tcMar>
          </w:tcPr>
          <w:p w14:paraId="75670A04"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19</w:t>
            </w:r>
          </w:p>
        </w:tc>
        <w:tc>
          <w:tcPr>
            <w:tcW w:w="2515" w:type="dxa"/>
            <w:tcBorders>
              <w:top w:val="single" w:sz="4" w:space="0" w:color="auto"/>
              <w:left w:val="single" w:sz="4" w:space="0" w:color="auto"/>
            </w:tcBorders>
            <w:tcMar>
              <w:top w:w="10" w:type="dxa"/>
              <w:left w:w="10" w:type="dxa"/>
              <w:bottom w:w="10" w:type="dxa"/>
              <w:right w:w="10" w:type="dxa"/>
            </w:tcMar>
          </w:tcPr>
          <w:p w14:paraId="0CF83058" w14:textId="77777777" w:rsidR="006561BA" w:rsidRDefault="005B4ED6">
            <w:pPr>
              <w:widowControl w:val="0"/>
              <w:shd w:val="clear" w:color="auto" w:fill="auto"/>
              <w:spacing w:after="0" w:line="240" w:lineRule="auto"/>
              <w:ind w:left="160"/>
              <w:jc w:val="left"/>
              <w:rPr>
                <w:rFonts w:ascii="Helvetica" w:eastAsia="Arial Unicode MS" w:hAnsi="Helvetica" w:cs="Times New Roman"/>
                <w:color w:val="000000" w:themeColor="text1"/>
                <w:sz w:val="6"/>
                <w:szCs w:val="6"/>
              </w:rPr>
            </w:pPr>
            <w:r>
              <w:rPr>
                <w:rFonts w:ascii="Helvetica" w:hAnsi="Helvetica"/>
                <w:b/>
                <w:color w:val="000000" w:themeColor="text1"/>
                <w:sz w:val="6"/>
              </w:rPr>
              <w:t>Motparter som ikke er omfattet av opplysningsplikten i direktivet om ikke-finansiell rapportering, herunder motparter i tredjeland</w:t>
            </w:r>
          </w:p>
        </w:tc>
        <w:tc>
          <w:tcPr>
            <w:tcW w:w="332" w:type="dxa"/>
            <w:tcBorders>
              <w:top w:val="single" w:sz="4" w:space="0" w:color="auto"/>
              <w:left w:val="single" w:sz="4" w:space="0" w:color="auto"/>
            </w:tcBorders>
            <w:tcMar>
              <w:top w:w="10" w:type="dxa"/>
              <w:left w:w="10" w:type="dxa"/>
              <w:bottom w:w="10" w:type="dxa"/>
              <w:right w:w="10" w:type="dxa"/>
            </w:tcMar>
          </w:tcPr>
          <w:p w14:paraId="2863613C"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99" w:type="dxa"/>
            <w:tcBorders>
              <w:top w:val="single" w:sz="4" w:space="0" w:color="auto"/>
              <w:left w:val="single" w:sz="4" w:space="0" w:color="auto"/>
            </w:tcBorders>
            <w:tcMar>
              <w:top w:w="10" w:type="dxa"/>
              <w:left w:w="10" w:type="dxa"/>
              <w:bottom w:w="10" w:type="dxa"/>
              <w:right w:w="10" w:type="dxa"/>
            </w:tcMar>
          </w:tcPr>
          <w:p w14:paraId="0795F64B"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56" w:type="dxa"/>
            <w:tcBorders>
              <w:top w:val="single" w:sz="4" w:space="0" w:color="auto"/>
              <w:left w:val="single" w:sz="4" w:space="0" w:color="auto"/>
            </w:tcBorders>
            <w:tcMar>
              <w:top w:w="10" w:type="dxa"/>
              <w:left w:w="10" w:type="dxa"/>
              <w:bottom w:w="10" w:type="dxa"/>
              <w:right w:w="10" w:type="dxa"/>
            </w:tcMar>
          </w:tcPr>
          <w:p w14:paraId="1F165744"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92" w:type="dxa"/>
            <w:tcBorders>
              <w:top w:val="single" w:sz="4" w:space="0" w:color="auto"/>
              <w:left w:val="single" w:sz="4" w:space="0" w:color="auto"/>
            </w:tcBorders>
            <w:tcMar>
              <w:top w:w="10" w:type="dxa"/>
              <w:left w:w="10" w:type="dxa"/>
              <w:bottom w:w="10" w:type="dxa"/>
              <w:right w:w="10" w:type="dxa"/>
            </w:tcMar>
          </w:tcPr>
          <w:p w14:paraId="371E9223"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19" w:type="dxa"/>
            <w:tcBorders>
              <w:top w:val="single" w:sz="4" w:space="0" w:color="auto"/>
              <w:left w:val="single" w:sz="4" w:space="0" w:color="auto"/>
            </w:tcBorders>
            <w:tcMar>
              <w:top w:w="10" w:type="dxa"/>
              <w:left w:w="10" w:type="dxa"/>
              <w:bottom w:w="10" w:type="dxa"/>
              <w:right w:w="10" w:type="dxa"/>
            </w:tcMar>
          </w:tcPr>
          <w:p w14:paraId="2AD918AA"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92" w:type="dxa"/>
            <w:gridSpan w:val="3"/>
            <w:tcBorders>
              <w:top w:val="single" w:sz="4" w:space="0" w:color="auto"/>
              <w:left w:val="single" w:sz="4" w:space="0" w:color="auto"/>
            </w:tcBorders>
            <w:tcMar>
              <w:top w:w="10" w:type="dxa"/>
              <w:left w:w="10" w:type="dxa"/>
              <w:bottom w:w="10" w:type="dxa"/>
              <w:right w:w="10" w:type="dxa"/>
            </w:tcMar>
          </w:tcPr>
          <w:p w14:paraId="65940454"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13" w:type="dxa"/>
            <w:tcBorders>
              <w:top w:val="single" w:sz="4" w:space="0" w:color="auto"/>
              <w:left w:val="single" w:sz="4" w:space="0" w:color="auto"/>
            </w:tcBorders>
            <w:tcMar>
              <w:top w:w="10" w:type="dxa"/>
              <w:left w:w="10" w:type="dxa"/>
              <w:bottom w:w="10" w:type="dxa"/>
              <w:right w:w="10" w:type="dxa"/>
            </w:tcMar>
          </w:tcPr>
          <w:p w14:paraId="7A76EACC"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333" w:type="dxa"/>
            <w:tcBorders>
              <w:top w:val="single" w:sz="4" w:space="0" w:color="auto"/>
              <w:left w:val="single" w:sz="4" w:space="0" w:color="auto"/>
            </w:tcBorders>
            <w:tcMar>
              <w:top w:w="10" w:type="dxa"/>
              <w:left w:w="10" w:type="dxa"/>
              <w:bottom w:w="10" w:type="dxa"/>
              <w:right w:w="10" w:type="dxa"/>
            </w:tcMar>
          </w:tcPr>
          <w:p w14:paraId="3F1A7D9C"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92" w:type="dxa"/>
            <w:tcBorders>
              <w:top w:val="single" w:sz="4" w:space="0" w:color="auto"/>
              <w:left w:val="single" w:sz="4" w:space="0" w:color="auto"/>
            </w:tcBorders>
            <w:tcMar>
              <w:top w:w="10" w:type="dxa"/>
              <w:left w:w="10" w:type="dxa"/>
              <w:bottom w:w="10" w:type="dxa"/>
              <w:right w:w="10" w:type="dxa"/>
            </w:tcMar>
          </w:tcPr>
          <w:p w14:paraId="765199EB"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56" w:type="dxa"/>
            <w:tcBorders>
              <w:top w:val="single" w:sz="4" w:space="0" w:color="auto"/>
              <w:left w:val="single" w:sz="4" w:space="0" w:color="auto"/>
            </w:tcBorders>
            <w:tcMar>
              <w:top w:w="10" w:type="dxa"/>
              <w:left w:w="10" w:type="dxa"/>
              <w:bottom w:w="10" w:type="dxa"/>
              <w:right w:w="10" w:type="dxa"/>
            </w:tcMar>
          </w:tcPr>
          <w:p w14:paraId="338ABAD1"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92" w:type="dxa"/>
            <w:tcBorders>
              <w:top w:val="single" w:sz="4" w:space="0" w:color="auto"/>
              <w:left w:val="single" w:sz="4" w:space="0" w:color="auto"/>
            </w:tcBorders>
            <w:tcMar>
              <w:top w:w="10" w:type="dxa"/>
              <w:left w:w="10" w:type="dxa"/>
              <w:bottom w:w="10" w:type="dxa"/>
              <w:right w:w="10" w:type="dxa"/>
            </w:tcMar>
          </w:tcPr>
          <w:p w14:paraId="6C2DB3DF"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27" w:type="dxa"/>
            <w:tcBorders>
              <w:top w:val="single" w:sz="4" w:space="0" w:color="auto"/>
              <w:left w:val="single" w:sz="4" w:space="0" w:color="auto"/>
            </w:tcBorders>
            <w:tcMar>
              <w:top w:w="10" w:type="dxa"/>
              <w:left w:w="10" w:type="dxa"/>
              <w:bottom w:w="10" w:type="dxa"/>
              <w:right w:w="10" w:type="dxa"/>
            </w:tcMar>
          </w:tcPr>
          <w:p w14:paraId="305A6AF3"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92" w:type="dxa"/>
            <w:tcBorders>
              <w:top w:val="single" w:sz="4" w:space="0" w:color="auto"/>
              <w:left w:val="single" w:sz="4" w:space="0" w:color="auto"/>
            </w:tcBorders>
            <w:tcMar>
              <w:top w:w="10" w:type="dxa"/>
              <w:left w:w="10" w:type="dxa"/>
              <w:bottom w:w="10" w:type="dxa"/>
              <w:right w:w="10" w:type="dxa"/>
            </w:tcMar>
          </w:tcPr>
          <w:p w14:paraId="17C5A659"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05" w:type="dxa"/>
            <w:tcBorders>
              <w:top w:val="single" w:sz="4" w:space="0" w:color="auto"/>
              <w:left w:val="single" w:sz="4" w:space="0" w:color="auto"/>
            </w:tcBorders>
            <w:tcMar>
              <w:top w:w="10" w:type="dxa"/>
              <w:left w:w="10" w:type="dxa"/>
              <w:bottom w:w="10" w:type="dxa"/>
              <w:right w:w="10" w:type="dxa"/>
            </w:tcMar>
          </w:tcPr>
          <w:p w14:paraId="148B7568"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332" w:type="dxa"/>
            <w:tcBorders>
              <w:top w:val="single" w:sz="4" w:space="0" w:color="auto"/>
              <w:left w:val="single" w:sz="4" w:space="0" w:color="auto"/>
            </w:tcBorders>
            <w:tcMar>
              <w:top w:w="10" w:type="dxa"/>
              <w:left w:w="10" w:type="dxa"/>
              <w:bottom w:w="10" w:type="dxa"/>
              <w:right w:w="10" w:type="dxa"/>
            </w:tcMar>
          </w:tcPr>
          <w:p w14:paraId="4523DECA"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92" w:type="dxa"/>
            <w:tcBorders>
              <w:top w:val="single" w:sz="4" w:space="0" w:color="auto"/>
              <w:left w:val="single" w:sz="4" w:space="0" w:color="auto"/>
            </w:tcBorders>
            <w:tcMar>
              <w:top w:w="10" w:type="dxa"/>
              <w:left w:w="10" w:type="dxa"/>
              <w:bottom w:w="10" w:type="dxa"/>
              <w:right w:w="10" w:type="dxa"/>
            </w:tcMar>
          </w:tcPr>
          <w:p w14:paraId="0C26B437"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27" w:type="dxa"/>
            <w:tcBorders>
              <w:top w:val="single" w:sz="4" w:space="0" w:color="auto"/>
              <w:left w:val="single" w:sz="4" w:space="0" w:color="auto"/>
            </w:tcBorders>
            <w:tcMar>
              <w:top w:w="10" w:type="dxa"/>
              <w:left w:w="10" w:type="dxa"/>
              <w:bottom w:w="10" w:type="dxa"/>
              <w:right w:w="10" w:type="dxa"/>
            </w:tcMar>
          </w:tcPr>
          <w:p w14:paraId="43DC6ABC"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92" w:type="dxa"/>
            <w:tcBorders>
              <w:top w:val="single" w:sz="4" w:space="0" w:color="auto"/>
              <w:left w:val="single" w:sz="4" w:space="0" w:color="auto"/>
            </w:tcBorders>
            <w:tcMar>
              <w:top w:w="10" w:type="dxa"/>
              <w:left w:w="10" w:type="dxa"/>
              <w:bottom w:w="10" w:type="dxa"/>
              <w:right w:w="10" w:type="dxa"/>
            </w:tcMar>
          </w:tcPr>
          <w:p w14:paraId="79F79672"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27" w:type="dxa"/>
            <w:tcBorders>
              <w:top w:val="single" w:sz="4" w:space="0" w:color="auto"/>
              <w:left w:val="single" w:sz="4" w:space="0" w:color="auto"/>
            </w:tcBorders>
            <w:tcMar>
              <w:top w:w="10" w:type="dxa"/>
              <w:left w:w="10" w:type="dxa"/>
              <w:bottom w:w="10" w:type="dxa"/>
              <w:right w:w="10" w:type="dxa"/>
            </w:tcMar>
          </w:tcPr>
          <w:p w14:paraId="2A537FB0"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92" w:type="dxa"/>
            <w:tcBorders>
              <w:top w:val="single" w:sz="4" w:space="0" w:color="auto"/>
              <w:left w:val="single" w:sz="4" w:space="0" w:color="auto"/>
            </w:tcBorders>
            <w:tcMar>
              <w:top w:w="10" w:type="dxa"/>
              <w:left w:w="10" w:type="dxa"/>
              <w:bottom w:w="10" w:type="dxa"/>
              <w:right w:w="10" w:type="dxa"/>
            </w:tcMar>
          </w:tcPr>
          <w:p w14:paraId="6056488B"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27" w:type="dxa"/>
            <w:tcBorders>
              <w:top w:val="single" w:sz="4" w:space="0" w:color="auto"/>
              <w:left w:val="single" w:sz="4" w:space="0" w:color="auto"/>
            </w:tcBorders>
            <w:tcMar>
              <w:top w:w="10" w:type="dxa"/>
              <w:left w:w="10" w:type="dxa"/>
              <w:bottom w:w="10" w:type="dxa"/>
              <w:right w:w="10" w:type="dxa"/>
            </w:tcMar>
          </w:tcPr>
          <w:p w14:paraId="6929F2E1"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316" w:type="dxa"/>
            <w:tcBorders>
              <w:top w:val="single" w:sz="4" w:space="0" w:color="auto"/>
              <w:left w:val="single" w:sz="4" w:space="0" w:color="auto"/>
              <w:right w:val="single" w:sz="4" w:space="0" w:color="auto"/>
            </w:tcBorders>
            <w:tcMar>
              <w:top w:w="10" w:type="dxa"/>
              <w:left w:w="10" w:type="dxa"/>
              <w:bottom w:w="10" w:type="dxa"/>
              <w:right w:w="10" w:type="dxa"/>
            </w:tcMar>
          </w:tcPr>
          <w:p w14:paraId="0957A1A5"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r>
      <w:tr w:rsidR="006561BA" w14:paraId="6F801AB8" w14:textId="77777777">
        <w:tc>
          <w:tcPr>
            <w:tcW w:w="127" w:type="dxa"/>
            <w:tcBorders>
              <w:top w:val="single" w:sz="4" w:space="0" w:color="auto"/>
              <w:left w:val="single" w:sz="4" w:space="0" w:color="auto"/>
            </w:tcBorders>
            <w:tcMar>
              <w:top w:w="10" w:type="dxa"/>
              <w:left w:w="10" w:type="dxa"/>
              <w:bottom w:w="10" w:type="dxa"/>
              <w:right w:w="10" w:type="dxa"/>
            </w:tcMar>
          </w:tcPr>
          <w:p w14:paraId="2CE6F889"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20</w:t>
            </w:r>
          </w:p>
        </w:tc>
        <w:tc>
          <w:tcPr>
            <w:tcW w:w="2515" w:type="dxa"/>
            <w:tcBorders>
              <w:top w:val="single" w:sz="4" w:space="0" w:color="auto"/>
              <w:left w:val="single" w:sz="4" w:space="0" w:color="auto"/>
            </w:tcBorders>
            <w:tcMar>
              <w:top w:w="10" w:type="dxa"/>
              <w:left w:w="10" w:type="dxa"/>
              <w:bottom w:w="10" w:type="dxa"/>
              <w:right w:w="10" w:type="dxa"/>
            </w:tcMar>
          </w:tcPr>
          <w:p w14:paraId="33D96C80" w14:textId="77777777" w:rsidR="006561BA" w:rsidRDefault="005B4ED6">
            <w:pPr>
              <w:widowControl w:val="0"/>
              <w:shd w:val="clear" w:color="auto" w:fill="auto"/>
              <w:spacing w:after="0" w:line="240" w:lineRule="auto"/>
              <w:ind w:left="200"/>
              <w:jc w:val="left"/>
              <w:rPr>
                <w:rFonts w:ascii="Helvetica" w:eastAsia="Arial Unicode MS" w:hAnsi="Helvetica" w:cs="Times New Roman"/>
                <w:color w:val="000000" w:themeColor="text1"/>
                <w:sz w:val="6"/>
                <w:szCs w:val="6"/>
              </w:rPr>
            </w:pPr>
            <w:r>
              <w:rPr>
                <w:rFonts w:ascii="Helvetica" w:hAnsi="Helvetica"/>
                <w:color w:val="000000" w:themeColor="text1"/>
                <w:sz w:val="6"/>
              </w:rPr>
              <w:t>Gjeldsinstrumenter</w:t>
            </w:r>
          </w:p>
        </w:tc>
        <w:tc>
          <w:tcPr>
            <w:tcW w:w="332" w:type="dxa"/>
            <w:tcBorders>
              <w:top w:val="single" w:sz="4" w:space="0" w:color="auto"/>
              <w:left w:val="single" w:sz="4" w:space="0" w:color="auto"/>
            </w:tcBorders>
            <w:tcMar>
              <w:top w:w="10" w:type="dxa"/>
              <w:left w:w="10" w:type="dxa"/>
              <w:bottom w:w="10" w:type="dxa"/>
              <w:right w:w="10" w:type="dxa"/>
            </w:tcMar>
          </w:tcPr>
          <w:p w14:paraId="372434F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9" w:type="dxa"/>
            <w:tcBorders>
              <w:top w:val="single" w:sz="4" w:space="0" w:color="auto"/>
              <w:left w:val="single" w:sz="4" w:space="0" w:color="auto"/>
            </w:tcBorders>
            <w:tcMar>
              <w:top w:w="10" w:type="dxa"/>
              <w:left w:w="10" w:type="dxa"/>
              <w:bottom w:w="10" w:type="dxa"/>
              <w:right w:w="10" w:type="dxa"/>
            </w:tcMar>
          </w:tcPr>
          <w:p w14:paraId="031149C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4948A49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02DF4FB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9" w:type="dxa"/>
            <w:tcBorders>
              <w:top w:val="single" w:sz="4" w:space="0" w:color="auto"/>
              <w:left w:val="single" w:sz="4" w:space="0" w:color="auto"/>
            </w:tcBorders>
            <w:tcMar>
              <w:top w:w="10" w:type="dxa"/>
              <w:left w:w="10" w:type="dxa"/>
              <w:bottom w:w="10" w:type="dxa"/>
              <w:right w:w="10" w:type="dxa"/>
            </w:tcMar>
          </w:tcPr>
          <w:p w14:paraId="4C02BB1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gridSpan w:val="3"/>
            <w:tcBorders>
              <w:top w:val="single" w:sz="4" w:space="0" w:color="auto"/>
              <w:left w:val="single" w:sz="4" w:space="0" w:color="auto"/>
            </w:tcBorders>
            <w:tcMar>
              <w:top w:w="10" w:type="dxa"/>
              <w:left w:w="10" w:type="dxa"/>
              <w:bottom w:w="10" w:type="dxa"/>
              <w:right w:w="10" w:type="dxa"/>
            </w:tcMar>
          </w:tcPr>
          <w:p w14:paraId="1FD0020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3" w:type="dxa"/>
            <w:tcBorders>
              <w:top w:val="single" w:sz="4" w:space="0" w:color="auto"/>
              <w:left w:val="single" w:sz="4" w:space="0" w:color="auto"/>
            </w:tcBorders>
            <w:tcMar>
              <w:top w:w="10" w:type="dxa"/>
              <w:left w:w="10" w:type="dxa"/>
              <w:bottom w:w="10" w:type="dxa"/>
              <w:right w:w="10" w:type="dxa"/>
            </w:tcMar>
          </w:tcPr>
          <w:p w14:paraId="09EA988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3" w:type="dxa"/>
            <w:tcBorders>
              <w:top w:val="single" w:sz="4" w:space="0" w:color="auto"/>
              <w:left w:val="single" w:sz="4" w:space="0" w:color="auto"/>
            </w:tcBorders>
            <w:tcMar>
              <w:top w:w="10" w:type="dxa"/>
              <w:left w:w="10" w:type="dxa"/>
              <w:bottom w:w="10" w:type="dxa"/>
              <w:right w:w="10" w:type="dxa"/>
            </w:tcMar>
          </w:tcPr>
          <w:p w14:paraId="07E9CED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2FB1654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tcBorders>
            <w:tcMar>
              <w:top w:w="10" w:type="dxa"/>
              <w:left w:w="10" w:type="dxa"/>
              <w:bottom w:w="10" w:type="dxa"/>
              <w:right w:w="10" w:type="dxa"/>
            </w:tcMar>
          </w:tcPr>
          <w:p w14:paraId="4388083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54B056F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0C04F68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3573819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05" w:type="dxa"/>
            <w:tcBorders>
              <w:top w:val="single" w:sz="4" w:space="0" w:color="auto"/>
              <w:left w:val="single" w:sz="4" w:space="0" w:color="auto"/>
            </w:tcBorders>
            <w:tcMar>
              <w:top w:w="10" w:type="dxa"/>
              <w:left w:w="10" w:type="dxa"/>
              <w:bottom w:w="10" w:type="dxa"/>
              <w:right w:w="10" w:type="dxa"/>
            </w:tcMar>
          </w:tcPr>
          <w:p w14:paraId="2B3FA68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2" w:type="dxa"/>
            <w:tcBorders>
              <w:top w:val="single" w:sz="4" w:space="0" w:color="auto"/>
              <w:left w:val="single" w:sz="4" w:space="0" w:color="auto"/>
            </w:tcBorders>
            <w:tcMar>
              <w:top w:w="10" w:type="dxa"/>
              <w:left w:w="10" w:type="dxa"/>
              <w:bottom w:w="10" w:type="dxa"/>
              <w:right w:w="10" w:type="dxa"/>
            </w:tcMar>
          </w:tcPr>
          <w:p w14:paraId="43E4114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1F77F69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583C976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27888D3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3C9DCE5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tcBorders>
            <w:tcMar>
              <w:top w:w="10" w:type="dxa"/>
              <w:left w:w="10" w:type="dxa"/>
              <w:bottom w:w="10" w:type="dxa"/>
              <w:right w:w="10" w:type="dxa"/>
            </w:tcMar>
          </w:tcPr>
          <w:p w14:paraId="0D02DB1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tcBorders>
            <w:tcMar>
              <w:top w:w="10" w:type="dxa"/>
              <w:left w:w="10" w:type="dxa"/>
              <w:bottom w:w="10" w:type="dxa"/>
              <w:right w:w="10" w:type="dxa"/>
            </w:tcMar>
          </w:tcPr>
          <w:p w14:paraId="419CE81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16" w:type="dxa"/>
            <w:tcBorders>
              <w:top w:val="single" w:sz="4" w:space="0" w:color="auto"/>
              <w:left w:val="single" w:sz="4" w:space="0" w:color="auto"/>
              <w:right w:val="single" w:sz="4" w:space="0" w:color="auto"/>
            </w:tcBorders>
            <w:tcMar>
              <w:top w:w="10" w:type="dxa"/>
              <w:left w:w="10" w:type="dxa"/>
              <w:bottom w:w="10" w:type="dxa"/>
              <w:right w:w="10" w:type="dxa"/>
            </w:tcMar>
          </w:tcPr>
          <w:p w14:paraId="3B816EB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14:paraId="0E14A6E7" w14:textId="77777777">
        <w:tc>
          <w:tcPr>
            <w:tcW w:w="127" w:type="dxa"/>
            <w:tcBorders>
              <w:top w:val="single" w:sz="4" w:space="0" w:color="auto"/>
              <w:left w:val="single" w:sz="4" w:space="0" w:color="auto"/>
              <w:bottom w:val="single" w:sz="4" w:space="0" w:color="auto"/>
            </w:tcBorders>
            <w:tcMar>
              <w:top w:w="10" w:type="dxa"/>
              <w:left w:w="10" w:type="dxa"/>
              <w:bottom w:w="10" w:type="dxa"/>
              <w:right w:w="10" w:type="dxa"/>
            </w:tcMar>
          </w:tcPr>
          <w:p w14:paraId="208DFB4F" w14:textId="77777777" w:rsidR="006561BA" w:rsidRDefault="005B4ED6">
            <w:pPr>
              <w:widowControl w:val="0"/>
              <w:shd w:val="clear" w:color="auto" w:fill="auto"/>
              <w:spacing w:after="0" w:line="240" w:lineRule="auto"/>
              <w:jc w:val="right"/>
              <w:rPr>
                <w:rFonts w:ascii="Helvetica" w:eastAsia="Arial Unicode MS" w:hAnsi="Helvetica" w:cs="Times New Roman"/>
                <w:color w:val="000000" w:themeColor="text1"/>
                <w:sz w:val="6"/>
                <w:szCs w:val="6"/>
              </w:rPr>
            </w:pPr>
            <w:r>
              <w:rPr>
                <w:rFonts w:ascii="Helvetica" w:hAnsi="Helvetica"/>
                <w:color w:val="000000" w:themeColor="text1"/>
                <w:sz w:val="6"/>
              </w:rPr>
              <w:t>21</w:t>
            </w:r>
          </w:p>
        </w:tc>
        <w:tc>
          <w:tcPr>
            <w:tcW w:w="2515" w:type="dxa"/>
            <w:tcBorders>
              <w:top w:val="single" w:sz="4" w:space="0" w:color="auto"/>
              <w:left w:val="single" w:sz="4" w:space="0" w:color="auto"/>
              <w:bottom w:val="single" w:sz="4" w:space="0" w:color="auto"/>
            </w:tcBorders>
            <w:tcMar>
              <w:top w:w="10" w:type="dxa"/>
              <w:left w:w="10" w:type="dxa"/>
              <w:bottom w:w="10" w:type="dxa"/>
              <w:right w:w="10" w:type="dxa"/>
            </w:tcMar>
          </w:tcPr>
          <w:p w14:paraId="01EEBFEC" w14:textId="77777777" w:rsidR="006561BA" w:rsidRDefault="005B4ED6">
            <w:pPr>
              <w:widowControl w:val="0"/>
              <w:shd w:val="clear" w:color="auto" w:fill="auto"/>
              <w:spacing w:after="0" w:line="240" w:lineRule="auto"/>
              <w:ind w:left="200"/>
              <w:jc w:val="left"/>
              <w:rPr>
                <w:rFonts w:ascii="Helvetica" w:eastAsia="Arial Unicode MS" w:hAnsi="Helvetica" w:cs="Times New Roman"/>
                <w:color w:val="000000" w:themeColor="text1"/>
                <w:sz w:val="6"/>
                <w:szCs w:val="6"/>
              </w:rPr>
            </w:pPr>
            <w:r>
              <w:rPr>
                <w:rFonts w:ascii="Helvetica" w:hAnsi="Helvetica"/>
                <w:color w:val="000000" w:themeColor="text1"/>
                <w:sz w:val="6"/>
              </w:rPr>
              <w:t>Egenkapitalinstrumenter</w:t>
            </w:r>
          </w:p>
        </w:tc>
        <w:tc>
          <w:tcPr>
            <w:tcW w:w="332" w:type="dxa"/>
            <w:tcBorders>
              <w:top w:val="single" w:sz="4" w:space="0" w:color="auto"/>
              <w:left w:val="single" w:sz="4" w:space="0" w:color="auto"/>
              <w:bottom w:val="single" w:sz="4" w:space="0" w:color="auto"/>
            </w:tcBorders>
            <w:tcMar>
              <w:top w:w="10" w:type="dxa"/>
              <w:left w:w="10" w:type="dxa"/>
              <w:bottom w:w="10" w:type="dxa"/>
              <w:right w:w="10" w:type="dxa"/>
            </w:tcMar>
          </w:tcPr>
          <w:p w14:paraId="3F45796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9" w:type="dxa"/>
            <w:tcBorders>
              <w:top w:val="single" w:sz="4" w:space="0" w:color="auto"/>
              <w:left w:val="single" w:sz="4" w:space="0" w:color="auto"/>
              <w:bottom w:val="single" w:sz="4" w:space="0" w:color="auto"/>
            </w:tcBorders>
            <w:tcMar>
              <w:top w:w="10" w:type="dxa"/>
              <w:left w:w="10" w:type="dxa"/>
              <w:bottom w:w="10" w:type="dxa"/>
              <w:right w:w="10" w:type="dxa"/>
            </w:tcMar>
          </w:tcPr>
          <w:p w14:paraId="674E645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bottom w:val="single" w:sz="4" w:space="0" w:color="auto"/>
            </w:tcBorders>
            <w:tcMar>
              <w:top w:w="10" w:type="dxa"/>
              <w:left w:w="10" w:type="dxa"/>
              <w:bottom w:w="10" w:type="dxa"/>
              <w:right w:w="10" w:type="dxa"/>
            </w:tcMar>
          </w:tcPr>
          <w:p w14:paraId="456D4AB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bottom w:val="single" w:sz="4" w:space="0" w:color="auto"/>
            </w:tcBorders>
            <w:tcMar>
              <w:top w:w="10" w:type="dxa"/>
              <w:left w:w="10" w:type="dxa"/>
              <w:bottom w:w="10" w:type="dxa"/>
              <w:right w:w="10" w:type="dxa"/>
            </w:tcMar>
          </w:tcPr>
          <w:p w14:paraId="0CD8C6F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9" w:type="dxa"/>
            <w:tcBorders>
              <w:top w:val="single" w:sz="4" w:space="0" w:color="auto"/>
              <w:left w:val="single" w:sz="4" w:space="0" w:color="auto"/>
              <w:bottom w:val="single" w:sz="4" w:space="0" w:color="auto"/>
            </w:tcBorders>
            <w:tcMar>
              <w:top w:w="10" w:type="dxa"/>
              <w:left w:w="10" w:type="dxa"/>
              <w:bottom w:w="10" w:type="dxa"/>
              <w:right w:w="10" w:type="dxa"/>
            </w:tcMar>
          </w:tcPr>
          <w:p w14:paraId="7354F1AD"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gridSpan w:val="3"/>
            <w:tcBorders>
              <w:top w:val="single" w:sz="4" w:space="0" w:color="auto"/>
              <w:left w:val="single" w:sz="4" w:space="0" w:color="auto"/>
              <w:bottom w:val="single" w:sz="4" w:space="0" w:color="auto"/>
            </w:tcBorders>
            <w:tcMar>
              <w:top w:w="10" w:type="dxa"/>
              <w:left w:w="10" w:type="dxa"/>
              <w:bottom w:w="10" w:type="dxa"/>
              <w:right w:w="10" w:type="dxa"/>
            </w:tcMar>
          </w:tcPr>
          <w:p w14:paraId="1CC869C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3" w:type="dxa"/>
            <w:tcBorders>
              <w:top w:val="single" w:sz="4" w:space="0" w:color="auto"/>
              <w:left w:val="single" w:sz="4" w:space="0" w:color="auto"/>
              <w:bottom w:val="single" w:sz="4" w:space="0" w:color="auto"/>
            </w:tcBorders>
            <w:tcMar>
              <w:top w:w="10" w:type="dxa"/>
              <w:left w:w="10" w:type="dxa"/>
              <w:bottom w:w="10" w:type="dxa"/>
              <w:right w:w="10" w:type="dxa"/>
            </w:tcMar>
          </w:tcPr>
          <w:p w14:paraId="4F8F529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3" w:type="dxa"/>
            <w:tcBorders>
              <w:top w:val="single" w:sz="4" w:space="0" w:color="auto"/>
              <w:left w:val="single" w:sz="4" w:space="0" w:color="auto"/>
              <w:bottom w:val="single" w:sz="4" w:space="0" w:color="auto"/>
            </w:tcBorders>
            <w:tcMar>
              <w:top w:w="10" w:type="dxa"/>
              <w:left w:w="10" w:type="dxa"/>
              <w:bottom w:w="10" w:type="dxa"/>
              <w:right w:w="10" w:type="dxa"/>
            </w:tcMar>
          </w:tcPr>
          <w:p w14:paraId="4860F78C"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bottom w:val="single" w:sz="4" w:space="0" w:color="auto"/>
            </w:tcBorders>
            <w:tcMar>
              <w:top w:w="10" w:type="dxa"/>
              <w:left w:w="10" w:type="dxa"/>
              <w:bottom w:w="10" w:type="dxa"/>
              <w:right w:w="10" w:type="dxa"/>
            </w:tcMar>
          </w:tcPr>
          <w:p w14:paraId="4B059DA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56" w:type="dxa"/>
            <w:tcBorders>
              <w:top w:val="single" w:sz="4" w:space="0" w:color="auto"/>
              <w:left w:val="single" w:sz="4" w:space="0" w:color="auto"/>
              <w:bottom w:val="single" w:sz="4" w:space="0" w:color="auto"/>
            </w:tcBorders>
            <w:tcMar>
              <w:top w:w="10" w:type="dxa"/>
              <w:left w:w="10" w:type="dxa"/>
              <w:bottom w:w="10" w:type="dxa"/>
              <w:right w:w="10" w:type="dxa"/>
            </w:tcMar>
          </w:tcPr>
          <w:p w14:paraId="317D3FA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bottom w:val="single" w:sz="4" w:space="0" w:color="auto"/>
            </w:tcBorders>
            <w:tcMar>
              <w:top w:w="10" w:type="dxa"/>
              <w:left w:w="10" w:type="dxa"/>
              <w:bottom w:w="10" w:type="dxa"/>
              <w:right w:w="10" w:type="dxa"/>
            </w:tcMar>
          </w:tcPr>
          <w:p w14:paraId="2CFF771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bottom w:val="single" w:sz="4" w:space="0" w:color="auto"/>
            </w:tcBorders>
            <w:tcMar>
              <w:top w:w="10" w:type="dxa"/>
              <w:left w:w="10" w:type="dxa"/>
              <w:bottom w:w="10" w:type="dxa"/>
              <w:right w:w="10" w:type="dxa"/>
            </w:tcMar>
          </w:tcPr>
          <w:p w14:paraId="5F8827C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bottom w:val="single" w:sz="4" w:space="0" w:color="auto"/>
            </w:tcBorders>
            <w:tcMar>
              <w:top w:w="10" w:type="dxa"/>
              <w:left w:w="10" w:type="dxa"/>
              <w:bottom w:w="10" w:type="dxa"/>
              <w:right w:w="10" w:type="dxa"/>
            </w:tcMar>
          </w:tcPr>
          <w:p w14:paraId="056C1F7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05" w:type="dxa"/>
            <w:tcBorders>
              <w:top w:val="single" w:sz="4" w:space="0" w:color="auto"/>
              <w:left w:val="single" w:sz="4" w:space="0" w:color="auto"/>
              <w:bottom w:val="single" w:sz="4" w:space="0" w:color="auto"/>
            </w:tcBorders>
            <w:tcMar>
              <w:top w:w="10" w:type="dxa"/>
              <w:left w:w="10" w:type="dxa"/>
              <w:bottom w:w="10" w:type="dxa"/>
              <w:right w:w="10" w:type="dxa"/>
            </w:tcMar>
          </w:tcPr>
          <w:p w14:paraId="20000E5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2" w:type="dxa"/>
            <w:tcBorders>
              <w:top w:val="single" w:sz="4" w:space="0" w:color="auto"/>
              <w:left w:val="single" w:sz="4" w:space="0" w:color="auto"/>
              <w:bottom w:val="single" w:sz="4" w:space="0" w:color="auto"/>
            </w:tcBorders>
            <w:tcMar>
              <w:top w:w="10" w:type="dxa"/>
              <w:left w:w="10" w:type="dxa"/>
              <w:bottom w:w="10" w:type="dxa"/>
              <w:right w:w="10" w:type="dxa"/>
            </w:tcMar>
          </w:tcPr>
          <w:p w14:paraId="3D321D7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bottom w:val="single" w:sz="4" w:space="0" w:color="auto"/>
            </w:tcBorders>
            <w:tcMar>
              <w:top w:w="10" w:type="dxa"/>
              <w:left w:w="10" w:type="dxa"/>
              <w:bottom w:w="10" w:type="dxa"/>
              <w:right w:w="10" w:type="dxa"/>
            </w:tcMar>
          </w:tcPr>
          <w:p w14:paraId="46A0D7C9"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bottom w:val="single" w:sz="4" w:space="0" w:color="auto"/>
            </w:tcBorders>
            <w:tcMar>
              <w:top w:w="10" w:type="dxa"/>
              <w:left w:w="10" w:type="dxa"/>
              <w:bottom w:w="10" w:type="dxa"/>
              <w:right w:w="10" w:type="dxa"/>
            </w:tcMar>
          </w:tcPr>
          <w:p w14:paraId="2383226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bottom w:val="single" w:sz="4" w:space="0" w:color="auto"/>
            </w:tcBorders>
            <w:tcMar>
              <w:top w:w="10" w:type="dxa"/>
              <w:left w:w="10" w:type="dxa"/>
              <w:bottom w:w="10" w:type="dxa"/>
              <w:right w:w="10" w:type="dxa"/>
            </w:tcMar>
          </w:tcPr>
          <w:p w14:paraId="78CB578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bottom w:val="single" w:sz="4" w:space="0" w:color="auto"/>
            </w:tcBorders>
            <w:tcMar>
              <w:top w:w="10" w:type="dxa"/>
              <w:left w:w="10" w:type="dxa"/>
              <w:bottom w:w="10" w:type="dxa"/>
              <w:right w:w="10" w:type="dxa"/>
            </w:tcMar>
          </w:tcPr>
          <w:p w14:paraId="2BE8CF66"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92" w:type="dxa"/>
            <w:tcBorders>
              <w:top w:val="single" w:sz="4" w:space="0" w:color="auto"/>
              <w:left w:val="single" w:sz="4" w:space="0" w:color="auto"/>
              <w:bottom w:val="single" w:sz="4" w:space="0" w:color="auto"/>
            </w:tcBorders>
            <w:tcMar>
              <w:top w:w="10" w:type="dxa"/>
              <w:left w:w="10" w:type="dxa"/>
              <w:bottom w:w="10" w:type="dxa"/>
              <w:right w:w="10" w:type="dxa"/>
            </w:tcMar>
          </w:tcPr>
          <w:p w14:paraId="1D694650"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27" w:type="dxa"/>
            <w:tcBorders>
              <w:top w:val="single" w:sz="4" w:space="0" w:color="auto"/>
              <w:left w:val="single" w:sz="4" w:space="0" w:color="auto"/>
              <w:bottom w:val="single" w:sz="4" w:space="0" w:color="auto"/>
            </w:tcBorders>
            <w:tcMar>
              <w:top w:w="10" w:type="dxa"/>
              <w:left w:w="10" w:type="dxa"/>
              <w:bottom w:w="10" w:type="dxa"/>
              <w:right w:w="10" w:type="dxa"/>
            </w:tcMar>
          </w:tcPr>
          <w:p w14:paraId="6ABB1EC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16" w:type="dxa"/>
            <w:tcBorders>
              <w:top w:val="single" w:sz="4" w:space="0" w:color="auto"/>
              <w:left w:val="single" w:sz="4" w:space="0" w:color="auto"/>
              <w:bottom w:val="single" w:sz="4" w:space="0" w:color="auto"/>
              <w:right w:val="single" w:sz="4" w:space="0" w:color="auto"/>
            </w:tcBorders>
            <w:tcMar>
              <w:top w:w="10" w:type="dxa"/>
              <w:left w:w="10" w:type="dxa"/>
              <w:bottom w:w="10" w:type="dxa"/>
              <w:right w:w="10" w:type="dxa"/>
            </w:tcMar>
          </w:tcPr>
          <w:p w14:paraId="2798056B"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bl>
    <w:p w14:paraId="495394E7" w14:textId="77777777" w:rsidR="006561BA" w:rsidRDefault="006561BA">
      <w:pPr>
        <w:pStyle w:val="AnnexTI"/>
        <w:jc w:val="both"/>
        <w:rPr>
          <w:i w:val="0"/>
          <w:sz w:val="18"/>
        </w:rPr>
      </w:pPr>
    </w:p>
    <w:p w14:paraId="26844979" w14:textId="77777777" w:rsidR="006561BA" w:rsidRDefault="006561BA">
      <w:pPr>
        <w:pStyle w:val="AnnexTI"/>
        <w:spacing w:after="360"/>
        <w:sectPr w:rsidR="006561BA" w:rsidSect="000D3D55">
          <w:footnotePr>
            <w:pos w:val="beneathText"/>
            <w:numRestart w:val="eachPage"/>
          </w:footnotePr>
          <w:pgSz w:w="16838" w:h="11906" w:orient="landscape" w:code="9"/>
          <w:pgMar w:top="1120" w:right="1680" w:bottom="1120" w:left="840" w:header="920" w:footer="280" w:gutter="0"/>
          <w:cols w:space="708"/>
          <w:docGrid w:linePitch="360"/>
        </w:sectPr>
      </w:pPr>
    </w:p>
    <w:p w14:paraId="3C035B7B" w14:textId="77777777" w:rsidR="006561BA" w:rsidRDefault="005B4ED6">
      <w:pPr>
        <w:pStyle w:val="AnnexTI"/>
        <w:spacing w:after="360"/>
      </w:pPr>
      <w:r>
        <w:lastRenderedPageBreak/>
        <w:t>VEDLEGG VII</w:t>
      </w:r>
    </w:p>
    <w:p w14:paraId="67D9642F" w14:textId="77777777" w:rsidR="006561BA" w:rsidRDefault="005B4ED6">
      <w:pPr>
        <w:pStyle w:val="AnnexTI"/>
        <w:spacing w:after="360"/>
      </w:pPr>
      <w:r>
        <w:t>«VEDLEGG VIII</w:t>
      </w:r>
    </w:p>
    <w:p w14:paraId="19E54B80" w14:textId="77777777" w:rsidR="006561BA" w:rsidRDefault="005B4ED6">
      <w:pPr>
        <w:pStyle w:val="AnnexSTI"/>
        <w:spacing w:after="200"/>
      </w:pPr>
      <w:r>
        <w:t>Mal for KPI-er for verdipapirforetak</w:t>
      </w:r>
    </w:p>
    <w:tbl>
      <w:tblPr>
        <w:tblStyle w:val="EFTATable"/>
        <w:tblW w:w="14304" w:type="dxa"/>
        <w:tblInd w:w="12" w:type="dxa"/>
        <w:tblLayout w:type="fixed"/>
        <w:tblLook w:val="04A0" w:firstRow="1" w:lastRow="0" w:firstColumn="1" w:lastColumn="0" w:noHBand="0" w:noVBand="1"/>
      </w:tblPr>
      <w:tblGrid>
        <w:gridCol w:w="1092"/>
        <w:gridCol w:w="13212"/>
      </w:tblGrid>
      <w:tr w:rsidR="006561BA" w14:paraId="7EE9DA74" w14:textId="77777777">
        <w:trPr>
          <w:trHeight w:val="240"/>
          <w:tblHeader/>
        </w:trPr>
        <w:tc>
          <w:tcPr>
            <w:tcW w:w="1092" w:type="dxa"/>
            <w:shd w:val="clear" w:color="auto" w:fill="F2F2F2"/>
            <w:tcMar>
              <w:top w:w="60" w:type="dxa"/>
              <w:left w:w="0" w:type="dxa"/>
              <w:bottom w:w="60" w:type="dxa"/>
            </w:tcMar>
            <w:vAlign w:val="center"/>
          </w:tcPr>
          <w:p w14:paraId="0C8E1A9C" w14:textId="77777777" w:rsidR="006561BA" w:rsidRDefault="005B4ED6">
            <w:pPr>
              <w:pStyle w:val="AnnexTableHeader"/>
              <w:spacing w:line="200" w:lineRule="exact"/>
            </w:pPr>
            <w:r>
              <w:rPr>
                <w:b/>
              </w:rPr>
              <w:t>Mal nr.</w:t>
            </w:r>
          </w:p>
        </w:tc>
        <w:tc>
          <w:tcPr>
            <w:tcW w:w="13212" w:type="dxa"/>
            <w:shd w:val="clear" w:color="auto" w:fill="F2F2F2"/>
            <w:tcMar>
              <w:top w:w="60" w:type="dxa"/>
              <w:bottom w:w="60" w:type="dxa"/>
              <w:right w:w="0" w:type="dxa"/>
            </w:tcMar>
            <w:vAlign w:val="center"/>
          </w:tcPr>
          <w:p w14:paraId="429F937C" w14:textId="77777777" w:rsidR="006561BA" w:rsidRDefault="005B4ED6">
            <w:pPr>
              <w:pStyle w:val="AnnexTableHeader"/>
              <w:spacing w:line="200" w:lineRule="exact"/>
            </w:pPr>
            <w:r>
              <w:rPr>
                <w:b/>
              </w:rPr>
              <w:t>Betegnelse</w:t>
            </w:r>
          </w:p>
        </w:tc>
      </w:tr>
      <w:tr w:rsidR="006561BA" w14:paraId="3722BD59" w14:textId="77777777">
        <w:trPr>
          <w:trHeight w:val="240"/>
        </w:trPr>
        <w:tc>
          <w:tcPr>
            <w:tcW w:w="1092" w:type="dxa"/>
            <w:tcMar>
              <w:top w:w="60" w:type="dxa"/>
              <w:left w:w="0" w:type="dxa"/>
              <w:bottom w:w="60" w:type="dxa"/>
            </w:tcMar>
          </w:tcPr>
          <w:p w14:paraId="6C6E8F3F" w14:textId="77777777" w:rsidR="006561BA" w:rsidRDefault="005B4ED6">
            <w:pPr>
              <w:pStyle w:val="AnnexTableCellLeft"/>
              <w:jc w:val="center"/>
            </w:pPr>
            <w:r>
              <w:t>0</w:t>
            </w:r>
          </w:p>
        </w:tc>
        <w:tc>
          <w:tcPr>
            <w:tcW w:w="13212" w:type="dxa"/>
            <w:tcMar>
              <w:top w:w="60" w:type="dxa"/>
              <w:bottom w:w="60" w:type="dxa"/>
              <w:right w:w="0" w:type="dxa"/>
            </w:tcMar>
          </w:tcPr>
          <w:p w14:paraId="687A4E82" w14:textId="77777777" w:rsidR="006561BA" w:rsidRDefault="005B4ED6">
            <w:pPr>
              <w:pStyle w:val="AnnexTableCellLeft"/>
            </w:pPr>
            <w:r>
              <w:t>Sammendrag av KPI-er som skal legges fram av verdipapirforetak i henhold til artikkel 8 i taksonomiforordningen</w:t>
            </w:r>
          </w:p>
        </w:tc>
      </w:tr>
      <w:tr w:rsidR="006561BA" w14:paraId="6F3F4C68" w14:textId="77777777">
        <w:trPr>
          <w:trHeight w:val="240"/>
        </w:trPr>
        <w:tc>
          <w:tcPr>
            <w:tcW w:w="1092" w:type="dxa"/>
            <w:tcMar>
              <w:top w:w="60" w:type="dxa"/>
              <w:left w:w="0" w:type="dxa"/>
              <w:bottom w:w="60" w:type="dxa"/>
            </w:tcMar>
          </w:tcPr>
          <w:p w14:paraId="4AC6DD4B" w14:textId="77777777" w:rsidR="006561BA" w:rsidRDefault="005B4ED6">
            <w:pPr>
              <w:pStyle w:val="AnnexTableCellLeft"/>
              <w:jc w:val="center"/>
            </w:pPr>
            <w:r>
              <w:t>1</w:t>
            </w:r>
          </w:p>
        </w:tc>
        <w:tc>
          <w:tcPr>
            <w:tcW w:w="13212" w:type="dxa"/>
            <w:tcMar>
              <w:top w:w="60" w:type="dxa"/>
              <w:bottom w:w="60" w:type="dxa"/>
              <w:right w:w="0" w:type="dxa"/>
            </w:tcMar>
          </w:tcPr>
          <w:p w14:paraId="4A24578B" w14:textId="77777777" w:rsidR="006561BA" w:rsidRDefault="005B4ED6">
            <w:pPr>
              <w:pStyle w:val="AnnexTableCellLeft"/>
            </w:pPr>
            <w:r>
              <w:t>KPI for verdipapirforetak – Tjenester ved handel for egen regning</w:t>
            </w:r>
          </w:p>
        </w:tc>
      </w:tr>
      <w:tr w:rsidR="006561BA" w14:paraId="74D29276" w14:textId="77777777">
        <w:trPr>
          <w:trHeight w:val="240"/>
        </w:trPr>
        <w:tc>
          <w:tcPr>
            <w:tcW w:w="1092" w:type="dxa"/>
            <w:tcMar>
              <w:top w:w="60" w:type="dxa"/>
              <w:left w:w="0" w:type="dxa"/>
              <w:bottom w:w="60" w:type="dxa"/>
            </w:tcMar>
          </w:tcPr>
          <w:p w14:paraId="6A63149C" w14:textId="77777777" w:rsidR="006561BA" w:rsidRDefault="005B4ED6">
            <w:pPr>
              <w:pStyle w:val="AnnexTableCellLeft"/>
              <w:jc w:val="center"/>
            </w:pPr>
            <w:r>
              <w:t>2</w:t>
            </w:r>
          </w:p>
        </w:tc>
        <w:tc>
          <w:tcPr>
            <w:tcW w:w="13212" w:type="dxa"/>
            <w:tcMar>
              <w:top w:w="60" w:type="dxa"/>
              <w:bottom w:w="60" w:type="dxa"/>
              <w:right w:w="0" w:type="dxa"/>
            </w:tcMar>
          </w:tcPr>
          <w:p w14:paraId="761A94FD" w14:textId="77777777" w:rsidR="006561BA" w:rsidRDefault="005B4ED6">
            <w:pPr>
              <w:pStyle w:val="AnnexTableCellLeft"/>
            </w:pPr>
            <w:r>
              <w:t>KPI for verdipapirforetak – Andre tjenester</w:t>
            </w:r>
          </w:p>
        </w:tc>
      </w:tr>
    </w:tbl>
    <w:p w14:paraId="4D49B014" w14:textId="77777777" w:rsidR="006561BA" w:rsidRDefault="005B4ED6">
      <w:pPr>
        <w:shd w:val="clear" w:color="auto" w:fill="auto"/>
        <w:jc w:val="left"/>
        <w:rPr>
          <w:color w:val="auto"/>
          <w14:ligatures w14:val="standard"/>
        </w:rPr>
      </w:pPr>
      <w:r>
        <w:br w:type="page"/>
      </w:r>
    </w:p>
    <w:p w14:paraId="1EF4C8CF" w14:textId="77777777" w:rsidR="006561BA" w:rsidRDefault="005B4ED6">
      <w:pPr>
        <w:pStyle w:val="AnnexNumberedText"/>
        <w:spacing w:after="300"/>
        <w:ind w:left="279" w:hanging="279"/>
      </w:pPr>
      <w:r>
        <w:lastRenderedPageBreak/>
        <w:t>0.</w:t>
      </w:r>
      <w:r>
        <w:rPr>
          <w:b/>
        </w:rPr>
        <w:tab/>
        <w:t>Sammendrag av KPI-er som skal legges fram av verdipapirforetak i henhold til artikkel 8 i taksonomiforordningen</w:t>
      </w:r>
    </w:p>
    <w:tbl>
      <w:tblPr>
        <w:tblStyle w:val="EFTATable"/>
        <w:tblW w:w="14304" w:type="dxa"/>
        <w:tblInd w:w="12" w:type="dxa"/>
        <w:tblLayout w:type="fixed"/>
        <w:tblLook w:val="04A0" w:firstRow="1" w:lastRow="0" w:firstColumn="1" w:lastColumn="0" w:noHBand="0" w:noVBand="1"/>
      </w:tblPr>
      <w:tblGrid>
        <w:gridCol w:w="4104"/>
        <w:gridCol w:w="1691"/>
        <w:gridCol w:w="3505"/>
        <w:gridCol w:w="1134"/>
        <w:gridCol w:w="1134"/>
        <w:gridCol w:w="2736"/>
      </w:tblGrid>
      <w:tr w:rsidR="006561BA" w14:paraId="27D49B44" w14:textId="77777777">
        <w:tc>
          <w:tcPr>
            <w:tcW w:w="5795" w:type="dxa"/>
            <w:gridSpan w:val="2"/>
            <w:shd w:val="clear" w:color="auto" w:fill="F2F2F2"/>
            <w:tcMar>
              <w:top w:w="60" w:type="dxa"/>
              <w:left w:w="0" w:type="dxa"/>
              <w:bottom w:w="60" w:type="dxa"/>
            </w:tcMar>
          </w:tcPr>
          <w:p w14:paraId="2FC86300" w14:textId="77777777" w:rsidR="006561BA" w:rsidRDefault="006561BA">
            <w:pPr>
              <w:pStyle w:val="AnnexTableCellLeft"/>
            </w:pPr>
          </w:p>
        </w:tc>
        <w:tc>
          <w:tcPr>
            <w:tcW w:w="3505" w:type="dxa"/>
            <w:shd w:val="clear" w:color="auto" w:fill="F2F2F2"/>
            <w:tcMar>
              <w:top w:w="60" w:type="dxa"/>
              <w:bottom w:w="60" w:type="dxa"/>
            </w:tcMar>
          </w:tcPr>
          <w:p w14:paraId="358ABA83" w14:textId="77777777" w:rsidR="006561BA" w:rsidRDefault="005B4ED6">
            <w:pPr>
              <w:pStyle w:val="AnnexTableCellLeft"/>
            </w:pPr>
            <w:r>
              <w:rPr>
                <w:b/>
              </w:rPr>
              <w:t>Sum miljømessig bærekraftige eiendeler</w:t>
            </w:r>
          </w:p>
        </w:tc>
        <w:tc>
          <w:tcPr>
            <w:tcW w:w="1134" w:type="dxa"/>
            <w:shd w:val="clear" w:color="auto" w:fill="F2F2F2"/>
            <w:tcMar>
              <w:top w:w="60" w:type="dxa"/>
              <w:bottom w:w="60" w:type="dxa"/>
            </w:tcMar>
          </w:tcPr>
          <w:p w14:paraId="26220051" w14:textId="3CE15DB0" w:rsidR="006561BA" w:rsidRDefault="005B4ED6">
            <w:pPr>
              <w:pStyle w:val="AnnexTableCellLeft"/>
            </w:pPr>
            <w:proofErr w:type="gramStart"/>
            <w:r>
              <w:rPr>
                <w:b/>
              </w:rPr>
              <w:t>KPI</w:t>
            </w:r>
            <w:r>
              <w:t>(</w:t>
            </w:r>
            <w:proofErr w:type="gramEnd"/>
            <w:r>
              <w:fldChar w:fldCharType="begin"/>
            </w:r>
            <w:r>
              <w:instrText xml:space="preserve"> REF NOTE_399 \h  \* MERGEFORMAT </w:instrText>
            </w:r>
            <w:r>
              <w:fldChar w:fldCharType="separate"/>
            </w:r>
            <w:r w:rsidR="00770AA2">
              <w:t>***</w:t>
            </w:r>
            <w:r>
              <w:fldChar w:fldCharType="end"/>
            </w:r>
            <w:r>
              <w:t>)</w:t>
            </w:r>
          </w:p>
        </w:tc>
        <w:tc>
          <w:tcPr>
            <w:tcW w:w="1134" w:type="dxa"/>
            <w:shd w:val="clear" w:color="auto" w:fill="F2F2F2"/>
            <w:tcMar>
              <w:top w:w="60" w:type="dxa"/>
              <w:bottom w:w="60" w:type="dxa"/>
            </w:tcMar>
          </w:tcPr>
          <w:p w14:paraId="0172FD45" w14:textId="1EE0F47E" w:rsidR="006561BA" w:rsidRDefault="005B4ED6">
            <w:pPr>
              <w:pStyle w:val="AnnexTableCellLeft"/>
            </w:pPr>
            <w:proofErr w:type="gramStart"/>
            <w:r>
              <w:rPr>
                <w:b/>
              </w:rPr>
              <w:t>KPI</w:t>
            </w:r>
            <w:r>
              <w:t>(</w:t>
            </w:r>
            <w:proofErr w:type="gramEnd"/>
            <w:r>
              <w:fldChar w:fldCharType="begin"/>
            </w:r>
            <w:r>
              <w:instrText xml:space="preserve"> REF NOTE_400 \h  \* MERGEFORMAT </w:instrText>
            </w:r>
            <w:r>
              <w:fldChar w:fldCharType="separate"/>
            </w:r>
            <w:r w:rsidR="00770AA2">
              <w:t>****</w:t>
            </w:r>
            <w:r>
              <w:fldChar w:fldCharType="end"/>
            </w:r>
            <w:r>
              <w:t>)</w:t>
            </w:r>
          </w:p>
        </w:tc>
        <w:tc>
          <w:tcPr>
            <w:tcW w:w="2736" w:type="dxa"/>
            <w:shd w:val="clear" w:color="auto" w:fill="F2F2F2"/>
            <w:tcMar>
              <w:top w:w="60" w:type="dxa"/>
              <w:bottom w:w="60" w:type="dxa"/>
              <w:right w:w="0" w:type="dxa"/>
            </w:tcMar>
          </w:tcPr>
          <w:p w14:paraId="336AEB60" w14:textId="48EE38BA" w:rsidR="006561BA" w:rsidRDefault="005B4ED6">
            <w:pPr>
              <w:pStyle w:val="AnnexTableCellLeft"/>
            </w:pPr>
            <w:r>
              <w:rPr>
                <w:b/>
                <w:bCs/>
              </w:rPr>
              <w:t xml:space="preserve">Dekningsgrad i % (av samlede </w:t>
            </w:r>
            <w:proofErr w:type="gramStart"/>
            <w:r>
              <w:rPr>
                <w:b/>
                <w:bCs/>
              </w:rPr>
              <w:t>eiendeler</w:t>
            </w:r>
            <w:r>
              <w:t>(</w:t>
            </w:r>
            <w:proofErr w:type="gramEnd"/>
            <w:r>
              <w:fldChar w:fldCharType="begin"/>
            </w:r>
            <w:r>
              <w:instrText xml:space="preserve"> REF NOTE_398 \h  \* MERGEFORMAT </w:instrText>
            </w:r>
            <w:r>
              <w:fldChar w:fldCharType="separate"/>
            </w:r>
            <w:r w:rsidR="00770AA2">
              <w:t>**</w:t>
            </w:r>
            <w:r>
              <w:fldChar w:fldCharType="end"/>
            </w:r>
            <w:r>
              <w:t>)</w:t>
            </w:r>
          </w:p>
        </w:tc>
      </w:tr>
      <w:tr w:rsidR="006561BA" w14:paraId="2DDB6EA3" w14:textId="77777777">
        <w:tc>
          <w:tcPr>
            <w:tcW w:w="4104" w:type="dxa"/>
            <w:tcMar>
              <w:top w:w="60" w:type="dxa"/>
              <w:left w:w="0" w:type="dxa"/>
              <w:bottom w:w="60" w:type="dxa"/>
            </w:tcMar>
          </w:tcPr>
          <w:p w14:paraId="2255596F" w14:textId="77777777" w:rsidR="006561BA" w:rsidRDefault="005B4ED6">
            <w:pPr>
              <w:pStyle w:val="AnnexTableCellLeft"/>
            </w:pPr>
            <w:r>
              <w:rPr>
                <w:b/>
              </w:rPr>
              <w:t>Hoved-KPI (for handel for egen regning)</w:t>
            </w:r>
          </w:p>
        </w:tc>
        <w:tc>
          <w:tcPr>
            <w:tcW w:w="1691" w:type="dxa"/>
            <w:tcMar>
              <w:top w:w="60" w:type="dxa"/>
              <w:bottom w:w="60" w:type="dxa"/>
            </w:tcMar>
          </w:tcPr>
          <w:p w14:paraId="3F54AB5D" w14:textId="77777777" w:rsidR="006561BA" w:rsidRDefault="005B4ED6">
            <w:pPr>
              <w:pStyle w:val="AnnexTableCellLeft"/>
            </w:pPr>
            <w:r>
              <w:rPr>
                <w:b/>
              </w:rPr>
              <w:t>Den grønne brøken (GAR)</w:t>
            </w:r>
          </w:p>
        </w:tc>
        <w:tc>
          <w:tcPr>
            <w:tcW w:w="3505" w:type="dxa"/>
            <w:tcMar>
              <w:top w:w="60" w:type="dxa"/>
              <w:bottom w:w="60" w:type="dxa"/>
            </w:tcMar>
          </w:tcPr>
          <w:p w14:paraId="2E3EDB2D" w14:textId="77777777" w:rsidR="006561BA" w:rsidRDefault="006561BA">
            <w:pPr>
              <w:pStyle w:val="AnnexTableCellLeft"/>
            </w:pPr>
          </w:p>
        </w:tc>
        <w:tc>
          <w:tcPr>
            <w:tcW w:w="1134" w:type="dxa"/>
            <w:tcMar>
              <w:top w:w="60" w:type="dxa"/>
              <w:bottom w:w="60" w:type="dxa"/>
            </w:tcMar>
          </w:tcPr>
          <w:p w14:paraId="3C6B1AF9" w14:textId="77777777" w:rsidR="006561BA" w:rsidRDefault="006561BA">
            <w:pPr>
              <w:pStyle w:val="AnnexTableCellLeft"/>
            </w:pPr>
          </w:p>
        </w:tc>
        <w:tc>
          <w:tcPr>
            <w:tcW w:w="1134" w:type="dxa"/>
            <w:tcMar>
              <w:top w:w="60" w:type="dxa"/>
              <w:bottom w:w="60" w:type="dxa"/>
            </w:tcMar>
          </w:tcPr>
          <w:p w14:paraId="73F6A330" w14:textId="77777777" w:rsidR="006561BA" w:rsidRDefault="006561BA">
            <w:pPr>
              <w:pStyle w:val="AnnexTableCellLeft"/>
            </w:pPr>
          </w:p>
        </w:tc>
        <w:tc>
          <w:tcPr>
            <w:tcW w:w="2736" w:type="dxa"/>
            <w:tcMar>
              <w:top w:w="60" w:type="dxa"/>
              <w:bottom w:w="60" w:type="dxa"/>
              <w:right w:w="0" w:type="dxa"/>
            </w:tcMar>
          </w:tcPr>
          <w:p w14:paraId="57DF5562" w14:textId="77777777" w:rsidR="006561BA" w:rsidRDefault="006561BA">
            <w:pPr>
              <w:pStyle w:val="AnnexTableCellLeft"/>
            </w:pPr>
          </w:p>
        </w:tc>
      </w:tr>
      <w:tr w:rsidR="006561BA" w14:paraId="31FB45EE" w14:textId="77777777">
        <w:tc>
          <w:tcPr>
            <w:tcW w:w="5795" w:type="dxa"/>
            <w:gridSpan w:val="2"/>
            <w:shd w:val="clear" w:color="auto" w:fill="F2F2F2"/>
            <w:tcMar>
              <w:top w:w="60" w:type="dxa"/>
              <w:left w:w="0" w:type="dxa"/>
              <w:bottom w:w="60" w:type="dxa"/>
            </w:tcMar>
          </w:tcPr>
          <w:p w14:paraId="56303B7B" w14:textId="77777777" w:rsidR="006561BA" w:rsidRDefault="006561BA">
            <w:pPr>
              <w:pStyle w:val="AnnexTableCellLeft"/>
            </w:pPr>
          </w:p>
        </w:tc>
        <w:tc>
          <w:tcPr>
            <w:tcW w:w="3505" w:type="dxa"/>
            <w:shd w:val="clear" w:color="auto" w:fill="F2F2F2"/>
            <w:tcMar>
              <w:top w:w="60" w:type="dxa"/>
              <w:bottom w:w="60" w:type="dxa"/>
            </w:tcMar>
          </w:tcPr>
          <w:p w14:paraId="1366B67A" w14:textId="77777777" w:rsidR="006561BA" w:rsidRDefault="005B4ED6">
            <w:pPr>
              <w:pStyle w:val="AnnexTableCellLeft"/>
            </w:pPr>
            <w:r>
              <w:rPr>
                <w:b/>
              </w:rPr>
              <w:t>Samlet inntekt fra miljømessig bærekraftige tjenester og aktiviteter</w:t>
            </w:r>
          </w:p>
        </w:tc>
        <w:tc>
          <w:tcPr>
            <w:tcW w:w="1134" w:type="dxa"/>
            <w:shd w:val="clear" w:color="auto" w:fill="F2F2F2"/>
            <w:tcMar>
              <w:top w:w="60" w:type="dxa"/>
              <w:bottom w:w="60" w:type="dxa"/>
            </w:tcMar>
          </w:tcPr>
          <w:p w14:paraId="66732329" w14:textId="77777777" w:rsidR="006561BA" w:rsidRDefault="005B4ED6">
            <w:pPr>
              <w:pStyle w:val="AnnexTableCellLeft"/>
            </w:pPr>
            <w:r>
              <w:rPr>
                <w:b/>
              </w:rPr>
              <w:t>KPI</w:t>
            </w:r>
          </w:p>
        </w:tc>
        <w:tc>
          <w:tcPr>
            <w:tcW w:w="1134" w:type="dxa"/>
            <w:shd w:val="clear" w:color="auto" w:fill="F2F2F2"/>
            <w:tcMar>
              <w:top w:w="60" w:type="dxa"/>
              <w:bottom w:w="60" w:type="dxa"/>
            </w:tcMar>
          </w:tcPr>
          <w:p w14:paraId="6A18C89D" w14:textId="77777777" w:rsidR="006561BA" w:rsidRDefault="005B4ED6">
            <w:pPr>
              <w:pStyle w:val="AnnexTableCellLeft"/>
            </w:pPr>
            <w:r>
              <w:rPr>
                <w:b/>
              </w:rPr>
              <w:t>KPI</w:t>
            </w:r>
          </w:p>
        </w:tc>
        <w:tc>
          <w:tcPr>
            <w:tcW w:w="2736" w:type="dxa"/>
            <w:shd w:val="clear" w:color="auto" w:fill="F2F2F2"/>
            <w:tcMar>
              <w:top w:w="60" w:type="dxa"/>
              <w:bottom w:w="60" w:type="dxa"/>
              <w:right w:w="0" w:type="dxa"/>
            </w:tcMar>
          </w:tcPr>
          <w:p w14:paraId="53D51E61" w14:textId="77777777" w:rsidR="006561BA" w:rsidRDefault="005B4ED6">
            <w:pPr>
              <w:pStyle w:val="AnnexTableCellLeft"/>
            </w:pPr>
            <w:r>
              <w:rPr>
                <w:b/>
              </w:rPr>
              <w:t>Dekningsgrad i % (av samlede inntekter)</w:t>
            </w:r>
          </w:p>
        </w:tc>
      </w:tr>
      <w:tr w:rsidR="006561BA" w14:paraId="7326596C" w14:textId="77777777">
        <w:tc>
          <w:tcPr>
            <w:tcW w:w="4104" w:type="dxa"/>
            <w:tcMar>
              <w:top w:w="60" w:type="dxa"/>
              <w:left w:w="0" w:type="dxa"/>
              <w:bottom w:w="60" w:type="dxa"/>
            </w:tcMar>
          </w:tcPr>
          <w:p w14:paraId="0FB69B5F" w14:textId="77777777" w:rsidR="006561BA" w:rsidRDefault="005B4ED6">
            <w:pPr>
              <w:pStyle w:val="AnnexTableCellLeft"/>
            </w:pPr>
            <w:r>
              <w:rPr>
                <w:b/>
              </w:rPr>
              <w:t>Hoved-KPI (for andre tjenester og aktiviteter enn handel for egen regning)</w:t>
            </w:r>
          </w:p>
        </w:tc>
        <w:tc>
          <w:tcPr>
            <w:tcW w:w="1691" w:type="dxa"/>
            <w:tcMar>
              <w:top w:w="60" w:type="dxa"/>
              <w:bottom w:w="60" w:type="dxa"/>
            </w:tcMar>
          </w:tcPr>
          <w:p w14:paraId="6B73522B" w14:textId="4EC442B0" w:rsidR="006561BA" w:rsidRDefault="005B4ED6">
            <w:pPr>
              <w:pStyle w:val="AnnexTableCellLeft"/>
            </w:pPr>
            <w:r>
              <w:rPr>
                <w:b/>
              </w:rPr>
              <w:t xml:space="preserve">KPI for </w:t>
            </w:r>
            <w:proofErr w:type="gramStart"/>
            <w:r>
              <w:rPr>
                <w:b/>
              </w:rPr>
              <w:t>inntekter</w:t>
            </w:r>
            <w:r>
              <w:t>(</w:t>
            </w:r>
            <w:proofErr w:type="gramEnd"/>
            <w:r>
              <w:fldChar w:fldCharType="begin"/>
            </w:r>
            <w:r>
              <w:instrText xml:space="preserve"> REF NOTE_397 \h  \* MERGEFORMAT </w:instrText>
            </w:r>
            <w:r>
              <w:fldChar w:fldCharType="separate"/>
            </w:r>
            <w:r w:rsidR="00770AA2">
              <w:t>*</w:t>
            </w:r>
            <w:r>
              <w:fldChar w:fldCharType="end"/>
            </w:r>
            <w:r>
              <w:t>)</w:t>
            </w:r>
          </w:p>
        </w:tc>
        <w:tc>
          <w:tcPr>
            <w:tcW w:w="3505" w:type="dxa"/>
            <w:tcMar>
              <w:top w:w="60" w:type="dxa"/>
              <w:bottom w:w="60" w:type="dxa"/>
            </w:tcMar>
          </w:tcPr>
          <w:p w14:paraId="4224207A" w14:textId="77777777" w:rsidR="006561BA" w:rsidRDefault="006561BA">
            <w:pPr>
              <w:pStyle w:val="AnnexTableCellLeft"/>
            </w:pPr>
          </w:p>
        </w:tc>
        <w:tc>
          <w:tcPr>
            <w:tcW w:w="1134" w:type="dxa"/>
            <w:tcMar>
              <w:top w:w="60" w:type="dxa"/>
              <w:bottom w:w="60" w:type="dxa"/>
            </w:tcMar>
          </w:tcPr>
          <w:p w14:paraId="7EFEAEAD" w14:textId="77777777" w:rsidR="006561BA" w:rsidRDefault="006561BA">
            <w:pPr>
              <w:pStyle w:val="AnnexTableCellLeft"/>
            </w:pPr>
          </w:p>
        </w:tc>
        <w:tc>
          <w:tcPr>
            <w:tcW w:w="1134" w:type="dxa"/>
            <w:tcMar>
              <w:top w:w="60" w:type="dxa"/>
              <w:bottom w:w="60" w:type="dxa"/>
            </w:tcMar>
          </w:tcPr>
          <w:p w14:paraId="0B801232" w14:textId="77777777" w:rsidR="006561BA" w:rsidRDefault="006561BA">
            <w:pPr>
              <w:pStyle w:val="AnnexTableCellLeft"/>
            </w:pPr>
          </w:p>
        </w:tc>
        <w:tc>
          <w:tcPr>
            <w:tcW w:w="2736" w:type="dxa"/>
            <w:tcMar>
              <w:top w:w="60" w:type="dxa"/>
              <w:bottom w:w="60" w:type="dxa"/>
              <w:right w:w="0" w:type="dxa"/>
            </w:tcMar>
          </w:tcPr>
          <w:p w14:paraId="4B46B8A4" w14:textId="77777777" w:rsidR="006561BA" w:rsidRDefault="006561BA">
            <w:pPr>
              <w:pStyle w:val="AnnexTableCellLeft"/>
            </w:pPr>
          </w:p>
        </w:tc>
      </w:tr>
      <w:tr w:rsidR="006561BA" w14:paraId="7272E548" w14:textId="77777777">
        <w:tc>
          <w:tcPr>
            <w:tcW w:w="14304" w:type="dxa"/>
            <w:gridSpan w:val="6"/>
            <w:tcMar>
              <w:top w:w="100" w:type="dxa"/>
              <w:left w:w="0" w:type="dxa"/>
              <w:bottom w:w="100" w:type="dxa"/>
              <w:right w:w="0" w:type="dxa"/>
            </w:tcMar>
          </w:tcPr>
          <w:p w14:paraId="21416904" w14:textId="7DC07CEA" w:rsidR="006561BA" w:rsidRDefault="005B4ED6">
            <w:pPr>
              <w:pStyle w:val="AnnexTableGrNotes"/>
              <w:spacing w:line="200" w:lineRule="exact"/>
              <w:ind w:left="480" w:hanging="480"/>
            </w:pPr>
            <w:r>
              <w:t>(</w:t>
            </w:r>
            <w:bookmarkStart w:id="414" w:name="NOTE_397"/>
            <w:r>
              <w:t>*</w:t>
            </w:r>
            <w:bookmarkEnd w:id="414"/>
            <w:r>
              <w:t>)</w:t>
            </w:r>
            <w:r>
              <w:tab/>
            </w:r>
            <w:r w:rsidR="00905F41">
              <w:t>G</w:t>
            </w:r>
            <w:r>
              <w:t>ebyrer, provisjoner og andre pengeytelser</w:t>
            </w:r>
          </w:p>
          <w:p w14:paraId="65667DC4" w14:textId="77777777" w:rsidR="006561BA" w:rsidRDefault="005B4ED6">
            <w:pPr>
              <w:pStyle w:val="AnnexTableGrNotes"/>
              <w:spacing w:line="200" w:lineRule="exact"/>
              <w:ind w:left="480" w:hanging="480"/>
            </w:pPr>
            <w:r>
              <w:t>(</w:t>
            </w:r>
            <w:bookmarkStart w:id="415" w:name="NOTE_398"/>
            <w:r>
              <w:t>**</w:t>
            </w:r>
            <w:bookmarkEnd w:id="415"/>
            <w:r>
              <w:t>)</w:t>
            </w:r>
            <w:r>
              <w:tab/>
              <w:t>% av eiendelene KPI-en dekker av samlede eiendeler.</w:t>
            </w:r>
          </w:p>
          <w:p w14:paraId="27F3B4B3" w14:textId="77777777" w:rsidR="006561BA" w:rsidRDefault="005B4ED6">
            <w:pPr>
              <w:pStyle w:val="AnnexTableGrNotes"/>
              <w:spacing w:line="200" w:lineRule="exact"/>
              <w:ind w:left="480" w:hanging="480"/>
            </w:pPr>
            <w:r>
              <w:t>(</w:t>
            </w:r>
            <w:bookmarkStart w:id="416" w:name="NOTE_399"/>
            <w:r>
              <w:t>***</w:t>
            </w:r>
            <w:bookmarkEnd w:id="416"/>
            <w:r>
              <w:t>)</w:t>
            </w:r>
            <w:r>
              <w:tab/>
              <w:t>Basert på motpartens KPI for omsetning.</w:t>
            </w:r>
          </w:p>
          <w:p w14:paraId="4B681177" w14:textId="77777777" w:rsidR="006561BA" w:rsidRDefault="005B4ED6">
            <w:pPr>
              <w:pStyle w:val="AnnexTableGrNotes"/>
              <w:spacing w:line="200" w:lineRule="exact"/>
              <w:ind w:left="480" w:hanging="480"/>
            </w:pPr>
            <w:r>
              <w:t>(</w:t>
            </w:r>
            <w:bookmarkStart w:id="417" w:name="NOTE_400"/>
            <w:r>
              <w:t>****</w:t>
            </w:r>
            <w:bookmarkEnd w:id="417"/>
            <w:r>
              <w:t>)</w:t>
            </w:r>
            <w:r>
              <w:tab/>
              <w:t>Basert på motpartens KPI for investeringsutgifter.</w:t>
            </w:r>
          </w:p>
        </w:tc>
      </w:tr>
    </w:tbl>
    <w:p w14:paraId="3CD3004E" w14:textId="77777777" w:rsidR="006561BA" w:rsidRDefault="005B4ED6">
      <w:pPr>
        <w:shd w:val="clear" w:color="auto" w:fill="auto"/>
        <w:jc w:val="left"/>
        <w:rPr>
          <w:color w:val="auto"/>
          <w14:ligatures w14:val="standard"/>
        </w:rPr>
      </w:pPr>
      <w:r>
        <w:br w:type="page"/>
      </w:r>
    </w:p>
    <w:p w14:paraId="05BF81A3" w14:textId="77777777" w:rsidR="006561BA" w:rsidRDefault="005B4ED6">
      <w:pPr>
        <w:pStyle w:val="AnnexNumberedText"/>
        <w:spacing w:after="300"/>
        <w:ind w:left="279" w:hanging="279"/>
      </w:pPr>
      <w:r>
        <w:lastRenderedPageBreak/>
        <w:t>1.</w:t>
      </w:r>
      <w:r>
        <w:rPr>
          <w:b/>
        </w:rPr>
        <w:tab/>
        <w:t>KPI for verdipapirforetak – Tjenester ved handel for egen regning</w:t>
      </w:r>
    </w:p>
    <w:tbl>
      <w:tblPr>
        <w:tblOverlap w:val="never"/>
        <w:tblW w:w="14047" w:type="dxa"/>
        <w:tblInd w:w="279" w:type="dxa"/>
        <w:tblLayout w:type="fixed"/>
        <w:tblCellMar>
          <w:left w:w="10" w:type="dxa"/>
          <w:right w:w="10" w:type="dxa"/>
        </w:tblCellMar>
        <w:tblLook w:val="04A0" w:firstRow="1" w:lastRow="0" w:firstColumn="1" w:lastColumn="0" w:noHBand="0" w:noVBand="1"/>
      </w:tblPr>
      <w:tblGrid>
        <w:gridCol w:w="98"/>
        <w:gridCol w:w="1993"/>
        <w:gridCol w:w="667"/>
        <w:gridCol w:w="666"/>
        <w:gridCol w:w="389"/>
        <w:gridCol w:w="400"/>
        <w:gridCol w:w="421"/>
        <w:gridCol w:w="413"/>
        <w:gridCol w:w="407"/>
        <w:gridCol w:w="413"/>
        <w:gridCol w:w="476"/>
        <w:gridCol w:w="467"/>
        <w:gridCol w:w="474"/>
        <w:gridCol w:w="470"/>
        <w:gridCol w:w="467"/>
        <w:gridCol w:w="473"/>
        <w:gridCol w:w="466"/>
        <w:gridCol w:w="477"/>
        <w:gridCol w:w="470"/>
        <w:gridCol w:w="470"/>
        <w:gridCol w:w="470"/>
        <w:gridCol w:w="470"/>
        <w:gridCol w:w="464"/>
        <w:gridCol w:w="447"/>
        <w:gridCol w:w="491"/>
        <w:gridCol w:w="520"/>
        <w:gridCol w:w="608"/>
      </w:tblGrid>
      <w:tr w:rsidR="006561BA" w14:paraId="5B811FDE" w14:textId="77777777">
        <w:tc>
          <w:tcPr>
            <w:tcW w:w="98" w:type="dxa"/>
            <w:tcMar>
              <w:top w:w="10" w:type="dxa"/>
              <w:bottom w:w="10" w:type="dxa"/>
            </w:tcMar>
            <w:vAlign w:val="center"/>
          </w:tcPr>
          <w:p w14:paraId="1EDD00C4"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1993" w:type="dxa"/>
            <w:tcMar>
              <w:top w:w="10" w:type="dxa"/>
              <w:bottom w:w="10" w:type="dxa"/>
            </w:tcMar>
            <w:vAlign w:val="center"/>
          </w:tcPr>
          <w:p w14:paraId="1F731BAC"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667" w:type="dxa"/>
            <w:tcBorders>
              <w:top w:val="single" w:sz="4" w:space="0" w:color="auto"/>
              <w:left w:val="single" w:sz="4" w:space="0" w:color="auto"/>
            </w:tcBorders>
            <w:tcMar>
              <w:top w:w="10" w:type="dxa"/>
              <w:bottom w:w="10" w:type="dxa"/>
            </w:tcMar>
            <w:vAlign w:val="center"/>
          </w:tcPr>
          <w:p w14:paraId="1DF95F5E"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w:t>
            </w:r>
          </w:p>
        </w:tc>
        <w:tc>
          <w:tcPr>
            <w:tcW w:w="666" w:type="dxa"/>
            <w:tcBorders>
              <w:top w:val="single" w:sz="4" w:space="0" w:color="auto"/>
              <w:left w:val="single" w:sz="4" w:space="0" w:color="auto"/>
            </w:tcBorders>
            <w:tcMar>
              <w:top w:w="10" w:type="dxa"/>
              <w:bottom w:w="10" w:type="dxa"/>
            </w:tcMar>
            <w:vAlign w:val="center"/>
          </w:tcPr>
          <w:p w14:paraId="02CC5060"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b</w:t>
            </w:r>
          </w:p>
        </w:tc>
        <w:tc>
          <w:tcPr>
            <w:tcW w:w="389" w:type="dxa"/>
            <w:tcBorders>
              <w:top w:val="single" w:sz="4" w:space="0" w:color="auto"/>
            </w:tcBorders>
            <w:tcMar>
              <w:top w:w="10" w:type="dxa"/>
              <w:bottom w:w="10" w:type="dxa"/>
            </w:tcMar>
            <w:vAlign w:val="center"/>
          </w:tcPr>
          <w:p w14:paraId="73342154"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c</w:t>
            </w:r>
          </w:p>
        </w:tc>
        <w:tc>
          <w:tcPr>
            <w:tcW w:w="400" w:type="dxa"/>
            <w:tcBorders>
              <w:top w:val="single" w:sz="4" w:space="0" w:color="auto"/>
            </w:tcBorders>
            <w:tcMar>
              <w:top w:w="10" w:type="dxa"/>
              <w:bottom w:w="10" w:type="dxa"/>
            </w:tcMar>
            <w:vAlign w:val="center"/>
          </w:tcPr>
          <w:p w14:paraId="31EF8509"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d</w:t>
            </w:r>
          </w:p>
        </w:tc>
        <w:tc>
          <w:tcPr>
            <w:tcW w:w="421" w:type="dxa"/>
            <w:tcBorders>
              <w:top w:val="single" w:sz="4" w:space="0" w:color="auto"/>
            </w:tcBorders>
            <w:tcMar>
              <w:top w:w="10" w:type="dxa"/>
              <w:bottom w:w="10" w:type="dxa"/>
            </w:tcMar>
            <w:vAlign w:val="center"/>
          </w:tcPr>
          <w:p w14:paraId="4CCF7BDE"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e</w:t>
            </w:r>
          </w:p>
        </w:tc>
        <w:tc>
          <w:tcPr>
            <w:tcW w:w="413" w:type="dxa"/>
            <w:tcBorders>
              <w:top w:val="single" w:sz="4" w:space="0" w:color="auto"/>
            </w:tcBorders>
            <w:tcMar>
              <w:top w:w="10" w:type="dxa"/>
              <w:bottom w:w="10" w:type="dxa"/>
            </w:tcMar>
            <w:vAlign w:val="center"/>
          </w:tcPr>
          <w:p w14:paraId="4ECFC612"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f</w:t>
            </w:r>
          </w:p>
        </w:tc>
        <w:tc>
          <w:tcPr>
            <w:tcW w:w="407" w:type="dxa"/>
            <w:tcBorders>
              <w:top w:val="single" w:sz="4" w:space="0" w:color="auto"/>
            </w:tcBorders>
            <w:tcMar>
              <w:top w:w="10" w:type="dxa"/>
              <w:bottom w:w="10" w:type="dxa"/>
            </w:tcMar>
            <w:vAlign w:val="center"/>
          </w:tcPr>
          <w:p w14:paraId="13EE72E3"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g</w:t>
            </w:r>
          </w:p>
        </w:tc>
        <w:tc>
          <w:tcPr>
            <w:tcW w:w="413" w:type="dxa"/>
            <w:tcBorders>
              <w:top w:val="single" w:sz="4" w:space="0" w:color="auto"/>
            </w:tcBorders>
            <w:tcMar>
              <w:top w:w="10" w:type="dxa"/>
              <w:bottom w:w="10" w:type="dxa"/>
            </w:tcMar>
            <w:vAlign w:val="center"/>
          </w:tcPr>
          <w:p w14:paraId="3DBA39D8"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w:t>
            </w:r>
          </w:p>
        </w:tc>
        <w:tc>
          <w:tcPr>
            <w:tcW w:w="476" w:type="dxa"/>
            <w:tcBorders>
              <w:top w:val="single" w:sz="4" w:space="0" w:color="auto"/>
            </w:tcBorders>
            <w:tcMar>
              <w:top w:w="10" w:type="dxa"/>
              <w:bottom w:w="10" w:type="dxa"/>
            </w:tcMar>
            <w:vAlign w:val="center"/>
          </w:tcPr>
          <w:p w14:paraId="2C49E2F8"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j</w:t>
            </w:r>
          </w:p>
        </w:tc>
        <w:tc>
          <w:tcPr>
            <w:tcW w:w="467" w:type="dxa"/>
            <w:tcBorders>
              <w:top w:val="single" w:sz="4" w:space="0" w:color="auto"/>
            </w:tcBorders>
            <w:tcMar>
              <w:top w:w="10" w:type="dxa"/>
              <w:bottom w:w="10" w:type="dxa"/>
            </w:tcMar>
            <w:vAlign w:val="center"/>
          </w:tcPr>
          <w:p w14:paraId="29951338"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k</w:t>
            </w:r>
          </w:p>
        </w:tc>
        <w:tc>
          <w:tcPr>
            <w:tcW w:w="474" w:type="dxa"/>
            <w:tcBorders>
              <w:top w:val="single" w:sz="4" w:space="0" w:color="auto"/>
            </w:tcBorders>
            <w:tcMar>
              <w:top w:w="10" w:type="dxa"/>
              <w:bottom w:w="10" w:type="dxa"/>
            </w:tcMar>
            <w:vAlign w:val="center"/>
          </w:tcPr>
          <w:p w14:paraId="570F1DFD"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l</w:t>
            </w:r>
          </w:p>
        </w:tc>
        <w:tc>
          <w:tcPr>
            <w:tcW w:w="470" w:type="dxa"/>
            <w:tcBorders>
              <w:top w:val="single" w:sz="4" w:space="0" w:color="auto"/>
            </w:tcBorders>
            <w:tcMar>
              <w:top w:w="10" w:type="dxa"/>
              <w:bottom w:w="10" w:type="dxa"/>
            </w:tcMar>
            <w:vAlign w:val="center"/>
          </w:tcPr>
          <w:p w14:paraId="79FE5A28"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m</w:t>
            </w:r>
          </w:p>
        </w:tc>
        <w:tc>
          <w:tcPr>
            <w:tcW w:w="467" w:type="dxa"/>
            <w:tcBorders>
              <w:top w:val="single" w:sz="4" w:space="0" w:color="auto"/>
            </w:tcBorders>
            <w:tcMar>
              <w:top w:w="10" w:type="dxa"/>
              <w:bottom w:w="10" w:type="dxa"/>
            </w:tcMar>
            <w:vAlign w:val="center"/>
          </w:tcPr>
          <w:p w14:paraId="2DD5BC46"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n</w:t>
            </w:r>
          </w:p>
        </w:tc>
        <w:tc>
          <w:tcPr>
            <w:tcW w:w="473" w:type="dxa"/>
            <w:tcBorders>
              <w:top w:val="single" w:sz="4" w:space="0" w:color="auto"/>
            </w:tcBorders>
            <w:tcMar>
              <w:top w:w="10" w:type="dxa"/>
              <w:bottom w:w="10" w:type="dxa"/>
            </w:tcMar>
            <w:vAlign w:val="center"/>
          </w:tcPr>
          <w:p w14:paraId="7BA49A20"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o</w:t>
            </w:r>
          </w:p>
        </w:tc>
        <w:tc>
          <w:tcPr>
            <w:tcW w:w="466" w:type="dxa"/>
            <w:tcBorders>
              <w:top w:val="single" w:sz="4" w:space="0" w:color="auto"/>
            </w:tcBorders>
            <w:tcMar>
              <w:top w:w="10" w:type="dxa"/>
              <w:bottom w:w="10" w:type="dxa"/>
            </w:tcMar>
            <w:vAlign w:val="center"/>
          </w:tcPr>
          <w:p w14:paraId="74B9AF83"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p</w:t>
            </w:r>
          </w:p>
        </w:tc>
        <w:tc>
          <w:tcPr>
            <w:tcW w:w="477" w:type="dxa"/>
            <w:tcBorders>
              <w:top w:val="single" w:sz="4" w:space="0" w:color="auto"/>
            </w:tcBorders>
            <w:tcMar>
              <w:top w:w="10" w:type="dxa"/>
              <w:bottom w:w="10" w:type="dxa"/>
            </w:tcMar>
            <w:vAlign w:val="center"/>
          </w:tcPr>
          <w:p w14:paraId="128F3864"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q</w:t>
            </w:r>
          </w:p>
        </w:tc>
        <w:tc>
          <w:tcPr>
            <w:tcW w:w="470" w:type="dxa"/>
            <w:tcBorders>
              <w:top w:val="single" w:sz="4" w:space="0" w:color="auto"/>
            </w:tcBorders>
            <w:tcMar>
              <w:top w:w="10" w:type="dxa"/>
              <w:bottom w:w="10" w:type="dxa"/>
            </w:tcMar>
            <w:vAlign w:val="center"/>
          </w:tcPr>
          <w:p w14:paraId="1B731B4A"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r</w:t>
            </w:r>
          </w:p>
        </w:tc>
        <w:tc>
          <w:tcPr>
            <w:tcW w:w="470" w:type="dxa"/>
            <w:tcBorders>
              <w:top w:val="single" w:sz="4" w:space="0" w:color="auto"/>
            </w:tcBorders>
            <w:tcMar>
              <w:top w:w="10" w:type="dxa"/>
              <w:bottom w:w="10" w:type="dxa"/>
            </w:tcMar>
            <w:vAlign w:val="center"/>
          </w:tcPr>
          <w:p w14:paraId="29EA99E2"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s</w:t>
            </w:r>
          </w:p>
        </w:tc>
        <w:tc>
          <w:tcPr>
            <w:tcW w:w="470" w:type="dxa"/>
            <w:tcBorders>
              <w:top w:val="single" w:sz="4" w:space="0" w:color="auto"/>
            </w:tcBorders>
            <w:tcMar>
              <w:top w:w="10" w:type="dxa"/>
              <w:bottom w:w="10" w:type="dxa"/>
            </w:tcMar>
            <w:vAlign w:val="center"/>
          </w:tcPr>
          <w:p w14:paraId="281E4F31"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t</w:t>
            </w:r>
          </w:p>
        </w:tc>
        <w:tc>
          <w:tcPr>
            <w:tcW w:w="470" w:type="dxa"/>
            <w:tcBorders>
              <w:top w:val="single" w:sz="4" w:space="0" w:color="auto"/>
            </w:tcBorders>
            <w:tcMar>
              <w:top w:w="10" w:type="dxa"/>
              <w:bottom w:w="10" w:type="dxa"/>
            </w:tcMar>
            <w:vAlign w:val="center"/>
          </w:tcPr>
          <w:p w14:paraId="2DD0C758"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u</w:t>
            </w:r>
          </w:p>
        </w:tc>
        <w:tc>
          <w:tcPr>
            <w:tcW w:w="464" w:type="dxa"/>
            <w:tcBorders>
              <w:top w:val="single" w:sz="4" w:space="0" w:color="auto"/>
            </w:tcBorders>
            <w:tcMar>
              <w:top w:w="10" w:type="dxa"/>
              <w:bottom w:w="10" w:type="dxa"/>
            </w:tcMar>
            <w:vAlign w:val="center"/>
          </w:tcPr>
          <w:p w14:paraId="3D7C4BD1"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v</w:t>
            </w:r>
          </w:p>
        </w:tc>
        <w:tc>
          <w:tcPr>
            <w:tcW w:w="447" w:type="dxa"/>
            <w:tcBorders>
              <w:top w:val="single" w:sz="4" w:space="0" w:color="auto"/>
            </w:tcBorders>
            <w:tcMar>
              <w:top w:w="10" w:type="dxa"/>
              <w:bottom w:w="10" w:type="dxa"/>
            </w:tcMar>
            <w:vAlign w:val="center"/>
          </w:tcPr>
          <w:p w14:paraId="64756A63"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w</w:t>
            </w:r>
          </w:p>
        </w:tc>
        <w:tc>
          <w:tcPr>
            <w:tcW w:w="491" w:type="dxa"/>
            <w:tcBorders>
              <w:top w:val="single" w:sz="4" w:space="0" w:color="auto"/>
            </w:tcBorders>
            <w:tcMar>
              <w:top w:w="10" w:type="dxa"/>
              <w:bottom w:w="10" w:type="dxa"/>
            </w:tcMar>
            <w:vAlign w:val="center"/>
          </w:tcPr>
          <w:p w14:paraId="077F5386"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x</w:t>
            </w:r>
          </w:p>
        </w:tc>
        <w:tc>
          <w:tcPr>
            <w:tcW w:w="520" w:type="dxa"/>
            <w:tcBorders>
              <w:top w:val="single" w:sz="4" w:space="0" w:color="auto"/>
            </w:tcBorders>
            <w:tcMar>
              <w:top w:w="10" w:type="dxa"/>
              <w:bottom w:w="10" w:type="dxa"/>
            </w:tcMar>
            <w:vAlign w:val="center"/>
          </w:tcPr>
          <w:p w14:paraId="3AB40350"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y</w:t>
            </w:r>
          </w:p>
        </w:tc>
        <w:tc>
          <w:tcPr>
            <w:tcW w:w="608" w:type="dxa"/>
            <w:tcBorders>
              <w:top w:val="single" w:sz="4" w:space="0" w:color="auto"/>
              <w:right w:val="single" w:sz="4" w:space="0" w:color="auto"/>
            </w:tcBorders>
            <w:tcMar>
              <w:top w:w="10" w:type="dxa"/>
              <w:bottom w:w="10" w:type="dxa"/>
            </w:tcMar>
            <w:vAlign w:val="center"/>
          </w:tcPr>
          <w:p w14:paraId="26EFE06B"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z</w:t>
            </w:r>
          </w:p>
        </w:tc>
      </w:tr>
      <w:tr w:rsidR="006561BA" w14:paraId="68A7B717" w14:textId="77777777">
        <w:tc>
          <w:tcPr>
            <w:tcW w:w="98" w:type="dxa"/>
            <w:tcBorders>
              <w:left w:val="single" w:sz="4" w:space="0" w:color="auto"/>
            </w:tcBorders>
            <w:tcMar>
              <w:top w:w="10" w:type="dxa"/>
              <w:bottom w:w="10" w:type="dxa"/>
            </w:tcMar>
            <w:vAlign w:val="center"/>
          </w:tcPr>
          <w:p w14:paraId="03B06DE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1993" w:type="dxa"/>
            <w:tcBorders>
              <w:top w:val="single" w:sz="4" w:space="0" w:color="auto"/>
              <w:left w:val="single" w:sz="4" w:space="0" w:color="auto"/>
            </w:tcBorders>
            <w:tcMar>
              <w:top w:w="10" w:type="dxa"/>
              <w:bottom w:w="10" w:type="dxa"/>
            </w:tcMar>
            <w:vAlign w:val="center"/>
          </w:tcPr>
          <w:p w14:paraId="2275F49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667" w:type="dxa"/>
            <w:tcBorders>
              <w:top w:val="single" w:sz="4" w:space="0" w:color="auto"/>
              <w:left w:val="single" w:sz="4" w:space="0" w:color="auto"/>
            </w:tcBorders>
            <w:tcMar>
              <w:top w:w="10" w:type="dxa"/>
              <w:bottom w:w="10" w:type="dxa"/>
            </w:tcMar>
            <w:vAlign w:val="center"/>
          </w:tcPr>
          <w:p w14:paraId="22360ADF"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666" w:type="dxa"/>
            <w:tcBorders>
              <w:top w:val="single" w:sz="4" w:space="0" w:color="auto"/>
              <w:left w:val="single" w:sz="4" w:space="0" w:color="auto"/>
            </w:tcBorders>
            <w:tcMar>
              <w:top w:w="10" w:type="dxa"/>
              <w:bottom w:w="10" w:type="dxa"/>
            </w:tcMar>
            <w:vAlign w:val="center"/>
          </w:tcPr>
          <w:p w14:paraId="0E4BCCB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3386" w:type="dxa"/>
            <w:gridSpan w:val="8"/>
            <w:tcBorders>
              <w:top w:val="single" w:sz="4" w:space="0" w:color="auto"/>
            </w:tcBorders>
            <w:tcMar>
              <w:top w:w="10" w:type="dxa"/>
              <w:bottom w:w="10" w:type="dxa"/>
            </w:tcMar>
            <w:vAlign w:val="center"/>
          </w:tcPr>
          <w:p w14:paraId="0CF8D801"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7237" w:type="dxa"/>
            <w:gridSpan w:val="15"/>
            <w:tcBorders>
              <w:top w:val="single" w:sz="4" w:space="0" w:color="auto"/>
              <w:right w:val="single" w:sz="4" w:space="0" w:color="auto"/>
            </w:tcBorders>
            <w:tcMar>
              <w:top w:w="10" w:type="dxa"/>
              <w:bottom w:w="10" w:type="dxa"/>
            </w:tcMar>
            <w:vAlign w:val="center"/>
          </w:tcPr>
          <w:p w14:paraId="4183643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rsidRPr="00980A19" w14:paraId="129D1673" w14:textId="77777777">
        <w:tc>
          <w:tcPr>
            <w:tcW w:w="98" w:type="dxa"/>
            <w:tcBorders>
              <w:left w:val="single" w:sz="4" w:space="0" w:color="auto"/>
            </w:tcBorders>
            <w:tcMar>
              <w:top w:w="10" w:type="dxa"/>
              <w:bottom w:w="10" w:type="dxa"/>
            </w:tcMar>
            <w:vAlign w:val="center"/>
          </w:tcPr>
          <w:p w14:paraId="0527E0E6" w14:textId="77777777" w:rsidR="006561BA" w:rsidRDefault="006561BA">
            <w:pPr>
              <w:widowControl w:val="0"/>
              <w:shd w:val="clear" w:color="auto" w:fill="auto"/>
              <w:spacing w:after="0" w:line="240" w:lineRule="auto"/>
              <w:jc w:val="center"/>
              <w:rPr>
                <w:rFonts w:ascii="Helvetica" w:eastAsia="Arial Unicode MS" w:hAnsi="Helvetica" w:cs="Times New Roman"/>
                <w:b/>
                <w:color w:val="000000" w:themeColor="text1"/>
                <w:sz w:val="6"/>
                <w:szCs w:val="6"/>
                <w:lang w:val="en-US"/>
              </w:rPr>
            </w:pPr>
          </w:p>
        </w:tc>
        <w:tc>
          <w:tcPr>
            <w:tcW w:w="1993" w:type="dxa"/>
            <w:tcBorders>
              <w:left w:val="single" w:sz="4" w:space="0" w:color="auto"/>
            </w:tcBorders>
            <w:tcMar>
              <w:top w:w="10" w:type="dxa"/>
              <w:bottom w:w="10" w:type="dxa"/>
            </w:tcMar>
            <w:vAlign w:val="center"/>
          </w:tcPr>
          <w:p w14:paraId="65EB8E7A" w14:textId="77777777" w:rsidR="006561BA" w:rsidRDefault="006561BA">
            <w:pPr>
              <w:widowControl w:val="0"/>
              <w:shd w:val="clear" w:color="auto" w:fill="auto"/>
              <w:spacing w:after="0" w:line="240" w:lineRule="auto"/>
              <w:jc w:val="center"/>
              <w:rPr>
                <w:rFonts w:ascii="Helvetica" w:eastAsia="Arial Unicode MS" w:hAnsi="Helvetica" w:cs="Times New Roman"/>
                <w:b/>
                <w:color w:val="000000" w:themeColor="text1"/>
                <w:sz w:val="6"/>
                <w:szCs w:val="6"/>
                <w:lang w:val="en-US"/>
              </w:rPr>
            </w:pPr>
          </w:p>
        </w:tc>
        <w:tc>
          <w:tcPr>
            <w:tcW w:w="667" w:type="dxa"/>
            <w:tcBorders>
              <w:left w:val="single" w:sz="4" w:space="0" w:color="auto"/>
            </w:tcBorders>
            <w:tcMar>
              <w:top w:w="10" w:type="dxa"/>
              <w:bottom w:w="10" w:type="dxa"/>
            </w:tcMar>
            <w:vAlign w:val="center"/>
          </w:tcPr>
          <w:p w14:paraId="18C5BDA2" w14:textId="77777777" w:rsidR="006561BA" w:rsidRDefault="006561BA">
            <w:pPr>
              <w:widowControl w:val="0"/>
              <w:shd w:val="clear" w:color="auto" w:fill="auto"/>
              <w:spacing w:after="0" w:line="240" w:lineRule="auto"/>
              <w:jc w:val="center"/>
              <w:rPr>
                <w:rFonts w:ascii="Helvetica" w:eastAsia="Arial Unicode MS" w:hAnsi="Helvetica" w:cs="Times New Roman"/>
                <w:b/>
                <w:color w:val="000000" w:themeColor="text1"/>
                <w:sz w:val="6"/>
                <w:szCs w:val="6"/>
                <w:lang w:val="en-US"/>
              </w:rPr>
            </w:pPr>
          </w:p>
        </w:tc>
        <w:tc>
          <w:tcPr>
            <w:tcW w:w="666" w:type="dxa"/>
            <w:tcBorders>
              <w:left w:val="single" w:sz="4" w:space="0" w:color="auto"/>
            </w:tcBorders>
            <w:tcMar>
              <w:top w:w="10" w:type="dxa"/>
              <w:bottom w:w="10" w:type="dxa"/>
            </w:tcMar>
            <w:vAlign w:val="center"/>
          </w:tcPr>
          <w:p w14:paraId="7508A51F" w14:textId="77777777" w:rsidR="006561BA" w:rsidRDefault="006561BA">
            <w:pPr>
              <w:widowControl w:val="0"/>
              <w:shd w:val="clear" w:color="auto" w:fill="auto"/>
              <w:spacing w:after="0" w:line="240" w:lineRule="auto"/>
              <w:jc w:val="center"/>
              <w:rPr>
                <w:rFonts w:ascii="Helvetica" w:eastAsia="Arial Unicode MS" w:hAnsi="Helvetica" w:cs="Times New Roman"/>
                <w:b/>
                <w:color w:val="000000" w:themeColor="text1"/>
                <w:sz w:val="6"/>
                <w:szCs w:val="6"/>
                <w:lang w:val="en-US"/>
              </w:rPr>
            </w:pPr>
          </w:p>
        </w:tc>
        <w:tc>
          <w:tcPr>
            <w:tcW w:w="1623" w:type="dxa"/>
            <w:gridSpan w:val="4"/>
            <w:tcBorders>
              <w:top w:val="single" w:sz="4" w:space="0" w:color="auto"/>
              <w:left w:val="single" w:sz="4" w:space="0" w:color="auto"/>
              <w:bottom w:val="single" w:sz="4" w:space="0" w:color="auto"/>
            </w:tcBorders>
            <w:shd w:val="clear" w:color="auto" w:fill="B5B5B5"/>
            <w:tcMar>
              <w:top w:w="10" w:type="dxa"/>
              <w:bottom w:w="10" w:type="dxa"/>
            </w:tcMar>
            <w:vAlign w:val="center"/>
          </w:tcPr>
          <w:p w14:paraId="67B39C15" w14:textId="77777777" w:rsidR="006561BA" w:rsidRDefault="005B4ED6">
            <w:pPr>
              <w:widowControl w:val="0"/>
              <w:shd w:val="clear" w:color="auto" w:fill="auto"/>
              <w:spacing w:after="0" w:line="240" w:lineRule="auto"/>
              <w:jc w:val="center"/>
              <w:rPr>
                <w:rFonts w:ascii="Helvetica" w:eastAsia="Arial Unicode MS" w:hAnsi="Helvetica" w:cs="Times New Roman"/>
                <w:b/>
                <w:color w:val="000000" w:themeColor="text1"/>
                <w:sz w:val="6"/>
                <w:szCs w:val="6"/>
              </w:rPr>
            </w:pPr>
            <w:r>
              <w:rPr>
                <w:rFonts w:ascii="Helvetica" w:hAnsi="Helvetica"/>
                <w:b/>
                <w:color w:val="000000" w:themeColor="text1"/>
                <w:sz w:val="6"/>
              </w:rPr>
              <w:t>Begrensning av klimaendringer (CCM)</w:t>
            </w:r>
          </w:p>
        </w:tc>
        <w:tc>
          <w:tcPr>
            <w:tcW w:w="1296" w:type="dxa"/>
            <w:gridSpan w:val="3"/>
            <w:tcBorders>
              <w:top w:val="single" w:sz="4" w:space="0" w:color="auto"/>
              <w:left w:val="single" w:sz="4" w:space="0" w:color="auto"/>
              <w:bottom w:val="single" w:sz="4" w:space="0" w:color="auto"/>
            </w:tcBorders>
            <w:shd w:val="clear" w:color="auto" w:fill="B5B5B5"/>
            <w:tcMar>
              <w:top w:w="10" w:type="dxa"/>
              <w:bottom w:w="10" w:type="dxa"/>
            </w:tcMar>
            <w:vAlign w:val="center"/>
          </w:tcPr>
          <w:p w14:paraId="7077BB5A" w14:textId="77777777" w:rsidR="006561BA" w:rsidRDefault="005B4ED6">
            <w:pPr>
              <w:widowControl w:val="0"/>
              <w:shd w:val="clear" w:color="auto" w:fill="auto"/>
              <w:spacing w:after="0" w:line="240" w:lineRule="auto"/>
              <w:jc w:val="center"/>
              <w:rPr>
                <w:rFonts w:ascii="Helvetica" w:eastAsia="Arial Unicode MS" w:hAnsi="Helvetica" w:cs="Times New Roman"/>
                <w:b/>
                <w:color w:val="000000" w:themeColor="text1"/>
                <w:sz w:val="6"/>
                <w:szCs w:val="6"/>
              </w:rPr>
            </w:pPr>
            <w:r>
              <w:rPr>
                <w:rFonts w:ascii="Helvetica" w:hAnsi="Helvetica"/>
                <w:b/>
                <w:color w:val="000000" w:themeColor="text1"/>
                <w:sz w:val="6"/>
              </w:rPr>
              <w:t>Tilpasning til klimaendringer (CCA)</w:t>
            </w:r>
          </w:p>
        </w:tc>
        <w:tc>
          <w:tcPr>
            <w:tcW w:w="1411" w:type="dxa"/>
            <w:gridSpan w:val="3"/>
            <w:tcBorders>
              <w:top w:val="single" w:sz="4" w:space="0" w:color="auto"/>
              <w:left w:val="single" w:sz="4" w:space="0" w:color="auto"/>
            </w:tcBorders>
            <w:shd w:val="clear" w:color="auto" w:fill="B5B5B5"/>
            <w:tcMar>
              <w:top w:w="10" w:type="dxa"/>
              <w:bottom w:w="10" w:type="dxa"/>
            </w:tcMar>
            <w:vAlign w:val="center"/>
          </w:tcPr>
          <w:p w14:paraId="3C5B50D9" w14:textId="77777777" w:rsidR="006561BA" w:rsidRDefault="005B4ED6">
            <w:pPr>
              <w:widowControl w:val="0"/>
              <w:shd w:val="clear" w:color="auto" w:fill="auto"/>
              <w:spacing w:after="0" w:line="240" w:lineRule="auto"/>
              <w:jc w:val="center"/>
              <w:rPr>
                <w:rFonts w:ascii="Helvetica" w:eastAsia="Arial Unicode MS" w:hAnsi="Helvetica" w:cs="Times New Roman"/>
                <w:b/>
                <w:color w:val="000000" w:themeColor="text1"/>
                <w:sz w:val="6"/>
                <w:szCs w:val="6"/>
              </w:rPr>
            </w:pPr>
            <w:r>
              <w:rPr>
                <w:rFonts w:ascii="Helvetica" w:hAnsi="Helvetica"/>
                <w:b/>
                <w:color w:val="000000" w:themeColor="text1"/>
                <w:sz w:val="6"/>
              </w:rPr>
              <w:t>Vann- og havressurser (WTR)</w:t>
            </w:r>
          </w:p>
        </w:tc>
        <w:tc>
          <w:tcPr>
            <w:tcW w:w="1406" w:type="dxa"/>
            <w:gridSpan w:val="3"/>
            <w:tcBorders>
              <w:top w:val="single" w:sz="4" w:space="0" w:color="auto"/>
              <w:left w:val="single" w:sz="4" w:space="0" w:color="auto"/>
              <w:bottom w:val="single" w:sz="4" w:space="0" w:color="auto"/>
            </w:tcBorders>
            <w:shd w:val="clear" w:color="auto" w:fill="B5B5B5"/>
            <w:tcMar>
              <w:top w:w="10" w:type="dxa"/>
              <w:bottom w:w="10" w:type="dxa"/>
            </w:tcMar>
            <w:vAlign w:val="center"/>
          </w:tcPr>
          <w:p w14:paraId="16397711" w14:textId="77777777" w:rsidR="006561BA" w:rsidRDefault="005B4ED6">
            <w:pPr>
              <w:widowControl w:val="0"/>
              <w:shd w:val="clear" w:color="auto" w:fill="auto"/>
              <w:spacing w:after="0" w:line="240" w:lineRule="auto"/>
              <w:jc w:val="center"/>
              <w:rPr>
                <w:rFonts w:ascii="Helvetica" w:eastAsia="Arial Unicode MS" w:hAnsi="Helvetica" w:cs="Times New Roman"/>
                <w:b/>
                <w:color w:val="000000" w:themeColor="text1"/>
                <w:sz w:val="6"/>
                <w:szCs w:val="6"/>
              </w:rPr>
            </w:pPr>
            <w:r>
              <w:rPr>
                <w:rFonts w:ascii="Helvetica" w:hAnsi="Helvetica"/>
                <w:b/>
                <w:color w:val="000000" w:themeColor="text1"/>
                <w:sz w:val="6"/>
              </w:rPr>
              <w:t>Sirkulær økonomi (CE)</w:t>
            </w:r>
          </w:p>
        </w:tc>
        <w:tc>
          <w:tcPr>
            <w:tcW w:w="1417" w:type="dxa"/>
            <w:gridSpan w:val="3"/>
            <w:tcBorders>
              <w:top w:val="single" w:sz="4" w:space="0" w:color="auto"/>
              <w:left w:val="single" w:sz="4" w:space="0" w:color="auto"/>
              <w:bottom w:val="single" w:sz="4" w:space="0" w:color="auto"/>
            </w:tcBorders>
            <w:shd w:val="clear" w:color="auto" w:fill="B5B5B5"/>
            <w:tcMar>
              <w:top w:w="10" w:type="dxa"/>
              <w:bottom w:w="10" w:type="dxa"/>
            </w:tcMar>
            <w:vAlign w:val="center"/>
          </w:tcPr>
          <w:p w14:paraId="35997FAC" w14:textId="77777777" w:rsidR="006561BA" w:rsidRDefault="005B4ED6">
            <w:pPr>
              <w:widowControl w:val="0"/>
              <w:shd w:val="clear" w:color="auto" w:fill="auto"/>
              <w:spacing w:after="0" w:line="240" w:lineRule="auto"/>
              <w:jc w:val="center"/>
              <w:rPr>
                <w:rFonts w:ascii="Helvetica" w:eastAsia="Arial Unicode MS" w:hAnsi="Helvetica" w:cs="Times New Roman"/>
                <w:b/>
                <w:color w:val="000000" w:themeColor="text1"/>
                <w:sz w:val="6"/>
                <w:szCs w:val="6"/>
              </w:rPr>
            </w:pPr>
            <w:r>
              <w:rPr>
                <w:rFonts w:ascii="Helvetica" w:hAnsi="Helvetica"/>
                <w:b/>
                <w:color w:val="000000" w:themeColor="text1"/>
                <w:sz w:val="6"/>
              </w:rPr>
              <w:t>Forurensning (PPC)</w:t>
            </w:r>
          </w:p>
        </w:tc>
        <w:tc>
          <w:tcPr>
            <w:tcW w:w="1404" w:type="dxa"/>
            <w:gridSpan w:val="3"/>
            <w:tcBorders>
              <w:top w:val="single" w:sz="4" w:space="0" w:color="auto"/>
              <w:left w:val="single" w:sz="4" w:space="0" w:color="auto"/>
              <w:bottom w:val="single" w:sz="4" w:space="0" w:color="auto"/>
            </w:tcBorders>
            <w:shd w:val="clear" w:color="auto" w:fill="B5B5B5"/>
            <w:tcMar>
              <w:top w:w="10" w:type="dxa"/>
              <w:bottom w:w="10" w:type="dxa"/>
            </w:tcMar>
            <w:vAlign w:val="center"/>
          </w:tcPr>
          <w:p w14:paraId="5CC3C1AC" w14:textId="77777777" w:rsidR="006561BA" w:rsidRDefault="005B4ED6">
            <w:pPr>
              <w:widowControl w:val="0"/>
              <w:shd w:val="clear" w:color="auto" w:fill="auto"/>
              <w:spacing w:after="0" w:line="240" w:lineRule="auto"/>
              <w:jc w:val="center"/>
              <w:rPr>
                <w:rFonts w:ascii="Helvetica" w:eastAsia="Arial Unicode MS" w:hAnsi="Helvetica" w:cs="Times New Roman"/>
                <w:b/>
                <w:color w:val="000000" w:themeColor="text1"/>
                <w:sz w:val="6"/>
                <w:szCs w:val="6"/>
              </w:rPr>
            </w:pPr>
            <w:r>
              <w:rPr>
                <w:rFonts w:ascii="Helvetica" w:hAnsi="Helvetica"/>
                <w:b/>
                <w:color w:val="000000" w:themeColor="text1"/>
                <w:sz w:val="6"/>
              </w:rPr>
              <w:t>Biologisk mangfold og økosystemer (BIO)</w:t>
            </w:r>
          </w:p>
        </w:tc>
        <w:tc>
          <w:tcPr>
            <w:tcW w:w="2066" w:type="dxa"/>
            <w:gridSpan w:val="4"/>
            <w:tcBorders>
              <w:top w:val="single" w:sz="4" w:space="0" w:color="auto"/>
              <w:left w:val="single" w:sz="4" w:space="0" w:color="auto"/>
              <w:right w:val="single" w:sz="4" w:space="0" w:color="auto"/>
            </w:tcBorders>
            <w:shd w:val="clear" w:color="auto" w:fill="B5B5B5"/>
            <w:tcMar>
              <w:top w:w="10" w:type="dxa"/>
              <w:bottom w:w="10" w:type="dxa"/>
            </w:tcMar>
            <w:vAlign w:val="center"/>
          </w:tcPr>
          <w:p w14:paraId="5CE9DBAB" w14:textId="77777777" w:rsidR="006561BA" w:rsidRPr="00770AA2" w:rsidRDefault="005B4ED6">
            <w:pPr>
              <w:widowControl w:val="0"/>
              <w:shd w:val="clear" w:color="auto" w:fill="auto"/>
              <w:spacing w:after="0" w:line="240" w:lineRule="auto"/>
              <w:jc w:val="center"/>
              <w:rPr>
                <w:rFonts w:ascii="Helvetica" w:eastAsia="Arial Unicode MS" w:hAnsi="Helvetica" w:cs="Times New Roman"/>
                <w:b/>
                <w:color w:val="000000" w:themeColor="text1"/>
                <w:sz w:val="6"/>
                <w:szCs w:val="6"/>
                <w:lang w:val="en-US"/>
              </w:rPr>
            </w:pPr>
            <w:r w:rsidRPr="00770AA2">
              <w:rPr>
                <w:rFonts w:ascii="Helvetica" w:hAnsi="Helvetica"/>
                <w:b/>
                <w:color w:val="000000" w:themeColor="text1"/>
                <w:sz w:val="6"/>
                <w:lang w:val="en-US"/>
              </w:rPr>
              <w:t>SUM (CCM + CCA + WTR + CE + PPC + BIO)</w:t>
            </w:r>
          </w:p>
        </w:tc>
      </w:tr>
      <w:tr w:rsidR="006561BA" w14:paraId="2E246651" w14:textId="77777777">
        <w:tc>
          <w:tcPr>
            <w:tcW w:w="98" w:type="dxa"/>
            <w:tcBorders>
              <w:left w:val="single" w:sz="4" w:space="0" w:color="auto"/>
            </w:tcBorders>
            <w:tcMar>
              <w:top w:w="10" w:type="dxa"/>
              <w:bottom w:w="10" w:type="dxa"/>
            </w:tcMar>
            <w:vAlign w:val="center"/>
          </w:tcPr>
          <w:p w14:paraId="2F72FFC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1993" w:type="dxa"/>
            <w:vMerge w:val="restart"/>
            <w:tcBorders>
              <w:left w:val="single" w:sz="4" w:space="0" w:color="auto"/>
            </w:tcBorders>
            <w:tcMar>
              <w:top w:w="10" w:type="dxa"/>
              <w:bottom w:w="10" w:type="dxa"/>
            </w:tcMar>
            <w:vAlign w:val="center"/>
          </w:tcPr>
          <w:p w14:paraId="69CAA85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667" w:type="dxa"/>
            <w:vMerge w:val="restart"/>
            <w:tcBorders>
              <w:left w:val="single" w:sz="4" w:space="0" w:color="auto"/>
            </w:tcBorders>
            <w:tcMar>
              <w:top w:w="10" w:type="dxa"/>
              <w:bottom w:w="10" w:type="dxa"/>
            </w:tcMar>
            <w:vAlign w:val="center"/>
          </w:tcPr>
          <w:p w14:paraId="1EA8FCE8"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Sum (millioner euro)</w:t>
            </w:r>
          </w:p>
        </w:tc>
        <w:tc>
          <w:tcPr>
            <w:tcW w:w="666" w:type="dxa"/>
            <w:vMerge w:val="restart"/>
            <w:tcBorders>
              <w:left w:val="single" w:sz="4" w:space="0" w:color="auto"/>
            </w:tcBorders>
            <w:tcMar>
              <w:top w:w="10" w:type="dxa"/>
              <w:bottom w:w="10" w:type="dxa"/>
            </w:tcMar>
            <w:vAlign w:val="center"/>
          </w:tcPr>
          <w:p w14:paraId="53FB07F4"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1623" w:type="dxa"/>
            <w:gridSpan w:val="4"/>
            <w:vMerge w:val="restart"/>
            <w:tcBorders>
              <w:top w:val="single" w:sz="4" w:space="0" w:color="auto"/>
              <w:left w:val="single" w:sz="4" w:space="0" w:color="auto"/>
            </w:tcBorders>
            <w:tcMar>
              <w:top w:w="10" w:type="dxa"/>
              <w:bottom w:w="10" w:type="dxa"/>
            </w:tcMar>
            <w:vAlign w:val="center"/>
          </w:tcPr>
          <w:p w14:paraId="606CF3E8"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eiendeler dekket av EU-taksonomien (%) (omfattet av taksonomien)</w:t>
            </w:r>
          </w:p>
        </w:tc>
        <w:tc>
          <w:tcPr>
            <w:tcW w:w="1296" w:type="dxa"/>
            <w:gridSpan w:val="3"/>
            <w:vMerge w:val="restart"/>
            <w:tcBorders>
              <w:top w:val="single" w:sz="4" w:space="0" w:color="auto"/>
              <w:left w:val="single" w:sz="4" w:space="0" w:color="auto"/>
            </w:tcBorders>
            <w:tcMar>
              <w:top w:w="10" w:type="dxa"/>
              <w:bottom w:w="10" w:type="dxa"/>
            </w:tcMar>
            <w:vAlign w:val="center"/>
          </w:tcPr>
          <w:p w14:paraId="4ED5E412"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eiendeler dekket av EU-taksonomien (%) (omfattet av taksonomien)</w:t>
            </w:r>
          </w:p>
        </w:tc>
        <w:tc>
          <w:tcPr>
            <w:tcW w:w="1411" w:type="dxa"/>
            <w:gridSpan w:val="3"/>
            <w:vMerge w:val="restart"/>
            <w:tcBorders>
              <w:top w:val="single" w:sz="4" w:space="0" w:color="auto"/>
              <w:left w:val="single" w:sz="4" w:space="0" w:color="auto"/>
            </w:tcBorders>
            <w:tcMar>
              <w:top w:w="10" w:type="dxa"/>
              <w:bottom w:w="10" w:type="dxa"/>
            </w:tcMar>
            <w:vAlign w:val="center"/>
          </w:tcPr>
          <w:p w14:paraId="7E9B69BE"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eiendeler dekket av EU-taksonomien (%) (omfattet av taksonomien)</w:t>
            </w:r>
          </w:p>
        </w:tc>
        <w:tc>
          <w:tcPr>
            <w:tcW w:w="1406" w:type="dxa"/>
            <w:gridSpan w:val="3"/>
            <w:vMerge w:val="restart"/>
            <w:tcBorders>
              <w:top w:val="single" w:sz="4" w:space="0" w:color="auto"/>
              <w:left w:val="single" w:sz="4" w:space="0" w:color="auto"/>
            </w:tcBorders>
            <w:tcMar>
              <w:top w:w="10" w:type="dxa"/>
              <w:bottom w:w="10" w:type="dxa"/>
            </w:tcMar>
            <w:vAlign w:val="center"/>
          </w:tcPr>
          <w:p w14:paraId="2B348ABF"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eiendeler dekket av EU-taksonomien (%) (omfattet av taksonomien)</w:t>
            </w:r>
          </w:p>
        </w:tc>
        <w:tc>
          <w:tcPr>
            <w:tcW w:w="1417" w:type="dxa"/>
            <w:gridSpan w:val="3"/>
            <w:vMerge w:val="restart"/>
            <w:tcBorders>
              <w:top w:val="single" w:sz="4" w:space="0" w:color="auto"/>
              <w:left w:val="single" w:sz="4" w:space="0" w:color="auto"/>
            </w:tcBorders>
            <w:tcMar>
              <w:top w:w="10" w:type="dxa"/>
              <w:bottom w:w="10" w:type="dxa"/>
            </w:tcMar>
            <w:vAlign w:val="center"/>
          </w:tcPr>
          <w:p w14:paraId="19BB8A72"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eiendeler dekket av EU-taksonomien (%) (omfattet av taksonomien)</w:t>
            </w:r>
          </w:p>
        </w:tc>
        <w:tc>
          <w:tcPr>
            <w:tcW w:w="1404" w:type="dxa"/>
            <w:gridSpan w:val="3"/>
            <w:vMerge w:val="restart"/>
            <w:tcBorders>
              <w:top w:val="single" w:sz="4" w:space="0" w:color="auto"/>
              <w:left w:val="single" w:sz="4" w:space="0" w:color="auto"/>
            </w:tcBorders>
            <w:tcMar>
              <w:top w:w="10" w:type="dxa"/>
              <w:bottom w:w="10" w:type="dxa"/>
            </w:tcMar>
            <w:vAlign w:val="center"/>
          </w:tcPr>
          <w:p w14:paraId="4ABAEEB6"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eiendeler dekket av EU-taksonomien (%) (omfattet av taksonomien)</w:t>
            </w:r>
          </w:p>
        </w:tc>
        <w:tc>
          <w:tcPr>
            <w:tcW w:w="2066" w:type="dxa"/>
            <w:gridSpan w:val="4"/>
            <w:vMerge w:val="restart"/>
            <w:tcBorders>
              <w:top w:val="single" w:sz="4" w:space="0" w:color="auto"/>
              <w:left w:val="single" w:sz="4" w:space="0" w:color="auto"/>
              <w:right w:val="single" w:sz="4" w:space="0" w:color="auto"/>
            </w:tcBorders>
            <w:tcMar>
              <w:top w:w="10" w:type="dxa"/>
              <w:bottom w:w="10" w:type="dxa"/>
            </w:tcMar>
            <w:vAlign w:val="center"/>
          </w:tcPr>
          <w:p w14:paraId="006497E9"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eiendeler omfattet av EU-taksonomien (%) (omfattet av taksonomien)</w:t>
            </w:r>
          </w:p>
        </w:tc>
      </w:tr>
      <w:tr w:rsidR="006561BA" w14:paraId="4E567ACF" w14:textId="77777777">
        <w:tc>
          <w:tcPr>
            <w:tcW w:w="98" w:type="dxa"/>
            <w:tcBorders>
              <w:left w:val="single" w:sz="4" w:space="0" w:color="auto"/>
            </w:tcBorders>
            <w:tcMar>
              <w:top w:w="10" w:type="dxa"/>
              <w:bottom w:w="10" w:type="dxa"/>
            </w:tcMar>
            <w:vAlign w:val="center"/>
          </w:tcPr>
          <w:p w14:paraId="4575EC65"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1993" w:type="dxa"/>
            <w:vMerge/>
            <w:tcBorders>
              <w:left w:val="single" w:sz="4" w:space="0" w:color="auto"/>
            </w:tcBorders>
            <w:tcMar>
              <w:top w:w="10" w:type="dxa"/>
              <w:bottom w:w="10" w:type="dxa"/>
            </w:tcMar>
            <w:vAlign w:val="center"/>
          </w:tcPr>
          <w:p w14:paraId="57FAC50B"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667" w:type="dxa"/>
            <w:vMerge/>
            <w:tcBorders>
              <w:left w:val="single" w:sz="4" w:space="0" w:color="auto"/>
            </w:tcBorders>
            <w:tcMar>
              <w:top w:w="10" w:type="dxa"/>
              <w:bottom w:w="10" w:type="dxa"/>
            </w:tcMar>
            <w:vAlign w:val="center"/>
          </w:tcPr>
          <w:p w14:paraId="4A66157B"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666" w:type="dxa"/>
            <w:vMerge/>
            <w:tcBorders>
              <w:left w:val="single" w:sz="4" w:space="0" w:color="auto"/>
            </w:tcBorders>
            <w:tcMar>
              <w:top w:w="10" w:type="dxa"/>
              <w:bottom w:w="10" w:type="dxa"/>
            </w:tcMar>
            <w:vAlign w:val="center"/>
          </w:tcPr>
          <w:p w14:paraId="4952EB65"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1623" w:type="dxa"/>
            <w:gridSpan w:val="4"/>
            <w:vMerge/>
            <w:tcBorders>
              <w:top w:val="single" w:sz="4" w:space="0" w:color="auto"/>
              <w:left w:val="single" w:sz="4" w:space="0" w:color="auto"/>
            </w:tcBorders>
            <w:tcMar>
              <w:top w:w="10" w:type="dxa"/>
              <w:bottom w:w="10" w:type="dxa"/>
            </w:tcMar>
            <w:vAlign w:val="center"/>
          </w:tcPr>
          <w:p w14:paraId="0D1D681F"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1296" w:type="dxa"/>
            <w:gridSpan w:val="3"/>
            <w:vMerge/>
            <w:tcBorders>
              <w:top w:val="single" w:sz="4" w:space="0" w:color="auto"/>
              <w:left w:val="single" w:sz="4" w:space="0" w:color="auto"/>
            </w:tcBorders>
            <w:tcMar>
              <w:top w:w="10" w:type="dxa"/>
              <w:bottom w:w="10" w:type="dxa"/>
            </w:tcMar>
            <w:vAlign w:val="center"/>
          </w:tcPr>
          <w:p w14:paraId="3C302C5A"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1411" w:type="dxa"/>
            <w:gridSpan w:val="3"/>
            <w:vMerge/>
            <w:tcBorders>
              <w:left w:val="single" w:sz="4" w:space="0" w:color="auto"/>
            </w:tcBorders>
            <w:tcMar>
              <w:top w:w="10" w:type="dxa"/>
              <w:bottom w:w="10" w:type="dxa"/>
            </w:tcMar>
            <w:vAlign w:val="center"/>
          </w:tcPr>
          <w:p w14:paraId="1F22504A"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1406" w:type="dxa"/>
            <w:gridSpan w:val="3"/>
            <w:vMerge/>
            <w:tcBorders>
              <w:top w:val="single" w:sz="4" w:space="0" w:color="auto"/>
              <w:left w:val="single" w:sz="4" w:space="0" w:color="auto"/>
            </w:tcBorders>
            <w:tcMar>
              <w:top w:w="10" w:type="dxa"/>
              <w:bottom w:w="10" w:type="dxa"/>
            </w:tcMar>
            <w:vAlign w:val="center"/>
          </w:tcPr>
          <w:p w14:paraId="026EE753"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1417" w:type="dxa"/>
            <w:gridSpan w:val="3"/>
            <w:vMerge/>
            <w:tcBorders>
              <w:top w:val="single" w:sz="4" w:space="0" w:color="auto"/>
              <w:left w:val="single" w:sz="4" w:space="0" w:color="auto"/>
            </w:tcBorders>
            <w:tcMar>
              <w:top w:w="10" w:type="dxa"/>
              <w:bottom w:w="10" w:type="dxa"/>
            </w:tcMar>
            <w:vAlign w:val="center"/>
          </w:tcPr>
          <w:p w14:paraId="73AD16B8"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1404" w:type="dxa"/>
            <w:gridSpan w:val="3"/>
            <w:vMerge/>
            <w:tcBorders>
              <w:top w:val="single" w:sz="4" w:space="0" w:color="auto"/>
              <w:left w:val="single" w:sz="4" w:space="0" w:color="auto"/>
            </w:tcBorders>
            <w:tcMar>
              <w:top w:w="10" w:type="dxa"/>
              <w:bottom w:w="10" w:type="dxa"/>
            </w:tcMar>
            <w:vAlign w:val="center"/>
          </w:tcPr>
          <w:p w14:paraId="524D7A32"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2066" w:type="dxa"/>
            <w:gridSpan w:val="4"/>
            <w:vMerge/>
            <w:tcBorders>
              <w:left w:val="single" w:sz="4" w:space="0" w:color="auto"/>
              <w:right w:val="single" w:sz="4" w:space="0" w:color="auto"/>
            </w:tcBorders>
            <w:tcMar>
              <w:top w:w="10" w:type="dxa"/>
              <w:bottom w:w="10" w:type="dxa"/>
            </w:tcMar>
            <w:vAlign w:val="center"/>
          </w:tcPr>
          <w:p w14:paraId="0155A98F"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r>
      <w:tr w:rsidR="006561BA" w14:paraId="65F537F3" w14:textId="77777777">
        <w:tc>
          <w:tcPr>
            <w:tcW w:w="98" w:type="dxa"/>
            <w:vMerge w:val="restart"/>
            <w:tcBorders>
              <w:left w:val="single" w:sz="4" w:space="0" w:color="auto"/>
            </w:tcBorders>
            <w:tcMar>
              <w:top w:w="10" w:type="dxa"/>
              <w:bottom w:w="10" w:type="dxa"/>
            </w:tcMar>
            <w:vAlign w:val="center"/>
          </w:tcPr>
          <w:p w14:paraId="66B24950"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1993" w:type="dxa"/>
            <w:vMerge/>
            <w:tcBorders>
              <w:left w:val="single" w:sz="4" w:space="0" w:color="auto"/>
            </w:tcBorders>
            <w:tcMar>
              <w:top w:w="10" w:type="dxa"/>
              <w:bottom w:w="10" w:type="dxa"/>
            </w:tcMar>
            <w:vAlign w:val="center"/>
          </w:tcPr>
          <w:p w14:paraId="60B37FDE"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667" w:type="dxa"/>
            <w:vMerge/>
            <w:tcBorders>
              <w:left w:val="single" w:sz="4" w:space="0" w:color="auto"/>
            </w:tcBorders>
            <w:tcMar>
              <w:top w:w="10" w:type="dxa"/>
              <w:bottom w:w="10" w:type="dxa"/>
            </w:tcMar>
            <w:vAlign w:val="center"/>
          </w:tcPr>
          <w:p w14:paraId="613D4083"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666" w:type="dxa"/>
            <w:vMerge w:val="restart"/>
            <w:tcBorders>
              <w:left w:val="single" w:sz="4" w:space="0" w:color="auto"/>
            </w:tcBorders>
            <w:tcMar>
              <w:top w:w="10" w:type="dxa"/>
              <w:bottom w:w="10" w:type="dxa"/>
            </w:tcMar>
            <w:vAlign w:val="center"/>
          </w:tcPr>
          <w:p w14:paraId="05E0CBC4"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dekket av KPI-en (millioner euro)</w:t>
            </w:r>
          </w:p>
        </w:tc>
        <w:tc>
          <w:tcPr>
            <w:tcW w:w="389" w:type="dxa"/>
            <w:tcBorders>
              <w:left w:val="single" w:sz="4" w:space="0" w:color="auto"/>
            </w:tcBorders>
            <w:tcMar>
              <w:top w:w="10" w:type="dxa"/>
              <w:bottom w:w="10" w:type="dxa"/>
            </w:tcMar>
            <w:vAlign w:val="center"/>
          </w:tcPr>
          <w:p w14:paraId="1BF5E071"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1234" w:type="dxa"/>
            <w:gridSpan w:val="3"/>
            <w:tcBorders>
              <w:top w:val="single" w:sz="4" w:space="0" w:color="auto"/>
              <w:left w:val="single" w:sz="4" w:space="0" w:color="auto"/>
            </w:tcBorders>
            <w:tcMar>
              <w:top w:w="10" w:type="dxa"/>
              <w:bottom w:w="10" w:type="dxa"/>
            </w:tcMar>
            <w:vAlign w:val="center"/>
          </w:tcPr>
          <w:p w14:paraId="42B01868"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knyttet til aktiviteter som er forenlige med EU-taksonomien (%) (taksonomiforenlige)</w:t>
            </w:r>
          </w:p>
        </w:tc>
        <w:tc>
          <w:tcPr>
            <w:tcW w:w="407" w:type="dxa"/>
            <w:tcBorders>
              <w:left w:val="single" w:sz="4" w:space="0" w:color="auto"/>
            </w:tcBorders>
            <w:tcMar>
              <w:top w:w="10" w:type="dxa"/>
              <w:bottom w:w="10" w:type="dxa"/>
            </w:tcMar>
            <w:vAlign w:val="center"/>
          </w:tcPr>
          <w:p w14:paraId="78A520F3"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889" w:type="dxa"/>
            <w:gridSpan w:val="2"/>
            <w:tcBorders>
              <w:top w:val="single" w:sz="4" w:space="0" w:color="auto"/>
              <w:left w:val="single" w:sz="4" w:space="0" w:color="auto"/>
            </w:tcBorders>
            <w:tcMar>
              <w:top w:w="10" w:type="dxa"/>
              <w:bottom w:w="10" w:type="dxa"/>
            </w:tcMar>
            <w:vAlign w:val="center"/>
          </w:tcPr>
          <w:p w14:paraId="71EDFBF1"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knyttet til aktiviteter som er forenlige med EU</w:t>
            </w:r>
          </w:p>
        </w:tc>
        <w:tc>
          <w:tcPr>
            <w:tcW w:w="467" w:type="dxa"/>
            <w:vMerge w:val="restart"/>
            <w:tcBorders>
              <w:left w:val="single" w:sz="4" w:space="0" w:color="auto"/>
            </w:tcBorders>
            <w:tcMar>
              <w:top w:w="10" w:type="dxa"/>
              <w:bottom w:w="10" w:type="dxa"/>
            </w:tcMar>
            <w:vAlign w:val="center"/>
          </w:tcPr>
          <w:p w14:paraId="51E73B85"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944" w:type="dxa"/>
            <w:gridSpan w:val="2"/>
            <w:tcBorders>
              <w:top w:val="single" w:sz="4" w:space="0" w:color="auto"/>
              <w:left w:val="single" w:sz="4" w:space="0" w:color="auto"/>
            </w:tcBorders>
            <w:tcMar>
              <w:top w:w="10" w:type="dxa"/>
              <w:bottom w:w="10" w:type="dxa"/>
            </w:tcMar>
            <w:vAlign w:val="center"/>
          </w:tcPr>
          <w:p w14:paraId="2EE3379B"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knyttet til aktiviteter som er forenlige med EU-taksonomien</w:t>
            </w:r>
          </w:p>
        </w:tc>
        <w:tc>
          <w:tcPr>
            <w:tcW w:w="467" w:type="dxa"/>
            <w:tcBorders>
              <w:left w:val="single" w:sz="4" w:space="0" w:color="auto"/>
            </w:tcBorders>
            <w:tcMar>
              <w:top w:w="10" w:type="dxa"/>
              <w:bottom w:w="10" w:type="dxa"/>
            </w:tcMar>
            <w:vAlign w:val="center"/>
          </w:tcPr>
          <w:p w14:paraId="5DD90A6D"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939" w:type="dxa"/>
            <w:gridSpan w:val="2"/>
            <w:tcBorders>
              <w:top w:val="single" w:sz="4" w:space="0" w:color="auto"/>
              <w:left w:val="single" w:sz="4" w:space="0" w:color="auto"/>
            </w:tcBorders>
            <w:tcMar>
              <w:top w:w="10" w:type="dxa"/>
              <w:bottom w:w="10" w:type="dxa"/>
            </w:tcMar>
            <w:vAlign w:val="center"/>
          </w:tcPr>
          <w:p w14:paraId="6A71DE9F"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knyttet til aktiviteter som er forenlige med EU-taksonomien</w:t>
            </w:r>
          </w:p>
        </w:tc>
        <w:tc>
          <w:tcPr>
            <w:tcW w:w="477" w:type="dxa"/>
            <w:tcBorders>
              <w:left w:val="single" w:sz="4" w:space="0" w:color="auto"/>
            </w:tcBorders>
            <w:tcMar>
              <w:top w:w="10" w:type="dxa"/>
              <w:bottom w:w="10" w:type="dxa"/>
            </w:tcMar>
            <w:vAlign w:val="center"/>
          </w:tcPr>
          <w:p w14:paraId="2D767099"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940" w:type="dxa"/>
            <w:gridSpan w:val="2"/>
            <w:tcBorders>
              <w:top w:val="single" w:sz="4" w:space="0" w:color="auto"/>
              <w:left w:val="single" w:sz="4" w:space="0" w:color="auto"/>
            </w:tcBorders>
            <w:tcMar>
              <w:top w:w="10" w:type="dxa"/>
              <w:bottom w:w="10" w:type="dxa"/>
            </w:tcMar>
            <w:vAlign w:val="center"/>
          </w:tcPr>
          <w:p w14:paraId="33CA7A92"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knyttet til aktiviteter som er forenlige med EU-taksonomien</w:t>
            </w:r>
          </w:p>
        </w:tc>
        <w:tc>
          <w:tcPr>
            <w:tcW w:w="470" w:type="dxa"/>
            <w:tcBorders>
              <w:left w:val="single" w:sz="4" w:space="0" w:color="auto"/>
            </w:tcBorders>
            <w:tcMar>
              <w:top w:w="10" w:type="dxa"/>
              <w:bottom w:w="10" w:type="dxa"/>
            </w:tcMar>
            <w:vAlign w:val="center"/>
          </w:tcPr>
          <w:p w14:paraId="79CCF679"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934" w:type="dxa"/>
            <w:gridSpan w:val="2"/>
            <w:tcBorders>
              <w:top w:val="single" w:sz="4" w:space="0" w:color="auto"/>
              <w:left w:val="single" w:sz="4" w:space="0" w:color="auto"/>
            </w:tcBorders>
            <w:tcMar>
              <w:top w:w="10" w:type="dxa"/>
              <w:bottom w:w="10" w:type="dxa"/>
            </w:tcMar>
            <w:vAlign w:val="center"/>
          </w:tcPr>
          <w:p w14:paraId="47186C14"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knyttet til aktiviteter som er forenlige med EU-taksonomien</w:t>
            </w:r>
          </w:p>
        </w:tc>
        <w:tc>
          <w:tcPr>
            <w:tcW w:w="447" w:type="dxa"/>
            <w:vMerge w:val="restart"/>
            <w:tcBorders>
              <w:left w:val="single" w:sz="4" w:space="0" w:color="auto"/>
            </w:tcBorders>
            <w:tcMar>
              <w:top w:w="10" w:type="dxa"/>
              <w:bottom w:w="10" w:type="dxa"/>
            </w:tcMar>
            <w:vAlign w:val="center"/>
          </w:tcPr>
          <w:p w14:paraId="0EF7194E"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1619" w:type="dxa"/>
            <w:gridSpan w:val="3"/>
            <w:tcBorders>
              <w:top w:val="single" w:sz="4" w:space="0" w:color="auto"/>
              <w:left w:val="single" w:sz="4" w:space="0" w:color="auto"/>
              <w:right w:val="single" w:sz="4" w:space="0" w:color="auto"/>
            </w:tcBorders>
            <w:tcMar>
              <w:top w:w="10" w:type="dxa"/>
              <w:bottom w:w="10" w:type="dxa"/>
            </w:tcMar>
            <w:vAlign w:val="center"/>
          </w:tcPr>
          <w:p w14:paraId="3892773D"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knyttet til aktiviteter som er forenlige med EU-taksonomien (%) (taksonomiforenlige)</w:t>
            </w:r>
          </w:p>
        </w:tc>
      </w:tr>
      <w:tr w:rsidR="006561BA" w14:paraId="213CF81D" w14:textId="77777777">
        <w:tc>
          <w:tcPr>
            <w:tcW w:w="98" w:type="dxa"/>
            <w:vMerge/>
            <w:tcBorders>
              <w:left w:val="single" w:sz="4" w:space="0" w:color="auto"/>
            </w:tcBorders>
            <w:tcMar>
              <w:top w:w="10" w:type="dxa"/>
              <w:bottom w:w="10" w:type="dxa"/>
            </w:tcMar>
            <w:vAlign w:val="center"/>
          </w:tcPr>
          <w:p w14:paraId="0B70487C"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1993" w:type="dxa"/>
            <w:vMerge/>
            <w:tcBorders>
              <w:left w:val="single" w:sz="4" w:space="0" w:color="auto"/>
            </w:tcBorders>
            <w:tcMar>
              <w:top w:w="10" w:type="dxa"/>
              <w:bottom w:w="10" w:type="dxa"/>
            </w:tcMar>
            <w:vAlign w:val="center"/>
          </w:tcPr>
          <w:p w14:paraId="6D998367"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667" w:type="dxa"/>
            <w:vMerge/>
            <w:tcBorders>
              <w:left w:val="single" w:sz="4" w:space="0" w:color="auto"/>
            </w:tcBorders>
            <w:tcMar>
              <w:top w:w="10" w:type="dxa"/>
              <w:bottom w:w="10" w:type="dxa"/>
            </w:tcMar>
            <w:vAlign w:val="center"/>
          </w:tcPr>
          <w:p w14:paraId="3552F5C3"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666" w:type="dxa"/>
            <w:vMerge/>
            <w:tcBorders>
              <w:left w:val="single" w:sz="4" w:space="0" w:color="auto"/>
            </w:tcBorders>
            <w:tcMar>
              <w:top w:w="10" w:type="dxa"/>
              <w:bottom w:w="10" w:type="dxa"/>
            </w:tcMar>
            <w:vAlign w:val="center"/>
          </w:tcPr>
          <w:p w14:paraId="4AAB10AE"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389" w:type="dxa"/>
            <w:tcBorders>
              <w:left w:val="single" w:sz="4" w:space="0" w:color="auto"/>
            </w:tcBorders>
            <w:tcMar>
              <w:top w:w="10" w:type="dxa"/>
              <w:bottom w:w="10" w:type="dxa"/>
            </w:tcMar>
            <w:vAlign w:val="center"/>
          </w:tcPr>
          <w:p w14:paraId="1FABD10F"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00" w:type="dxa"/>
            <w:tcBorders>
              <w:left w:val="single" w:sz="4" w:space="0" w:color="auto"/>
            </w:tcBorders>
            <w:tcMar>
              <w:top w:w="10" w:type="dxa"/>
              <w:bottom w:w="10" w:type="dxa"/>
            </w:tcMar>
            <w:vAlign w:val="center"/>
          </w:tcPr>
          <w:p w14:paraId="1D7FEADE"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21" w:type="dxa"/>
            <w:tcBorders>
              <w:top w:val="single" w:sz="4" w:space="0" w:color="auto"/>
              <w:left w:val="single" w:sz="4" w:space="0" w:color="auto"/>
            </w:tcBorders>
            <w:tcMar>
              <w:top w:w="10" w:type="dxa"/>
              <w:bottom w:w="10" w:type="dxa"/>
            </w:tcMar>
            <w:vAlign w:val="center"/>
          </w:tcPr>
          <w:p w14:paraId="4F6205E3" w14:textId="77777777" w:rsidR="006561BA" w:rsidRDefault="005B4ED6">
            <w:pPr>
              <w:widowControl w:val="0"/>
              <w:shd w:val="clear" w:color="auto" w:fill="auto"/>
              <w:spacing w:after="0" w:line="240" w:lineRule="auto"/>
              <w:jc w:val="left"/>
              <w:rPr>
                <w:rFonts w:ascii="Helvetica" w:eastAsia="Arial Unicode MS" w:hAnsi="Helvetica" w:cs="Times New Roman"/>
                <w:color w:val="000000" w:themeColor="text1"/>
                <w:sz w:val="6"/>
                <w:szCs w:val="6"/>
              </w:rPr>
            </w:pPr>
            <w:r>
              <w:rPr>
                <w:rFonts w:ascii="Helvetica" w:hAnsi="Helvetica"/>
                <w:color w:val="000000" w:themeColor="text1"/>
                <w:sz w:val="6"/>
              </w:rPr>
              <w:t>Hvorav omstilling (%)</w:t>
            </w:r>
          </w:p>
        </w:tc>
        <w:tc>
          <w:tcPr>
            <w:tcW w:w="413" w:type="dxa"/>
            <w:tcBorders>
              <w:top w:val="single" w:sz="4" w:space="0" w:color="auto"/>
              <w:left w:val="single" w:sz="4" w:space="0" w:color="auto"/>
            </w:tcBorders>
            <w:tcMar>
              <w:top w:w="10" w:type="dxa"/>
              <w:bottom w:w="10" w:type="dxa"/>
            </w:tcMar>
            <w:vAlign w:val="center"/>
          </w:tcPr>
          <w:p w14:paraId="7E88BAFD" w14:textId="77777777" w:rsidR="006561BA" w:rsidRDefault="005B4ED6">
            <w:pPr>
              <w:widowControl w:val="0"/>
              <w:shd w:val="clear" w:color="auto" w:fill="auto"/>
              <w:spacing w:after="0" w:line="240" w:lineRule="auto"/>
              <w:jc w:val="left"/>
              <w:rPr>
                <w:rFonts w:ascii="Helvetica" w:eastAsia="Arial Unicode MS" w:hAnsi="Helvetica" w:cs="Times New Roman"/>
                <w:color w:val="000000" w:themeColor="text1"/>
                <w:sz w:val="6"/>
                <w:szCs w:val="6"/>
              </w:rPr>
            </w:pPr>
            <w:r>
              <w:rPr>
                <w:rFonts w:ascii="Helvetica" w:hAnsi="Helvetica"/>
                <w:color w:val="000000" w:themeColor="text1"/>
                <w:sz w:val="6"/>
              </w:rPr>
              <w:t>Hvorav muliggjørende (%)</w:t>
            </w:r>
          </w:p>
        </w:tc>
        <w:tc>
          <w:tcPr>
            <w:tcW w:w="407" w:type="dxa"/>
            <w:tcBorders>
              <w:left w:val="single" w:sz="4" w:space="0" w:color="auto"/>
            </w:tcBorders>
            <w:tcMar>
              <w:top w:w="10" w:type="dxa"/>
              <w:bottom w:w="10" w:type="dxa"/>
            </w:tcMar>
            <w:vAlign w:val="center"/>
          </w:tcPr>
          <w:p w14:paraId="5E7A80D5"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13" w:type="dxa"/>
            <w:tcBorders>
              <w:left w:val="single" w:sz="4" w:space="0" w:color="auto"/>
            </w:tcBorders>
            <w:tcMar>
              <w:top w:w="10" w:type="dxa"/>
              <w:bottom w:w="10" w:type="dxa"/>
            </w:tcMar>
            <w:vAlign w:val="center"/>
          </w:tcPr>
          <w:p w14:paraId="1CAD4E36"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tcBorders>
            <w:tcMar>
              <w:top w:w="10" w:type="dxa"/>
              <w:bottom w:w="10" w:type="dxa"/>
            </w:tcMar>
            <w:vAlign w:val="center"/>
          </w:tcPr>
          <w:p w14:paraId="3F9E377F" w14:textId="77777777" w:rsidR="006561BA" w:rsidRDefault="005B4ED6">
            <w:pPr>
              <w:widowControl w:val="0"/>
              <w:shd w:val="clear" w:color="auto" w:fill="auto"/>
              <w:spacing w:after="0" w:line="240" w:lineRule="auto"/>
              <w:jc w:val="left"/>
              <w:rPr>
                <w:rFonts w:ascii="Helvetica" w:eastAsia="Arial Unicode MS" w:hAnsi="Helvetica" w:cs="Times New Roman"/>
                <w:color w:val="000000" w:themeColor="text1"/>
                <w:sz w:val="6"/>
                <w:szCs w:val="6"/>
              </w:rPr>
            </w:pPr>
            <w:r>
              <w:rPr>
                <w:rFonts w:ascii="Helvetica" w:hAnsi="Helvetica"/>
                <w:color w:val="000000" w:themeColor="text1"/>
                <w:sz w:val="6"/>
              </w:rPr>
              <w:t>Hvorav muliggjørende (%)</w:t>
            </w:r>
          </w:p>
        </w:tc>
        <w:tc>
          <w:tcPr>
            <w:tcW w:w="467" w:type="dxa"/>
            <w:vMerge/>
            <w:tcBorders>
              <w:left w:val="single" w:sz="4" w:space="0" w:color="auto"/>
            </w:tcBorders>
            <w:tcMar>
              <w:top w:w="10" w:type="dxa"/>
              <w:bottom w:w="10" w:type="dxa"/>
            </w:tcMar>
            <w:vAlign w:val="center"/>
          </w:tcPr>
          <w:p w14:paraId="33C3E0B9"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74" w:type="dxa"/>
            <w:tcBorders>
              <w:left w:val="single" w:sz="4" w:space="0" w:color="auto"/>
            </w:tcBorders>
            <w:tcMar>
              <w:top w:w="10" w:type="dxa"/>
              <w:bottom w:w="10" w:type="dxa"/>
            </w:tcMar>
            <w:vAlign w:val="center"/>
          </w:tcPr>
          <w:p w14:paraId="7C90EE06"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70" w:type="dxa"/>
            <w:tcBorders>
              <w:top w:val="single" w:sz="4" w:space="0" w:color="auto"/>
              <w:left w:val="single" w:sz="4" w:space="0" w:color="auto"/>
            </w:tcBorders>
            <w:tcMar>
              <w:top w:w="10" w:type="dxa"/>
              <w:bottom w:w="10" w:type="dxa"/>
            </w:tcMar>
            <w:vAlign w:val="center"/>
          </w:tcPr>
          <w:p w14:paraId="5F084DB2" w14:textId="77777777" w:rsidR="006561BA" w:rsidRDefault="005B4ED6">
            <w:pPr>
              <w:widowControl w:val="0"/>
              <w:shd w:val="clear" w:color="auto" w:fill="auto"/>
              <w:spacing w:after="0" w:line="240" w:lineRule="auto"/>
              <w:jc w:val="left"/>
              <w:rPr>
                <w:rFonts w:ascii="Helvetica" w:eastAsia="Arial Unicode MS" w:hAnsi="Helvetica" w:cs="Times New Roman"/>
                <w:color w:val="000000" w:themeColor="text1"/>
                <w:sz w:val="6"/>
                <w:szCs w:val="6"/>
              </w:rPr>
            </w:pPr>
            <w:r>
              <w:rPr>
                <w:rFonts w:ascii="Helvetica" w:hAnsi="Helvetica"/>
                <w:color w:val="000000" w:themeColor="text1"/>
                <w:sz w:val="6"/>
              </w:rPr>
              <w:t>Hvorav muliggjørende (%)</w:t>
            </w:r>
          </w:p>
        </w:tc>
        <w:tc>
          <w:tcPr>
            <w:tcW w:w="467" w:type="dxa"/>
            <w:tcBorders>
              <w:left w:val="single" w:sz="4" w:space="0" w:color="auto"/>
            </w:tcBorders>
            <w:tcMar>
              <w:top w:w="10" w:type="dxa"/>
              <w:bottom w:w="10" w:type="dxa"/>
            </w:tcMar>
            <w:vAlign w:val="center"/>
          </w:tcPr>
          <w:p w14:paraId="5C9986B2"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73" w:type="dxa"/>
            <w:tcBorders>
              <w:left w:val="single" w:sz="4" w:space="0" w:color="auto"/>
            </w:tcBorders>
            <w:tcMar>
              <w:top w:w="10" w:type="dxa"/>
              <w:bottom w:w="10" w:type="dxa"/>
            </w:tcMar>
            <w:vAlign w:val="center"/>
          </w:tcPr>
          <w:p w14:paraId="08D13D20"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66" w:type="dxa"/>
            <w:tcBorders>
              <w:top w:val="single" w:sz="4" w:space="0" w:color="auto"/>
              <w:left w:val="single" w:sz="4" w:space="0" w:color="auto"/>
            </w:tcBorders>
            <w:tcMar>
              <w:top w:w="10" w:type="dxa"/>
              <w:bottom w:w="10" w:type="dxa"/>
            </w:tcMar>
            <w:vAlign w:val="center"/>
          </w:tcPr>
          <w:p w14:paraId="5E229BA9" w14:textId="77777777" w:rsidR="006561BA" w:rsidRDefault="005B4ED6">
            <w:pPr>
              <w:widowControl w:val="0"/>
              <w:shd w:val="clear" w:color="auto" w:fill="auto"/>
              <w:spacing w:after="0" w:line="240" w:lineRule="auto"/>
              <w:jc w:val="left"/>
              <w:rPr>
                <w:rFonts w:ascii="Helvetica" w:eastAsia="Arial Unicode MS" w:hAnsi="Helvetica" w:cs="Times New Roman"/>
                <w:color w:val="000000" w:themeColor="text1"/>
                <w:sz w:val="6"/>
                <w:szCs w:val="6"/>
              </w:rPr>
            </w:pPr>
            <w:r>
              <w:rPr>
                <w:rFonts w:ascii="Helvetica" w:hAnsi="Helvetica"/>
                <w:color w:val="000000" w:themeColor="text1"/>
                <w:sz w:val="6"/>
              </w:rPr>
              <w:t>Hvorav muliggjørende (%)</w:t>
            </w:r>
          </w:p>
        </w:tc>
        <w:tc>
          <w:tcPr>
            <w:tcW w:w="477" w:type="dxa"/>
            <w:tcBorders>
              <w:left w:val="single" w:sz="4" w:space="0" w:color="auto"/>
            </w:tcBorders>
            <w:tcMar>
              <w:top w:w="10" w:type="dxa"/>
              <w:bottom w:w="10" w:type="dxa"/>
            </w:tcMar>
            <w:vAlign w:val="center"/>
          </w:tcPr>
          <w:p w14:paraId="70BA9495"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70" w:type="dxa"/>
            <w:tcBorders>
              <w:left w:val="single" w:sz="4" w:space="0" w:color="auto"/>
            </w:tcBorders>
            <w:tcMar>
              <w:top w:w="10" w:type="dxa"/>
              <w:bottom w:w="10" w:type="dxa"/>
            </w:tcMar>
            <w:vAlign w:val="center"/>
          </w:tcPr>
          <w:p w14:paraId="40E31170"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70" w:type="dxa"/>
            <w:tcBorders>
              <w:top w:val="single" w:sz="4" w:space="0" w:color="auto"/>
              <w:left w:val="single" w:sz="4" w:space="0" w:color="auto"/>
            </w:tcBorders>
            <w:tcMar>
              <w:top w:w="10" w:type="dxa"/>
              <w:bottom w:w="10" w:type="dxa"/>
            </w:tcMar>
            <w:vAlign w:val="center"/>
          </w:tcPr>
          <w:p w14:paraId="6220D286" w14:textId="77777777" w:rsidR="006561BA" w:rsidRDefault="005B4ED6">
            <w:pPr>
              <w:widowControl w:val="0"/>
              <w:shd w:val="clear" w:color="auto" w:fill="auto"/>
              <w:spacing w:after="0" w:line="240" w:lineRule="auto"/>
              <w:jc w:val="left"/>
              <w:rPr>
                <w:rFonts w:ascii="Helvetica" w:eastAsia="Arial Unicode MS" w:hAnsi="Helvetica" w:cs="Times New Roman"/>
                <w:color w:val="000000" w:themeColor="text1"/>
                <w:sz w:val="6"/>
                <w:szCs w:val="6"/>
              </w:rPr>
            </w:pPr>
            <w:r>
              <w:rPr>
                <w:rFonts w:ascii="Helvetica" w:hAnsi="Helvetica"/>
                <w:color w:val="000000" w:themeColor="text1"/>
                <w:sz w:val="6"/>
              </w:rPr>
              <w:t>Hvorav muliggjørende (%)</w:t>
            </w:r>
          </w:p>
        </w:tc>
        <w:tc>
          <w:tcPr>
            <w:tcW w:w="470" w:type="dxa"/>
            <w:tcBorders>
              <w:left w:val="single" w:sz="4" w:space="0" w:color="auto"/>
            </w:tcBorders>
            <w:tcMar>
              <w:top w:w="10" w:type="dxa"/>
              <w:bottom w:w="10" w:type="dxa"/>
            </w:tcMar>
            <w:vAlign w:val="center"/>
          </w:tcPr>
          <w:p w14:paraId="20393A8B"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70" w:type="dxa"/>
            <w:tcBorders>
              <w:left w:val="single" w:sz="4" w:space="0" w:color="auto"/>
            </w:tcBorders>
            <w:tcMar>
              <w:top w:w="10" w:type="dxa"/>
              <w:bottom w:w="10" w:type="dxa"/>
            </w:tcMar>
            <w:vAlign w:val="center"/>
          </w:tcPr>
          <w:p w14:paraId="4E87B47F"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64" w:type="dxa"/>
            <w:tcBorders>
              <w:top w:val="single" w:sz="4" w:space="0" w:color="auto"/>
              <w:left w:val="single" w:sz="4" w:space="0" w:color="auto"/>
            </w:tcBorders>
            <w:tcMar>
              <w:top w:w="10" w:type="dxa"/>
              <w:bottom w:w="10" w:type="dxa"/>
            </w:tcMar>
            <w:vAlign w:val="center"/>
          </w:tcPr>
          <w:p w14:paraId="47244959" w14:textId="77777777" w:rsidR="006561BA" w:rsidRDefault="005B4ED6">
            <w:pPr>
              <w:widowControl w:val="0"/>
              <w:shd w:val="clear" w:color="auto" w:fill="auto"/>
              <w:spacing w:after="0" w:line="240" w:lineRule="auto"/>
              <w:jc w:val="left"/>
              <w:rPr>
                <w:rFonts w:ascii="Helvetica" w:eastAsia="Arial Unicode MS" w:hAnsi="Helvetica" w:cs="Times New Roman"/>
                <w:color w:val="000000" w:themeColor="text1"/>
                <w:sz w:val="6"/>
                <w:szCs w:val="6"/>
              </w:rPr>
            </w:pPr>
            <w:r>
              <w:rPr>
                <w:rFonts w:ascii="Helvetica" w:hAnsi="Helvetica"/>
                <w:color w:val="000000" w:themeColor="text1"/>
                <w:sz w:val="6"/>
              </w:rPr>
              <w:t>Hvorav muliggjørende (%)</w:t>
            </w:r>
          </w:p>
        </w:tc>
        <w:tc>
          <w:tcPr>
            <w:tcW w:w="447" w:type="dxa"/>
            <w:vMerge/>
            <w:tcBorders>
              <w:left w:val="single" w:sz="4" w:space="0" w:color="auto"/>
            </w:tcBorders>
            <w:tcMar>
              <w:top w:w="10" w:type="dxa"/>
              <w:bottom w:w="10" w:type="dxa"/>
            </w:tcMar>
            <w:vAlign w:val="center"/>
          </w:tcPr>
          <w:p w14:paraId="561EB3AC"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1" w:type="dxa"/>
            <w:tcBorders>
              <w:left w:val="single" w:sz="4" w:space="0" w:color="auto"/>
            </w:tcBorders>
            <w:tcMar>
              <w:top w:w="10" w:type="dxa"/>
              <w:bottom w:w="10" w:type="dxa"/>
            </w:tcMar>
            <w:vAlign w:val="center"/>
          </w:tcPr>
          <w:p w14:paraId="72DFAD3D"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520" w:type="dxa"/>
            <w:tcBorders>
              <w:top w:val="single" w:sz="4" w:space="0" w:color="auto"/>
              <w:left w:val="single" w:sz="4" w:space="0" w:color="auto"/>
            </w:tcBorders>
            <w:tcMar>
              <w:top w:w="10" w:type="dxa"/>
              <w:bottom w:w="10" w:type="dxa"/>
            </w:tcMar>
            <w:vAlign w:val="center"/>
          </w:tcPr>
          <w:p w14:paraId="0A06029C" w14:textId="77777777" w:rsidR="006561BA" w:rsidRDefault="005B4ED6">
            <w:pPr>
              <w:widowControl w:val="0"/>
              <w:shd w:val="clear" w:color="auto" w:fill="auto"/>
              <w:spacing w:after="0" w:line="240" w:lineRule="auto"/>
              <w:jc w:val="left"/>
              <w:rPr>
                <w:rFonts w:ascii="Helvetica" w:eastAsia="Arial Unicode MS" w:hAnsi="Helvetica" w:cs="Times New Roman"/>
                <w:color w:val="000000" w:themeColor="text1"/>
                <w:sz w:val="6"/>
                <w:szCs w:val="6"/>
              </w:rPr>
            </w:pPr>
            <w:r>
              <w:rPr>
                <w:rFonts w:ascii="Helvetica" w:hAnsi="Helvetica"/>
                <w:color w:val="000000" w:themeColor="text1"/>
                <w:sz w:val="6"/>
              </w:rPr>
              <w:t>Hvorav omstilling (%)</w:t>
            </w:r>
          </w:p>
        </w:tc>
        <w:tc>
          <w:tcPr>
            <w:tcW w:w="608" w:type="dxa"/>
            <w:tcBorders>
              <w:top w:val="single" w:sz="4" w:space="0" w:color="auto"/>
              <w:left w:val="single" w:sz="4" w:space="0" w:color="auto"/>
              <w:right w:val="single" w:sz="4" w:space="0" w:color="auto"/>
            </w:tcBorders>
            <w:tcMar>
              <w:top w:w="10" w:type="dxa"/>
              <w:bottom w:w="10" w:type="dxa"/>
            </w:tcMar>
            <w:vAlign w:val="center"/>
          </w:tcPr>
          <w:p w14:paraId="239EE17B" w14:textId="77777777" w:rsidR="006561BA" w:rsidRDefault="005B4ED6">
            <w:pPr>
              <w:widowControl w:val="0"/>
              <w:shd w:val="clear" w:color="auto" w:fill="auto"/>
              <w:spacing w:after="0" w:line="240" w:lineRule="auto"/>
              <w:jc w:val="left"/>
              <w:rPr>
                <w:rFonts w:ascii="Helvetica" w:eastAsia="Arial Unicode MS" w:hAnsi="Helvetica" w:cs="Times New Roman"/>
                <w:color w:val="000000" w:themeColor="text1"/>
                <w:sz w:val="6"/>
                <w:szCs w:val="6"/>
              </w:rPr>
            </w:pPr>
            <w:r>
              <w:rPr>
                <w:rFonts w:ascii="Helvetica" w:hAnsi="Helvetica"/>
                <w:color w:val="000000" w:themeColor="text1"/>
                <w:sz w:val="6"/>
              </w:rPr>
              <w:t>Hvorav muliggjørende (%)</w:t>
            </w:r>
          </w:p>
        </w:tc>
      </w:tr>
      <w:tr w:rsidR="006561BA" w14:paraId="2A843E62" w14:textId="77777777">
        <w:tc>
          <w:tcPr>
            <w:tcW w:w="98" w:type="dxa"/>
            <w:tcBorders>
              <w:top w:val="single" w:sz="4" w:space="0" w:color="auto"/>
              <w:left w:val="single" w:sz="4" w:space="0" w:color="auto"/>
            </w:tcBorders>
            <w:tcMar>
              <w:top w:w="10" w:type="dxa"/>
              <w:bottom w:w="10" w:type="dxa"/>
            </w:tcMar>
            <w:vAlign w:val="center"/>
          </w:tcPr>
          <w:p w14:paraId="3B072E80"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1</w:t>
            </w:r>
          </w:p>
        </w:tc>
        <w:tc>
          <w:tcPr>
            <w:tcW w:w="1993" w:type="dxa"/>
            <w:tcBorders>
              <w:top w:val="single" w:sz="4" w:space="0" w:color="auto"/>
              <w:left w:val="single" w:sz="4" w:space="0" w:color="auto"/>
            </w:tcBorders>
            <w:tcMar>
              <w:top w:w="10" w:type="dxa"/>
              <w:bottom w:w="10" w:type="dxa"/>
            </w:tcMar>
            <w:vAlign w:val="center"/>
          </w:tcPr>
          <w:p w14:paraId="1D8FC6A9" w14:textId="77777777" w:rsidR="006561BA" w:rsidRDefault="005B4ED6">
            <w:pPr>
              <w:widowControl w:val="0"/>
              <w:shd w:val="clear" w:color="auto" w:fill="auto"/>
              <w:spacing w:after="0" w:line="240" w:lineRule="auto"/>
              <w:jc w:val="left"/>
              <w:rPr>
                <w:rFonts w:ascii="Helvetica" w:eastAsia="Arial Unicode MS" w:hAnsi="Helvetica" w:cs="Times New Roman"/>
                <w:b/>
                <w:color w:val="000000" w:themeColor="text1"/>
                <w:sz w:val="6"/>
                <w:szCs w:val="6"/>
              </w:rPr>
            </w:pPr>
            <w:r>
              <w:rPr>
                <w:rFonts w:ascii="Helvetica" w:hAnsi="Helvetica"/>
                <w:b/>
                <w:color w:val="000000" w:themeColor="text1"/>
                <w:sz w:val="6"/>
              </w:rPr>
              <w:t>Samlede eiendeler investert i forbindelse med verdipapirforetakenes aktiviteter knyttet til handel for egen regning (iht. avsnitt A i vedlegg I til direktiv 2014/65/EU)</w:t>
            </w:r>
          </w:p>
        </w:tc>
        <w:tc>
          <w:tcPr>
            <w:tcW w:w="667" w:type="dxa"/>
            <w:tcBorders>
              <w:top w:val="single" w:sz="4" w:space="0" w:color="auto"/>
              <w:left w:val="single" w:sz="4" w:space="0" w:color="auto"/>
            </w:tcBorders>
            <w:tcMar>
              <w:top w:w="10" w:type="dxa"/>
              <w:bottom w:w="10" w:type="dxa"/>
            </w:tcMar>
            <w:vAlign w:val="center"/>
          </w:tcPr>
          <w:p w14:paraId="2FC4F2EC"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666" w:type="dxa"/>
            <w:tcBorders>
              <w:top w:val="single" w:sz="4" w:space="0" w:color="auto"/>
              <w:left w:val="single" w:sz="4" w:space="0" w:color="auto"/>
            </w:tcBorders>
            <w:tcMar>
              <w:top w:w="10" w:type="dxa"/>
              <w:bottom w:w="10" w:type="dxa"/>
            </w:tcMar>
            <w:vAlign w:val="center"/>
          </w:tcPr>
          <w:p w14:paraId="31A8240C"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389" w:type="dxa"/>
            <w:tcBorders>
              <w:top w:val="single" w:sz="4" w:space="0" w:color="auto"/>
              <w:left w:val="single" w:sz="4" w:space="0" w:color="auto"/>
            </w:tcBorders>
            <w:tcMar>
              <w:top w:w="10" w:type="dxa"/>
              <w:bottom w:w="10" w:type="dxa"/>
            </w:tcMar>
            <w:vAlign w:val="center"/>
          </w:tcPr>
          <w:p w14:paraId="1A7BB1CF"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00" w:type="dxa"/>
            <w:tcBorders>
              <w:top w:val="single" w:sz="4" w:space="0" w:color="auto"/>
              <w:left w:val="single" w:sz="4" w:space="0" w:color="auto"/>
            </w:tcBorders>
            <w:tcMar>
              <w:top w:w="10" w:type="dxa"/>
              <w:bottom w:w="10" w:type="dxa"/>
            </w:tcMar>
            <w:vAlign w:val="center"/>
          </w:tcPr>
          <w:p w14:paraId="166116B0"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21" w:type="dxa"/>
            <w:tcBorders>
              <w:top w:val="single" w:sz="4" w:space="0" w:color="auto"/>
              <w:left w:val="single" w:sz="4" w:space="0" w:color="auto"/>
            </w:tcBorders>
            <w:tcMar>
              <w:top w:w="10" w:type="dxa"/>
              <w:bottom w:w="10" w:type="dxa"/>
            </w:tcMar>
            <w:vAlign w:val="center"/>
          </w:tcPr>
          <w:p w14:paraId="25B0122A"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13" w:type="dxa"/>
            <w:tcBorders>
              <w:top w:val="single" w:sz="4" w:space="0" w:color="auto"/>
              <w:left w:val="single" w:sz="4" w:space="0" w:color="auto"/>
            </w:tcBorders>
            <w:tcMar>
              <w:top w:w="10" w:type="dxa"/>
              <w:bottom w:w="10" w:type="dxa"/>
            </w:tcMar>
            <w:vAlign w:val="center"/>
          </w:tcPr>
          <w:p w14:paraId="6EB59FE2"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07" w:type="dxa"/>
            <w:tcBorders>
              <w:top w:val="single" w:sz="4" w:space="0" w:color="auto"/>
              <w:left w:val="single" w:sz="4" w:space="0" w:color="auto"/>
            </w:tcBorders>
            <w:tcMar>
              <w:top w:w="10" w:type="dxa"/>
              <w:bottom w:w="10" w:type="dxa"/>
            </w:tcMar>
            <w:vAlign w:val="center"/>
          </w:tcPr>
          <w:p w14:paraId="48C39E02"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13" w:type="dxa"/>
            <w:tcBorders>
              <w:top w:val="single" w:sz="4" w:space="0" w:color="auto"/>
              <w:left w:val="single" w:sz="4" w:space="0" w:color="auto"/>
            </w:tcBorders>
            <w:tcMar>
              <w:top w:w="10" w:type="dxa"/>
              <w:bottom w:w="10" w:type="dxa"/>
            </w:tcMar>
            <w:vAlign w:val="center"/>
          </w:tcPr>
          <w:p w14:paraId="139184C7"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76" w:type="dxa"/>
            <w:tcBorders>
              <w:top w:val="single" w:sz="4" w:space="0" w:color="auto"/>
              <w:left w:val="single" w:sz="4" w:space="0" w:color="auto"/>
            </w:tcBorders>
            <w:tcMar>
              <w:top w:w="10" w:type="dxa"/>
              <w:bottom w:w="10" w:type="dxa"/>
            </w:tcMar>
            <w:vAlign w:val="center"/>
          </w:tcPr>
          <w:p w14:paraId="509F75CC"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67" w:type="dxa"/>
            <w:tcBorders>
              <w:top w:val="single" w:sz="4" w:space="0" w:color="auto"/>
              <w:left w:val="single" w:sz="4" w:space="0" w:color="auto"/>
            </w:tcBorders>
            <w:tcMar>
              <w:top w:w="10" w:type="dxa"/>
              <w:bottom w:w="10" w:type="dxa"/>
            </w:tcMar>
            <w:vAlign w:val="center"/>
          </w:tcPr>
          <w:p w14:paraId="1076F319"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74" w:type="dxa"/>
            <w:tcBorders>
              <w:top w:val="single" w:sz="4" w:space="0" w:color="auto"/>
              <w:left w:val="single" w:sz="4" w:space="0" w:color="auto"/>
            </w:tcBorders>
            <w:tcMar>
              <w:top w:w="10" w:type="dxa"/>
              <w:bottom w:w="10" w:type="dxa"/>
            </w:tcMar>
            <w:vAlign w:val="center"/>
          </w:tcPr>
          <w:p w14:paraId="3E58AD58"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70" w:type="dxa"/>
            <w:tcBorders>
              <w:top w:val="single" w:sz="4" w:space="0" w:color="auto"/>
              <w:left w:val="single" w:sz="4" w:space="0" w:color="auto"/>
            </w:tcBorders>
            <w:tcMar>
              <w:top w:w="10" w:type="dxa"/>
              <w:bottom w:w="10" w:type="dxa"/>
            </w:tcMar>
            <w:vAlign w:val="center"/>
          </w:tcPr>
          <w:p w14:paraId="6AFEE9B3"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67" w:type="dxa"/>
            <w:tcBorders>
              <w:top w:val="single" w:sz="4" w:space="0" w:color="auto"/>
              <w:left w:val="single" w:sz="4" w:space="0" w:color="auto"/>
            </w:tcBorders>
            <w:tcMar>
              <w:top w:w="10" w:type="dxa"/>
              <w:bottom w:w="10" w:type="dxa"/>
            </w:tcMar>
            <w:vAlign w:val="center"/>
          </w:tcPr>
          <w:p w14:paraId="505864F9"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73" w:type="dxa"/>
            <w:tcBorders>
              <w:top w:val="single" w:sz="4" w:space="0" w:color="auto"/>
              <w:left w:val="single" w:sz="4" w:space="0" w:color="auto"/>
            </w:tcBorders>
            <w:tcMar>
              <w:top w:w="10" w:type="dxa"/>
              <w:bottom w:w="10" w:type="dxa"/>
            </w:tcMar>
            <w:vAlign w:val="center"/>
          </w:tcPr>
          <w:p w14:paraId="6A26827D"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66" w:type="dxa"/>
            <w:tcBorders>
              <w:top w:val="single" w:sz="4" w:space="0" w:color="auto"/>
              <w:left w:val="single" w:sz="4" w:space="0" w:color="auto"/>
            </w:tcBorders>
            <w:tcMar>
              <w:top w:w="10" w:type="dxa"/>
              <w:bottom w:w="10" w:type="dxa"/>
            </w:tcMar>
            <w:vAlign w:val="center"/>
          </w:tcPr>
          <w:p w14:paraId="6268F40A"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77" w:type="dxa"/>
            <w:tcBorders>
              <w:top w:val="single" w:sz="4" w:space="0" w:color="auto"/>
              <w:left w:val="single" w:sz="4" w:space="0" w:color="auto"/>
            </w:tcBorders>
            <w:tcMar>
              <w:top w:w="10" w:type="dxa"/>
              <w:bottom w:w="10" w:type="dxa"/>
            </w:tcMar>
            <w:vAlign w:val="center"/>
          </w:tcPr>
          <w:p w14:paraId="6F66FC6C"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70" w:type="dxa"/>
            <w:tcBorders>
              <w:top w:val="single" w:sz="4" w:space="0" w:color="auto"/>
              <w:left w:val="single" w:sz="4" w:space="0" w:color="auto"/>
            </w:tcBorders>
            <w:tcMar>
              <w:top w:w="10" w:type="dxa"/>
              <w:bottom w:w="10" w:type="dxa"/>
            </w:tcMar>
            <w:vAlign w:val="center"/>
          </w:tcPr>
          <w:p w14:paraId="5CEE9E70"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70" w:type="dxa"/>
            <w:tcBorders>
              <w:top w:val="single" w:sz="4" w:space="0" w:color="auto"/>
              <w:left w:val="single" w:sz="4" w:space="0" w:color="auto"/>
            </w:tcBorders>
            <w:tcMar>
              <w:top w:w="10" w:type="dxa"/>
              <w:bottom w:w="10" w:type="dxa"/>
            </w:tcMar>
            <w:vAlign w:val="center"/>
          </w:tcPr>
          <w:p w14:paraId="49411B69"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70" w:type="dxa"/>
            <w:tcBorders>
              <w:top w:val="single" w:sz="4" w:space="0" w:color="auto"/>
              <w:left w:val="single" w:sz="4" w:space="0" w:color="auto"/>
            </w:tcBorders>
            <w:tcMar>
              <w:top w:w="10" w:type="dxa"/>
              <w:bottom w:w="10" w:type="dxa"/>
            </w:tcMar>
            <w:vAlign w:val="center"/>
          </w:tcPr>
          <w:p w14:paraId="61C5541F"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70" w:type="dxa"/>
            <w:tcBorders>
              <w:top w:val="single" w:sz="4" w:space="0" w:color="auto"/>
              <w:left w:val="single" w:sz="4" w:space="0" w:color="auto"/>
            </w:tcBorders>
            <w:tcMar>
              <w:top w:w="10" w:type="dxa"/>
              <w:bottom w:w="10" w:type="dxa"/>
            </w:tcMar>
            <w:vAlign w:val="center"/>
          </w:tcPr>
          <w:p w14:paraId="6A392651"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64" w:type="dxa"/>
            <w:tcBorders>
              <w:top w:val="single" w:sz="4" w:space="0" w:color="auto"/>
              <w:left w:val="single" w:sz="4" w:space="0" w:color="auto"/>
            </w:tcBorders>
            <w:tcMar>
              <w:top w:w="10" w:type="dxa"/>
              <w:bottom w:w="10" w:type="dxa"/>
            </w:tcMar>
            <w:vAlign w:val="center"/>
          </w:tcPr>
          <w:p w14:paraId="2D7FD156"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47" w:type="dxa"/>
            <w:tcBorders>
              <w:top w:val="single" w:sz="4" w:space="0" w:color="auto"/>
              <w:left w:val="single" w:sz="4" w:space="0" w:color="auto"/>
            </w:tcBorders>
            <w:tcMar>
              <w:top w:w="10" w:type="dxa"/>
              <w:bottom w:w="10" w:type="dxa"/>
            </w:tcMar>
            <w:vAlign w:val="center"/>
          </w:tcPr>
          <w:p w14:paraId="1B8E96E7"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1" w:type="dxa"/>
            <w:tcBorders>
              <w:top w:val="single" w:sz="4" w:space="0" w:color="auto"/>
              <w:left w:val="single" w:sz="4" w:space="0" w:color="auto"/>
            </w:tcBorders>
            <w:tcMar>
              <w:top w:w="10" w:type="dxa"/>
              <w:bottom w:w="10" w:type="dxa"/>
            </w:tcMar>
            <w:vAlign w:val="center"/>
          </w:tcPr>
          <w:p w14:paraId="483FDA68"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20" w:type="dxa"/>
            <w:tcBorders>
              <w:top w:val="single" w:sz="4" w:space="0" w:color="auto"/>
              <w:left w:val="single" w:sz="4" w:space="0" w:color="auto"/>
            </w:tcBorders>
            <w:tcMar>
              <w:top w:w="10" w:type="dxa"/>
              <w:bottom w:w="10" w:type="dxa"/>
            </w:tcMar>
            <w:vAlign w:val="center"/>
          </w:tcPr>
          <w:p w14:paraId="54AAB45A"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608" w:type="dxa"/>
            <w:tcBorders>
              <w:top w:val="single" w:sz="4" w:space="0" w:color="auto"/>
              <w:left w:val="single" w:sz="4" w:space="0" w:color="auto"/>
              <w:right w:val="single" w:sz="4" w:space="0" w:color="auto"/>
            </w:tcBorders>
            <w:tcMar>
              <w:top w:w="10" w:type="dxa"/>
              <w:bottom w:w="10" w:type="dxa"/>
            </w:tcMar>
            <w:vAlign w:val="center"/>
          </w:tcPr>
          <w:p w14:paraId="33D5C21A"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r>
      <w:tr w:rsidR="006561BA" w14:paraId="41304C76" w14:textId="77777777">
        <w:tc>
          <w:tcPr>
            <w:tcW w:w="98" w:type="dxa"/>
            <w:tcBorders>
              <w:top w:val="single" w:sz="4" w:space="0" w:color="auto"/>
              <w:left w:val="single" w:sz="4" w:space="0" w:color="auto"/>
            </w:tcBorders>
            <w:tcMar>
              <w:top w:w="10" w:type="dxa"/>
              <w:bottom w:w="10" w:type="dxa"/>
            </w:tcMar>
            <w:vAlign w:val="center"/>
          </w:tcPr>
          <w:p w14:paraId="2E59EE66"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2</w:t>
            </w:r>
          </w:p>
        </w:tc>
        <w:tc>
          <w:tcPr>
            <w:tcW w:w="1993" w:type="dxa"/>
            <w:tcBorders>
              <w:top w:val="single" w:sz="4" w:space="0" w:color="auto"/>
              <w:left w:val="single" w:sz="4" w:space="0" w:color="auto"/>
            </w:tcBorders>
            <w:tcMar>
              <w:top w:w="10" w:type="dxa"/>
              <w:bottom w:w="10" w:type="dxa"/>
            </w:tcMar>
            <w:vAlign w:val="center"/>
          </w:tcPr>
          <w:p w14:paraId="4B1B8CC1" w14:textId="77777777" w:rsidR="006561BA" w:rsidRDefault="005B4ED6">
            <w:pPr>
              <w:widowControl w:val="0"/>
              <w:shd w:val="clear" w:color="auto" w:fill="auto"/>
              <w:spacing w:after="0" w:line="240" w:lineRule="auto"/>
              <w:ind w:left="60"/>
              <w:jc w:val="left"/>
              <w:rPr>
                <w:rFonts w:ascii="Helvetica" w:eastAsia="Arial Unicode MS" w:hAnsi="Helvetica" w:cs="Times New Roman"/>
                <w:color w:val="000000" w:themeColor="text1"/>
                <w:sz w:val="6"/>
                <w:szCs w:val="6"/>
              </w:rPr>
            </w:pPr>
            <w:r>
              <w:rPr>
                <w:rFonts w:ascii="Helvetica" w:hAnsi="Helvetica"/>
                <w:color w:val="000000" w:themeColor="text1"/>
                <w:sz w:val="6"/>
              </w:rPr>
              <w:t>Hvorav: på egne vegne</w:t>
            </w:r>
          </w:p>
        </w:tc>
        <w:tc>
          <w:tcPr>
            <w:tcW w:w="667" w:type="dxa"/>
            <w:tcBorders>
              <w:top w:val="single" w:sz="4" w:space="0" w:color="auto"/>
              <w:left w:val="single" w:sz="4" w:space="0" w:color="auto"/>
            </w:tcBorders>
            <w:tcMar>
              <w:top w:w="10" w:type="dxa"/>
              <w:bottom w:w="10" w:type="dxa"/>
            </w:tcMar>
            <w:vAlign w:val="center"/>
          </w:tcPr>
          <w:p w14:paraId="7AF3AFD0"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666" w:type="dxa"/>
            <w:tcBorders>
              <w:top w:val="single" w:sz="4" w:space="0" w:color="auto"/>
              <w:left w:val="single" w:sz="4" w:space="0" w:color="auto"/>
            </w:tcBorders>
            <w:tcMar>
              <w:top w:w="10" w:type="dxa"/>
              <w:bottom w:w="10" w:type="dxa"/>
            </w:tcMar>
            <w:vAlign w:val="center"/>
          </w:tcPr>
          <w:p w14:paraId="71ACA762"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389" w:type="dxa"/>
            <w:tcBorders>
              <w:top w:val="single" w:sz="4" w:space="0" w:color="auto"/>
              <w:left w:val="single" w:sz="4" w:space="0" w:color="auto"/>
            </w:tcBorders>
            <w:tcMar>
              <w:top w:w="10" w:type="dxa"/>
              <w:bottom w:w="10" w:type="dxa"/>
            </w:tcMar>
            <w:vAlign w:val="center"/>
          </w:tcPr>
          <w:p w14:paraId="079E5F4E"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00" w:type="dxa"/>
            <w:tcBorders>
              <w:top w:val="single" w:sz="4" w:space="0" w:color="auto"/>
              <w:left w:val="single" w:sz="4" w:space="0" w:color="auto"/>
            </w:tcBorders>
            <w:tcMar>
              <w:top w:w="10" w:type="dxa"/>
              <w:bottom w:w="10" w:type="dxa"/>
            </w:tcMar>
            <w:vAlign w:val="center"/>
          </w:tcPr>
          <w:p w14:paraId="61BADAD2"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21" w:type="dxa"/>
            <w:tcBorders>
              <w:top w:val="single" w:sz="4" w:space="0" w:color="auto"/>
              <w:left w:val="single" w:sz="4" w:space="0" w:color="auto"/>
            </w:tcBorders>
            <w:tcMar>
              <w:top w:w="10" w:type="dxa"/>
              <w:bottom w:w="10" w:type="dxa"/>
            </w:tcMar>
            <w:vAlign w:val="center"/>
          </w:tcPr>
          <w:p w14:paraId="58699FED"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13" w:type="dxa"/>
            <w:tcBorders>
              <w:top w:val="single" w:sz="4" w:space="0" w:color="auto"/>
              <w:left w:val="single" w:sz="4" w:space="0" w:color="auto"/>
            </w:tcBorders>
            <w:tcMar>
              <w:top w:w="10" w:type="dxa"/>
              <w:bottom w:w="10" w:type="dxa"/>
            </w:tcMar>
            <w:vAlign w:val="center"/>
          </w:tcPr>
          <w:p w14:paraId="672927AE"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07" w:type="dxa"/>
            <w:tcBorders>
              <w:top w:val="single" w:sz="4" w:space="0" w:color="auto"/>
              <w:left w:val="single" w:sz="4" w:space="0" w:color="auto"/>
            </w:tcBorders>
            <w:tcMar>
              <w:top w:w="10" w:type="dxa"/>
              <w:bottom w:w="10" w:type="dxa"/>
            </w:tcMar>
            <w:vAlign w:val="center"/>
          </w:tcPr>
          <w:p w14:paraId="30E41D39"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13" w:type="dxa"/>
            <w:tcBorders>
              <w:top w:val="single" w:sz="4" w:space="0" w:color="auto"/>
              <w:left w:val="single" w:sz="4" w:space="0" w:color="auto"/>
            </w:tcBorders>
            <w:tcMar>
              <w:top w:w="10" w:type="dxa"/>
              <w:bottom w:w="10" w:type="dxa"/>
            </w:tcMar>
            <w:vAlign w:val="center"/>
          </w:tcPr>
          <w:p w14:paraId="3A41D379"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76" w:type="dxa"/>
            <w:tcBorders>
              <w:top w:val="single" w:sz="4" w:space="0" w:color="auto"/>
              <w:left w:val="single" w:sz="4" w:space="0" w:color="auto"/>
            </w:tcBorders>
            <w:tcMar>
              <w:top w:w="10" w:type="dxa"/>
              <w:bottom w:w="10" w:type="dxa"/>
            </w:tcMar>
            <w:vAlign w:val="center"/>
          </w:tcPr>
          <w:p w14:paraId="0A5A928A"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67" w:type="dxa"/>
            <w:tcBorders>
              <w:top w:val="single" w:sz="4" w:space="0" w:color="auto"/>
              <w:left w:val="single" w:sz="4" w:space="0" w:color="auto"/>
            </w:tcBorders>
            <w:tcMar>
              <w:top w:w="10" w:type="dxa"/>
              <w:bottom w:w="10" w:type="dxa"/>
            </w:tcMar>
            <w:vAlign w:val="center"/>
          </w:tcPr>
          <w:p w14:paraId="4FB479D8"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74" w:type="dxa"/>
            <w:tcBorders>
              <w:top w:val="single" w:sz="4" w:space="0" w:color="auto"/>
              <w:left w:val="single" w:sz="4" w:space="0" w:color="auto"/>
            </w:tcBorders>
            <w:tcMar>
              <w:top w:w="10" w:type="dxa"/>
              <w:bottom w:w="10" w:type="dxa"/>
            </w:tcMar>
            <w:vAlign w:val="center"/>
          </w:tcPr>
          <w:p w14:paraId="59B338C5"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70" w:type="dxa"/>
            <w:tcBorders>
              <w:top w:val="single" w:sz="4" w:space="0" w:color="auto"/>
              <w:left w:val="single" w:sz="4" w:space="0" w:color="auto"/>
            </w:tcBorders>
            <w:tcMar>
              <w:top w:w="10" w:type="dxa"/>
              <w:bottom w:w="10" w:type="dxa"/>
            </w:tcMar>
            <w:vAlign w:val="center"/>
          </w:tcPr>
          <w:p w14:paraId="4B95CD95"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67" w:type="dxa"/>
            <w:tcBorders>
              <w:top w:val="single" w:sz="4" w:space="0" w:color="auto"/>
              <w:left w:val="single" w:sz="4" w:space="0" w:color="auto"/>
            </w:tcBorders>
            <w:tcMar>
              <w:top w:w="10" w:type="dxa"/>
              <w:bottom w:w="10" w:type="dxa"/>
            </w:tcMar>
            <w:vAlign w:val="center"/>
          </w:tcPr>
          <w:p w14:paraId="4CFCBC2C"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73" w:type="dxa"/>
            <w:tcBorders>
              <w:top w:val="single" w:sz="4" w:space="0" w:color="auto"/>
              <w:left w:val="single" w:sz="4" w:space="0" w:color="auto"/>
            </w:tcBorders>
            <w:tcMar>
              <w:top w:w="10" w:type="dxa"/>
              <w:bottom w:w="10" w:type="dxa"/>
            </w:tcMar>
            <w:vAlign w:val="center"/>
          </w:tcPr>
          <w:p w14:paraId="16CBC52B"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66" w:type="dxa"/>
            <w:tcBorders>
              <w:top w:val="single" w:sz="4" w:space="0" w:color="auto"/>
              <w:left w:val="single" w:sz="4" w:space="0" w:color="auto"/>
            </w:tcBorders>
            <w:tcMar>
              <w:top w:w="10" w:type="dxa"/>
              <w:bottom w:w="10" w:type="dxa"/>
            </w:tcMar>
            <w:vAlign w:val="center"/>
          </w:tcPr>
          <w:p w14:paraId="2257CCA7"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77" w:type="dxa"/>
            <w:tcBorders>
              <w:top w:val="single" w:sz="4" w:space="0" w:color="auto"/>
              <w:left w:val="single" w:sz="4" w:space="0" w:color="auto"/>
            </w:tcBorders>
            <w:tcMar>
              <w:top w:w="10" w:type="dxa"/>
              <w:bottom w:w="10" w:type="dxa"/>
            </w:tcMar>
            <w:vAlign w:val="center"/>
          </w:tcPr>
          <w:p w14:paraId="1D52E7D4"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70" w:type="dxa"/>
            <w:tcBorders>
              <w:top w:val="single" w:sz="4" w:space="0" w:color="auto"/>
              <w:left w:val="single" w:sz="4" w:space="0" w:color="auto"/>
            </w:tcBorders>
            <w:tcMar>
              <w:top w:w="10" w:type="dxa"/>
              <w:bottom w:w="10" w:type="dxa"/>
            </w:tcMar>
            <w:vAlign w:val="center"/>
          </w:tcPr>
          <w:p w14:paraId="10947C98"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70" w:type="dxa"/>
            <w:tcBorders>
              <w:top w:val="single" w:sz="4" w:space="0" w:color="auto"/>
              <w:left w:val="single" w:sz="4" w:space="0" w:color="auto"/>
            </w:tcBorders>
            <w:tcMar>
              <w:top w:w="10" w:type="dxa"/>
              <w:bottom w:w="10" w:type="dxa"/>
            </w:tcMar>
            <w:vAlign w:val="center"/>
          </w:tcPr>
          <w:p w14:paraId="2B7C9F1F"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70" w:type="dxa"/>
            <w:tcBorders>
              <w:top w:val="single" w:sz="4" w:space="0" w:color="auto"/>
              <w:left w:val="single" w:sz="4" w:space="0" w:color="auto"/>
            </w:tcBorders>
            <w:tcMar>
              <w:top w:w="10" w:type="dxa"/>
              <w:bottom w:w="10" w:type="dxa"/>
            </w:tcMar>
            <w:vAlign w:val="center"/>
          </w:tcPr>
          <w:p w14:paraId="66F1422C"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70" w:type="dxa"/>
            <w:tcBorders>
              <w:top w:val="single" w:sz="4" w:space="0" w:color="auto"/>
              <w:left w:val="single" w:sz="4" w:space="0" w:color="auto"/>
            </w:tcBorders>
            <w:tcMar>
              <w:top w:w="10" w:type="dxa"/>
              <w:bottom w:w="10" w:type="dxa"/>
            </w:tcMar>
            <w:vAlign w:val="center"/>
          </w:tcPr>
          <w:p w14:paraId="508490FD"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64" w:type="dxa"/>
            <w:tcBorders>
              <w:top w:val="single" w:sz="4" w:space="0" w:color="auto"/>
              <w:left w:val="single" w:sz="4" w:space="0" w:color="auto"/>
            </w:tcBorders>
            <w:tcMar>
              <w:top w:w="10" w:type="dxa"/>
              <w:bottom w:w="10" w:type="dxa"/>
            </w:tcMar>
            <w:vAlign w:val="center"/>
          </w:tcPr>
          <w:p w14:paraId="08BB0F2F"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47" w:type="dxa"/>
            <w:tcBorders>
              <w:top w:val="single" w:sz="4" w:space="0" w:color="auto"/>
              <w:left w:val="single" w:sz="4" w:space="0" w:color="auto"/>
            </w:tcBorders>
            <w:tcMar>
              <w:top w:w="10" w:type="dxa"/>
              <w:bottom w:w="10" w:type="dxa"/>
            </w:tcMar>
            <w:vAlign w:val="center"/>
          </w:tcPr>
          <w:p w14:paraId="0B422650"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1" w:type="dxa"/>
            <w:tcBorders>
              <w:top w:val="single" w:sz="4" w:space="0" w:color="auto"/>
              <w:left w:val="single" w:sz="4" w:space="0" w:color="auto"/>
            </w:tcBorders>
            <w:tcMar>
              <w:top w:w="10" w:type="dxa"/>
              <w:bottom w:w="10" w:type="dxa"/>
            </w:tcMar>
            <w:vAlign w:val="center"/>
          </w:tcPr>
          <w:p w14:paraId="03C4934C"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520" w:type="dxa"/>
            <w:tcBorders>
              <w:top w:val="single" w:sz="4" w:space="0" w:color="auto"/>
              <w:left w:val="single" w:sz="4" w:space="0" w:color="auto"/>
            </w:tcBorders>
            <w:tcMar>
              <w:top w:w="10" w:type="dxa"/>
              <w:bottom w:w="10" w:type="dxa"/>
            </w:tcMar>
            <w:vAlign w:val="center"/>
          </w:tcPr>
          <w:p w14:paraId="275381FC"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608" w:type="dxa"/>
            <w:tcBorders>
              <w:top w:val="single" w:sz="4" w:space="0" w:color="auto"/>
              <w:left w:val="single" w:sz="4" w:space="0" w:color="auto"/>
              <w:right w:val="single" w:sz="4" w:space="0" w:color="auto"/>
            </w:tcBorders>
            <w:tcMar>
              <w:top w:w="10" w:type="dxa"/>
              <w:bottom w:w="10" w:type="dxa"/>
            </w:tcMar>
            <w:vAlign w:val="center"/>
          </w:tcPr>
          <w:p w14:paraId="49AE5CF0"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r>
      <w:tr w:rsidR="006561BA" w14:paraId="6EBBC140" w14:textId="77777777">
        <w:tc>
          <w:tcPr>
            <w:tcW w:w="98" w:type="dxa"/>
            <w:tcBorders>
              <w:top w:val="single" w:sz="4" w:space="0" w:color="auto"/>
              <w:left w:val="single" w:sz="4" w:space="0" w:color="auto"/>
              <w:bottom w:val="single" w:sz="4" w:space="0" w:color="auto"/>
            </w:tcBorders>
            <w:tcMar>
              <w:top w:w="10" w:type="dxa"/>
              <w:bottom w:w="10" w:type="dxa"/>
            </w:tcMar>
            <w:vAlign w:val="center"/>
          </w:tcPr>
          <w:p w14:paraId="74F22C92"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3</w:t>
            </w:r>
          </w:p>
        </w:tc>
        <w:tc>
          <w:tcPr>
            <w:tcW w:w="1993" w:type="dxa"/>
            <w:tcBorders>
              <w:top w:val="single" w:sz="4" w:space="0" w:color="auto"/>
              <w:left w:val="single" w:sz="4" w:space="0" w:color="auto"/>
              <w:bottom w:val="single" w:sz="4" w:space="0" w:color="auto"/>
            </w:tcBorders>
            <w:tcMar>
              <w:top w:w="10" w:type="dxa"/>
              <w:bottom w:w="10" w:type="dxa"/>
            </w:tcMar>
            <w:vAlign w:val="center"/>
          </w:tcPr>
          <w:p w14:paraId="09A4D7DA" w14:textId="77777777" w:rsidR="006561BA" w:rsidRDefault="005B4ED6">
            <w:pPr>
              <w:widowControl w:val="0"/>
              <w:shd w:val="clear" w:color="auto" w:fill="auto"/>
              <w:spacing w:after="0" w:line="240" w:lineRule="auto"/>
              <w:ind w:left="60"/>
              <w:jc w:val="left"/>
              <w:rPr>
                <w:rFonts w:ascii="Helvetica" w:eastAsia="Arial Unicode MS" w:hAnsi="Helvetica" w:cs="Times New Roman"/>
                <w:color w:val="000000" w:themeColor="text1"/>
                <w:sz w:val="6"/>
                <w:szCs w:val="6"/>
              </w:rPr>
            </w:pPr>
            <w:r>
              <w:rPr>
                <w:rFonts w:ascii="Helvetica" w:hAnsi="Helvetica"/>
                <w:color w:val="000000" w:themeColor="text1"/>
                <w:sz w:val="6"/>
              </w:rPr>
              <w:t>Hvorav: på vegne av kunder</w:t>
            </w:r>
          </w:p>
        </w:tc>
        <w:tc>
          <w:tcPr>
            <w:tcW w:w="667" w:type="dxa"/>
            <w:tcBorders>
              <w:top w:val="single" w:sz="4" w:space="0" w:color="auto"/>
              <w:left w:val="single" w:sz="4" w:space="0" w:color="auto"/>
              <w:bottom w:val="single" w:sz="4" w:space="0" w:color="auto"/>
            </w:tcBorders>
            <w:tcMar>
              <w:top w:w="10" w:type="dxa"/>
              <w:bottom w:w="10" w:type="dxa"/>
            </w:tcMar>
            <w:vAlign w:val="center"/>
          </w:tcPr>
          <w:p w14:paraId="13F96E96"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666" w:type="dxa"/>
            <w:tcBorders>
              <w:top w:val="single" w:sz="4" w:space="0" w:color="auto"/>
              <w:left w:val="single" w:sz="4" w:space="0" w:color="auto"/>
              <w:bottom w:val="single" w:sz="4" w:space="0" w:color="auto"/>
            </w:tcBorders>
            <w:tcMar>
              <w:top w:w="10" w:type="dxa"/>
              <w:bottom w:w="10" w:type="dxa"/>
            </w:tcMar>
            <w:vAlign w:val="center"/>
          </w:tcPr>
          <w:p w14:paraId="6314204B"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389" w:type="dxa"/>
            <w:tcBorders>
              <w:top w:val="single" w:sz="4" w:space="0" w:color="auto"/>
              <w:left w:val="single" w:sz="4" w:space="0" w:color="auto"/>
              <w:bottom w:val="single" w:sz="4" w:space="0" w:color="auto"/>
            </w:tcBorders>
            <w:tcMar>
              <w:top w:w="10" w:type="dxa"/>
              <w:bottom w:w="10" w:type="dxa"/>
            </w:tcMar>
            <w:vAlign w:val="center"/>
          </w:tcPr>
          <w:p w14:paraId="1627D91B"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00" w:type="dxa"/>
            <w:tcBorders>
              <w:top w:val="single" w:sz="4" w:space="0" w:color="auto"/>
              <w:left w:val="single" w:sz="4" w:space="0" w:color="auto"/>
              <w:bottom w:val="single" w:sz="4" w:space="0" w:color="auto"/>
            </w:tcBorders>
            <w:tcMar>
              <w:top w:w="10" w:type="dxa"/>
              <w:bottom w:w="10" w:type="dxa"/>
            </w:tcMar>
            <w:vAlign w:val="center"/>
          </w:tcPr>
          <w:p w14:paraId="11C09DF4"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21" w:type="dxa"/>
            <w:tcBorders>
              <w:top w:val="single" w:sz="4" w:space="0" w:color="auto"/>
              <w:left w:val="single" w:sz="4" w:space="0" w:color="auto"/>
              <w:bottom w:val="single" w:sz="4" w:space="0" w:color="auto"/>
            </w:tcBorders>
            <w:tcMar>
              <w:top w:w="10" w:type="dxa"/>
              <w:bottom w:w="10" w:type="dxa"/>
            </w:tcMar>
            <w:vAlign w:val="center"/>
          </w:tcPr>
          <w:p w14:paraId="25785583"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13" w:type="dxa"/>
            <w:tcBorders>
              <w:top w:val="single" w:sz="4" w:space="0" w:color="auto"/>
              <w:left w:val="single" w:sz="4" w:space="0" w:color="auto"/>
              <w:bottom w:val="single" w:sz="4" w:space="0" w:color="auto"/>
            </w:tcBorders>
            <w:tcMar>
              <w:top w:w="10" w:type="dxa"/>
              <w:bottom w:w="10" w:type="dxa"/>
            </w:tcMar>
            <w:vAlign w:val="center"/>
          </w:tcPr>
          <w:p w14:paraId="14753B17"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07" w:type="dxa"/>
            <w:tcBorders>
              <w:top w:val="single" w:sz="4" w:space="0" w:color="auto"/>
              <w:left w:val="single" w:sz="4" w:space="0" w:color="auto"/>
              <w:bottom w:val="single" w:sz="4" w:space="0" w:color="auto"/>
            </w:tcBorders>
            <w:tcMar>
              <w:top w:w="10" w:type="dxa"/>
              <w:bottom w:w="10" w:type="dxa"/>
            </w:tcMar>
            <w:vAlign w:val="center"/>
          </w:tcPr>
          <w:p w14:paraId="7068932E"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13" w:type="dxa"/>
            <w:tcBorders>
              <w:top w:val="single" w:sz="4" w:space="0" w:color="auto"/>
              <w:left w:val="single" w:sz="4" w:space="0" w:color="auto"/>
              <w:bottom w:val="single" w:sz="4" w:space="0" w:color="auto"/>
            </w:tcBorders>
            <w:tcMar>
              <w:top w:w="10" w:type="dxa"/>
              <w:bottom w:w="10" w:type="dxa"/>
            </w:tcMar>
            <w:vAlign w:val="center"/>
          </w:tcPr>
          <w:p w14:paraId="76E343E5"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76" w:type="dxa"/>
            <w:tcBorders>
              <w:top w:val="single" w:sz="4" w:space="0" w:color="auto"/>
              <w:left w:val="single" w:sz="4" w:space="0" w:color="auto"/>
              <w:bottom w:val="single" w:sz="4" w:space="0" w:color="auto"/>
            </w:tcBorders>
            <w:tcMar>
              <w:top w:w="10" w:type="dxa"/>
              <w:bottom w:w="10" w:type="dxa"/>
            </w:tcMar>
            <w:vAlign w:val="center"/>
          </w:tcPr>
          <w:p w14:paraId="07B08F85"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67" w:type="dxa"/>
            <w:tcBorders>
              <w:top w:val="single" w:sz="4" w:space="0" w:color="auto"/>
              <w:left w:val="single" w:sz="4" w:space="0" w:color="auto"/>
              <w:bottom w:val="single" w:sz="4" w:space="0" w:color="auto"/>
            </w:tcBorders>
            <w:tcMar>
              <w:top w:w="10" w:type="dxa"/>
              <w:bottom w:w="10" w:type="dxa"/>
            </w:tcMar>
            <w:vAlign w:val="center"/>
          </w:tcPr>
          <w:p w14:paraId="1B7EA760"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74" w:type="dxa"/>
            <w:tcBorders>
              <w:top w:val="single" w:sz="4" w:space="0" w:color="auto"/>
              <w:left w:val="single" w:sz="4" w:space="0" w:color="auto"/>
              <w:bottom w:val="single" w:sz="4" w:space="0" w:color="auto"/>
            </w:tcBorders>
            <w:tcMar>
              <w:top w:w="10" w:type="dxa"/>
              <w:bottom w:w="10" w:type="dxa"/>
            </w:tcMar>
            <w:vAlign w:val="center"/>
          </w:tcPr>
          <w:p w14:paraId="64E7E158"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70" w:type="dxa"/>
            <w:tcBorders>
              <w:top w:val="single" w:sz="4" w:space="0" w:color="auto"/>
              <w:left w:val="single" w:sz="4" w:space="0" w:color="auto"/>
              <w:bottom w:val="single" w:sz="4" w:space="0" w:color="auto"/>
            </w:tcBorders>
            <w:tcMar>
              <w:top w:w="10" w:type="dxa"/>
              <w:bottom w:w="10" w:type="dxa"/>
            </w:tcMar>
            <w:vAlign w:val="center"/>
          </w:tcPr>
          <w:p w14:paraId="2EBCD425"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67" w:type="dxa"/>
            <w:tcBorders>
              <w:top w:val="single" w:sz="4" w:space="0" w:color="auto"/>
              <w:left w:val="single" w:sz="4" w:space="0" w:color="auto"/>
              <w:bottom w:val="single" w:sz="4" w:space="0" w:color="auto"/>
            </w:tcBorders>
            <w:tcMar>
              <w:top w:w="10" w:type="dxa"/>
              <w:bottom w:w="10" w:type="dxa"/>
            </w:tcMar>
            <w:vAlign w:val="center"/>
          </w:tcPr>
          <w:p w14:paraId="1D236DDA"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73" w:type="dxa"/>
            <w:tcBorders>
              <w:top w:val="single" w:sz="4" w:space="0" w:color="auto"/>
              <w:left w:val="single" w:sz="4" w:space="0" w:color="auto"/>
              <w:bottom w:val="single" w:sz="4" w:space="0" w:color="auto"/>
            </w:tcBorders>
            <w:tcMar>
              <w:top w:w="10" w:type="dxa"/>
              <w:bottom w:w="10" w:type="dxa"/>
            </w:tcMar>
            <w:vAlign w:val="center"/>
          </w:tcPr>
          <w:p w14:paraId="733A18F0"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66" w:type="dxa"/>
            <w:tcBorders>
              <w:top w:val="single" w:sz="4" w:space="0" w:color="auto"/>
              <w:left w:val="single" w:sz="4" w:space="0" w:color="auto"/>
              <w:bottom w:val="single" w:sz="4" w:space="0" w:color="auto"/>
            </w:tcBorders>
            <w:tcMar>
              <w:top w:w="10" w:type="dxa"/>
              <w:bottom w:w="10" w:type="dxa"/>
            </w:tcMar>
            <w:vAlign w:val="center"/>
          </w:tcPr>
          <w:p w14:paraId="16DB99BD"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77" w:type="dxa"/>
            <w:tcBorders>
              <w:top w:val="single" w:sz="4" w:space="0" w:color="auto"/>
              <w:left w:val="single" w:sz="4" w:space="0" w:color="auto"/>
              <w:bottom w:val="single" w:sz="4" w:space="0" w:color="auto"/>
            </w:tcBorders>
            <w:tcMar>
              <w:top w:w="10" w:type="dxa"/>
              <w:bottom w:w="10" w:type="dxa"/>
            </w:tcMar>
            <w:vAlign w:val="center"/>
          </w:tcPr>
          <w:p w14:paraId="01A5A687"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70" w:type="dxa"/>
            <w:tcBorders>
              <w:top w:val="single" w:sz="4" w:space="0" w:color="auto"/>
              <w:left w:val="single" w:sz="4" w:space="0" w:color="auto"/>
              <w:bottom w:val="single" w:sz="4" w:space="0" w:color="auto"/>
            </w:tcBorders>
            <w:tcMar>
              <w:top w:w="10" w:type="dxa"/>
              <w:bottom w:w="10" w:type="dxa"/>
            </w:tcMar>
            <w:vAlign w:val="center"/>
          </w:tcPr>
          <w:p w14:paraId="4AF24BBB"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70" w:type="dxa"/>
            <w:tcBorders>
              <w:top w:val="single" w:sz="4" w:space="0" w:color="auto"/>
              <w:left w:val="single" w:sz="4" w:space="0" w:color="auto"/>
              <w:bottom w:val="single" w:sz="4" w:space="0" w:color="auto"/>
            </w:tcBorders>
            <w:tcMar>
              <w:top w:w="10" w:type="dxa"/>
              <w:bottom w:w="10" w:type="dxa"/>
            </w:tcMar>
            <w:vAlign w:val="center"/>
          </w:tcPr>
          <w:p w14:paraId="4C5011BC"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70" w:type="dxa"/>
            <w:tcBorders>
              <w:top w:val="single" w:sz="4" w:space="0" w:color="auto"/>
              <w:left w:val="single" w:sz="4" w:space="0" w:color="auto"/>
              <w:bottom w:val="single" w:sz="4" w:space="0" w:color="auto"/>
            </w:tcBorders>
            <w:tcMar>
              <w:top w:w="10" w:type="dxa"/>
              <w:bottom w:w="10" w:type="dxa"/>
            </w:tcMar>
            <w:vAlign w:val="center"/>
          </w:tcPr>
          <w:p w14:paraId="36C54592"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70" w:type="dxa"/>
            <w:tcBorders>
              <w:top w:val="single" w:sz="4" w:space="0" w:color="auto"/>
              <w:left w:val="single" w:sz="4" w:space="0" w:color="auto"/>
              <w:bottom w:val="single" w:sz="4" w:space="0" w:color="auto"/>
            </w:tcBorders>
            <w:tcMar>
              <w:top w:w="10" w:type="dxa"/>
              <w:bottom w:w="10" w:type="dxa"/>
            </w:tcMar>
            <w:vAlign w:val="center"/>
          </w:tcPr>
          <w:p w14:paraId="490AB793"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64" w:type="dxa"/>
            <w:tcBorders>
              <w:top w:val="single" w:sz="4" w:space="0" w:color="auto"/>
              <w:left w:val="single" w:sz="4" w:space="0" w:color="auto"/>
              <w:bottom w:val="single" w:sz="4" w:space="0" w:color="auto"/>
            </w:tcBorders>
            <w:tcMar>
              <w:top w:w="10" w:type="dxa"/>
              <w:bottom w:w="10" w:type="dxa"/>
            </w:tcMar>
            <w:vAlign w:val="center"/>
          </w:tcPr>
          <w:p w14:paraId="3B314B75"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47" w:type="dxa"/>
            <w:tcBorders>
              <w:top w:val="single" w:sz="4" w:space="0" w:color="auto"/>
              <w:left w:val="single" w:sz="4" w:space="0" w:color="auto"/>
              <w:bottom w:val="single" w:sz="4" w:space="0" w:color="auto"/>
            </w:tcBorders>
            <w:tcMar>
              <w:top w:w="10" w:type="dxa"/>
              <w:bottom w:w="10" w:type="dxa"/>
            </w:tcMar>
            <w:vAlign w:val="center"/>
          </w:tcPr>
          <w:p w14:paraId="6D28A529"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1" w:type="dxa"/>
            <w:tcBorders>
              <w:top w:val="single" w:sz="4" w:space="0" w:color="auto"/>
              <w:left w:val="single" w:sz="4" w:space="0" w:color="auto"/>
              <w:bottom w:val="single" w:sz="4" w:space="0" w:color="auto"/>
            </w:tcBorders>
            <w:tcMar>
              <w:top w:w="10" w:type="dxa"/>
              <w:bottom w:w="10" w:type="dxa"/>
            </w:tcMar>
            <w:vAlign w:val="center"/>
          </w:tcPr>
          <w:p w14:paraId="4B55180B"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20" w:type="dxa"/>
            <w:tcBorders>
              <w:top w:val="single" w:sz="4" w:space="0" w:color="auto"/>
              <w:left w:val="single" w:sz="4" w:space="0" w:color="auto"/>
              <w:bottom w:val="single" w:sz="4" w:space="0" w:color="auto"/>
            </w:tcBorders>
            <w:tcMar>
              <w:top w:w="10" w:type="dxa"/>
              <w:bottom w:w="10" w:type="dxa"/>
            </w:tcMar>
            <w:vAlign w:val="center"/>
          </w:tcPr>
          <w:p w14:paraId="1A884B78"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608"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79C3FC87"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r>
    </w:tbl>
    <w:p w14:paraId="33F197FB" w14:textId="77777777" w:rsidR="006561BA" w:rsidRDefault="005B4ED6">
      <w:pPr>
        <w:pStyle w:val="Para"/>
        <w:spacing w:line="240" w:lineRule="auto"/>
        <w:jc w:val="left"/>
      </w:pPr>
      <w:r>
        <w:br w:type="page"/>
      </w:r>
    </w:p>
    <w:p w14:paraId="56604908" w14:textId="77777777" w:rsidR="006561BA" w:rsidRDefault="005B4ED6">
      <w:pPr>
        <w:pStyle w:val="AnnexNumberedText"/>
        <w:spacing w:after="300"/>
        <w:ind w:left="279" w:hanging="279"/>
      </w:pPr>
      <w:r>
        <w:lastRenderedPageBreak/>
        <w:t>2.</w:t>
      </w:r>
      <w:r>
        <w:rPr>
          <w:b/>
        </w:rPr>
        <w:tab/>
        <w:t>KPI for verdipapirforetak – Andre tjenester»</w:t>
      </w:r>
    </w:p>
    <w:tbl>
      <w:tblPr>
        <w:tblOverlap w:val="never"/>
        <w:tblW w:w="0" w:type="auto"/>
        <w:tblInd w:w="279" w:type="dxa"/>
        <w:tblLayout w:type="fixed"/>
        <w:tblCellMar>
          <w:left w:w="10" w:type="dxa"/>
          <w:right w:w="10" w:type="dxa"/>
        </w:tblCellMar>
        <w:tblLook w:val="04A0" w:firstRow="1" w:lastRow="0" w:firstColumn="1" w:lastColumn="0" w:noHBand="0" w:noVBand="1"/>
      </w:tblPr>
      <w:tblGrid>
        <w:gridCol w:w="115"/>
        <w:gridCol w:w="1608"/>
        <w:gridCol w:w="487"/>
        <w:gridCol w:w="516"/>
        <w:gridCol w:w="401"/>
        <w:gridCol w:w="35"/>
        <w:gridCol w:w="330"/>
        <w:gridCol w:w="107"/>
        <w:gridCol w:w="439"/>
        <w:gridCol w:w="506"/>
        <w:gridCol w:w="521"/>
        <w:gridCol w:w="511"/>
        <w:gridCol w:w="497"/>
        <w:gridCol w:w="492"/>
        <w:gridCol w:w="492"/>
        <w:gridCol w:w="492"/>
        <w:gridCol w:w="492"/>
        <w:gridCol w:w="497"/>
        <w:gridCol w:w="487"/>
        <w:gridCol w:w="497"/>
        <w:gridCol w:w="492"/>
        <w:gridCol w:w="492"/>
        <w:gridCol w:w="492"/>
        <w:gridCol w:w="492"/>
        <w:gridCol w:w="492"/>
        <w:gridCol w:w="428"/>
        <w:gridCol w:w="428"/>
        <w:gridCol w:w="549"/>
        <w:gridCol w:w="658"/>
      </w:tblGrid>
      <w:tr w:rsidR="006561BA" w14:paraId="47A726F6" w14:textId="77777777">
        <w:tc>
          <w:tcPr>
            <w:tcW w:w="1723" w:type="dxa"/>
            <w:gridSpan w:val="2"/>
            <w:tcMar>
              <w:top w:w="10" w:type="dxa"/>
              <w:bottom w:w="10" w:type="dxa"/>
            </w:tcMar>
            <w:vAlign w:val="center"/>
          </w:tcPr>
          <w:p w14:paraId="46DE915F"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87"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637BBEB4"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a</w:t>
            </w:r>
          </w:p>
        </w:tc>
        <w:tc>
          <w:tcPr>
            <w:tcW w:w="516"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1D4FED63"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b</w:t>
            </w:r>
          </w:p>
        </w:tc>
        <w:tc>
          <w:tcPr>
            <w:tcW w:w="436" w:type="dxa"/>
            <w:gridSpan w:val="2"/>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1E52BB52"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c</w:t>
            </w:r>
          </w:p>
        </w:tc>
        <w:tc>
          <w:tcPr>
            <w:tcW w:w="437" w:type="dxa"/>
            <w:gridSpan w:val="2"/>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66E8EFC9"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d</w:t>
            </w:r>
          </w:p>
        </w:tc>
        <w:tc>
          <w:tcPr>
            <w:tcW w:w="439"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1143D84D"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e</w:t>
            </w:r>
          </w:p>
        </w:tc>
        <w:tc>
          <w:tcPr>
            <w:tcW w:w="506"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72CDB31F"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f</w:t>
            </w:r>
          </w:p>
        </w:tc>
        <w:tc>
          <w:tcPr>
            <w:tcW w:w="521"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585DB275"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g</w:t>
            </w:r>
          </w:p>
        </w:tc>
        <w:tc>
          <w:tcPr>
            <w:tcW w:w="511"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1D9418A2"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w:t>
            </w:r>
          </w:p>
        </w:tc>
        <w:tc>
          <w:tcPr>
            <w:tcW w:w="497"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5581C86E"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j</w:t>
            </w:r>
          </w:p>
        </w:tc>
        <w:tc>
          <w:tcPr>
            <w:tcW w:w="492"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6EF30C09" w14:textId="77777777" w:rsidR="006561BA" w:rsidRDefault="005B4ED6">
            <w:pPr>
              <w:widowControl w:val="0"/>
              <w:shd w:val="clear" w:color="auto" w:fill="auto"/>
              <w:tabs>
                <w:tab w:val="left" w:pos="450"/>
              </w:tabs>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k</w:t>
            </w:r>
          </w:p>
        </w:tc>
        <w:tc>
          <w:tcPr>
            <w:tcW w:w="492"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7D219A92" w14:textId="77777777" w:rsidR="006561BA" w:rsidRDefault="005B4ED6">
            <w:pPr>
              <w:widowControl w:val="0"/>
              <w:shd w:val="clear" w:color="auto" w:fill="auto"/>
              <w:tabs>
                <w:tab w:val="left" w:pos="450"/>
              </w:tabs>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l</w:t>
            </w:r>
          </w:p>
        </w:tc>
        <w:tc>
          <w:tcPr>
            <w:tcW w:w="492"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0D33C30F"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m</w:t>
            </w:r>
          </w:p>
        </w:tc>
        <w:tc>
          <w:tcPr>
            <w:tcW w:w="492"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15CEDF35"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n</w:t>
            </w:r>
          </w:p>
        </w:tc>
        <w:tc>
          <w:tcPr>
            <w:tcW w:w="497"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3C55B60B"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o</w:t>
            </w:r>
          </w:p>
        </w:tc>
        <w:tc>
          <w:tcPr>
            <w:tcW w:w="487"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3F3589E8"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p</w:t>
            </w:r>
          </w:p>
        </w:tc>
        <w:tc>
          <w:tcPr>
            <w:tcW w:w="497"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03F84ED2"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q</w:t>
            </w:r>
          </w:p>
        </w:tc>
        <w:tc>
          <w:tcPr>
            <w:tcW w:w="492"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67F470FB"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r</w:t>
            </w:r>
          </w:p>
        </w:tc>
        <w:tc>
          <w:tcPr>
            <w:tcW w:w="492"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279F2AD9"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s</w:t>
            </w:r>
          </w:p>
        </w:tc>
        <w:tc>
          <w:tcPr>
            <w:tcW w:w="492"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203B7C42" w14:textId="77777777" w:rsidR="006561BA" w:rsidRDefault="005B4ED6">
            <w:pPr>
              <w:widowControl w:val="0"/>
              <w:shd w:val="clear" w:color="auto" w:fill="auto"/>
              <w:tabs>
                <w:tab w:val="left" w:pos="460"/>
              </w:tabs>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t</w:t>
            </w:r>
          </w:p>
        </w:tc>
        <w:tc>
          <w:tcPr>
            <w:tcW w:w="492"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251AB703" w14:textId="77777777" w:rsidR="006561BA" w:rsidRDefault="005B4ED6">
            <w:pPr>
              <w:widowControl w:val="0"/>
              <w:shd w:val="clear" w:color="auto" w:fill="auto"/>
              <w:tabs>
                <w:tab w:val="left" w:pos="460"/>
              </w:tabs>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u</w:t>
            </w:r>
          </w:p>
        </w:tc>
        <w:tc>
          <w:tcPr>
            <w:tcW w:w="492"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0CEBA910"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v</w:t>
            </w:r>
          </w:p>
        </w:tc>
        <w:tc>
          <w:tcPr>
            <w:tcW w:w="428"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47C17C6A"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w</w:t>
            </w:r>
          </w:p>
        </w:tc>
        <w:tc>
          <w:tcPr>
            <w:tcW w:w="428"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64CED1C9"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x</w:t>
            </w:r>
          </w:p>
        </w:tc>
        <w:tc>
          <w:tcPr>
            <w:tcW w:w="549"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6D52FFB5"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y</w:t>
            </w:r>
          </w:p>
        </w:tc>
        <w:tc>
          <w:tcPr>
            <w:tcW w:w="658"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2428ADFA"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z</w:t>
            </w:r>
          </w:p>
        </w:tc>
      </w:tr>
      <w:tr w:rsidR="006561BA" w14:paraId="6F78A3B8" w14:textId="77777777">
        <w:tc>
          <w:tcPr>
            <w:tcW w:w="1723" w:type="dxa"/>
            <w:gridSpan w:val="2"/>
            <w:vMerge w:val="restart"/>
            <w:tcBorders>
              <w:top w:val="single" w:sz="4" w:space="0" w:color="auto"/>
              <w:left w:val="single" w:sz="4" w:space="0" w:color="auto"/>
            </w:tcBorders>
            <w:tcMar>
              <w:top w:w="10" w:type="dxa"/>
              <w:bottom w:w="10" w:type="dxa"/>
            </w:tcMar>
            <w:vAlign w:val="center"/>
          </w:tcPr>
          <w:p w14:paraId="728E8EB8"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87" w:type="dxa"/>
            <w:vMerge w:val="restart"/>
            <w:tcBorders>
              <w:top w:val="single" w:sz="4" w:space="0" w:color="auto"/>
              <w:left w:val="single" w:sz="4" w:space="0" w:color="auto"/>
            </w:tcBorders>
            <w:tcMar>
              <w:top w:w="10" w:type="dxa"/>
              <w:bottom w:w="10" w:type="dxa"/>
            </w:tcMar>
            <w:vAlign w:val="center"/>
          </w:tcPr>
          <w:p w14:paraId="62062380"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Sum (millioner euro)</w:t>
            </w:r>
          </w:p>
        </w:tc>
        <w:tc>
          <w:tcPr>
            <w:tcW w:w="516" w:type="dxa"/>
            <w:tcBorders>
              <w:top w:val="single" w:sz="4" w:space="0" w:color="auto"/>
            </w:tcBorders>
            <w:tcMar>
              <w:top w:w="10" w:type="dxa"/>
              <w:bottom w:w="10" w:type="dxa"/>
            </w:tcMar>
            <w:vAlign w:val="center"/>
          </w:tcPr>
          <w:p w14:paraId="208CCCAE"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11319" w:type="dxa"/>
            <w:gridSpan w:val="25"/>
            <w:tcBorders>
              <w:top w:val="single" w:sz="4" w:space="0" w:color="auto"/>
              <w:right w:val="single" w:sz="4" w:space="0" w:color="auto"/>
            </w:tcBorders>
            <w:tcMar>
              <w:top w:w="10" w:type="dxa"/>
              <w:bottom w:w="10" w:type="dxa"/>
            </w:tcMar>
            <w:vAlign w:val="center"/>
          </w:tcPr>
          <w:p w14:paraId="5494E742"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r>
      <w:tr w:rsidR="006561BA" w:rsidRPr="00980A19" w14:paraId="512D5B87" w14:textId="77777777">
        <w:tc>
          <w:tcPr>
            <w:tcW w:w="1723" w:type="dxa"/>
            <w:gridSpan w:val="2"/>
            <w:vMerge/>
            <w:tcBorders>
              <w:left w:val="single" w:sz="4" w:space="0" w:color="auto"/>
            </w:tcBorders>
            <w:tcMar>
              <w:top w:w="10" w:type="dxa"/>
              <w:bottom w:w="10" w:type="dxa"/>
            </w:tcMar>
            <w:vAlign w:val="center"/>
          </w:tcPr>
          <w:p w14:paraId="022DB46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87" w:type="dxa"/>
            <w:vMerge/>
            <w:tcBorders>
              <w:left w:val="single" w:sz="4" w:space="0" w:color="auto"/>
            </w:tcBorders>
            <w:tcMar>
              <w:top w:w="10" w:type="dxa"/>
              <w:bottom w:w="10" w:type="dxa"/>
            </w:tcMar>
            <w:vAlign w:val="center"/>
          </w:tcPr>
          <w:p w14:paraId="2E6E458F" w14:textId="77777777" w:rsidR="006561BA" w:rsidRDefault="006561BA">
            <w:pPr>
              <w:widowControl w:val="0"/>
              <w:spacing w:after="0" w:line="240" w:lineRule="auto"/>
              <w:jc w:val="center"/>
              <w:rPr>
                <w:rFonts w:ascii="Helvetica" w:eastAsia="Arial Unicode MS" w:hAnsi="Helvetica" w:cs="Times New Roman"/>
                <w:color w:val="000000" w:themeColor="text1"/>
                <w:sz w:val="6"/>
                <w:szCs w:val="6"/>
                <w:lang w:val="en-US"/>
              </w:rPr>
            </w:pPr>
          </w:p>
        </w:tc>
        <w:tc>
          <w:tcPr>
            <w:tcW w:w="516" w:type="dxa"/>
            <w:tcBorders>
              <w:left w:val="single" w:sz="4" w:space="0" w:color="auto"/>
            </w:tcBorders>
            <w:tcMar>
              <w:top w:w="10" w:type="dxa"/>
              <w:bottom w:w="10" w:type="dxa"/>
            </w:tcMar>
            <w:vAlign w:val="center"/>
          </w:tcPr>
          <w:p w14:paraId="576F41A3"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1818" w:type="dxa"/>
            <w:gridSpan w:val="6"/>
            <w:tcBorders>
              <w:top w:val="single" w:sz="4" w:space="0" w:color="auto"/>
              <w:left w:val="single" w:sz="4" w:space="0" w:color="auto"/>
              <w:bottom w:val="single" w:sz="4" w:space="0" w:color="auto"/>
            </w:tcBorders>
            <w:shd w:val="clear" w:color="auto" w:fill="B5B5B5"/>
            <w:tcMar>
              <w:top w:w="10" w:type="dxa"/>
              <w:bottom w:w="10" w:type="dxa"/>
            </w:tcMar>
            <w:vAlign w:val="center"/>
          </w:tcPr>
          <w:p w14:paraId="6235EE04" w14:textId="77777777" w:rsidR="006561BA" w:rsidRDefault="005B4ED6">
            <w:pPr>
              <w:widowControl w:val="0"/>
              <w:shd w:val="clear" w:color="auto" w:fill="auto"/>
              <w:spacing w:after="0" w:line="240" w:lineRule="auto"/>
              <w:jc w:val="center"/>
              <w:rPr>
                <w:rFonts w:ascii="Helvetica" w:eastAsia="Arial Unicode MS" w:hAnsi="Helvetica" w:cs="Times New Roman"/>
                <w:b/>
                <w:color w:val="000000" w:themeColor="text1"/>
                <w:sz w:val="6"/>
                <w:szCs w:val="6"/>
              </w:rPr>
            </w:pPr>
            <w:r>
              <w:rPr>
                <w:rFonts w:ascii="Helvetica" w:hAnsi="Helvetica"/>
                <w:b/>
                <w:color w:val="000000" w:themeColor="text1"/>
                <w:sz w:val="6"/>
              </w:rPr>
              <w:t>Begrensning av klimaendringer (CCM)</w:t>
            </w:r>
          </w:p>
        </w:tc>
        <w:tc>
          <w:tcPr>
            <w:tcW w:w="1529" w:type="dxa"/>
            <w:gridSpan w:val="3"/>
            <w:tcBorders>
              <w:top w:val="single" w:sz="4" w:space="0" w:color="auto"/>
              <w:left w:val="single" w:sz="4" w:space="0" w:color="auto"/>
            </w:tcBorders>
            <w:shd w:val="clear" w:color="auto" w:fill="B5B5B5"/>
            <w:tcMar>
              <w:top w:w="10" w:type="dxa"/>
              <w:bottom w:w="10" w:type="dxa"/>
            </w:tcMar>
            <w:vAlign w:val="center"/>
          </w:tcPr>
          <w:p w14:paraId="49F90D8F" w14:textId="77777777" w:rsidR="006561BA" w:rsidRDefault="005B4ED6">
            <w:pPr>
              <w:widowControl w:val="0"/>
              <w:shd w:val="clear" w:color="auto" w:fill="auto"/>
              <w:spacing w:after="0" w:line="240" w:lineRule="auto"/>
              <w:jc w:val="center"/>
              <w:rPr>
                <w:rFonts w:ascii="Helvetica" w:eastAsia="Arial Unicode MS" w:hAnsi="Helvetica" w:cs="Times New Roman"/>
                <w:b/>
                <w:color w:val="000000" w:themeColor="text1"/>
                <w:sz w:val="6"/>
                <w:szCs w:val="6"/>
              </w:rPr>
            </w:pPr>
            <w:r>
              <w:rPr>
                <w:rFonts w:ascii="Helvetica" w:hAnsi="Helvetica"/>
                <w:b/>
                <w:color w:val="000000" w:themeColor="text1"/>
                <w:sz w:val="6"/>
              </w:rPr>
              <w:t>Tilpasning til klimaendringer (CCA)</w:t>
            </w:r>
          </w:p>
        </w:tc>
        <w:tc>
          <w:tcPr>
            <w:tcW w:w="1476" w:type="dxa"/>
            <w:gridSpan w:val="3"/>
            <w:tcBorders>
              <w:top w:val="single" w:sz="4" w:space="0" w:color="auto"/>
              <w:left w:val="single" w:sz="4" w:space="0" w:color="auto"/>
            </w:tcBorders>
            <w:shd w:val="clear" w:color="auto" w:fill="B5B5B5"/>
            <w:tcMar>
              <w:top w:w="10" w:type="dxa"/>
              <w:bottom w:w="10" w:type="dxa"/>
            </w:tcMar>
            <w:vAlign w:val="center"/>
          </w:tcPr>
          <w:p w14:paraId="7289F552" w14:textId="77777777" w:rsidR="006561BA" w:rsidRDefault="005B4ED6">
            <w:pPr>
              <w:widowControl w:val="0"/>
              <w:shd w:val="clear" w:color="auto" w:fill="auto"/>
              <w:spacing w:after="0" w:line="240" w:lineRule="auto"/>
              <w:jc w:val="center"/>
              <w:rPr>
                <w:rFonts w:ascii="Helvetica" w:eastAsia="Arial Unicode MS" w:hAnsi="Helvetica" w:cs="Times New Roman"/>
                <w:b/>
                <w:color w:val="000000" w:themeColor="text1"/>
                <w:sz w:val="6"/>
                <w:szCs w:val="6"/>
              </w:rPr>
            </w:pPr>
            <w:r>
              <w:rPr>
                <w:rFonts w:ascii="Helvetica" w:hAnsi="Helvetica"/>
                <w:b/>
                <w:color w:val="000000" w:themeColor="text1"/>
                <w:sz w:val="6"/>
              </w:rPr>
              <w:t>Vann- og havressurser (WTR)</w:t>
            </w:r>
          </w:p>
        </w:tc>
        <w:tc>
          <w:tcPr>
            <w:tcW w:w="1476" w:type="dxa"/>
            <w:gridSpan w:val="3"/>
            <w:tcBorders>
              <w:top w:val="single" w:sz="4" w:space="0" w:color="auto"/>
              <w:left w:val="single" w:sz="4" w:space="0" w:color="auto"/>
            </w:tcBorders>
            <w:shd w:val="clear" w:color="auto" w:fill="B5B5B5"/>
            <w:tcMar>
              <w:top w:w="10" w:type="dxa"/>
              <w:bottom w:w="10" w:type="dxa"/>
            </w:tcMar>
            <w:vAlign w:val="center"/>
          </w:tcPr>
          <w:p w14:paraId="31954AD8" w14:textId="77777777" w:rsidR="006561BA" w:rsidRDefault="005B4ED6">
            <w:pPr>
              <w:widowControl w:val="0"/>
              <w:shd w:val="clear" w:color="auto" w:fill="auto"/>
              <w:spacing w:after="0" w:line="240" w:lineRule="auto"/>
              <w:jc w:val="center"/>
              <w:rPr>
                <w:rFonts w:ascii="Helvetica" w:eastAsia="Arial Unicode MS" w:hAnsi="Helvetica" w:cs="Times New Roman"/>
                <w:b/>
                <w:color w:val="000000" w:themeColor="text1"/>
                <w:sz w:val="6"/>
                <w:szCs w:val="6"/>
              </w:rPr>
            </w:pPr>
            <w:r>
              <w:rPr>
                <w:rFonts w:ascii="Helvetica" w:hAnsi="Helvetica"/>
                <w:b/>
                <w:color w:val="000000" w:themeColor="text1"/>
                <w:sz w:val="6"/>
              </w:rPr>
              <w:t>Sirkulær økonomi (CE)</w:t>
            </w:r>
          </w:p>
        </w:tc>
        <w:tc>
          <w:tcPr>
            <w:tcW w:w="1481" w:type="dxa"/>
            <w:gridSpan w:val="3"/>
            <w:tcBorders>
              <w:top w:val="single" w:sz="4" w:space="0" w:color="auto"/>
              <w:left w:val="single" w:sz="4" w:space="0" w:color="auto"/>
            </w:tcBorders>
            <w:shd w:val="clear" w:color="auto" w:fill="B5B5B5"/>
            <w:tcMar>
              <w:top w:w="10" w:type="dxa"/>
              <w:bottom w:w="10" w:type="dxa"/>
            </w:tcMar>
            <w:vAlign w:val="center"/>
          </w:tcPr>
          <w:p w14:paraId="47650447" w14:textId="77777777" w:rsidR="006561BA" w:rsidRDefault="005B4ED6">
            <w:pPr>
              <w:widowControl w:val="0"/>
              <w:shd w:val="clear" w:color="auto" w:fill="auto"/>
              <w:spacing w:after="0" w:line="240" w:lineRule="auto"/>
              <w:jc w:val="center"/>
              <w:rPr>
                <w:rFonts w:ascii="Helvetica" w:eastAsia="Arial Unicode MS" w:hAnsi="Helvetica" w:cs="Times New Roman"/>
                <w:b/>
                <w:color w:val="000000" w:themeColor="text1"/>
                <w:sz w:val="6"/>
                <w:szCs w:val="6"/>
              </w:rPr>
            </w:pPr>
            <w:r>
              <w:rPr>
                <w:rFonts w:ascii="Helvetica" w:hAnsi="Helvetica"/>
                <w:b/>
                <w:color w:val="000000" w:themeColor="text1"/>
                <w:sz w:val="6"/>
              </w:rPr>
              <w:t>Forurensning (PPC)</w:t>
            </w:r>
          </w:p>
        </w:tc>
        <w:tc>
          <w:tcPr>
            <w:tcW w:w="1476" w:type="dxa"/>
            <w:gridSpan w:val="3"/>
            <w:tcBorders>
              <w:top w:val="single" w:sz="4" w:space="0" w:color="auto"/>
              <w:left w:val="single" w:sz="4" w:space="0" w:color="auto"/>
            </w:tcBorders>
            <w:shd w:val="clear" w:color="auto" w:fill="B5B5B5"/>
            <w:tcMar>
              <w:top w:w="10" w:type="dxa"/>
              <w:bottom w:w="10" w:type="dxa"/>
            </w:tcMar>
            <w:vAlign w:val="center"/>
          </w:tcPr>
          <w:p w14:paraId="09620066" w14:textId="77777777" w:rsidR="006561BA" w:rsidRDefault="005B4ED6">
            <w:pPr>
              <w:widowControl w:val="0"/>
              <w:shd w:val="clear" w:color="auto" w:fill="auto"/>
              <w:spacing w:after="0" w:line="240" w:lineRule="auto"/>
              <w:jc w:val="center"/>
              <w:rPr>
                <w:rFonts w:ascii="Helvetica" w:eastAsia="Arial Unicode MS" w:hAnsi="Helvetica" w:cs="Times New Roman"/>
                <w:b/>
                <w:color w:val="000000" w:themeColor="text1"/>
                <w:sz w:val="6"/>
                <w:szCs w:val="6"/>
              </w:rPr>
            </w:pPr>
            <w:r>
              <w:rPr>
                <w:rFonts w:ascii="Helvetica" w:hAnsi="Helvetica"/>
                <w:b/>
                <w:color w:val="000000" w:themeColor="text1"/>
                <w:sz w:val="6"/>
              </w:rPr>
              <w:t>Biologisk mangfold og økosystemer (BIO)</w:t>
            </w:r>
          </w:p>
        </w:tc>
        <w:tc>
          <w:tcPr>
            <w:tcW w:w="2063" w:type="dxa"/>
            <w:gridSpan w:val="4"/>
            <w:tcBorders>
              <w:top w:val="single" w:sz="4" w:space="0" w:color="auto"/>
              <w:left w:val="single" w:sz="4" w:space="0" w:color="auto"/>
              <w:right w:val="single" w:sz="4" w:space="0" w:color="auto"/>
            </w:tcBorders>
            <w:shd w:val="clear" w:color="auto" w:fill="B5B5B5"/>
            <w:tcMar>
              <w:top w:w="10" w:type="dxa"/>
              <w:bottom w:w="10" w:type="dxa"/>
            </w:tcMar>
            <w:vAlign w:val="center"/>
          </w:tcPr>
          <w:p w14:paraId="0FB5EC0D" w14:textId="77777777" w:rsidR="006561BA" w:rsidRPr="00770AA2" w:rsidRDefault="005B4ED6">
            <w:pPr>
              <w:widowControl w:val="0"/>
              <w:shd w:val="clear" w:color="auto" w:fill="auto"/>
              <w:spacing w:after="0" w:line="240" w:lineRule="auto"/>
              <w:jc w:val="center"/>
              <w:rPr>
                <w:rFonts w:ascii="Helvetica" w:eastAsia="Arial Unicode MS" w:hAnsi="Helvetica" w:cs="Times New Roman"/>
                <w:b/>
                <w:color w:val="000000" w:themeColor="text1"/>
                <w:sz w:val="6"/>
                <w:szCs w:val="6"/>
                <w:lang w:val="en-US"/>
              </w:rPr>
            </w:pPr>
            <w:r w:rsidRPr="00770AA2">
              <w:rPr>
                <w:rFonts w:ascii="Helvetica" w:hAnsi="Helvetica"/>
                <w:b/>
                <w:color w:val="000000" w:themeColor="text1"/>
                <w:sz w:val="6"/>
                <w:lang w:val="en-US"/>
              </w:rPr>
              <w:t>SAMLET (CCM + CCA + WTR + CE + PPC + BIO)</w:t>
            </w:r>
          </w:p>
        </w:tc>
      </w:tr>
      <w:tr w:rsidR="006561BA" w14:paraId="50222ACA" w14:textId="77777777">
        <w:trPr>
          <w:trHeight w:val="227"/>
        </w:trPr>
        <w:tc>
          <w:tcPr>
            <w:tcW w:w="1723" w:type="dxa"/>
            <w:gridSpan w:val="2"/>
            <w:tcBorders>
              <w:left w:val="single" w:sz="4" w:space="0" w:color="auto"/>
              <w:bottom w:val="nil"/>
            </w:tcBorders>
            <w:tcMar>
              <w:top w:w="10" w:type="dxa"/>
              <w:bottom w:w="10" w:type="dxa"/>
            </w:tcMar>
            <w:vAlign w:val="center"/>
          </w:tcPr>
          <w:p w14:paraId="541D3BB5"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487" w:type="dxa"/>
            <w:vMerge/>
            <w:tcBorders>
              <w:left w:val="single" w:sz="4" w:space="0" w:color="auto"/>
              <w:bottom w:val="nil"/>
            </w:tcBorders>
            <w:tcMar>
              <w:top w:w="10" w:type="dxa"/>
              <w:bottom w:w="10" w:type="dxa"/>
            </w:tcMar>
            <w:vAlign w:val="center"/>
          </w:tcPr>
          <w:p w14:paraId="00887DA7" w14:textId="77777777" w:rsidR="006561BA"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lang w:val="en-US"/>
              </w:rPr>
            </w:pPr>
          </w:p>
        </w:tc>
        <w:tc>
          <w:tcPr>
            <w:tcW w:w="516" w:type="dxa"/>
            <w:tcBorders>
              <w:left w:val="single" w:sz="4" w:space="0" w:color="auto"/>
              <w:bottom w:val="nil"/>
            </w:tcBorders>
            <w:tcMar>
              <w:top w:w="10" w:type="dxa"/>
              <w:bottom w:w="10" w:type="dxa"/>
            </w:tcMar>
            <w:vAlign w:val="center"/>
          </w:tcPr>
          <w:p w14:paraId="0F491C8E"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dekket av KPI-en (millioner euro)</w:t>
            </w:r>
          </w:p>
        </w:tc>
        <w:tc>
          <w:tcPr>
            <w:tcW w:w="1818" w:type="dxa"/>
            <w:gridSpan w:val="6"/>
            <w:tcBorders>
              <w:top w:val="single" w:sz="4" w:space="0" w:color="auto"/>
              <w:left w:val="single" w:sz="4" w:space="0" w:color="auto"/>
              <w:bottom w:val="nil"/>
            </w:tcBorders>
            <w:tcMar>
              <w:top w:w="10" w:type="dxa"/>
              <w:bottom w:w="10" w:type="dxa"/>
            </w:tcMar>
            <w:vAlign w:val="center"/>
          </w:tcPr>
          <w:p w14:paraId="02D91F80"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inntekter (gebyrer, provisjoner og andre pengeytelser) fra tjenester og aktiviteter mot sektorer der EU-taksonomien gjelder (%) (omfattet av taksonomien)</w:t>
            </w:r>
          </w:p>
        </w:tc>
        <w:tc>
          <w:tcPr>
            <w:tcW w:w="1529" w:type="dxa"/>
            <w:gridSpan w:val="3"/>
            <w:tcBorders>
              <w:top w:val="single" w:sz="4" w:space="0" w:color="auto"/>
              <w:left w:val="single" w:sz="4" w:space="0" w:color="auto"/>
              <w:bottom w:val="nil"/>
            </w:tcBorders>
            <w:tcMar>
              <w:top w:w="10" w:type="dxa"/>
              <w:bottom w:w="10" w:type="dxa"/>
            </w:tcMar>
            <w:vAlign w:val="center"/>
          </w:tcPr>
          <w:p w14:paraId="5E9A1B0C"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inntekter (gebyrer, provisjoner og andre pengeytelser) fra tjenester og aktiviteter mot sektorer der EU-taksonomien gjelder (%) (omfattet av taksonomien)</w:t>
            </w:r>
          </w:p>
        </w:tc>
        <w:tc>
          <w:tcPr>
            <w:tcW w:w="1476" w:type="dxa"/>
            <w:gridSpan w:val="3"/>
            <w:tcBorders>
              <w:top w:val="single" w:sz="4" w:space="0" w:color="auto"/>
              <w:left w:val="single" w:sz="4" w:space="0" w:color="auto"/>
              <w:bottom w:val="nil"/>
            </w:tcBorders>
            <w:tcMar>
              <w:top w:w="10" w:type="dxa"/>
              <w:bottom w:w="10" w:type="dxa"/>
            </w:tcMar>
            <w:vAlign w:val="center"/>
          </w:tcPr>
          <w:p w14:paraId="590C7DA1"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eiendeler dekket av EU-taksonomien (%) (omfattet av taksonomien)</w:t>
            </w:r>
          </w:p>
        </w:tc>
        <w:tc>
          <w:tcPr>
            <w:tcW w:w="1476" w:type="dxa"/>
            <w:gridSpan w:val="3"/>
            <w:tcBorders>
              <w:top w:val="single" w:sz="4" w:space="0" w:color="auto"/>
              <w:left w:val="single" w:sz="4" w:space="0" w:color="auto"/>
              <w:bottom w:val="nil"/>
            </w:tcBorders>
            <w:tcMar>
              <w:top w:w="10" w:type="dxa"/>
              <w:bottom w:w="10" w:type="dxa"/>
            </w:tcMar>
            <w:vAlign w:val="center"/>
          </w:tcPr>
          <w:p w14:paraId="4F3C6F9D"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eiendeler dekket av EU-taksonomien (%) (taksonomiforenlige)</w:t>
            </w:r>
          </w:p>
        </w:tc>
        <w:tc>
          <w:tcPr>
            <w:tcW w:w="1481" w:type="dxa"/>
            <w:gridSpan w:val="3"/>
            <w:tcBorders>
              <w:top w:val="single" w:sz="4" w:space="0" w:color="auto"/>
              <w:left w:val="single" w:sz="4" w:space="0" w:color="auto"/>
              <w:bottom w:val="nil"/>
            </w:tcBorders>
            <w:tcMar>
              <w:top w:w="10" w:type="dxa"/>
              <w:bottom w:w="10" w:type="dxa"/>
            </w:tcMar>
            <w:vAlign w:val="center"/>
          </w:tcPr>
          <w:p w14:paraId="5C92C9FA"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eiendeler dekket av EU-taksonomien (%) (omfattet av taksonomien)</w:t>
            </w:r>
          </w:p>
        </w:tc>
        <w:tc>
          <w:tcPr>
            <w:tcW w:w="1476" w:type="dxa"/>
            <w:gridSpan w:val="3"/>
            <w:tcBorders>
              <w:top w:val="single" w:sz="4" w:space="0" w:color="auto"/>
              <w:left w:val="single" w:sz="4" w:space="0" w:color="auto"/>
              <w:bottom w:val="nil"/>
            </w:tcBorders>
            <w:tcMar>
              <w:top w:w="10" w:type="dxa"/>
              <w:bottom w:w="10" w:type="dxa"/>
            </w:tcMar>
            <w:vAlign w:val="center"/>
          </w:tcPr>
          <w:p w14:paraId="065B63E6"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eiendeler dekket av EU-taksonomien (%) (omfattet av taksonomien)</w:t>
            </w:r>
          </w:p>
        </w:tc>
        <w:tc>
          <w:tcPr>
            <w:tcW w:w="2063" w:type="dxa"/>
            <w:gridSpan w:val="4"/>
            <w:tcBorders>
              <w:top w:val="single" w:sz="4" w:space="0" w:color="auto"/>
              <w:left w:val="single" w:sz="4" w:space="0" w:color="auto"/>
              <w:bottom w:val="nil"/>
              <w:right w:val="single" w:sz="4" w:space="0" w:color="auto"/>
            </w:tcBorders>
            <w:tcMar>
              <w:top w:w="10" w:type="dxa"/>
              <w:bottom w:w="10" w:type="dxa"/>
            </w:tcMar>
            <w:vAlign w:val="center"/>
          </w:tcPr>
          <w:p w14:paraId="7B142D7E" w14:textId="77777777" w:rsidR="006561BA" w:rsidRDefault="005B4ED6">
            <w:pPr>
              <w:widowControl w:val="0"/>
              <w:shd w:val="clear" w:color="auto" w:fill="auto"/>
              <w:tabs>
                <w:tab w:val="left" w:pos="1301"/>
              </w:tabs>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inntekter (gebyrer, provisjoner og andre pengeytelser) fra tjenester og aktiviteter mot sektorer der EU-taksonomien gjelder (%) (omfattet av taksonomien)</w:t>
            </w:r>
          </w:p>
        </w:tc>
      </w:tr>
      <w:tr w:rsidR="006561BA" w14:paraId="46D28CC7" w14:textId="77777777">
        <w:tc>
          <w:tcPr>
            <w:tcW w:w="1723" w:type="dxa"/>
            <w:gridSpan w:val="2"/>
            <w:vMerge w:val="restart"/>
            <w:tcBorders>
              <w:left w:val="single" w:sz="4" w:space="0" w:color="auto"/>
            </w:tcBorders>
            <w:tcMar>
              <w:top w:w="10" w:type="dxa"/>
              <w:bottom w:w="10" w:type="dxa"/>
            </w:tcMar>
            <w:vAlign w:val="center"/>
          </w:tcPr>
          <w:p w14:paraId="49D07680"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87" w:type="dxa"/>
            <w:vMerge/>
            <w:tcBorders>
              <w:left w:val="single" w:sz="4" w:space="0" w:color="auto"/>
            </w:tcBorders>
            <w:tcMar>
              <w:top w:w="10" w:type="dxa"/>
              <w:bottom w:w="10" w:type="dxa"/>
            </w:tcMar>
            <w:vAlign w:val="center"/>
          </w:tcPr>
          <w:p w14:paraId="5D5EF4A6"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516" w:type="dxa"/>
            <w:vMerge w:val="restart"/>
            <w:tcBorders>
              <w:left w:val="single" w:sz="4" w:space="0" w:color="auto"/>
            </w:tcBorders>
            <w:tcMar>
              <w:top w:w="10" w:type="dxa"/>
              <w:bottom w:w="10" w:type="dxa"/>
            </w:tcMar>
            <w:vAlign w:val="center"/>
          </w:tcPr>
          <w:p w14:paraId="1EDC7094"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401" w:type="dxa"/>
            <w:tcBorders>
              <w:left w:val="single" w:sz="4" w:space="0" w:color="auto"/>
            </w:tcBorders>
            <w:tcMar>
              <w:top w:w="10" w:type="dxa"/>
              <w:bottom w:w="10" w:type="dxa"/>
            </w:tcMar>
            <w:vAlign w:val="center"/>
          </w:tcPr>
          <w:p w14:paraId="09D7A34D"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1417" w:type="dxa"/>
            <w:gridSpan w:val="5"/>
            <w:tcBorders>
              <w:top w:val="single" w:sz="4" w:space="0" w:color="auto"/>
              <w:left w:val="single" w:sz="4" w:space="0" w:color="auto"/>
            </w:tcBorders>
            <w:tcMar>
              <w:top w:w="10" w:type="dxa"/>
              <w:bottom w:w="10" w:type="dxa"/>
            </w:tcMar>
            <w:vAlign w:val="center"/>
          </w:tcPr>
          <w:p w14:paraId="30A08A07"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tjenester og aktiviteter knyttet til aktiviteter som er forenlige med EU-taksonomien (%) (taksonomiforenlige)</w:t>
            </w:r>
          </w:p>
        </w:tc>
        <w:tc>
          <w:tcPr>
            <w:tcW w:w="521" w:type="dxa"/>
            <w:vMerge w:val="restart"/>
            <w:tcBorders>
              <w:left w:val="single" w:sz="4" w:space="0" w:color="auto"/>
            </w:tcBorders>
            <w:tcMar>
              <w:top w:w="10" w:type="dxa"/>
              <w:bottom w:w="10" w:type="dxa"/>
            </w:tcMar>
            <w:vAlign w:val="center"/>
          </w:tcPr>
          <w:p w14:paraId="19DC0C35"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1008" w:type="dxa"/>
            <w:gridSpan w:val="2"/>
            <w:tcBorders>
              <w:top w:val="single" w:sz="4" w:space="0" w:color="auto"/>
              <w:left w:val="single" w:sz="4" w:space="0" w:color="auto"/>
            </w:tcBorders>
            <w:tcMar>
              <w:top w:w="10" w:type="dxa"/>
              <w:bottom w:w="10" w:type="dxa"/>
            </w:tcMar>
            <w:vAlign w:val="center"/>
          </w:tcPr>
          <w:p w14:paraId="29CD02AE"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tjenester og aktiviteter knyttet til aktiviteter som er forenlige med EU-taksonomien (%) (taksonomiforenlige)</w:t>
            </w:r>
          </w:p>
        </w:tc>
        <w:tc>
          <w:tcPr>
            <w:tcW w:w="492" w:type="dxa"/>
            <w:vMerge w:val="restart"/>
            <w:tcBorders>
              <w:left w:val="single" w:sz="4" w:space="0" w:color="auto"/>
            </w:tcBorders>
            <w:tcMar>
              <w:top w:w="10" w:type="dxa"/>
              <w:bottom w:w="10" w:type="dxa"/>
            </w:tcMar>
            <w:vAlign w:val="center"/>
          </w:tcPr>
          <w:p w14:paraId="38EC943E"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984" w:type="dxa"/>
            <w:gridSpan w:val="2"/>
            <w:tcBorders>
              <w:top w:val="single" w:sz="4" w:space="0" w:color="auto"/>
              <w:left w:val="single" w:sz="4" w:space="0" w:color="auto"/>
            </w:tcBorders>
            <w:tcMar>
              <w:top w:w="10" w:type="dxa"/>
              <w:bottom w:w="10" w:type="dxa"/>
            </w:tcMar>
            <w:vAlign w:val="center"/>
          </w:tcPr>
          <w:p w14:paraId="66FFEFDA"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knyttet til aktiviteter som er forenlige med EU-taksonomien (%) (taksonomiforenlige)</w:t>
            </w:r>
          </w:p>
        </w:tc>
        <w:tc>
          <w:tcPr>
            <w:tcW w:w="492" w:type="dxa"/>
            <w:vMerge w:val="restart"/>
            <w:tcBorders>
              <w:left w:val="single" w:sz="4" w:space="0" w:color="auto"/>
            </w:tcBorders>
            <w:tcMar>
              <w:top w:w="10" w:type="dxa"/>
              <w:bottom w:w="10" w:type="dxa"/>
            </w:tcMar>
            <w:vAlign w:val="center"/>
          </w:tcPr>
          <w:p w14:paraId="03A17C87"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984" w:type="dxa"/>
            <w:gridSpan w:val="2"/>
            <w:tcBorders>
              <w:top w:val="single" w:sz="4" w:space="0" w:color="auto"/>
              <w:left w:val="single" w:sz="4" w:space="0" w:color="auto"/>
            </w:tcBorders>
            <w:tcMar>
              <w:top w:w="10" w:type="dxa"/>
              <w:bottom w:w="10" w:type="dxa"/>
            </w:tcMar>
            <w:vAlign w:val="center"/>
          </w:tcPr>
          <w:p w14:paraId="653303F5"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knyttet til aktiviteter som er forenlige med EU-taksonomien (%) (taksonomiforenlige)</w:t>
            </w:r>
          </w:p>
        </w:tc>
        <w:tc>
          <w:tcPr>
            <w:tcW w:w="497" w:type="dxa"/>
            <w:vMerge w:val="restart"/>
            <w:tcBorders>
              <w:left w:val="single" w:sz="4" w:space="0" w:color="auto"/>
            </w:tcBorders>
            <w:tcMar>
              <w:top w:w="10" w:type="dxa"/>
              <w:bottom w:w="10" w:type="dxa"/>
            </w:tcMar>
            <w:vAlign w:val="center"/>
          </w:tcPr>
          <w:p w14:paraId="712BC1B1"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984" w:type="dxa"/>
            <w:gridSpan w:val="2"/>
            <w:tcBorders>
              <w:top w:val="single" w:sz="4" w:space="0" w:color="auto"/>
              <w:left w:val="single" w:sz="4" w:space="0" w:color="auto"/>
            </w:tcBorders>
            <w:tcMar>
              <w:top w:w="10" w:type="dxa"/>
              <w:bottom w:w="10" w:type="dxa"/>
            </w:tcMar>
            <w:vAlign w:val="center"/>
          </w:tcPr>
          <w:p w14:paraId="36B28E86"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knyttet til aktiviteter som er forenlige med EU-taksonomien (%) (taksonomiforenlige)</w:t>
            </w:r>
          </w:p>
        </w:tc>
        <w:tc>
          <w:tcPr>
            <w:tcW w:w="492" w:type="dxa"/>
            <w:vMerge w:val="restart"/>
            <w:tcBorders>
              <w:left w:val="single" w:sz="4" w:space="0" w:color="auto"/>
            </w:tcBorders>
            <w:tcMar>
              <w:top w:w="10" w:type="dxa"/>
              <w:bottom w:w="10" w:type="dxa"/>
            </w:tcMar>
            <w:vAlign w:val="center"/>
          </w:tcPr>
          <w:p w14:paraId="7B1281D1"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984" w:type="dxa"/>
            <w:gridSpan w:val="2"/>
            <w:tcBorders>
              <w:top w:val="single" w:sz="4" w:space="0" w:color="auto"/>
              <w:left w:val="single" w:sz="4" w:space="0" w:color="auto"/>
            </w:tcBorders>
            <w:tcMar>
              <w:top w:w="10" w:type="dxa"/>
              <w:bottom w:w="10" w:type="dxa"/>
            </w:tcMar>
            <w:vAlign w:val="center"/>
          </w:tcPr>
          <w:p w14:paraId="100B38A6"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knyttet til aktiviteter som er forenlige med EU-taksonomien (%) (taksonomiforenlige)</w:t>
            </w:r>
          </w:p>
        </w:tc>
        <w:tc>
          <w:tcPr>
            <w:tcW w:w="428" w:type="dxa"/>
            <w:vMerge w:val="restart"/>
            <w:tcBorders>
              <w:left w:val="single" w:sz="4" w:space="0" w:color="auto"/>
            </w:tcBorders>
            <w:tcMar>
              <w:top w:w="10" w:type="dxa"/>
              <w:bottom w:w="10" w:type="dxa"/>
            </w:tcMar>
            <w:vAlign w:val="center"/>
          </w:tcPr>
          <w:p w14:paraId="1988E663" w14:textId="77777777" w:rsidR="006561BA" w:rsidRPr="00770AA2" w:rsidRDefault="006561BA">
            <w:pPr>
              <w:widowControl w:val="0"/>
              <w:shd w:val="clear" w:color="auto" w:fill="auto"/>
              <w:spacing w:after="0" w:line="240" w:lineRule="auto"/>
              <w:jc w:val="center"/>
              <w:rPr>
                <w:rFonts w:ascii="Helvetica" w:eastAsia="Arial Unicode MS" w:hAnsi="Helvetica" w:cs="Times New Roman"/>
                <w:color w:val="000000" w:themeColor="text1"/>
                <w:sz w:val="6"/>
                <w:szCs w:val="6"/>
              </w:rPr>
            </w:pPr>
          </w:p>
        </w:tc>
        <w:tc>
          <w:tcPr>
            <w:tcW w:w="1635" w:type="dxa"/>
            <w:gridSpan w:val="3"/>
            <w:tcBorders>
              <w:top w:val="single" w:sz="4" w:space="0" w:color="auto"/>
              <w:left w:val="single" w:sz="4" w:space="0" w:color="auto"/>
              <w:right w:val="single" w:sz="4" w:space="0" w:color="auto"/>
            </w:tcBorders>
            <w:tcMar>
              <w:top w:w="10" w:type="dxa"/>
              <w:bottom w:w="10" w:type="dxa"/>
            </w:tcMar>
            <w:vAlign w:val="center"/>
          </w:tcPr>
          <w:p w14:paraId="33FB32A4"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Hvorav tjenester og aktiviteter knyttet til aktiviteter som er forenlige med EU-taksonomien (%) (taksonomiforenlige)</w:t>
            </w:r>
          </w:p>
        </w:tc>
      </w:tr>
      <w:tr w:rsidR="006561BA" w14:paraId="2CC1671E" w14:textId="77777777">
        <w:tc>
          <w:tcPr>
            <w:tcW w:w="1723" w:type="dxa"/>
            <w:gridSpan w:val="2"/>
            <w:vMerge/>
            <w:tcBorders>
              <w:left w:val="single" w:sz="4" w:space="0" w:color="auto"/>
            </w:tcBorders>
            <w:tcMar>
              <w:top w:w="10" w:type="dxa"/>
              <w:bottom w:w="10" w:type="dxa"/>
            </w:tcMar>
            <w:vAlign w:val="center"/>
          </w:tcPr>
          <w:p w14:paraId="166F87E9"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87" w:type="dxa"/>
            <w:vMerge/>
            <w:tcBorders>
              <w:left w:val="single" w:sz="4" w:space="0" w:color="auto"/>
            </w:tcBorders>
            <w:tcMar>
              <w:top w:w="10" w:type="dxa"/>
              <w:bottom w:w="10" w:type="dxa"/>
            </w:tcMar>
            <w:vAlign w:val="center"/>
          </w:tcPr>
          <w:p w14:paraId="4FBDB269"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16" w:type="dxa"/>
            <w:vMerge/>
            <w:tcBorders>
              <w:left w:val="single" w:sz="4" w:space="0" w:color="auto"/>
            </w:tcBorders>
            <w:tcMar>
              <w:top w:w="10" w:type="dxa"/>
              <w:bottom w:w="10" w:type="dxa"/>
            </w:tcMar>
            <w:vAlign w:val="center"/>
          </w:tcPr>
          <w:p w14:paraId="3B724BE6"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01" w:type="dxa"/>
            <w:tcBorders>
              <w:left w:val="single" w:sz="4" w:space="0" w:color="auto"/>
            </w:tcBorders>
            <w:tcMar>
              <w:top w:w="10" w:type="dxa"/>
              <w:bottom w:w="10" w:type="dxa"/>
            </w:tcMar>
            <w:vAlign w:val="center"/>
          </w:tcPr>
          <w:p w14:paraId="2AD683A8"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365" w:type="dxa"/>
            <w:gridSpan w:val="2"/>
            <w:tcBorders>
              <w:left w:val="single" w:sz="4" w:space="0" w:color="auto"/>
            </w:tcBorders>
            <w:tcMar>
              <w:top w:w="10" w:type="dxa"/>
              <w:bottom w:w="10" w:type="dxa"/>
            </w:tcMar>
            <w:vAlign w:val="center"/>
          </w:tcPr>
          <w:p w14:paraId="02859A5A"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46" w:type="dxa"/>
            <w:gridSpan w:val="2"/>
            <w:tcBorders>
              <w:top w:val="single" w:sz="4" w:space="0" w:color="auto"/>
              <w:left w:val="single" w:sz="4" w:space="0" w:color="auto"/>
            </w:tcBorders>
            <w:tcMar>
              <w:top w:w="10" w:type="dxa"/>
              <w:bottom w:w="10" w:type="dxa"/>
            </w:tcMar>
            <w:vAlign w:val="center"/>
          </w:tcPr>
          <w:p w14:paraId="5A7F2BC3" w14:textId="77777777" w:rsidR="006561BA" w:rsidRDefault="005B4ED6">
            <w:pPr>
              <w:widowControl w:val="0"/>
              <w:shd w:val="clear" w:color="auto" w:fill="auto"/>
              <w:spacing w:after="0" w:line="240" w:lineRule="auto"/>
              <w:jc w:val="left"/>
              <w:rPr>
                <w:rFonts w:ascii="Helvetica" w:eastAsia="Arial Unicode MS" w:hAnsi="Helvetica" w:cs="Times New Roman"/>
                <w:color w:val="000000" w:themeColor="text1"/>
                <w:sz w:val="6"/>
                <w:szCs w:val="6"/>
              </w:rPr>
            </w:pPr>
            <w:r>
              <w:rPr>
                <w:rFonts w:ascii="Helvetica" w:hAnsi="Helvetica"/>
                <w:color w:val="000000" w:themeColor="text1"/>
                <w:sz w:val="6"/>
              </w:rPr>
              <w:t>Hvorav omstilling (%)</w:t>
            </w:r>
          </w:p>
        </w:tc>
        <w:tc>
          <w:tcPr>
            <w:tcW w:w="506" w:type="dxa"/>
            <w:tcBorders>
              <w:top w:val="single" w:sz="4" w:space="0" w:color="auto"/>
              <w:left w:val="single" w:sz="4" w:space="0" w:color="auto"/>
            </w:tcBorders>
            <w:tcMar>
              <w:top w:w="10" w:type="dxa"/>
              <w:bottom w:w="10" w:type="dxa"/>
            </w:tcMar>
            <w:vAlign w:val="center"/>
          </w:tcPr>
          <w:p w14:paraId="5BBEB31A" w14:textId="77777777" w:rsidR="006561BA" w:rsidRDefault="005B4ED6">
            <w:pPr>
              <w:widowControl w:val="0"/>
              <w:shd w:val="clear" w:color="auto" w:fill="auto"/>
              <w:spacing w:after="0" w:line="240" w:lineRule="auto"/>
              <w:jc w:val="left"/>
              <w:rPr>
                <w:rFonts w:ascii="Helvetica" w:eastAsia="Arial Unicode MS" w:hAnsi="Helvetica" w:cs="Times New Roman"/>
                <w:color w:val="000000" w:themeColor="text1"/>
                <w:sz w:val="6"/>
                <w:szCs w:val="6"/>
              </w:rPr>
            </w:pPr>
            <w:r>
              <w:rPr>
                <w:rFonts w:ascii="Helvetica" w:hAnsi="Helvetica"/>
                <w:color w:val="000000" w:themeColor="text1"/>
                <w:sz w:val="6"/>
              </w:rPr>
              <w:t>Hvorav muliggjørende (%)</w:t>
            </w:r>
          </w:p>
        </w:tc>
        <w:tc>
          <w:tcPr>
            <w:tcW w:w="521" w:type="dxa"/>
            <w:vMerge/>
            <w:tcBorders>
              <w:left w:val="single" w:sz="4" w:space="0" w:color="auto"/>
            </w:tcBorders>
            <w:tcMar>
              <w:top w:w="10" w:type="dxa"/>
              <w:bottom w:w="10" w:type="dxa"/>
            </w:tcMar>
            <w:vAlign w:val="center"/>
          </w:tcPr>
          <w:p w14:paraId="3DE9E66E"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511" w:type="dxa"/>
            <w:tcBorders>
              <w:left w:val="single" w:sz="4" w:space="0" w:color="auto"/>
            </w:tcBorders>
            <w:tcMar>
              <w:top w:w="10" w:type="dxa"/>
              <w:bottom w:w="10" w:type="dxa"/>
            </w:tcMar>
            <w:vAlign w:val="center"/>
          </w:tcPr>
          <w:p w14:paraId="5139D8B6"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7" w:type="dxa"/>
            <w:tcBorders>
              <w:top w:val="single" w:sz="4" w:space="0" w:color="auto"/>
              <w:left w:val="single" w:sz="4" w:space="0" w:color="auto"/>
            </w:tcBorders>
            <w:tcMar>
              <w:top w:w="10" w:type="dxa"/>
              <w:bottom w:w="10" w:type="dxa"/>
            </w:tcMar>
            <w:vAlign w:val="center"/>
          </w:tcPr>
          <w:p w14:paraId="333B9449" w14:textId="77777777" w:rsidR="006561BA" w:rsidRDefault="005B4ED6">
            <w:pPr>
              <w:widowControl w:val="0"/>
              <w:shd w:val="clear" w:color="auto" w:fill="auto"/>
              <w:spacing w:after="0" w:line="240" w:lineRule="auto"/>
              <w:jc w:val="left"/>
              <w:rPr>
                <w:rFonts w:ascii="Helvetica" w:eastAsia="Arial Unicode MS" w:hAnsi="Helvetica" w:cs="Times New Roman"/>
                <w:color w:val="000000" w:themeColor="text1"/>
                <w:sz w:val="6"/>
                <w:szCs w:val="6"/>
              </w:rPr>
            </w:pPr>
            <w:r>
              <w:rPr>
                <w:rFonts w:ascii="Helvetica" w:hAnsi="Helvetica"/>
                <w:color w:val="000000" w:themeColor="text1"/>
                <w:sz w:val="6"/>
              </w:rPr>
              <w:t>Hvorav muliggjørende (%)</w:t>
            </w:r>
          </w:p>
        </w:tc>
        <w:tc>
          <w:tcPr>
            <w:tcW w:w="492" w:type="dxa"/>
            <w:vMerge/>
            <w:tcBorders>
              <w:left w:val="single" w:sz="4" w:space="0" w:color="auto"/>
            </w:tcBorders>
            <w:tcMar>
              <w:top w:w="10" w:type="dxa"/>
              <w:bottom w:w="10" w:type="dxa"/>
            </w:tcMar>
            <w:vAlign w:val="center"/>
          </w:tcPr>
          <w:p w14:paraId="0FB48A04"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2" w:type="dxa"/>
            <w:tcBorders>
              <w:left w:val="single" w:sz="4" w:space="0" w:color="auto"/>
            </w:tcBorders>
            <w:tcMar>
              <w:top w:w="10" w:type="dxa"/>
              <w:bottom w:w="10" w:type="dxa"/>
            </w:tcMar>
            <w:vAlign w:val="center"/>
          </w:tcPr>
          <w:p w14:paraId="1C1F7899"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2" w:type="dxa"/>
            <w:tcBorders>
              <w:top w:val="single" w:sz="4" w:space="0" w:color="auto"/>
              <w:left w:val="single" w:sz="4" w:space="0" w:color="auto"/>
            </w:tcBorders>
            <w:tcMar>
              <w:top w:w="10" w:type="dxa"/>
              <w:bottom w:w="10" w:type="dxa"/>
            </w:tcMar>
            <w:vAlign w:val="center"/>
          </w:tcPr>
          <w:p w14:paraId="7E624172" w14:textId="77777777" w:rsidR="006561BA" w:rsidRDefault="005B4ED6">
            <w:pPr>
              <w:widowControl w:val="0"/>
              <w:shd w:val="clear" w:color="auto" w:fill="auto"/>
              <w:spacing w:after="0" w:line="240" w:lineRule="auto"/>
              <w:jc w:val="left"/>
              <w:rPr>
                <w:rFonts w:ascii="Helvetica" w:eastAsia="Arial Unicode MS" w:hAnsi="Helvetica" w:cs="Times New Roman"/>
                <w:color w:val="000000" w:themeColor="text1"/>
                <w:sz w:val="6"/>
                <w:szCs w:val="6"/>
              </w:rPr>
            </w:pPr>
            <w:r>
              <w:rPr>
                <w:rFonts w:ascii="Helvetica" w:hAnsi="Helvetica"/>
                <w:color w:val="000000" w:themeColor="text1"/>
                <w:sz w:val="6"/>
              </w:rPr>
              <w:t>Hvorav muliggjørende (%)</w:t>
            </w:r>
          </w:p>
        </w:tc>
        <w:tc>
          <w:tcPr>
            <w:tcW w:w="492" w:type="dxa"/>
            <w:vMerge/>
            <w:tcBorders>
              <w:left w:val="single" w:sz="4" w:space="0" w:color="auto"/>
            </w:tcBorders>
            <w:tcMar>
              <w:top w:w="10" w:type="dxa"/>
              <w:bottom w:w="10" w:type="dxa"/>
            </w:tcMar>
            <w:vAlign w:val="center"/>
          </w:tcPr>
          <w:p w14:paraId="1A75B7A4"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7" w:type="dxa"/>
            <w:tcBorders>
              <w:left w:val="single" w:sz="4" w:space="0" w:color="auto"/>
            </w:tcBorders>
            <w:tcMar>
              <w:top w:w="10" w:type="dxa"/>
              <w:bottom w:w="10" w:type="dxa"/>
            </w:tcMar>
            <w:vAlign w:val="center"/>
          </w:tcPr>
          <w:p w14:paraId="3112C08E"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87" w:type="dxa"/>
            <w:tcBorders>
              <w:top w:val="single" w:sz="4" w:space="0" w:color="auto"/>
              <w:left w:val="single" w:sz="4" w:space="0" w:color="auto"/>
            </w:tcBorders>
            <w:tcMar>
              <w:top w:w="10" w:type="dxa"/>
              <w:bottom w:w="10" w:type="dxa"/>
            </w:tcMar>
            <w:vAlign w:val="center"/>
          </w:tcPr>
          <w:p w14:paraId="3771E758" w14:textId="77777777" w:rsidR="006561BA" w:rsidRDefault="005B4ED6">
            <w:pPr>
              <w:widowControl w:val="0"/>
              <w:shd w:val="clear" w:color="auto" w:fill="auto"/>
              <w:spacing w:after="0" w:line="240" w:lineRule="auto"/>
              <w:jc w:val="left"/>
              <w:rPr>
                <w:rFonts w:ascii="Helvetica" w:eastAsia="Arial Unicode MS" w:hAnsi="Helvetica" w:cs="Times New Roman"/>
                <w:color w:val="000000" w:themeColor="text1"/>
                <w:sz w:val="6"/>
                <w:szCs w:val="6"/>
              </w:rPr>
            </w:pPr>
            <w:r>
              <w:rPr>
                <w:rFonts w:ascii="Helvetica" w:hAnsi="Helvetica"/>
                <w:color w:val="000000" w:themeColor="text1"/>
                <w:sz w:val="6"/>
              </w:rPr>
              <w:t>Hvorav muliggjørende (%)</w:t>
            </w:r>
          </w:p>
        </w:tc>
        <w:tc>
          <w:tcPr>
            <w:tcW w:w="497" w:type="dxa"/>
            <w:vMerge/>
            <w:tcBorders>
              <w:left w:val="single" w:sz="4" w:space="0" w:color="auto"/>
            </w:tcBorders>
            <w:tcMar>
              <w:top w:w="10" w:type="dxa"/>
              <w:bottom w:w="10" w:type="dxa"/>
            </w:tcMar>
            <w:vAlign w:val="center"/>
          </w:tcPr>
          <w:p w14:paraId="27C4FA0E"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2" w:type="dxa"/>
            <w:tcBorders>
              <w:left w:val="single" w:sz="4" w:space="0" w:color="auto"/>
            </w:tcBorders>
            <w:tcMar>
              <w:top w:w="10" w:type="dxa"/>
              <w:bottom w:w="10" w:type="dxa"/>
            </w:tcMar>
            <w:vAlign w:val="center"/>
          </w:tcPr>
          <w:p w14:paraId="4AB9B1D1"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2" w:type="dxa"/>
            <w:tcBorders>
              <w:top w:val="single" w:sz="4" w:space="0" w:color="auto"/>
              <w:left w:val="single" w:sz="4" w:space="0" w:color="auto"/>
            </w:tcBorders>
            <w:tcMar>
              <w:top w:w="10" w:type="dxa"/>
              <w:bottom w:w="10" w:type="dxa"/>
            </w:tcMar>
            <w:vAlign w:val="center"/>
          </w:tcPr>
          <w:p w14:paraId="50E78ABF" w14:textId="77777777" w:rsidR="006561BA" w:rsidRDefault="005B4ED6">
            <w:pPr>
              <w:widowControl w:val="0"/>
              <w:shd w:val="clear" w:color="auto" w:fill="auto"/>
              <w:spacing w:after="0" w:line="240" w:lineRule="auto"/>
              <w:jc w:val="left"/>
              <w:rPr>
                <w:rFonts w:ascii="Helvetica" w:eastAsia="Arial Unicode MS" w:hAnsi="Helvetica" w:cs="Times New Roman"/>
                <w:color w:val="000000" w:themeColor="text1"/>
                <w:sz w:val="6"/>
                <w:szCs w:val="6"/>
              </w:rPr>
            </w:pPr>
            <w:r>
              <w:rPr>
                <w:rFonts w:ascii="Helvetica" w:hAnsi="Helvetica"/>
                <w:color w:val="000000" w:themeColor="text1"/>
                <w:sz w:val="6"/>
              </w:rPr>
              <w:t>Hvorav muliggjørende (%)</w:t>
            </w:r>
          </w:p>
        </w:tc>
        <w:tc>
          <w:tcPr>
            <w:tcW w:w="492" w:type="dxa"/>
            <w:vMerge/>
            <w:tcBorders>
              <w:left w:val="single" w:sz="4" w:space="0" w:color="auto"/>
            </w:tcBorders>
            <w:tcMar>
              <w:top w:w="10" w:type="dxa"/>
              <w:bottom w:w="10" w:type="dxa"/>
            </w:tcMar>
            <w:vAlign w:val="center"/>
          </w:tcPr>
          <w:p w14:paraId="5DC2A9D6"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2" w:type="dxa"/>
            <w:tcBorders>
              <w:left w:val="single" w:sz="4" w:space="0" w:color="auto"/>
            </w:tcBorders>
            <w:tcMar>
              <w:top w:w="10" w:type="dxa"/>
              <w:bottom w:w="10" w:type="dxa"/>
            </w:tcMar>
            <w:vAlign w:val="center"/>
          </w:tcPr>
          <w:p w14:paraId="0FFA5887"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2" w:type="dxa"/>
            <w:tcBorders>
              <w:top w:val="single" w:sz="4" w:space="0" w:color="auto"/>
              <w:left w:val="single" w:sz="4" w:space="0" w:color="auto"/>
            </w:tcBorders>
            <w:tcMar>
              <w:top w:w="10" w:type="dxa"/>
              <w:bottom w:w="10" w:type="dxa"/>
            </w:tcMar>
            <w:vAlign w:val="center"/>
          </w:tcPr>
          <w:p w14:paraId="1222E818" w14:textId="77777777" w:rsidR="006561BA" w:rsidRDefault="005B4ED6">
            <w:pPr>
              <w:widowControl w:val="0"/>
              <w:shd w:val="clear" w:color="auto" w:fill="auto"/>
              <w:spacing w:after="0" w:line="240" w:lineRule="auto"/>
              <w:jc w:val="left"/>
              <w:rPr>
                <w:rFonts w:ascii="Helvetica" w:eastAsia="Arial Unicode MS" w:hAnsi="Helvetica" w:cs="Times New Roman"/>
                <w:color w:val="000000" w:themeColor="text1"/>
                <w:sz w:val="6"/>
                <w:szCs w:val="6"/>
              </w:rPr>
            </w:pPr>
            <w:r>
              <w:rPr>
                <w:rFonts w:ascii="Helvetica" w:hAnsi="Helvetica"/>
                <w:color w:val="000000" w:themeColor="text1"/>
                <w:sz w:val="6"/>
              </w:rPr>
              <w:t>Hvorav muliggjørende (%)</w:t>
            </w:r>
          </w:p>
        </w:tc>
        <w:tc>
          <w:tcPr>
            <w:tcW w:w="428" w:type="dxa"/>
            <w:vMerge/>
            <w:tcBorders>
              <w:left w:val="single" w:sz="4" w:space="0" w:color="auto"/>
            </w:tcBorders>
            <w:tcMar>
              <w:top w:w="10" w:type="dxa"/>
              <w:bottom w:w="10" w:type="dxa"/>
            </w:tcMar>
            <w:vAlign w:val="center"/>
          </w:tcPr>
          <w:p w14:paraId="602EAB45"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28" w:type="dxa"/>
            <w:tcBorders>
              <w:left w:val="single" w:sz="4" w:space="0" w:color="auto"/>
            </w:tcBorders>
            <w:tcMar>
              <w:top w:w="10" w:type="dxa"/>
              <w:bottom w:w="10" w:type="dxa"/>
            </w:tcMar>
            <w:vAlign w:val="center"/>
          </w:tcPr>
          <w:p w14:paraId="796D6C00"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549" w:type="dxa"/>
            <w:tcBorders>
              <w:top w:val="single" w:sz="4" w:space="0" w:color="auto"/>
              <w:left w:val="single" w:sz="4" w:space="0" w:color="auto"/>
            </w:tcBorders>
            <w:tcMar>
              <w:top w:w="10" w:type="dxa"/>
              <w:bottom w:w="10" w:type="dxa"/>
            </w:tcMar>
            <w:vAlign w:val="center"/>
          </w:tcPr>
          <w:p w14:paraId="75D53874" w14:textId="77777777" w:rsidR="006561BA" w:rsidRDefault="005B4ED6">
            <w:pPr>
              <w:widowControl w:val="0"/>
              <w:shd w:val="clear" w:color="auto" w:fill="auto"/>
              <w:spacing w:after="0" w:line="240" w:lineRule="auto"/>
              <w:jc w:val="left"/>
              <w:rPr>
                <w:rFonts w:ascii="Helvetica" w:eastAsia="Arial Unicode MS" w:hAnsi="Helvetica" w:cs="Times New Roman"/>
                <w:color w:val="000000" w:themeColor="text1"/>
                <w:sz w:val="6"/>
                <w:szCs w:val="6"/>
              </w:rPr>
            </w:pPr>
            <w:r>
              <w:rPr>
                <w:rFonts w:ascii="Helvetica" w:hAnsi="Helvetica"/>
                <w:color w:val="000000" w:themeColor="text1"/>
                <w:sz w:val="6"/>
              </w:rPr>
              <w:t>Hvorav omstilling (%)</w:t>
            </w:r>
          </w:p>
        </w:tc>
        <w:tc>
          <w:tcPr>
            <w:tcW w:w="658" w:type="dxa"/>
            <w:tcBorders>
              <w:top w:val="single" w:sz="4" w:space="0" w:color="auto"/>
              <w:left w:val="single" w:sz="4" w:space="0" w:color="auto"/>
              <w:right w:val="single" w:sz="4" w:space="0" w:color="auto"/>
            </w:tcBorders>
            <w:tcMar>
              <w:top w:w="10" w:type="dxa"/>
              <w:bottom w:w="10" w:type="dxa"/>
            </w:tcMar>
            <w:vAlign w:val="center"/>
          </w:tcPr>
          <w:p w14:paraId="0FE3AF1B" w14:textId="77777777" w:rsidR="006561BA" w:rsidRDefault="005B4ED6">
            <w:pPr>
              <w:widowControl w:val="0"/>
              <w:shd w:val="clear" w:color="auto" w:fill="auto"/>
              <w:spacing w:after="0" w:line="240" w:lineRule="auto"/>
              <w:jc w:val="left"/>
              <w:rPr>
                <w:rFonts w:ascii="Helvetica" w:eastAsia="Arial Unicode MS" w:hAnsi="Helvetica" w:cs="Times New Roman"/>
                <w:color w:val="000000" w:themeColor="text1"/>
                <w:sz w:val="6"/>
                <w:szCs w:val="6"/>
              </w:rPr>
            </w:pPr>
            <w:r>
              <w:rPr>
                <w:rFonts w:ascii="Helvetica" w:hAnsi="Helvetica"/>
                <w:color w:val="000000" w:themeColor="text1"/>
                <w:sz w:val="6"/>
              </w:rPr>
              <w:t>Hvorav muliggjørende (%)</w:t>
            </w:r>
          </w:p>
        </w:tc>
      </w:tr>
      <w:tr w:rsidR="006561BA" w14:paraId="60A84B1B" w14:textId="77777777">
        <w:tc>
          <w:tcPr>
            <w:tcW w:w="115" w:type="dxa"/>
            <w:tcBorders>
              <w:top w:val="single" w:sz="4" w:space="0" w:color="auto"/>
              <w:left w:val="single" w:sz="4" w:space="0" w:color="auto"/>
            </w:tcBorders>
            <w:tcMar>
              <w:top w:w="10" w:type="dxa"/>
              <w:bottom w:w="10" w:type="dxa"/>
            </w:tcMar>
            <w:vAlign w:val="center"/>
          </w:tcPr>
          <w:p w14:paraId="129DA83E"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1</w:t>
            </w:r>
          </w:p>
        </w:tc>
        <w:tc>
          <w:tcPr>
            <w:tcW w:w="1608" w:type="dxa"/>
            <w:tcBorders>
              <w:top w:val="single" w:sz="4" w:space="0" w:color="auto"/>
              <w:left w:val="single" w:sz="4" w:space="0" w:color="auto"/>
            </w:tcBorders>
            <w:tcMar>
              <w:top w:w="10" w:type="dxa"/>
              <w:bottom w:w="10" w:type="dxa"/>
            </w:tcMar>
            <w:vAlign w:val="center"/>
          </w:tcPr>
          <w:p w14:paraId="454C0ACB" w14:textId="77777777" w:rsidR="006561BA" w:rsidRDefault="005B4ED6">
            <w:pPr>
              <w:widowControl w:val="0"/>
              <w:shd w:val="clear" w:color="auto" w:fill="auto"/>
              <w:spacing w:after="0" w:line="240" w:lineRule="auto"/>
              <w:jc w:val="left"/>
              <w:rPr>
                <w:rFonts w:ascii="Helvetica" w:eastAsia="Arial Unicode MS" w:hAnsi="Helvetica" w:cs="Times New Roman"/>
                <w:b/>
                <w:color w:val="000000" w:themeColor="text1"/>
                <w:sz w:val="6"/>
                <w:szCs w:val="6"/>
              </w:rPr>
            </w:pPr>
            <w:r>
              <w:rPr>
                <w:rFonts w:ascii="Helvetica" w:hAnsi="Helvetica"/>
                <w:b/>
                <w:color w:val="000000" w:themeColor="text1"/>
                <w:sz w:val="6"/>
              </w:rPr>
              <w:t>Inntekter (det vil si gebyrer, provisjoner og andre pengeytelser) fra investeringer og tjenester og andre aktiviteter enn handel for egen regning (iht. avsnitt A i vedlegg I til direktiv 2014/65/EU)</w:t>
            </w:r>
          </w:p>
        </w:tc>
        <w:tc>
          <w:tcPr>
            <w:tcW w:w="487" w:type="dxa"/>
            <w:tcBorders>
              <w:top w:val="single" w:sz="4" w:space="0" w:color="auto"/>
              <w:left w:val="single" w:sz="4" w:space="0" w:color="auto"/>
            </w:tcBorders>
            <w:tcMar>
              <w:top w:w="10" w:type="dxa"/>
              <w:bottom w:w="10" w:type="dxa"/>
            </w:tcMar>
            <w:vAlign w:val="center"/>
          </w:tcPr>
          <w:p w14:paraId="1146F766"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16" w:type="dxa"/>
            <w:tcBorders>
              <w:top w:val="single" w:sz="4" w:space="0" w:color="auto"/>
              <w:left w:val="single" w:sz="4" w:space="0" w:color="auto"/>
            </w:tcBorders>
            <w:tcMar>
              <w:top w:w="10" w:type="dxa"/>
              <w:bottom w:w="10" w:type="dxa"/>
            </w:tcMar>
            <w:vAlign w:val="center"/>
          </w:tcPr>
          <w:p w14:paraId="6A8DBBE0"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01" w:type="dxa"/>
            <w:tcBorders>
              <w:top w:val="single" w:sz="4" w:space="0" w:color="auto"/>
              <w:left w:val="single" w:sz="4" w:space="0" w:color="auto"/>
            </w:tcBorders>
            <w:tcMar>
              <w:top w:w="10" w:type="dxa"/>
              <w:bottom w:w="10" w:type="dxa"/>
            </w:tcMar>
            <w:vAlign w:val="center"/>
          </w:tcPr>
          <w:p w14:paraId="5A6D6693"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365" w:type="dxa"/>
            <w:gridSpan w:val="2"/>
            <w:tcBorders>
              <w:top w:val="single" w:sz="4" w:space="0" w:color="auto"/>
              <w:left w:val="single" w:sz="4" w:space="0" w:color="auto"/>
            </w:tcBorders>
            <w:tcMar>
              <w:top w:w="10" w:type="dxa"/>
              <w:bottom w:w="10" w:type="dxa"/>
            </w:tcMar>
            <w:vAlign w:val="center"/>
          </w:tcPr>
          <w:p w14:paraId="32050C51"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46" w:type="dxa"/>
            <w:gridSpan w:val="2"/>
            <w:tcBorders>
              <w:top w:val="single" w:sz="4" w:space="0" w:color="auto"/>
              <w:left w:val="single" w:sz="4" w:space="0" w:color="auto"/>
            </w:tcBorders>
            <w:tcMar>
              <w:top w:w="10" w:type="dxa"/>
              <w:bottom w:w="10" w:type="dxa"/>
            </w:tcMar>
            <w:vAlign w:val="center"/>
          </w:tcPr>
          <w:p w14:paraId="06B63D05"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06" w:type="dxa"/>
            <w:tcBorders>
              <w:top w:val="single" w:sz="4" w:space="0" w:color="auto"/>
              <w:left w:val="single" w:sz="4" w:space="0" w:color="auto"/>
            </w:tcBorders>
            <w:tcMar>
              <w:top w:w="10" w:type="dxa"/>
              <w:bottom w:w="10" w:type="dxa"/>
            </w:tcMar>
            <w:vAlign w:val="center"/>
          </w:tcPr>
          <w:p w14:paraId="184FA822"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21" w:type="dxa"/>
            <w:tcBorders>
              <w:top w:val="single" w:sz="4" w:space="0" w:color="auto"/>
              <w:left w:val="single" w:sz="4" w:space="0" w:color="auto"/>
            </w:tcBorders>
            <w:tcMar>
              <w:top w:w="10" w:type="dxa"/>
              <w:bottom w:w="10" w:type="dxa"/>
            </w:tcMar>
            <w:vAlign w:val="center"/>
          </w:tcPr>
          <w:p w14:paraId="42F1E67C"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11" w:type="dxa"/>
            <w:tcBorders>
              <w:top w:val="single" w:sz="4" w:space="0" w:color="auto"/>
              <w:left w:val="single" w:sz="4" w:space="0" w:color="auto"/>
            </w:tcBorders>
            <w:tcMar>
              <w:top w:w="10" w:type="dxa"/>
              <w:bottom w:w="10" w:type="dxa"/>
            </w:tcMar>
            <w:vAlign w:val="center"/>
          </w:tcPr>
          <w:p w14:paraId="5523FD7C"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7" w:type="dxa"/>
            <w:tcBorders>
              <w:top w:val="single" w:sz="4" w:space="0" w:color="auto"/>
              <w:left w:val="single" w:sz="4" w:space="0" w:color="auto"/>
            </w:tcBorders>
            <w:tcMar>
              <w:top w:w="10" w:type="dxa"/>
              <w:bottom w:w="10" w:type="dxa"/>
            </w:tcMar>
            <w:vAlign w:val="center"/>
          </w:tcPr>
          <w:p w14:paraId="60C0611A"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4F5A013B"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4AEE05A8"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285BD3FA"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65DFDE68"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7" w:type="dxa"/>
            <w:tcBorders>
              <w:top w:val="single" w:sz="4" w:space="0" w:color="auto"/>
              <w:left w:val="single" w:sz="4" w:space="0" w:color="auto"/>
            </w:tcBorders>
            <w:tcMar>
              <w:top w:w="10" w:type="dxa"/>
              <w:bottom w:w="10" w:type="dxa"/>
            </w:tcMar>
            <w:vAlign w:val="center"/>
          </w:tcPr>
          <w:p w14:paraId="58642BA6"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87" w:type="dxa"/>
            <w:tcBorders>
              <w:top w:val="single" w:sz="4" w:space="0" w:color="auto"/>
              <w:left w:val="single" w:sz="4" w:space="0" w:color="auto"/>
            </w:tcBorders>
            <w:tcMar>
              <w:top w:w="10" w:type="dxa"/>
              <w:bottom w:w="10" w:type="dxa"/>
            </w:tcMar>
            <w:vAlign w:val="center"/>
          </w:tcPr>
          <w:p w14:paraId="15EB606A"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7" w:type="dxa"/>
            <w:tcBorders>
              <w:top w:val="single" w:sz="4" w:space="0" w:color="auto"/>
              <w:left w:val="single" w:sz="4" w:space="0" w:color="auto"/>
            </w:tcBorders>
            <w:tcMar>
              <w:top w:w="10" w:type="dxa"/>
              <w:bottom w:w="10" w:type="dxa"/>
            </w:tcMar>
            <w:vAlign w:val="center"/>
          </w:tcPr>
          <w:p w14:paraId="01DE8593"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50B6FB51"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16D444FF"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6867AAB3"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6C0C7A7A"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35C39847"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28" w:type="dxa"/>
            <w:tcBorders>
              <w:top w:val="single" w:sz="4" w:space="0" w:color="auto"/>
              <w:left w:val="single" w:sz="4" w:space="0" w:color="auto"/>
            </w:tcBorders>
            <w:tcMar>
              <w:top w:w="10" w:type="dxa"/>
              <w:bottom w:w="10" w:type="dxa"/>
            </w:tcMar>
            <w:vAlign w:val="center"/>
          </w:tcPr>
          <w:p w14:paraId="2BB59C4F"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28" w:type="dxa"/>
            <w:tcBorders>
              <w:top w:val="single" w:sz="4" w:space="0" w:color="auto"/>
              <w:left w:val="single" w:sz="4" w:space="0" w:color="auto"/>
            </w:tcBorders>
            <w:tcMar>
              <w:top w:w="10" w:type="dxa"/>
              <w:bottom w:w="10" w:type="dxa"/>
            </w:tcMar>
            <w:vAlign w:val="center"/>
          </w:tcPr>
          <w:p w14:paraId="713A453C"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49" w:type="dxa"/>
            <w:tcBorders>
              <w:top w:val="single" w:sz="4" w:space="0" w:color="auto"/>
              <w:left w:val="single" w:sz="4" w:space="0" w:color="auto"/>
            </w:tcBorders>
            <w:tcMar>
              <w:top w:w="10" w:type="dxa"/>
              <w:bottom w:w="10" w:type="dxa"/>
            </w:tcMar>
            <w:vAlign w:val="center"/>
          </w:tcPr>
          <w:p w14:paraId="637EF406"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658" w:type="dxa"/>
            <w:tcBorders>
              <w:top w:val="single" w:sz="4" w:space="0" w:color="auto"/>
              <w:left w:val="single" w:sz="4" w:space="0" w:color="auto"/>
              <w:right w:val="single" w:sz="4" w:space="0" w:color="auto"/>
            </w:tcBorders>
            <w:tcMar>
              <w:top w:w="10" w:type="dxa"/>
              <w:bottom w:w="10" w:type="dxa"/>
            </w:tcMar>
            <w:vAlign w:val="center"/>
          </w:tcPr>
          <w:p w14:paraId="1864734F"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r>
      <w:tr w:rsidR="006561BA" w14:paraId="6D8E1785" w14:textId="77777777">
        <w:tc>
          <w:tcPr>
            <w:tcW w:w="115" w:type="dxa"/>
            <w:tcBorders>
              <w:top w:val="single" w:sz="4" w:space="0" w:color="auto"/>
              <w:left w:val="single" w:sz="4" w:space="0" w:color="auto"/>
            </w:tcBorders>
            <w:tcMar>
              <w:top w:w="10" w:type="dxa"/>
              <w:bottom w:w="10" w:type="dxa"/>
            </w:tcMar>
            <w:vAlign w:val="center"/>
          </w:tcPr>
          <w:p w14:paraId="3356277F"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2</w:t>
            </w:r>
          </w:p>
        </w:tc>
        <w:tc>
          <w:tcPr>
            <w:tcW w:w="1608" w:type="dxa"/>
            <w:tcBorders>
              <w:top w:val="single" w:sz="4" w:space="0" w:color="auto"/>
              <w:left w:val="single" w:sz="4" w:space="0" w:color="auto"/>
            </w:tcBorders>
            <w:tcMar>
              <w:top w:w="10" w:type="dxa"/>
              <w:bottom w:w="10" w:type="dxa"/>
            </w:tcMar>
            <w:vAlign w:val="center"/>
          </w:tcPr>
          <w:p w14:paraId="0B360111" w14:textId="77777777" w:rsidR="006561BA" w:rsidRDefault="005B4ED6">
            <w:pPr>
              <w:widowControl w:val="0"/>
              <w:shd w:val="clear" w:color="auto" w:fill="auto"/>
              <w:spacing w:after="0" w:line="240" w:lineRule="auto"/>
              <w:ind w:left="60"/>
              <w:jc w:val="left"/>
              <w:rPr>
                <w:rFonts w:ascii="Helvetica" w:eastAsia="Arial Unicode MS" w:hAnsi="Helvetica" w:cs="Times New Roman"/>
                <w:color w:val="000000" w:themeColor="text1"/>
                <w:sz w:val="6"/>
                <w:szCs w:val="6"/>
              </w:rPr>
            </w:pPr>
            <w:r>
              <w:rPr>
                <w:rFonts w:ascii="Helvetica" w:hAnsi="Helvetica"/>
                <w:color w:val="000000" w:themeColor="text1"/>
                <w:sz w:val="6"/>
              </w:rPr>
              <w:t>Mottak og formidling av ordrer i forbindelse med et eller flere finansielle instrumenter.</w:t>
            </w:r>
          </w:p>
        </w:tc>
        <w:tc>
          <w:tcPr>
            <w:tcW w:w="487" w:type="dxa"/>
            <w:tcBorders>
              <w:top w:val="single" w:sz="4" w:space="0" w:color="auto"/>
              <w:left w:val="single" w:sz="4" w:space="0" w:color="auto"/>
            </w:tcBorders>
            <w:tcMar>
              <w:top w:w="10" w:type="dxa"/>
              <w:bottom w:w="10" w:type="dxa"/>
            </w:tcMar>
            <w:vAlign w:val="center"/>
          </w:tcPr>
          <w:p w14:paraId="31D3990E"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16" w:type="dxa"/>
            <w:tcBorders>
              <w:top w:val="single" w:sz="4" w:space="0" w:color="auto"/>
              <w:left w:val="single" w:sz="4" w:space="0" w:color="auto"/>
            </w:tcBorders>
            <w:tcMar>
              <w:top w:w="10" w:type="dxa"/>
              <w:bottom w:w="10" w:type="dxa"/>
            </w:tcMar>
            <w:vAlign w:val="center"/>
          </w:tcPr>
          <w:p w14:paraId="1DA38A8D"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01" w:type="dxa"/>
            <w:tcBorders>
              <w:top w:val="single" w:sz="4" w:space="0" w:color="auto"/>
              <w:left w:val="single" w:sz="4" w:space="0" w:color="auto"/>
            </w:tcBorders>
            <w:tcMar>
              <w:top w:w="10" w:type="dxa"/>
              <w:bottom w:w="10" w:type="dxa"/>
            </w:tcMar>
            <w:vAlign w:val="center"/>
          </w:tcPr>
          <w:p w14:paraId="2606FC3F"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365" w:type="dxa"/>
            <w:gridSpan w:val="2"/>
            <w:tcBorders>
              <w:top w:val="single" w:sz="4" w:space="0" w:color="auto"/>
              <w:left w:val="single" w:sz="4" w:space="0" w:color="auto"/>
            </w:tcBorders>
            <w:tcMar>
              <w:top w:w="10" w:type="dxa"/>
              <w:bottom w:w="10" w:type="dxa"/>
            </w:tcMar>
            <w:vAlign w:val="center"/>
          </w:tcPr>
          <w:p w14:paraId="7507B920"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46" w:type="dxa"/>
            <w:gridSpan w:val="2"/>
            <w:tcBorders>
              <w:top w:val="single" w:sz="4" w:space="0" w:color="auto"/>
              <w:left w:val="single" w:sz="4" w:space="0" w:color="auto"/>
            </w:tcBorders>
            <w:tcMar>
              <w:top w:w="10" w:type="dxa"/>
              <w:bottom w:w="10" w:type="dxa"/>
            </w:tcMar>
            <w:vAlign w:val="center"/>
          </w:tcPr>
          <w:p w14:paraId="44560253"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06" w:type="dxa"/>
            <w:tcBorders>
              <w:top w:val="single" w:sz="4" w:space="0" w:color="auto"/>
              <w:left w:val="single" w:sz="4" w:space="0" w:color="auto"/>
            </w:tcBorders>
            <w:tcMar>
              <w:top w:w="10" w:type="dxa"/>
              <w:bottom w:w="10" w:type="dxa"/>
            </w:tcMar>
            <w:vAlign w:val="center"/>
          </w:tcPr>
          <w:p w14:paraId="32A4142D"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21" w:type="dxa"/>
            <w:tcBorders>
              <w:top w:val="single" w:sz="4" w:space="0" w:color="auto"/>
              <w:left w:val="single" w:sz="4" w:space="0" w:color="auto"/>
            </w:tcBorders>
            <w:tcMar>
              <w:top w:w="10" w:type="dxa"/>
              <w:bottom w:w="10" w:type="dxa"/>
            </w:tcMar>
            <w:vAlign w:val="center"/>
          </w:tcPr>
          <w:p w14:paraId="5BA6DD02"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11" w:type="dxa"/>
            <w:tcBorders>
              <w:top w:val="single" w:sz="4" w:space="0" w:color="auto"/>
              <w:left w:val="single" w:sz="4" w:space="0" w:color="auto"/>
            </w:tcBorders>
            <w:tcMar>
              <w:top w:w="10" w:type="dxa"/>
              <w:bottom w:w="10" w:type="dxa"/>
            </w:tcMar>
            <w:vAlign w:val="center"/>
          </w:tcPr>
          <w:p w14:paraId="2B798DB0"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7" w:type="dxa"/>
            <w:tcBorders>
              <w:top w:val="single" w:sz="4" w:space="0" w:color="auto"/>
              <w:left w:val="single" w:sz="4" w:space="0" w:color="auto"/>
            </w:tcBorders>
            <w:tcMar>
              <w:top w:w="10" w:type="dxa"/>
              <w:bottom w:w="10" w:type="dxa"/>
            </w:tcMar>
            <w:vAlign w:val="center"/>
          </w:tcPr>
          <w:p w14:paraId="713D6B5B"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5C4C7AC4"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7D0EA304"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3590CD49"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0F2034AD"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7" w:type="dxa"/>
            <w:tcBorders>
              <w:top w:val="single" w:sz="4" w:space="0" w:color="auto"/>
              <w:left w:val="single" w:sz="4" w:space="0" w:color="auto"/>
            </w:tcBorders>
            <w:tcMar>
              <w:top w:w="10" w:type="dxa"/>
              <w:bottom w:w="10" w:type="dxa"/>
            </w:tcMar>
            <w:vAlign w:val="center"/>
          </w:tcPr>
          <w:p w14:paraId="61918B71"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87" w:type="dxa"/>
            <w:tcBorders>
              <w:top w:val="single" w:sz="4" w:space="0" w:color="auto"/>
              <w:left w:val="single" w:sz="4" w:space="0" w:color="auto"/>
            </w:tcBorders>
            <w:tcMar>
              <w:top w:w="10" w:type="dxa"/>
              <w:bottom w:w="10" w:type="dxa"/>
            </w:tcMar>
            <w:vAlign w:val="center"/>
          </w:tcPr>
          <w:p w14:paraId="279F498A"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7" w:type="dxa"/>
            <w:tcBorders>
              <w:top w:val="single" w:sz="4" w:space="0" w:color="auto"/>
              <w:left w:val="single" w:sz="4" w:space="0" w:color="auto"/>
            </w:tcBorders>
            <w:tcMar>
              <w:top w:w="10" w:type="dxa"/>
              <w:bottom w:w="10" w:type="dxa"/>
            </w:tcMar>
            <w:vAlign w:val="center"/>
          </w:tcPr>
          <w:p w14:paraId="24D504A8"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1B206C7D"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45EEA784"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6F9D3DF4"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7E5EB305"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1206D0EA"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28" w:type="dxa"/>
            <w:tcBorders>
              <w:top w:val="single" w:sz="4" w:space="0" w:color="auto"/>
              <w:left w:val="single" w:sz="4" w:space="0" w:color="auto"/>
            </w:tcBorders>
            <w:tcMar>
              <w:top w:w="10" w:type="dxa"/>
              <w:bottom w:w="10" w:type="dxa"/>
            </w:tcMar>
            <w:vAlign w:val="center"/>
          </w:tcPr>
          <w:p w14:paraId="2A894B7E"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28" w:type="dxa"/>
            <w:tcBorders>
              <w:top w:val="single" w:sz="4" w:space="0" w:color="auto"/>
              <w:left w:val="single" w:sz="4" w:space="0" w:color="auto"/>
            </w:tcBorders>
            <w:tcMar>
              <w:top w:w="10" w:type="dxa"/>
              <w:bottom w:w="10" w:type="dxa"/>
            </w:tcMar>
            <w:vAlign w:val="center"/>
          </w:tcPr>
          <w:p w14:paraId="7021FA3C"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49" w:type="dxa"/>
            <w:tcBorders>
              <w:top w:val="single" w:sz="4" w:space="0" w:color="auto"/>
              <w:left w:val="single" w:sz="4" w:space="0" w:color="auto"/>
            </w:tcBorders>
            <w:tcMar>
              <w:top w:w="10" w:type="dxa"/>
              <w:bottom w:w="10" w:type="dxa"/>
            </w:tcMar>
            <w:vAlign w:val="center"/>
          </w:tcPr>
          <w:p w14:paraId="6289CB5A"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658" w:type="dxa"/>
            <w:tcBorders>
              <w:top w:val="single" w:sz="4" w:space="0" w:color="auto"/>
              <w:left w:val="single" w:sz="4" w:space="0" w:color="auto"/>
              <w:right w:val="single" w:sz="4" w:space="0" w:color="auto"/>
            </w:tcBorders>
            <w:tcMar>
              <w:top w:w="10" w:type="dxa"/>
              <w:bottom w:w="10" w:type="dxa"/>
            </w:tcMar>
            <w:vAlign w:val="center"/>
          </w:tcPr>
          <w:p w14:paraId="5B4B29C3"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r>
      <w:tr w:rsidR="006561BA" w14:paraId="64C6A120" w14:textId="77777777">
        <w:tc>
          <w:tcPr>
            <w:tcW w:w="115" w:type="dxa"/>
            <w:tcBorders>
              <w:top w:val="single" w:sz="4" w:space="0" w:color="auto"/>
              <w:left w:val="single" w:sz="4" w:space="0" w:color="auto"/>
            </w:tcBorders>
            <w:tcMar>
              <w:top w:w="10" w:type="dxa"/>
              <w:bottom w:w="10" w:type="dxa"/>
            </w:tcMar>
            <w:vAlign w:val="center"/>
          </w:tcPr>
          <w:p w14:paraId="7F2948EA"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3</w:t>
            </w:r>
          </w:p>
        </w:tc>
        <w:tc>
          <w:tcPr>
            <w:tcW w:w="1608" w:type="dxa"/>
            <w:tcBorders>
              <w:top w:val="single" w:sz="4" w:space="0" w:color="auto"/>
              <w:left w:val="single" w:sz="4" w:space="0" w:color="auto"/>
            </w:tcBorders>
            <w:tcMar>
              <w:top w:w="10" w:type="dxa"/>
              <w:bottom w:w="10" w:type="dxa"/>
            </w:tcMar>
            <w:vAlign w:val="center"/>
          </w:tcPr>
          <w:p w14:paraId="6DDF4618" w14:textId="77777777" w:rsidR="006561BA" w:rsidRDefault="005B4ED6">
            <w:pPr>
              <w:widowControl w:val="0"/>
              <w:shd w:val="clear" w:color="auto" w:fill="auto"/>
              <w:spacing w:after="0" w:line="240" w:lineRule="auto"/>
              <w:ind w:left="60"/>
              <w:jc w:val="left"/>
              <w:rPr>
                <w:rFonts w:ascii="Helvetica" w:eastAsia="Arial Unicode MS" w:hAnsi="Helvetica" w:cs="Times New Roman"/>
                <w:color w:val="000000" w:themeColor="text1"/>
                <w:sz w:val="6"/>
                <w:szCs w:val="6"/>
              </w:rPr>
            </w:pPr>
            <w:r>
              <w:rPr>
                <w:rFonts w:ascii="Helvetica" w:hAnsi="Helvetica"/>
                <w:color w:val="000000" w:themeColor="text1"/>
                <w:sz w:val="6"/>
              </w:rPr>
              <w:t>Utførelse av ordrer på vegne av kunder</w:t>
            </w:r>
          </w:p>
        </w:tc>
        <w:tc>
          <w:tcPr>
            <w:tcW w:w="487" w:type="dxa"/>
            <w:tcBorders>
              <w:top w:val="single" w:sz="4" w:space="0" w:color="auto"/>
              <w:left w:val="single" w:sz="4" w:space="0" w:color="auto"/>
            </w:tcBorders>
            <w:tcMar>
              <w:top w:w="10" w:type="dxa"/>
              <w:bottom w:w="10" w:type="dxa"/>
            </w:tcMar>
            <w:vAlign w:val="center"/>
          </w:tcPr>
          <w:p w14:paraId="2991081F"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16" w:type="dxa"/>
            <w:tcBorders>
              <w:top w:val="single" w:sz="4" w:space="0" w:color="auto"/>
              <w:left w:val="single" w:sz="4" w:space="0" w:color="auto"/>
            </w:tcBorders>
            <w:tcMar>
              <w:top w:w="10" w:type="dxa"/>
              <w:bottom w:w="10" w:type="dxa"/>
            </w:tcMar>
            <w:vAlign w:val="center"/>
          </w:tcPr>
          <w:p w14:paraId="3BF15B6A"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01" w:type="dxa"/>
            <w:tcBorders>
              <w:top w:val="single" w:sz="4" w:space="0" w:color="auto"/>
              <w:left w:val="single" w:sz="4" w:space="0" w:color="auto"/>
            </w:tcBorders>
            <w:tcMar>
              <w:top w:w="10" w:type="dxa"/>
              <w:bottom w:w="10" w:type="dxa"/>
            </w:tcMar>
            <w:vAlign w:val="center"/>
          </w:tcPr>
          <w:p w14:paraId="354CB64B"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365" w:type="dxa"/>
            <w:gridSpan w:val="2"/>
            <w:tcBorders>
              <w:top w:val="single" w:sz="4" w:space="0" w:color="auto"/>
              <w:left w:val="single" w:sz="4" w:space="0" w:color="auto"/>
            </w:tcBorders>
            <w:tcMar>
              <w:top w:w="10" w:type="dxa"/>
              <w:bottom w:w="10" w:type="dxa"/>
            </w:tcMar>
            <w:vAlign w:val="center"/>
          </w:tcPr>
          <w:p w14:paraId="5AFA2B58"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46" w:type="dxa"/>
            <w:gridSpan w:val="2"/>
            <w:tcBorders>
              <w:top w:val="single" w:sz="4" w:space="0" w:color="auto"/>
              <w:left w:val="single" w:sz="4" w:space="0" w:color="auto"/>
            </w:tcBorders>
            <w:tcMar>
              <w:top w:w="10" w:type="dxa"/>
              <w:bottom w:w="10" w:type="dxa"/>
            </w:tcMar>
            <w:vAlign w:val="center"/>
          </w:tcPr>
          <w:p w14:paraId="4A5DAF7A"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06" w:type="dxa"/>
            <w:tcBorders>
              <w:top w:val="single" w:sz="4" w:space="0" w:color="auto"/>
              <w:left w:val="single" w:sz="4" w:space="0" w:color="auto"/>
            </w:tcBorders>
            <w:tcMar>
              <w:top w:w="10" w:type="dxa"/>
              <w:bottom w:w="10" w:type="dxa"/>
            </w:tcMar>
            <w:vAlign w:val="center"/>
          </w:tcPr>
          <w:p w14:paraId="0721B35D"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21" w:type="dxa"/>
            <w:tcBorders>
              <w:top w:val="single" w:sz="4" w:space="0" w:color="auto"/>
              <w:left w:val="single" w:sz="4" w:space="0" w:color="auto"/>
            </w:tcBorders>
            <w:tcMar>
              <w:top w:w="10" w:type="dxa"/>
              <w:bottom w:w="10" w:type="dxa"/>
            </w:tcMar>
            <w:vAlign w:val="center"/>
          </w:tcPr>
          <w:p w14:paraId="32EABAAC"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11" w:type="dxa"/>
            <w:tcBorders>
              <w:top w:val="single" w:sz="4" w:space="0" w:color="auto"/>
              <w:left w:val="single" w:sz="4" w:space="0" w:color="auto"/>
            </w:tcBorders>
            <w:tcMar>
              <w:top w:w="10" w:type="dxa"/>
              <w:bottom w:w="10" w:type="dxa"/>
            </w:tcMar>
            <w:vAlign w:val="center"/>
          </w:tcPr>
          <w:p w14:paraId="720821B0"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7" w:type="dxa"/>
            <w:tcBorders>
              <w:top w:val="single" w:sz="4" w:space="0" w:color="auto"/>
              <w:left w:val="single" w:sz="4" w:space="0" w:color="auto"/>
            </w:tcBorders>
            <w:tcMar>
              <w:top w:w="10" w:type="dxa"/>
              <w:bottom w:w="10" w:type="dxa"/>
            </w:tcMar>
            <w:vAlign w:val="center"/>
          </w:tcPr>
          <w:p w14:paraId="3D014889"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75488350"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79E28234"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01AA05B2"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72A93A6E"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7" w:type="dxa"/>
            <w:tcBorders>
              <w:top w:val="single" w:sz="4" w:space="0" w:color="auto"/>
              <w:left w:val="single" w:sz="4" w:space="0" w:color="auto"/>
            </w:tcBorders>
            <w:tcMar>
              <w:top w:w="10" w:type="dxa"/>
              <w:bottom w:w="10" w:type="dxa"/>
            </w:tcMar>
            <w:vAlign w:val="center"/>
          </w:tcPr>
          <w:p w14:paraId="613373B7"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87" w:type="dxa"/>
            <w:tcBorders>
              <w:top w:val="single" w:sz="4" w:space="0" w:color="auto"/>
              <w:left w:val="single" w:sz="4" w:space="0" w:color="auto"/>
            </w:tcBorders>
            <w:tcMar>
              <w:top w:w="10" w:type="dxa"/>
              <w:bottom w:w="10" w:type="dxa"/>
            </w:tcMar>
            <w:vAlign w:val="center"/>
          </w:tcPr>
          <w:p w14:paraId="0DEB0C20"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7" w:type="dxa"/>
            <w:tcBorders>
              <w:top w:val="single" w:sz="4" w:space="0" w:color="auto"/>
              <w:left w:val="single" w:sz="4" w:space="0" w:color="auto"/>
            </w:tcBorders>
            <w:tcMar>
              <w:top w:w="10" w:type="dxa"/>
              <w:bottom w:w="10" w:type="dxa"/>
            </w:tcMar>
            <w:vAlign w:val="center"/>
          </w:tcPr>
          <w:p w14:paraId="0D3CD689"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71FEEE01"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5BFD8AF5"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28C8B6BE"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3717536B"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14E7F2C9"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28" w:type="dxa"/>
            <w:tcBorders>
              <w:top w:val="single" w:sz="4" w:space="0" w:color="auto"/>
              <w:left w:val="single" w:sz="4" w:space="0" w:color="auto"/>
            </w:tcBorders>
            <w:tcMar>
              <w:top w:w="10" w:type="dxa"/>
              <w:bottom w:w="10" w:type="dxa"/>
            </w:tcMar>
            <w:vAlign w:val="center"/>
          </w:tcPr>
          <w:p w14:paraId="2159C45D"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28" w:type="dxa"/>
            <w:tcBorders>
              <w:top w:val="single" w:sz="4" w:space="0" w:color="auto"/>
              <w:left w:val="single" w:sz="4" w:space="0" w:color="auto"/>
            </w:tcBorders>
            <w:tcMar>
              <w:top w:w="10" w:type="dxa"/>
              <w:bottom w:w="10" w:type="dxa"/>
            </w:tcMar>
            <w:vAlign w:val="center"/>
          </w:tcPr>
          <w:p w14:paraId="0BCEF83C"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49" w:type="dxa"/>
            <w:tcBorders>
              <w:top w:val="single" w:sz="4" w:space="0" w:color="auto"/>
              <w:left w:val="single" w:sz="4" w:space="0" w:color="auto"/>
            </w:tcBorders>
            <w:tcMar>
              <w:top w:w="10" w:type="dxa"/>
              <w:bottom w:w="10" w:type="dxa"/>
            </w:tcMar>
            <w:vAlign w:val="center"/>
          </w:tcPr>
          <w:p w14:paraId="1E15BE1C"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658" w:type="dxa"/>
            <w:tcBorders>
              <w:top w:val="single" w:sz="4" w:space="0" w:color="auto"/>
              <w:left w:val="single" w:sz="4" w:space="0" w:color="auto"/>
              <w:right w:val="single" w:sz="4" w:space="0" w:color="auto"/>
            </w:tcBorders>
            <w:tcMar>
              <w:top w:w="10" w:type="dxa"/>
              <w:bottom w:w="10" w:type="dxa"/>
            </w:tcMar>
            <w:vAlign w:val="center"/>
          </w:tcPr>
          <w:p w14:paraId="432B075F"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r>
      <w:tr w:rsidR="006561BA" w14:paraId="7E19628A" w14:textId="77777777">
        <w:tc>
          <w:tcPr>
            <w:tcW w:w="115" w:type="dxa"/>
            <w:tcBorders>
              <w:top w:val="single" w:sz="4" w:space="0" w:color="auto"/>
              <w:left w:val="single" w:sz="4" w:space="0" w:color="auto"/>
            </w:tcBorders>
            <w:tcMar>
              <w:top w:w="10" w:type="dxa"/>
              <w:bottom w:w="10" w:type="dxa"/>
            </w:tcMar>
            <w:vAlign w:val="center"/>
          </w:tcPr>
          <w:p w14:paraId="33202BC2"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4</w:t>
            </w:r>
          </w:p>
        </w:tc>
        <w:tc>
          <w:tcPr>
            <w:tcW w:w="1608" w:type="dxa"/>
            <w:tcBorders>
              <w:top w:val="single" w:sz="4" w:space="0" w:color="auto"/>
              <w:left w:val="single" w:sz="4" w:space="0" w:color="auto"/>
            </w:tcBorders>
            <w:tcMar>
              <w:top w:w="10" w:type="dxa"/>
              <w:bottom w:w="10" w:type="dxa"/>
            </w:tcMar>
            <w:vAlign w:val="center"/>
          </w:tcPr>
          <w:p w14:paraId="743B70DD" w14:textId="77777777" w:rsidR="006561BA" w:rsidRDefault="005B4ED6">
            <w:pPr>
              <w:widowControl w:val="0"/>
              <w:shd w:val="clear" w:color="auto" w:fill="auto"/>
              <w:spacing w:after="0" w:line="240" w:lineRule="auto"/>
              <w:ind w:left="60"/>
              <w:jc w:val="left"/>
              <w:rPr>
                <w:rFonts w:ascii="Helvetica" w:eastAsia="Arial Unicode MS" w:hAnsi="Helvetica" w:cs="Times New Roman"/>
                <w:color w:val="000000" w:themeColor="text1"/>
                <w:sz w:val="6"/>
                <w:szCs w:val="6"/>
              </w:rPr>
            </w:pPr>
            <w:r>
              <w:rPr>
                <w:rFonts w:ascii="Helvetica" w:hAnsi="Helvetica"/>
                <w:color w:val="000000" w:themeColor="text1"/>
                <w:sz w:val="6"/>
              </w:rPr>
              <w:t>Porteføljeforvaltning</w:t>
            </w:r>
          </w:p>
        </w:tc>
        <w:tc>
          <w:tcPr>
            <w:tcW w:w="487" w:type="dxa"/>
            <w:tcBorders>
              <w:top w:val="single" w:sz="4" w:space="0" w:color="auto"/>
              <w:left w:val="single" w:sz="4" w:space="0" w:color="auto"/>
            </w:tcBorders>
            <w:tcMar>
              <w:top w:w="10" w:type="dxa"/>
              <w:bottom w:w="10" w:type="dxa"/>
            </w:tcMar>
            <w:vAlign w:val="center"/>
          </w:tcPr>
          <w:p w14:paraId="2765C1C0"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516" w:type="dxa"/>
            <w:tcBorders>
              <w:top w:val="single" w:sz="4" w:space="0" w:color="auto"/>
              <w:left w:val="single" w:sz="4" w:space="0" w:color="auto"/>
            </w:tcBorders>
            <w:tcMar>
              <w:top w:w="10" w:type="dxa"/>
              <w:bottom w:w="10" w:type="dxa"/>
            </w:tcMar>
            <w:vAlign w:val="center"/>
          </w:tcPr>
          <w:p w14:paraId="05C6B925"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01" w:type="dxa"/>
            <w:tcBorders>
              <w:top w:val="single" w:sz="4" w:space="0" w:color="auto"/>
              <w:left w:val="single" w:sz="4" w:space="0" w:color="auto"/>
            </w:tcBorders>
            <w:tcMar>
              <w:top w:w="10" w:type="dxa"/>
              <w:bottom w:w="10" w:type="dxa"/>
            </w:tcMar>
            <w:vAlign w:val="center"/>
          </w:tcPr>
          <w:p w14:paraId="33B9847A"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365" w:type="dxa"/>
            <w:gridSpan w:val="2"/>
            <w:tcBorders>
              <w:top w:val="single" w:sz="4" w:space="0" w:color="auto"/>
              <w:left w:val="single" w:sz="4" w:space="0" w:color="auto"/>
            </w:tcBorders>
            <w:tcMar>
              <w:top w:w="10" w:type="dxa"/>
              <w:bottom w:w="10" w:type="dxa"/>
            </w:tcMar>
            <w:vAlign w:val="center"/>
          </w:tcPr>
          <w:p w14:paraId="6F1C1376"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546" w:type="dxa"/>
            <w:gridSpan w:val="2"/>
            <w:tcBorders>
              <w:top w:val="single" w:sz="4" w:space="0" w:color="auto"/>
              <w:left w:val="single" w:sz="4" w:space="0" w:color="auto"/>
            </w:tcBorders>
            <w:tcMar>
              <w:top w:w="10" w:type="dxa"/>
              <w:bottom w:w="10" w:type="dxa"/>
            </w:tcMar>
            <w:vAlign w:val="center"/>
          </w:tcPr>
          <w:p w14:paraId="23237939"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506" w:type="dxa"/>
            <w:tcBorders>
              <w:top w:val="single" w:sz="4" w:space="0" w:color="auto"/>
              <w:left w:val="single" w:sz="4" w:space="0" w:color="auto"/>
            </w:tcBorders>
            <w:tcMar>
              <w:top w:w="10" w:type="dxa"/>
              <w:bottom w:w="10" w:type="dxa"/>
            </w:tcMar>
            <w:vAlign w:val="center"/>
          </w:tcPr>
          <w:p w14:paraId="22EE5427"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521" w:type="dxa"/>
            <w:tcBorders>
              <w:top w:val="single" w:sz="4" w:space="0" w:color="auto"/>
              <w:left w:val="single" w:sz="4" w:space="0" w:color="auto"/>
            </w:tcBorders>
            <w:tcMar>
              <w:top w:w="10" w:type="dxa"/>
              <w:bottom w:w="10" w:type="dxa"/>
            </w:tcMar>
            <w:vAlign w:val="center"/>
          </w:tcPr>
          <w:p w14:paraId="2C1F2AD8"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511" w:type="dxa"/>
            <w:tcBorders>
              <w:top w:val="single" w:sz="4" w:space="0" w:color="auto"/>
              <w:left w:val="single" w:sz="4" w:space="0" w:color="auto"/>
            </w:tcBorders>
            <w:tcMar>
              <w:top w:w="10" w:type="dxa"/>
              <w:bottom w:w="10" w:type="dxa"/>
            </w:tcMar>
            <w:vAlign w:val="center"/>
          </w:tcPr>
          <w:p w14:paraId="42BB6FAB"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7" w:type="dxa"/>
            <w:tcBorders>
              <w:top w:val="single" w:sz="4" w:space="0" w:color="auto"/>
              <w:left w:val="single" w:sz="4" w:space="0" w:color="auto"/>
            </w:tcBorders>
            <w:tcMar>
              <w:top w:w="10" w:type="dxa"/>
              <w:bottom w:w="10" w:type="dxa"/>
            </w:tcMar>
            <w:vAlign w:val="center"/>
          </w:tcPr>
          <w:p w14:paraId="2BB7CCBD"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2" w:type="dxa"/>
            <w:tcBorders>
              <w:top w:val="single" w:sz="4" w:space="0" w:color="auto"/>
              <w:left w:val="single" w:sz="4" w:space="0" w:color="auto"/>
            </w:tcBorders>
            <w:tcMar>
              <w:top w:w="10" w:type="dxa"/>
              <w:bottom w:w="10" w:type="dxa"/>
            </w:tcMar>
            <w:vAlign w:val="center"/>
          </w:tcPr>
          <w:p w14:paraId="45362B6D"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2" w:type="dxa"/>
            <w:tcBorders>
              <w:top w:val="single" w:sz="4" w:space="0" w:color="auto"/>
              <w:left w:val="single" w:sz="4" w:space="0" w:color="auto"/>
            </w:tcBorders>
            <w:tcMar>
              <w:top w:w="10" w:type="dxa"/>
              <w:bottom w:w="10" w:type="dxa"/>
            </w:tcMar>
            <w:vAlign w:val="center"/>
          </w:tcPr>
          <w:p w14:paraId="4A2CDA5A"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2" w:type="dxa"/>
            <w:tcBorders>
              <w:top w:val="single" w:sz="4" w:space="0" w:color="auto"/>
              <w:left w:val="single" w:sz="4" w:space="0" w:color="auto"/>
            </w:tcBorders>
            <w:tcMar>
              <w:top w:w="10" w:type="dxa"/>
              <w:bottom w:w="10" w:type="dxa"/>
            </w:tcMar>
            <w:vAlign w:val="center"/>
          </w:tcPr>
          <w:p w14:paraId="35C17BCC"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2" w:type="dxa"/>
            <w:tcBorders>
              <w:top w:val="single" w:sz="4" w:space="0" w:color="auto"/>
              <w:left w:val="single" w:sz="4" w:space="0" w:color="auto"/>
            </w:tcBorders>
            <w:tcMar>
              <w:top w:w="10" w:type="dxa"/>
              <w:bottom w:w="10" w:type="dxa"/>
            </w:tcMar>
            <w:vAlign w:val="center"/>
          </w:tcPr>
          <w:p w14:paraId="5AB7176D"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7" w:type="dxa"/>
            <w:tcBorders>
              <w:top w:val="single" w:sz="4" w:space="0" w:color="auto"/>
              <w:left w:val="single" w:sz="4" w:space="0" w:color="auto"/>
            </w:tcBorders>
            <w:tcMar>
              <w:top w:w="10" w:type="dxa"/>
              <w:bottom w:w="10" w:type="dxa"/>
            </w:tcMar>
            <w:vAlign w:val="center"/>
          </w:tcPr>
          <w:p w14:paraId="3D0A9407"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87" w:type="dxa"/>
            <w:tcBorders>
              <w:top w:val="single" w:sz="4" w:space="0" w:color="auto"/>
              <w:left w:val="single" w:sz="4" w:space="0" w:color="auto"/>
            </w:tcBorders>
            <w:tcMar>
              <w:top w:w="10" w:type="dxa"/>
              <w:bottom w:w="10" w:type="dxa"/>
            </w:tcMar>
            <w:vAlign w:val="center"/>
          </w:tcPr>
          <w:p w14:paraId="59DDABCE"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7" w:type="dxa"/>
            <w:tcBorders>
              <w:top w:val="single" w:sz="4" w:space="0" w:color="auto"/>
              <w:left w:val="single" w:sz="4" w:space="0" w:color="auto"/>
            </w:tcBorders>
            <w:tcMar>
              <w:top w:w="10" w:type="dxa"/>
              <w:bottom w:w="10" w:type="dxa"/>
            </w:tcMar>
            <w:vAlign w:val="center"/>
          </w:tcPr>
          <w:p w14:paraId="2814E0D1"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2" w:type="dxa"/>
            <w:tcBorders>
              <w:top w:val="single" w:sz="4" w:space="0" w:color="auto"/>
              <w:left w:val="single" w:sz="4" w:space="0" w:color="auto"/>
            </w:tcBorders>
            <w:tcMar>
              <w:top w:w="10" w:type="dxa"/>
              <w:bottom w:w="10" w:type="dxa"/>
            </w:tcMar>
            <w:vAlign w:val="center"/>
          </w:tcPr>
          <w:p w14:paraId="440189BE"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2" w:type="dxa"/>
            <w:tcBorders>
              <w:top w:val="single" w:sz="4" w:space="0" w:color="auto"/>
              <w:left w:val="single" w:sz="4" w:space="0" w:color="auto"/>
            </w:tcBorders>
            <w:tcMar>
              <w:top w:w="10" w:type="dxa"/>
              <w:bottom w:w="10" w:type="dxa"/>
            </w:tcMar>
            <w:vAlign w:val="center"/>
          </w:tcPr>
          <w:p w14:paraId="0A0E135F"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2" w:type="dxa"/>
            <w:tcBorders>
              <w:top w:val="single" w:sz="4" w:space="0" w:color="auto"/>
              <w:left w:val="single" w:sz="4" w:space="0" w:color="auto"/>
            </w:tcBorders>
            <w:tcMar>
              <w:top w:w="10" w:type="dxa"/>
              <w:bottom w:w="10" w:type="dxa"/>
            </w:tcMar>
            <w:vAlign w:val="center"/>
          </w:tcPr>
          <w:p w14:paraId="5909D2B7"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2" w:type="dxa"/>
            <w:tcBorders>
              <w:top w:val="single" w:sz="4" w:space="0" w:color="auto"/>
              <w:left w:val="single" w:sz="4" w:space="0" w:color="auto"/>
            </w:tcBorders>
            <w:tcMar>
              <w:top w:w="10" w:type="dxa"/>
              <w:bottom w:w="10" w:type="dxa"/>
            </w:tcMar>
            <w:vAlign w:val="center"/>
          </w:tcPr>
          <w:p w14:paraId="68E5A0F4"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2" w:type="dxa"/>
            <w:tcBorders>
              <w:top w:val="single" w:sz="4" w:space="0" w:color="auto"/>
              <w:left w:val="single" w:sz="4" w:space="0" w:color="auto"/>
            </w:tcBorders>
            <w:tcMar>
              <w:top w:w="10" w:type="dxa"/>
              <w:bottom w:w="10" w:type="dxa"/>
            </w:tcMar>
            <w:vAlign w:val="center"/>
          </w:tcPr>
          <w:p w14:paraId="4C5C8EC0"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28" w:type="dxa"/>
            <w:tcBorders>
              <w:top w:val="single" w:sz="4" w:space="0" w:color="auto"/>
              <w:left w:val="single" w:sz="4" w:space="0" w:color="auto"/>
            </w:tcBorders>
            <w:tcMar>
              <w:top w:w="10" w:type="dxa"/>
              <w:bottom w:w="10" w:type="dxa"/>
            </w:tcMar>
            <w:vAlign w:val="center"/>
          </w:tcPr>
          <w:p w14:paraId="15DD3AFD"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28" w:type="dxa"/>
            <w:tcBorders>
              <w:top w:val="single" w:sz="4" w:space="0" w:color="auto"/>
              <w:left w:val="single" w:sz="4" w:space="0" w:color="auto"/>
            </w:tcBorders>
            <w:tcMar>
              <w:top w:w="10" w:type="dxa"/>
              <w:bottom w:w="10" w:type="dxa"/>
            </w:tcMar>
            <w:vAlign w:val="center"/>
          </w:tcPr>
          <w:p w14:paraId="632CAA37"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549" w:type="dxa"/>
            <w:tcBorders>
              <w:top w:val="single" w:sz="4" w:space="0" w:color="auto"/>
              <w:left w:val="single" w:sz="4" w:space="0" w:color="auto"/>
            </w:tcBorders>
            <w:tcMar>
              <w:top w:w="10" w:type="dxa"/>
              <w:bottom w:w="10" w:type="dxa"/>
            </w:tcMar>
            <w:vAlign w:val="center"/>
          </w:tcPr>
          <w:p w14:paraId="438AE38F"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658" w:type="dxa"/>
            <w:tcBorders>
              <w:top w:val="single" w:sz="4" w:space="0" w:color="auto"/>
              <w:left w:val="single" w:sz="4" w:space="0" w:color="auto"/>
              <w:right w:val="single" w:sz="4" w:space="0" w:color="auto"/>
            </w:tcBorders>
            <w:tcMar>
              <w:top w:w="10" w:type="dxa"/>
              <w:bottom w:w="10" w:type="dxa"/>
            </w:tcMar>
            <w:vAlign w:val="center"/>
          </w:tcPr>
          <w:p w14:paraId="4248CE26"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r>
      <w:tr w:rsidR="006561BA" w14:paraId="67C39828" w14:textId="77777777">
        <w:tc>
          <w:tcPr>
            <w:tcW w:w="115" w:type="dxa"/>
            <w:tcBorders>
              <w:top w:val="single" w:sz="4" w:space="0" w:color="auto"/>
              <w:left w:val="single" w:sz="4" w:space="0" w:color="auto"/>
            </w:tcBorders>
            <w:tcMar>
              <w:top w:w="10" w:type="dxa"/>
              <w:bottom w:w="10" w:type="dxa"/>
            </w:tcMar>
            <w:vAlign w:val="center"/>
          </w:tcPr>
          <w:p w14:paraId="2EE64710"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5</w:t>
            </w:r>
          </w:p>
        </w:tc>
        <w:tc>
          <w:tcPr>
            <w:tcW w:w="1608" w:type="dxa"/>
            <w:tcBorders>
              <w:top w:val="single" w:sz="4" w:space="0" w:color="auto"/>
              <w:left w:val="single" w:sz="4" w:space="0" w:color="auto"/>
            </w:tcBorders>
            <w:tcMar>
              <w:top w:w="10" w:type="dxa"/>
              <w:bottom w:w="10" w:type="dxa"/>
            </w:tcMar>
            <w:vAlign w:val="center"/>
          </w:tcPr>
          <w:p w14:paraId="5340FF43" w14:textId="77777777" w:rsidR="006561BA" w:rsidRDefault="005B4ED6">
            <w:pPr>
              <w:widowControl w:val="0"/>
              <w:shd w:val="clear" w:color="auto" w:fill="auto"/>
              <w:spacing w:after="0" w:line="240" w:lineRule="auto"/>
              <w:ind w:left="60"/>
              <w:jc w:val="left"/>
              <w:rPr>
                <w:rFonts w:ascii="Helvetica" w:eastAsia="Arial Unicode MS" w:hAnsi="Helvetica" w:cs="Times New Roman"/>
                <w:color w:val="000000" w:themeColor="text1"/>
                <w:sz w:val="6"/>
                <w:szCs w:val="6"/>
              </w:rPr>
            </w:pPr>
            <w:r>
              <w:rPr>
                <w:rFonts w:ascii="Helvetica" w:hAnsi="Helvetica"/>
                <w:color w:val="000000" w:themeColor="text1"/>
                <w:sz w:val="6"/>
              </w:rPr>
              <w:t>Investeringsrådgivning</w:t>
            </w:r>
          </w:p>
        </w:tc>
        <w:tc>
          <w:tcPr>
            <w:tcW w:w="487" w:type="dxa"/>
            <w:tcBorders>
              <w:top w:val="single" w:sz="4" w:space="0" w:color="auto"/>
              <w:left w:val="single" w:sz="4" w:space="0" w:color="auto"/>
            </w:tcBorders>
            <w:tcMar>
              <w:top w:w="10" w:type="dxa"/>
              <w:bottom w:w="10" w:type="dxa"/>
            </w:tcMar>
            <w:vAlign w:val="center"/>
          </w:tcPr>
          <w:p w14:paraId="7F8D8DFE"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516" w:type="dxa"/>
            <w:tcBorders>
              <w:top w:val="single" w:sz="4" w:space="0" w:color="auto"/>
              <w:left w:val="single" w:sz="4" w:space="0" w:color="auto"/>
            </w:tcBorders>
            <w:tcMar>
              <w:top w:w="10" w:type="dxa"/>
              <w:bottom w:w="10" w:type="dxa"/>
            </w:tcMar>
            <w:vAlign w:val="center"/>
          </w:tcPr>
          <w:p w14:paraId="748D559C"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01" w:type="dxa"/>
            <w:tcBorders>
              <w:top w:val="single" w:sz="4" w:space="0" w:color="auto"/>
              <w:left w:val="single" w:sz="4" w:space="0" w:color="auto"/>
            </w:tcBorders>
            <w:tcMar>
              <w:top w:w="10" w:type="dxa"/>
              <w:bottom w:w="10" w:type="dxa"/>
            </w:tcMar>
            <w:vAlign w:val="center"/>
          </w:tcPr>
          <w:p w14:paraId="6D1A4A1D"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365" w:type="dxa"/>
            <w:gridSpan w:val="2"/>
            <w:tcBorders>
              <w:top w:val="single" w:sz="4" w:space="0" w:color="auto"/>
              <w:left w:val="single" w:sz="4" w:space="0" w:color="auto"/>
            </w:tcBorders>
            <w:tcMar>
              <w:top w:w="10" w:type="dxa"/>
              <w:bottom w:w="10" w:type="dxa"/>
            </w:tcMar>
            <w:vAlign w:val="center"/>
          </w:tcPr>
          <w:p w14:paraId="249A31E6"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546" w:type="dxa"/>
            <w:gridSpan w:val="2"/>
            <w:tcBorders>
              <w:top w:val="single" w:sz="4" w:space="0" w:color="auto"/>
              <w:left w:val="single" w:sz="4" w:space="0" w:color="auto"/>
            </w:tcBorders>
            <w:tcMar>
              <w:top w:w="10" w:type="dxa"/>
              <w:bottom w:w="10" w:type="dxa"/>
            </w:tcMar>
            <w:vAlign w:val="center"/>
          </w:tcPr>
          <w:p w14:paraId="4A7905AB"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506" w:type="dxa"/>
            <w:tcBorders>
              <w:top w:val="single" w:sz="4" w:space="0" w:color="auto"/>
              <w:left w:val="single" w:sz="4" w:space="0" w:color="auto"/>
            </w:tcBorders>
            <w:tcMar>
              <w:top w:w="10" w:type="dxa"/>
              <w:bottom w:w="10" w:type="dxa"/>
            </w:tcMar>
            <w:vAlign w:val="center"/>
          </w:tcPr>
          <w:p w14:paraId="1FDB450B"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521" w:type="dxa"/>
            <w:tcBorders>
              <w:top w:val="single" w:sz="4" w:space="0" w:color="auto"/>
              <w:left w:val="single" w:sz="4" w:space="0" w:color="auto"/>
            </w:tcBorders>
            <w:tcMar>
              <w:top w:w="10" w:type="dxa"/>
              <w:bottom w:w="10" w:type="dxa"/>
            </w:tcMar>
            <w:vAlign w:val="center"/>
          </w:tcPr>
          <w:p w14:paraId="39F47B42"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511" w:type="dxa"/>
            <w:tcBorders>
              <w:top w:val="single" w:sz="4" w:space="0" w:color="auto"/>
              <w:left w:val="single" w:sz="4" w:space="0" w:color="auto"/>
            </w:tcBorders>
            <w:tcMar>
              <w:top w:w="10" w:type="dxa"/>
              <w:bottom w:w="10" w:type="dxa"/>
            </w:tcMar>
            <w:vAlign w:val="center"/>
          </w:tcPr>
          <w:p w14:paraId="732958A8"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7" w:type="dxa"/>
            <w:tcBorders>
              <w:top w:val="single" w:sz="4" w:space="0" w:color="auto"/>
              <w:left w:val="single" w:sz="4" w:space="0" w:color="auto"/>
            </w:tcBorders>
            <w:tcMar>
              <w:top w:w="10" w:type="dxa"/>
              <w:bottom w:w="10" w:type="dxa"/>
            </w:tcMar>
            <w:vAlign w:val="center"/>
          </w:tcPr>
          <w:p w14:paraId="143B2264"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2" w:type="dxa"/>
            <w:tcBorders>
              <w:top w:val="single" w:sz="4" w:space="0" w:color="auto"/>
              <w:left w:val="single" w:sz="4" w:space="0" w:color="auto"/>
            </w:tcBorders>
            <w:tcMar>
              <w:top w:w="10" w:type="dxa"/>
              <w:bottom w:w="10" w:type="dxa"/>
            </w:tcMar>
            <w:vAlign w:val="center"/>
          </w:tcPr>
          <w:p w14:paraId="3BA30575"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2" w:type="dxa"/>
            <w:tcBorders>
              <w:top w:val="single" w:sz="4" w:space="0" w:color="auto"/>
              <w:left w:val="single" w:sz="4" w:space="0" w:color="auto"/>
            </w:tcBorders>
            <w:tcMar>
              <w:top w:w="10" w:type="dxa"/>
              <w:bottom w:w="10" w:type="dxa"/>
            </w:tcMar>
            <w:vAlign w:val="center"/>
          </w:tcPr>
          <w:p w14:paraId="78153D01"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2" w:type="dxa"/>
            <w:tcBorders>
              <w:top w:val="single" w:sz="4" w:space="0" w:color="auto"/>
              <w:left w:val="single" w:sz="4" w:space="0" w:color="auto"/>
            </w:tcBorders>
            <w:tcMar>
              <w:top w:w="10" w:type="dxa"/>
              <w:bottom w:w="10" w:type="dxa"/>
            </w:tcMar>
            <w:vAlign w:val="center"/>
          </w:tcPr>
          <w:p w14:paraId="61D257F5"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2" w:type="dxa"/>
            <w:tcBorders>
              <w:top w:val="single" w:sz="4" w:space="0" w:color="auto"/>
              <w:left w:val="single" w:sz="4" w:space="0" w:color="auto"/>
            </w:tcBorders>
            <w:tcMar>
              <w:top w:w="10" w:type="dxa"/>
              <w:bottom w:w="10" w:type="dxa"/>
            </w:tcMar>
            <w:vAlign w:val="center"/>
          </w:tcPr>
          <w:p w14:paraId="5D8530F0"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7" w:type="dxa"/>
            <w:tcBorders>
              <w:top w:val="single" w:sz="4" w:space="0" w:color="auto"/>
              <w:left w:val="single" w:sz="4" w:space="0" w:color="auto"/>
            </w:tcBorders>
            <w:tcMar>
              <w:top w:w="10" w:type="dxa"/>
              <w:bottom w:w="10" w:type="dxa"/>
            </w:tcMar>
            <w:vAlign w:val="center"/>
          </w:tcPr>
          <w:p w14:paraId="59B34658"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87" w:type="dxa"/>
            <w:tcBorders>
              <w:top w:val="single" w:sz="4" w:space="0" w:color="auto"/>
              <w:left w:val="single" w:sz="4" w:space="0" w:color="auto"/>
            </w:tcBorders>
            <w:tcMar>
              <w:top w:w="10" w:type="dxa"/>
              <w:bottom w:w="10" w:type="dxa"/>
            </w:tcMar>
            <w:vAlign w:val="center"/>
          </w:tcPr>
          <w:p w14:paraId="4D9E9208"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7" w:type="dxa"/>
            <w:tcBorders>
              <w:top w:val="single" w:sz="4" w:space="0" w:color="auto"/>
              <w:left w:val="single" w:sz="4" w:space="0" w:color="auto"/>
            </w:tcBorders>
            <w:tcMar>
              <w:top w:w="10" w:type="dxa"/>
              <w:bottom w:w="10" w:type="dxa"/>
            </w:tcMar>
            <w:vAlign w:val="center"/>
          </w:tcPr>
          <w:p w14:paraId="5755249B"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2" w:type="dxa"/>
            <w:tcBorders>
              <w:top w:val="single" w:sz="4" w:space="0" w:color="auto"/>
              <w:left w:val="single" w:sz="4" w:space="0" w:color="auto"/>
            </w:tcBorders>
            <w:tcMar>
              <w:top w:w="10" w:type="dxa"/>
              <w:bottom w:w="10" w:type="dxa"/>
            </w:tcMar>
            <w:vAlign w:val="center"/>
          </w:tcPr>
          <w:p w14:paraId="786A3721"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2" w:type="dxa"/>
            <w:tcBorders>
              <w:top w:val="single" w:sz="4" w:space="0" w:color="auto"/>
              <w:left w:val="single" w:sz="4" w:space="0" w:color="auto"/>
            </w:tcBorders>
            <w:tcMar>
              <w:top w:w="10" w:type="dxa"/>
              <w:bottom w:w="10" w:type="dxa"/>
            </w:tcMar>
            <w:vAlign w:val="center"/>
          </w:tcPr>
          <w:p w14:paraId="1DD1F19D"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2" w:type="dxa"/>
            <w:tcBorders>
              <w:top w:val="single" w:sz="4" w:space="0" w:color="auto"/>
              <w:left w:val="single" w:sz="4" w:space="0" w:color="auto"/>
            </w:tcBorders>
            <w:tcMar>
              <w:top w:w="10" w:type="dxa"/>
              <w:bottom w:w="10" w:type="dxa"/>
            </w:tcMar>
            <w:vAlign w:val="center"/>
          </w:tcPr>
          <w:p w14:paraId="1A2EDAFF"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2" w:type="dxa"/>
            <w:tcBorders>
              <w:top w:val="single" w:sz="4" w:space="0" w:color="auto"/>
              <w:left w:val="single" w:sz="4" w:space="0" w:color="auto"/>
            </w:tcBorders>
            <w:tcMar>
              <w:top w:w="10" w:type="dxa"/>
              <w:bottom w:w="10" w:type="dxa"/>
            </w:tcMar>
            <w:vAlign w:val="center"/>
          </w:tcPr>
          <w:p w14:paraId="12941CA4"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92" w:type="dxa"/>
            <w:tcBorders>
              <w:top w:val="single" w:sz="4" w:space="0" w:color="auto"/>
              <w:left w:val="single" w:sz="4" w:space="0" w:color="auto"/>
            </w:tcBorders>
            <w:tcMar>
              <w:top w:w="10" w:type="dxa"/>
              <w:bottom w:w="10" w:type="dxa"/>
            </w:tcMar>
            <w:vAlign w:val="center"/>
          </w:tcPr>
          <w:p w14:paraId="571B754D"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28" w:type="dxa"/>
            <w:tcBorders>
              <w:top w:val="single" w:sz="4" w:space="0" w:color="auto"/>
              <w:left w:val="single" w:sz="4" w:space="0" w:color="auto"/>
            </w:tcBorders>
            <w:tcMar>
              <w:top w:w="10" w:type="dxa"/>
              <w:bottom w:w="10" w:type="dxa"/>
            </w:tcMar>
            <w:vAlign w:val="center"/>
          </w:tcPr>
          <w:p w14:paraId="536FEDE1"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428" w:type="dxa"/>
            <w:tcBorders>
              <w:top w:val="single" w:sz="4" w:space="0" w:color="auto"/>
              <w:left w:val="single" w:sz="4" w:space="0" w:color="auto"/>
            </w:tcBorders>
            <w:tcMar>
              <w:top w:w="10" w:type="dxa"/>
              <w:bottom w:w="10" w:type="dxa"/>
            </w:tcMar>
            <w:vAlign w:val="center"/>
          </w:tcPr>
          <w:p w14:paraId="0805A197"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549" w:type="dxa"/>
            <w:tcBorders>
              <w:top w:val="single" w:sz="4" w:space="0" w:color="auto"/>
              <w:left w:val="single" w:sz="4" w:space="0" w:color="auto"/>
            </w:tcBorders>
            <w:tcMar>
              <w:top w:w="10" w:type="dxa"/>
              <w:bottom w:w="10" w:type="dxa"/>
            </w:tcMar>
            <w:vAlign w:val="center"/>
          </w:tcPr>
          <w:p w14:paraId="5B14D0F5"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c>
          <w:tcPr>
            <w:tcW w:w="658" w:type="dxa"/>
            <w:tcBorders>
              <w:top w:val="single" w:sz="4" w:space="0" w:color="auto"/>
              <w:left w:val="single" w:sz="4" w:space="0" w:color="auto"/>
              <w:right w:val="single" w:sz="4" w:space="0" w:color="auto"/>
            </w:tcBorders>
            <w:tcMar>
              <w:top w:w="10" w:type="dxa"/>
              <w:bottom w:w="10" w:type="dxa"/>
            </w:tcMar>
            <w:vAlign w:val="center"/>
          </w:tcPr>
          <w:p w14:paraId="48A11C32" w14:textId="77777777" w:rsidR="006561BA"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lang w:val="en-US"/>
              </w:rPr>
            </w:pPr>
          </w:p>
        </w:tc>
      </w:tr>
      <w:tr w:rsidR="006561BA" w14:paraId="74719286" w14:textId="77777777">
        <w:tc>
          <w:tcPr>
            <w:tcW w:w="115" w:type="dxa"/>
            <w:tcBorders>
              <w:top w:val="single" w:sz="4" w:space="0" w:color="auto"/>
              <w:left w:val="single" w:sz="4" w:space="0" w:color="auto"/>
            </w:tcBorders>
            <w:tcMar>
              <w:top w:w="10" w:type="dxa"/>
              <w:bottom w:w="10" w:type="dxa"/>
            </w:tcMar>
            <w:vAlign w:val="center"/>
          </w:tcPr>
          <w:p w14:paraId="55B1293F"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6</w:t>
            </w:r>
          </w:p>
        </w:tc>
        <w:tc>
          <w:tcPr>
            <w:tcW w:w="1608" w:type="dxa"/>
            <w:tcBorders>
              <w:top w:val="single" w:sz="4" w:space="0" w:color="auto"/>
              <w:left w:val="single" w:sz="4" w:space="0" w:color="auto"/>
            </w:tcBorders>
            <w:tcMar>
              <w:top w:w="10" w:type="dxa"/>
              <w:bottom w:w="10" w:type="dxa"/>
            </w:tcMar>
            <w:vAlign w:val="center"/>
          </w:tcPr>
          <w:p w14:paraId="08883340" w14:textId="77777777" w:rsidR="006561BA" w:rsidRDefault="005B4ED6">
            <w:pPr>
              <w:widowControl w:val="0"/>
              <w:shd w:val="clear" w:color="auto" w:fill="auto"/>
              <w:spacing w:after="0" w:line="240" w:lineRule="auto"/>
              <w:ind w:left="60"/>
              <w:jc w:val="left"/>
              <w:rPr>
                <w:rFonts w:ascii="Helvetica" w:eastAsia="Arial Unicode MS" w:hAnsi="Helvetica" w:cs="Times New Roman"/>
                <w:color w:val="000000" w:themeColor="text1"/>
                <w:sz w:val="6"/>
                <w:szCs w:val="6"/>
              </w:rPr>
            </w:pPr>
            <w:r>
              <w:rPr>
                <w:rFonts w:ascii="Helvetica" w:hAnsi="Helvetica"/>
                <w:color w:val="000000" w:themeColor="text1"/>
                <w:sz w:val="6"/>
              </w:rPr>
              <w:t>Fulltegningsgaranti for finansielle instrumenter og/eller plassering av finansielle instrumenter på grunnlag av bindende tilsagn.</w:t>
            </w:r>
          </w:p>
        </w:tc>
        <w:tc>
          <w:tcPr>
            <w:tcW w:w="487" w:type="dxa"/>
            <w:tcBorders>
              <w:top w:val="single" w:sz="4" w:space="0" w:color="auto"/>
              <w:left w:val="single" w:sz="4" w:space="0" w:color="auto"/>
            </w:tcBorders>
            <w:tcMar>
              <w:top w:w="10" w:type="dxa"/>
              <w:bottom w:w="10" w:type="dxa"/>
            </w:tcMar>
            <w:vAlign w:val="center"/>
          </w:tcPr>
          <w:p w14:paraId="6C22DE29"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16" w:type="dxa"/>
            <w:tcBorders>
              <w:top w:val="single" w:sz="4" w:space="0" w:color="auto"/>
              <w:left w:val="single" w:sz="4" w:space="0" w:color="auto"/>
            </w:tcBorders>
            <w:tcMar>
              <w:top w:w="10" w:type="dxa"/>
              <w:bottom w:w="10" w:type="dxa"/>
            </w:tcMar>
            <w:vAlign w:val="center"/>
          </w:tcPr>
          <w:p w14:paraId="10B1C8C7"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01" w:type="dxa"/>
            <w:tcBorders>
              <w:top w:val="single" w:sz="4" w:space="0" w:color="auto"/>
              <w:left w:val="single" w:sz="4" w:space="0" w:color="auto"/>
            </w:tcBorders>
            <w:tcMar>
              <w:top w:w="10" w:type="dxa"/>
              <w:bottom w:w="10" w:type="dxa"/>
            </w:tcMar>
            <w:vAlign w:val="center"/>
          </w:tcPr>
          <w:p w14:paraId="0F7033C4"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365" w:type="dxa"/>
            <w:gridSpan w:val="2"/>
            <w:tcBorders>
              <w:top w:val="single" w:sz="4" w:space="0" w:color="auto"/>
              <w:left w:val="single" w:sz="4" w:space="0" w:color="auto"/>
            </w:tcBorders>
            <w:tcMar>
              <w:top w:w="10" w:type="dxa"/>
              <w:bottom w:w="10" w:type="dxa"/>
            </w:tcMar>
            <w:vAlign w:val="center"/>
          </w:tcPr>
          <w:p w14:paraId="5E7EA5E4"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46" w:type="dxa"/>
            <w:gridSpan w:val="2"/>
            <w:tcBorders>
              <w:top w:val="single" w:sz="4" w:space="0" w:color="auto"/>
              <w:left w:val="single" w:sz="4" w:space="0" w:color="auto"/>
            </w:tcBorders>
            <w:tcMar>
              <w:top w:w="10" w:type="dxa"/>
              <w:bottom w:w="10" w:type="dxa"/>
            </w:tcMar>
            <w:vAlign w:val="center"/>
          </w:tcPr>
          <w:p w14:paraId="3BAF04CE"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06" w:type="dxa"/>
            <w:tcBorders>
              <w:top w:val="single" w:sz="4" w:space="0" w:color="auto"/>
              <w:left w:val="single" w:sz="4" w:space="0" w:color="auto"/>
            </w:tcBorders>
            <w:tcMar>
              <w:top w:w="10" w:type="dxa"/>
              <w:bottom w:w="10" w:type="dxa"/>
            </w:tcMar>
            <w:vAlign w:val="center"/>
          </w:tcPr>
          <w:p w14:paraId="445818AB"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21" w:type="dxa"/>
            <w:tcBorders>
              <w:top w:val="single" w:sz="4" w:space="0" w:color="auto"/>
              <w:left w:val="single" w:sz="4" w:space="0" w:color="auto"/>
            </w:tcBorders>
            <w:tcMar>
              <w:top w:w="10" w:type="dxa"/>
              <w:bottom w:w="10" w:type="dxa"/>
            </w:tcMar>
            <w:vAlign w:val="center"/>
          </w:tcPr>
          <w:p w14:paraId="02B73D0E"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11" w:type="dxa"/>
            <w:tcBorders>
              <w:top w:val="single" w:sz="4" w:space="0" w:color="auto"/>
              <w:left w:val="single" w:sz="4" w:space="0" w:color="auto"/>
            </w:tcBorders>
            <w:tcMar>
              <w:top w:w="10" w:type="dxa"/>
              <w:bottom w:w="10" w:type="dxa"/>
            </w:tcMar>
            <w:vAlign w:val="center"/>
          </w:tcPr>
          <w:p w14:paraId="4AADE8E6"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7" w:type="dxa"/>
            <w:tcBorders>
              <w:top w:val="single" w:sz="4" w:space="0" w:color="auto"/>
              <w:left w:val="single" w:sz="4" w:space="0" w:color="auto"/>
            </w:tcBorders>
            <w:tcMar>
              <w:top w:w="10" w:type="dxa"/>
              <w:bottom w:w="10" w:type="dxa"/>
            </w:tcMar>
            <w:vAlign w:val="center"/>
          </w:tcPr>
          <w:p w14:paraId="0CCC9CD9"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20A9DA6B"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2F2D0D72"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6E698855"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61A00E60"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7" w:type="dxa"/>
            <w:tcBorders>
              <w:top w:val="single" w:sz="4" w:space="0" w:color="auto"/>
              <w:left w:val="single" w:sz="4" w:space="0" w:color="auto"/>
            </w:tcBorders>
            <w:tcMar>
              <w:top w:w="10" w:type="dxa"/>
              <w:bottom w:w="10" w:type="dxa"/>
            </w:tcMar>
            <w:vAlign w:val="center"/>
          </w:tcPr>
          <w:p w14:paraId="54546F7C"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87" w:type="dxa"/>
            <w:tcBorders>
              <w:top w:val="single" w:sz="4" w:space="0" w:color="auto"/>
              <w:left w:val="single" w:sz="4" w:space="0" w:color="auto"/>
            </w:tcBorders>
            <w:tcMar>
              <w:top w:w="10" w:type="dxa"/>
              <w:bottom w:w="10" w:type="dxa"/>
            </w:tcMar>
            <w:vAlign w:val="center"/>
          </w:tcPr>
          <w:p w14:paraId="4645D67E"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7" w:type="dxa"/>
            <w:tcBorders>
              <w:top w:val="single" w:sz="4" w:space="0" w:color="auto"/>
              <w:left w:val="single" w:sz="4" w:space="0" w:color="auto"/>
            </w:tcBorders>
            <w:tcMar>
              <w:top w:w="10" w:type="dxa"/>
              <w:bottom w:w="10" w:type="dxa"/>
            </w:tcMar>
            <w:vAlign w:val="center"/>
          </w:tcPr>
          <w:p w14:paraId="00426F94"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0FBF1F0A"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321684CC"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24F156DE"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599E36A6"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25A35A65"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28" w:type="dxa"/>
            <w:tcBorders>
              <w:top w:val="single" w:sz="4" w:space="0" w:color="auto"/>
              <w:left w:val="single" w:sz="4" w:space="0" w:color="auto"/>
            </w:tcBorders>
            <w:tcMar>
              <w:top w:w="10" w:type="dxa"/>
              <w:bottom w:w="10" w:type="dxa"/>
            </w:tcMar>
            <w:vAlign w:val="center"/>
          </w:tcPr>
          <w:p w14:paraId="06CF913D"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28" w:type="dxa"/>
            <w:tcBorders>
              <w:top w:val="single" w:sz="4" w:space="0" w:color="auto"/>
              <w:left w:val="single" w:sz="4" w:space="0" w:color="auto"/>
            </w:tcBorders>
            <w:tcMar>
              <w:top w:w="10" w:type="dxa"/>
              <w:bottom w:w="10" w:type="dxa"/>
            </w:tcMar>
            <w:vAlign w:val="center"/>
          </w:tcPr>
          <w:p w14:paraId="64037BA5"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49" w:type="dxa"/>
            <w:tcBorders>
              <w:top w:val="single" w:sz="4" w:space="0" w:color="auto"/>
              <w:left w:val="single" w:sz="4" w:space="0" w:color="auto"/>
            </w:tcBorders>
            <w:tcMar>
              <w:top w:w="10" w:type="dxa"/>
              <w:bottom w:w="10" w:type="dxa"/>
            </w:tcMar>
            <w:vAlign w:val="center"/>
          </w:tcPr>
          <w:p w14:paraId="74AB4267"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658" w:type="dxa"/>
            <w:tcBorders>
              <w:top w:val="single" w:sz="4" w:space="0" w:color="auto"/>
              <w:left w:val="single" w:sz="4" w:space="0" w:color="auto"/>
              <w:right w:val="single" w:sz="4" w:space="0" w:color="auto"/>
            </w:tcBorders>
            <w:tcMar>
              <w:top w:w="10" w:type="dxa"/>
              <w:bottom w:w="10" w:type="dxa"/>
            </w:tcMar>
            <w:vAlign w:val="center"/>
          </w:tcPr>
          <w:p w14:paraId="691F64F9"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r>
      <w:tr w:rsidR="006561BA" w14:paraId="11911F9F" w14:textId="77777777">
        <w:tc>
          <w:tcPr>
            <w:tcW w:w="115" w:type="dxa"/>
            <w:tcBorders>
              <w:top w:val="single" w:sz="4" w:space="0" w:color="auto"/>
              <w:left w:val="single" w:sz="4" w:space="0" w:color="auto"/>
            </w:tcBorders>
            <w:tcMar>
              <w:top w:w="10" w:type="dxa"/>
              <w:bottom w:w="10" w:type="dxa"/>
            </w:tcMar>
            <w:vAlign w:val="center"/>
          </w:tcPr>
          <w:p w14:paraId="440F185D"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7</w:t>
            </w:r>
          </w:p>
        </w:tc>
        <w:tc>
          <w:tcPr>
            <w:tcW w:w="1608" w:type="dxa"/>
            <w:tcBorders>
              <w:top w:val="single" w:sz="4" w:space="0" w:color="auto"/>
              <w:left w:val="single" w:sz="4" w:space="0" w:color="auto"/>
            </w:tcBorders>
            <w:tcMar>
              <w:top w:w="10" w:type="dxa"/>
              <w:bottom w:w="10" w:type="dxa"/>
            </w:tcMar>
            <w:vAlign w:val="center"/>
          </w:tcPr>
          <w:p w14:paraId="12268107" w14:textId="77777777" w:rsidR="006561BA" w:rsidRDefault="005B4ED6">
            <w:pPr>
              <w:widowControl w:val="0"/>
              <w:shd w:val="clear" w:color="auto" w:fill="auto"/>
              <w:spacing w:after="0" w:line="240" w:lineRule="auto"/>
              <w:ind w:left="60"/>
              <w:jc w:val="left"/>
              <w:rPr>
                <w:rFonts w:ascii="Helvetica" w:eastAsia="Arial Unicode MS" w:hAnsi="Helvetica" w:cs="Times New Roman"/>
                <w:color w:val="000000" w:themeColor="text1"/>
                <w:sz w:val="6"/>
                <w:szCs w:val="6"/>
              </w:rPr>
            </w:pPr>
            <w:r>
              <w:rPr>
                <w:rFonts w:ascii="Helvetica" w:hAnsi="Helvetica"/>
                <w:color w:val="000000" w:themeColor="text1"/>
                <w:sz w:val="6"/>
              </w:rPr>
              <w:t>Plassering av finansielle instrumenter uten bindende tilsagn.</w:t>
            </w:r>
          </w:p>
        </w:tc>
        <w:tc>
          <w:tcPr>
            <w:tcW w:w="487" w:type="dxa"/>
            <w:tcBorders>
              <w:top w:val="single" w:sz="4" w:space="0" w:color="auto"/>
              <w:left w:val="single" w:sz="4" w:space="0" w:color="auto"/>
            </w:tcBorders>
            <w:tcMar>
              <w:top w:w="10" w:type="dxa"/>
              <w:bottom w:w="10" w:type="dxa"/>
            </w:tcMar>
            <w:vAlign w:val="center"/>
          </w:tcPr>
          <w:p w14:paraId="6A30A9D4"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16" w:type="dxa"/>
            <w:tcBorders>
              <w:top w:val="single" w:sz="4" w:space="0" w:color="auto"/>
              <w:left w:val="single" w:sz="4" w:space="0" w:color="auto"/>
            </w:tcBorders>
            <w:tcMar>
              <w:top w:w="10" w:type="dxa"/>
              <w:bottom w:w="10" w:type="dxa"/>
            </w:tcMar>
            <w:vAlign w:val="center"/>
          </w:tcPr>
          <w:p w14:paraId="67F0245F"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01" w:type="dxa"/>
            <w:tcBorders>
              <w:top w:val="single" w:sz="4" w:space="0" w:color="auto"/>
              <w:left w:val="single" w:sz="4" w:space="0" w:color="auto"/>
            </w:tcBorders>
            <w:tcMar>
              <w:top w:w="10" w:type="dxa"/>
              <w:bottom w:w="10" w:type="dxa"/>
            </w:tcMar>
            <w:vAlign w:val="center"/>
          </w:tcPr>
          <w:p w14:paraId="02B0421B"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365" w:type="dxa"/>
            <w:gridSpan w:val="2"/>
            <w:tcBorders>
              <w:top w:val="single" w:sz="4" w:space="0" w:color="auto"/>
              <w:left w:val="single" w:sz="4" w:space="0" w:color="auto"/>
            </w:tcBorders>
            <w:tcMar>
              <w:top w:w="10" w:type="dxa"/>
              <w:bottom w:w="10" w:type="dxa"/>
            </w:tcMar>
            <w:vAlign w:val="center"/>
          </w:tcPr>
          <w:p w14:paraId="3EE4C75F"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46" w:type="dxa"/>
            <w:gridSpan w:val="2"/>
            <w:tcBorders>
              <w:top w:val="single" w:sz="4" w:space="0" w:color="auto"/>
              <w:left w:val="single" w:sz="4" w:space="0" w:color="auto"/>
            </w:tcBorders>
            <w:tcMar>
              <w:top w:w="10" w:type="dxa"/>
              <w:bottom w:w="10" w:type="dxa"/>
            </w:tcMar>
            <w:vAlign w:val="center"/>
          </w:tcPr>
          <w:p w14:paraId="69C15EE1"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06" w:type="dxa"/>
            <w:tcBorders>
              <w:top w:val="single" w:sz="4" w:space="0" w:color="auto"/>
              <w:left w:val="single" w:sz="4" w:space="0" w:color="auto"/>
            </w:tcBorders>
            <w:tcMar>
              <w:top w:w="10" w:type="dxa"/>
              <w:bottom w:w="10" w:type="dxa"/>
            </w:tcMar>
            <w:vAlign w:val="center"/>
          </w:tcPr>
          <w:p w14:paraId="3A61C6A3"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21" w:type="dxa"/>
            <w:tcBorders>
              <w:top w:val="single" w:sz="4" w:space="0" w:color="auto"/>
              <w:left w:val="single" w:sz="4" w:space="0" w:color="auto"/>
            </w:tcBorders>
            <w:tcMar>
              <w:top w:w="10" w:type="dxa"/>
              <w:bottom w:w="10" w:type="dxa"/>
            </w:tcMar>
            <w:vAlign w:val="center"/>
          </w:tcPr>
          <w:p w14:paraId="540E4071"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11" w:type="dxa"/>
            <w:tcBorders>
              <w:top w:val="single" w:sz="4" w:space="0" w:color="auto"/>
              <w:left w:val="single" w:sz="4" w:space="0" w:color="auto"/>
            </w:tcBorders>
            <w:tcMar>
              <w:top w:w="10" w:type="dxa"/>
              <w:bottom w:w="10" w:type="dxa"/>
            </w:tcMar>
            <w:vAlign w:val="center"/>
          </w:tcPr>
          <w:p w14:paraId="41CB181A"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7" w:type="dxa"/>
            <w:tcBorders>
              <w:top w:val="single" w:sz="4" w:space="0" w:color="auto"/>
              <w:left w:val="single" w:sz="4" w:space="0" w:color="auto"/>
            </w:tcBorders>
            <w:tcMar>
              <w:top w:w="10" w:type="dxa"/>
              <w:bottom w:w="10" w:type="dxa"/>
            </w:tcMar>
            <w:vAlign w:val="center"/>
          </w:tcPr>
          <w:p w14:paraId="27686A40"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6BC0D3B1"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5F862137"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37B514D2"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38EC8DF6"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7" w:type="dxa"/>
            <w:tcBorders>
              <w:top w:val="single" w:sz="4" w:space="0" w:color="auto"/>
              <w:left w:val="single" w:sz="4" w:space="0" w:color="auto"/>
            </w:tcBorders>
            <w:tcMar>
              <w:top w:w="10" w:type="dxa"/>
              <w:bottom w:w="10" w:type="dxa"/>
            </w:tcMar>
            <w:vAlign w:val="center"/>
          </w:tcPr>
          <w:p w14:paraId="660EEFC1"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87" w:type="dxa"/>
            <w:tcBorders>
              <w:top w:val="single" w:sz="4" w:space="0" w:color="auto"/>
              <w:left w:val="single" w:sz="4" w:space="0" w:color="auto"/>
            </w:tcBorders>
            <w:tcMar>
              <w:top w:w="10" w:type="dxa"/>
              <w:bottom w:w="10" w:type="dxa"/>
            </w:tcMar>
            <w:vAlign w:val="center"/>
          </w:tcPr>
          <w:p w14:paraId="6610B3B3"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7" w:type="dxa"/>
            <w:tcBorders>
              <w:top w:val="single" w:sz="4" w:space="0" w:color="auto"/>
              <w:left w:val="single" w:sz="4" w:space="0" w:color="auto"/>
            </w:tcBorders>
            <w:tcMar>
              <w:top w:w="10" w:type="dxa"/>
              <w:bottom w:w="10" w:type="dxa"/>
            </w:tcMar>
            <w:vAlign w:val="center"/>
          </w:tcPr>
          <w:p w14:paraId="29CACC25"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6406736B"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6686B0C0"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5837B0A2"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6B800C7E"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2A6C2F37"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28" w:type="dxa"/>
            <w:tcBorders>
              <w:top w:val="single" w:sz="4" w:space="0" w:color="auto"/>
              <w:left w:val="single" w:sz="4" w:space="0" w:color="auto"/>
            </w:tcBorders>
            <w:tcMar>
              <w:top w:w="10" w:type="dxa"/>
              <w:bottom w:w="10" w:type="dxa"/>
            </w:tcMar>
            <w:vAlign w:val="center"/>
          </w:tcPr>
          <w:p w14:paraId="135C2B1F"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28" w:type="dxa"/>
            <w:tcBorders>
              <w:top w:val="single" w:sz="4" w:space="0" w:color="auto"/>
              <w:left w:val="single" w:sz="4" w:space="0" w:color="auto"/>
            </w:tcBorders>
            <w:tcMar>
              <w:top w:w="10" w:type="dxa"/>
              <w:bottom w:w="10" w:type="dxa"/>
            </w:tcMar>
            <w:vAlign w:val="center"/>
          </w:tcPr>
          <w:p w14:paraId="51EF0B71"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49" w:type="dxa"/>
            <w:tcBorders>
              <w:top w:val="single" w:sz="4" w:space="0" w:color="auto"/>
              <w:left w:val="single" w:sz="4" w:space="0" w:color="auto"/>
            </w:tcBorders>
            <w:tcMar>
              <w:top w:w="10" w:type="dxa"/>
              <w:bottom w:w="10" w:type="dxa"/>
            </w:tcMar>
            <w:vAlign w:val="center"/>
          </w:tcPr>
          <w:p w14:paraId="5A96DD51"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658" w:type="dxa"/>
            <w:tcBorders>
              <w:top w:val="single" w:sz="4" w:space="0" w:color="auto"/>
              <w:left w:val="single" w:sz="4" w:space="0" w:color="auto"/>
              <w:right w:val="single" w:sz="4" w:space="0" w:color="auto"/>
            </w:tcBorders>
            <w:tcMar>
              <w:top w:w="10" w:type="dxa"/>
              <w:bottom w:w="10" w:type="dxa"/>
            </w:tcMar>
            <w:vAlign w:val="center"/>
          </w:tcPr>
          <w:p w14:paraId="68B56283"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r>
      <w:tr w:rsidR="006561BA" w14:paraId="32380DDC" w14:textId="77777777">
        <w:tc>
          <w:tcPr>
            <w:tcW w:w="115" w:type="dxa"/>
            <w:tcBorders>
              <w:top w:val="single" w:sz="4" w:space="0" w:color="auto"/>
              <w:left w:val="single" w:sz="4" w:space="0" w:color="auto"/>
            </w:tcBorders>
            <w:tcMar>
              <w:top w:w="10" w:type="dxa"/>
              <w:bottom w:w="10" w:type="dxa"/>
            </w:tcMar>
            <w:vAlign w:val="center"/>
          </w:tcPr>
          <w:p w14:paraId="0776DD0C"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8</w:t>
            </w:r>
          </w:p>
        </w:tc>
        <w:tc>
          <w:tcPr>
            <w:tcW w:w="1608" w:type="dxa"/>
            <w:tcBorders>
              <w:top w:val="single" w:sz="4" w:space="0" w:color="auto"/>
              <w:left w:val="single" w:sz="4" w:space="0" w:color="auto"/>
            </w:tcBorders>
            <w:tcMar>
              <w:top w:w="10" w:type="dxa"/>
              <w:bottom w:w="10" w:type="dxa"/>
            </w:tcMar>
            <w:vAlign w:val="center"/>
          </w:tcPr>
          <w:p w14:paraId="760AD75E" w14:textId="77777777" w:rsidR="006561BA" w:rsidRDefault="005B4ED6">
            <w:pPr>
              <w:widowControl w:val="0"/>
              <w:shd w:val="clear" w:color="auto" w:fill="auto"/>
              <w:spacing w:after="0" w:line="240" w:lineRule="auto"/>
              <w:ind w:left="60"/>
              <w:jc w:val="left"/>
              <w:rPr>
                <w:rFonts w:ascii="Helvetica" w:eastAsia="Arial Unicode MS" w:hAnsi="Helvetica" w:cs="Times New Roman"/>
                <w:color w:val="000000" w:themeColor="text1"/>
                <w:sz w:val="6"/>
                <w:szCs w:val="6"/>
              </w:rPr>
            </w:pPr>
            <w:r>
              <w:rPr>
                <w:rFonts w:ascii="Helvetica" w:hAnsi="Helvetica"/>
                <w:color w:val="000000" w:themeColor="text1"/>
                <w:sz w:val="6"/>
              </w:rPr>
              <w:t>Drift av en multilateral handelsfasilitet (MHF)</w:t>
            </w:r>
          </w:p>
        </w:tc>
        <w:tc>
          <w:tcPr>
            <w:tcW w:w="487" w:type="dxa"/>
            <w:tcBorders>
              <w:top w:val="single" w:sz="4" w:space="0" w:color="auto"/>
              <w:left w:val="single" w:sz="4" w:space="0" w:color="auto"/>
            </w:tcBorders>
            <w:tcMar>
              <w:top w:w="10" w:type="dxa"/>
              <w:bottom w:w="10" w:type="dxa"/>
            </w:tcMar>
            <w:vAlign w:val="center"/>
          </w:tcPr>
          <w:p w14:paraId="18F53254"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16" w:type="dxa"/>
            <w:tcBorders>
              <w:top w:val="single" w:sz="4" w:space="0" w:color="auto"/>
              <w:left w:val="single" w:sz="4" w:space="0" w:color="auto"/>
            </w:tcBorders>
            <w:tcMar>
              <w:top w:w="10" w:type="dxa"/>
              <w:bottom w:w="10" w:type="dxa"/>
            </w:tcMar>
            <w:vAlign w:val="center"/>
          </w:tcPr>
          <w:p w14:paraId="119879B0"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01" w:type="dxa"/>
            <w:tcBorders>
              <w:top w:val="single" w:sz="4" w:space="0" w:color="auto"/>
              <w:left w:val="single" w:sz="4" w:space="0" w:color="auto"/>
            </w:tcBorders>
            <w:tcMar>
              <w:top w:w="10" w:type="dxa"/>
              <w:bottom w:w="10" w:type="dxa"/>
            </w:tcMar>
            <w:vAlign w:val="center"/>
          </w:tcPr>
          <w:p w14:paraId="21811F1E"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365" w:type="dxa"/>
            <w:gridSpan w:val="2"/>
            <w:tcBorders>
              <w:top w:val="single" w:sz="4" w:space="0" w:color="auto"/>
              <w:left w:val="single" w:sz="4" w:space="0" w:color="auto"/>
            </w:tcBorders>
            <w:tcMar>
              <w:top w:w="10" w:type="dxa"/>
              <w:bottom w:w="10" w:type="dxa"/>
            </w:tcMar>
            <w:vAlign w:val="center"/>
          </w:tcPr>
          <w:p w14:paraId="719394FE"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46" w:type="dxa"/>
            <w:gridSpan w:val="2"/>
            <w:tcBorders>
              <w:top w:val="single" w:sz="4" w:space="0" w:color="auto"/>
              <w:left w:val="single" w:sz="4" w:space="0" w:color="auto"/>
            </w:tcBorders>
            <w:tcMar>
              <w:top w:w="10" w:type="dxa"/>
              <w:bottom w:w="10" w:type="dxa"/>
            </w:tcMar>
            <w:vAlign w:val="center"/>
          </w:tcPr>
          <w:p w14:paraId="45C7BEF9"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06" w:type="dxa"/>
            <w:tcBorders>
              <w:top w:val="single" w:sz="4" w:space="0" w:color="auto"/>
              <w:left w:val="single" w:sz="4" w:space="0" w:color="auto"/>
            </w:tcBorders>
            <w:tcMar>
              <w:top w:w="10" w:type="dxa"/>
              <w:bottom w:w="10" w:type="dxa"/>
            </w:tcMar>
            <w:vAlign w:val="center"/>
          </w:tcPr>
          <w:p w14:paraId="1AF6231C"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21" w:type="dxa"/>
            <w:tcBorders>
              <w:top w:val="single" w:sz="4" w:space="0" w:color="auto"/>
              <w:left w:val="single" w:sz="4" w:space="0" w:color="auto"/>
            </w:tcBorders>
            <w:tcMar>
              <w:top w:w="10" w:type="dxa"/>
              <w:bottom w:w="10" w:type="dxa"/>
            </w:tcMar>
            <w:vAlign w:val="center"/>
          </w:tcPr>
          <w:p w14:paraId="6FADBC0A"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11" w:type="dxa"/>
            <w:tcBorders>
              <w:top w:val="single" w:sz="4" w:space="0" w:color="auto"/>
              <w:left w:val="single" w:sz="4" w:space="0" w:color="auto"/>
            </w:tcBorders>
            <w:tcMar>
              <w:top w:w="10" w:type="dxa"/>
              <w:bottom w:w="10" w:type="dxa"/>
            </w:tcMar>
            <w:vAlign w:val="center"/>
          </w:tcPr>
          <w:p w14:paraId="7713C7C9"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7" w:type="dxa"/>
            <w:tcBorders>
              <w:top w:val="single" w:sz="4" w:space="0" w:color="auto"/>
              <w:left w:val="single" w:sz="4" w:space="0" w:color="auto"/>
            </w:tcBorders>
            <w:tcMar>
              <w:top w:w="10" w:type="dxa"/>
              <w:bottom w:w="10" w:type="dxa"/>
            </w:tcMar>
            <w:vAlign w:val="center"/>
          </w:tcPr>
          <w:p w14:paraId="4CE46979"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71AF1FBF"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6661C597"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4FE61E93"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4A2FDCBF"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7" w:type="dxa"/>
            <w:tcBorders>
              <w:top w:val="single" w:sz="4" w:space="0" w:color="auto"/>
              <w:left w:val="single" w:sz="4" w:space="0" w:color="auto"/>
            </w:tcBorders>
            <w:tcMar>
              <w:top w:w="10" w:type="dxa"/>
              <w:bottom w:w="10" w:type="dxa"/>
            </w:tcMar>
            <w:vAlign w:val="center"/>
          </w:tcPr>
          <w:p w14:paraId="29346215"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87" w:type="dxa"/>
            <w:tcBorders>
              <w:top w:val="single" w:sz="4" w:space="0" w:color="auto"/>
              <w:left w:val="single" w:sz="4" w:space="0" w:color="auto"/>
            </w:tcBorders>
            <w:tcMar>
              <w:top w:w="10" w:type="dxa"/>
              <w:bottom w:w="10" w:type="dxa"/>
            </w:tcMar>
            <w:vAlign w:val="center"/>
          </w:tcPr>
          <w:p w14:paraId="59A3792C"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7" w:type="dxa"/>
            <w:tcBorders>
              <w:top w:val="single" w:sz="4" w:space="0" w:color="auto"/>
              <w:left w:val="single" w:sz="4" w:space="0" w:color="auto"/>
            </w:tcBorders>
            <w:tcMar>
              <w:top w:w="10" w:type="dxa"/>
              <w:bottom w:w="10" w:type="dxa"/>
            </w:tcMar>
            <w:vAlign w:val="center"/>
          </w:tcPr>
          <w:p w14:paraId="6F6C7A01"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2F915D38"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76B1F3B3"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23DF095F"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3E77585B"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tcBorders>
            <w:tcMar>
              <w:top w:w="10" w:type="dxa"/>
              <w:bottom w:w="10" w:type="dxa"/>
            </w:tcMar>
            <w:vAlign w:val="center"/>
          </w:tcPr>
          <w:p w14:paraId="0385628B"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28" w:type="dxa"/>
            <w:tcBorders>
              <w:top w:val="single" w:sz="4" w:space="0" w:color="auto"/>
              <w:left w:val="single" w:sz="4" w:space="0" w:color="auto"/>
            </w:tcBorders>
            <w:tcMar>
              <w:top w:w="10" w:type="dxa"/>
              <w:bottom w:w="10" w:type="dxa"/>
            </w:tcMar>
            <w:vAlign w:val="center"/>
          </w:tcPr>
          <w:p w14:paraId="2F222CEA"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28" w:type="dxa"/>
            <w:tcBorders>
              <w:top w:val="single" w:sz="4" w:space="0" w:color="auto"/>
              <w:left w:val="single" w:sz="4" w:space="0" w:color="auto"/>
            </w:tcBorders>
            <w:tcMar>
              <w:top w:w="10" w:type="dxa"/>
              <w:bottom w:w="10" w:type="dxa"/>
            </w:tcMar>
            <w:vAlign w:val="center"/>
          </w:tcPr>
          <w:p w14:paraId="4D21CC3F"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49" w:type="dxa"/>
            <w:tcBorders>
              <w:top w:val="single" w:sz="4" w:space="0" w:color="auto"/>
              <w:left w:val="single" w:sz="4" w:space="0" w:color="auto"/>
            </w:tcBorders>
            <w:tcMar>
              <w:top w:w="10" w:type="dxa"/>
              <w:bottom w:w="10" w:type="dxa"/>
            </w:tcMar>
            <w:vAlign w:val="center"/>
          </w:tcPr>
          <w:p w14:paraId="24A5726B"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658" w:type="dxa"/>
            <w:tcBorders>
              <w:top w:val="single" w:sz="4" w:space="0" w:color="auto"/>
              <w:left w:val="single" w:sz="4" w:space="0" w:color="auto"/>
              <w:right w:val="single" w:sz="4" w:space="0" w:color="auto"/>
            </w:tcBorders>
            <w:tcMar>
              <w:top w:w="10" w:type="dxa"/>
              <w:bottom w:w="10" w:type="dxa"/>
            </w:tcMar>
            <w:vAlign w:val="center"/>
          </w:tcPr>
          <w:p w14:paraId="7A232B10"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r>
      <w:tr w:rsidR="006561BA" w14:paraId="534E831F" w14:textId="77777777">
        <w:tc>
          <w:tcPr>
            <w:tcW w:w="115" w:type="dxa"/>
            <w:tcBorders>
              <w:top w:val="single" w:sz="4" w:space="0" w:color="auto"/>
              <w:left w:val="single" w:sz="4" w:space="0" w:color="auto"/>
              <w:bottom w:val="single" w:sz="4" w:space="0" w:color="auto"/>
            </w:tcBorders>
            <w:tcMar>
              <w:top w:w="10" w:type="dxa"/>
              <w:bottom w:w="10" w:type="dxa"/>
            </w:tcMar>
            <w:vAlign w:val="center"/>
          </w:tcPr>
          <w:p w14:paraId="2B786CF1" w14:textId="77777777" w:rsidR="006561BA" w:rsidRDefault="005B4ED6">
            <w:pPr>
              <w:widowControl w:val="0"/>
              <w:shd w:val="clear" w:color="auto" w:fill="auto"/>
              <w:spacing w:after="0" w:line="240" w:lineRule="auto"/>
              <w:jc w:val="center"/>
              <w:rPr>
                <w:rFonts w:ascii="Helvetica" w:eastAsia="Arial Unicode MS" w:hAnsi="Helvetica" w:cs="Times New Roman"/>
                <w:color w:val="000000" w:themeColor="text1"/>
                <w:sz w:val="6"/>
                <w:szCs w:val="6"/>
              </w:rPr>
            </w:pPr>
            <w:r>
              <w:rPr>
                <w:rFonts w:ascii="Helvetica" w:hAnsi="Helvetica"/>
                <w:color w:val="000000" w:themeColor="text1"/>
                <w:sz w:val="6"/>
              </w:rPr>
              <w:t>9</w:t>
            </w:r>
          </w:p>
        </w:tc>
        <w:tc>
          <w:tcPr>
            <w:tcW w:w="1608" w:type="dxa"/>
            <w:tcBorders>
              <w:top w:val="single" w:sz="4" w:space="0" w:color="auto"/>
              <w:left w:val="single" w:sz="4" w:space="0" w:color="auto"/>
              <w:bottom w:val="single" w:sz="4" w:space="0" w:color="auto"/>
            </w:tcBorders>
            <w:tcMar>
              <w:top w:w="10" w:type="dxa"/>
              <w:bottom w:w="10" w:type="dxa"/>
            </w:tcMar>
            <w:vAlign w:val="center"/>
          </w:tcPr>
          <w:p w14:paraId="45F81FFC" w14:textId="77777777" w:rsidR="006561BA" w:rsidRDefault="005B4ED6">
            <w:pPr>
              <w:widowControl w:val="0"/>
              <w:shd w:val="clear" w:color="auto" w:fill="auto"/>
              <w:spacing w:after="0" w:line="240" w:lineRule="auto"/>
              <w:ind w:left="60"/>
              <w:jc w:val="left"/>
              <w:rPr>
                <w:rFonts w:ascii="Helvetica" w:eastAsia="Arial Unicode MS" w:hAnsi="Helvetica" w:cs="Times New Roman"/>
                <w:color w:val="000000" w:themeColor="text1"/>
                <w:sz w:val="6"/>
                <w:szCs w:val="6"/>
              </w:rPr>
            </w:pPr>
            <w:r>
              <w:rPr>
                <w:rFonts w:ascii="Helvetica" w:hAnsi="Helvetica"/>
                <w:color w:val="000000" w:themeColor="text1"/>
                <w:sz w:val="6"/>
              </w:rPr>
              <w:t>Drift av en organisert handelsfasilitet (OHF)</w:t>
            </w:r>
          </w:p>
        </w:tc>
        <w:tc>
          <w:tcPr>
            <w:tcW w:w="487" w:type="dxa"/>
            <w:tcBorders>
              <w:top w:val="single" w:sz="4" w:space="0" w:color="auto"/>
              <w:left w:val="single" w:sz="4" w:space="0" w:color="auto"/>
              <w:bottom w:val="single" w:sz="4" w:space="0" w:color="auto"/>
            </w:tcBorders>
            <w:tcMar>
              <w:top w:w="10" w:type="dxa"/>
              <w:bottom w:w="10" w:type="dxa"/>
            </w:tcMar>
            <w:vAlign w:val="center"/>
          </w:tcPr>
          <w:p w14:paraId="5AEFD67E"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16" w:type="dxa"/>
            <w:tcBorders>
              <w:top w:val="single" w:sz="4" w:space="0" w:color="auto"/>
              <w:left w:val="single" w:sz="4" w:space="0" w:color="auto"/>
              <w:bottom w:val="single" w:sz="4" w:space="0" w:color="auto"/>
            </w:tcBorders>
            <w:tcMar>
              <w:top w:w="10" w:type="dxa"/>
              <w:bottom w:w="10" w:type="dxa"/>
            </w:tcMar>
            <w:vAlign w:val="center"/>
          </w:tcPr>
          <w:p w14:paraId="3E0498B5"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01" w:type="dxa"/>
            <w:tcBorders>
              <w:top w:val="single" w:sz="4" w:space="0" w:color="auto"/>
              <w:left w:val="single" w:sz="4" w:space="0" w:color="auto"/>
              <w:bottom w:val="single" w:sz="4" w:space="0" w:color="auto"/>
            </w:tcBorders>
            <w:tcMar>
              <w:top w:w="10" w:type="dxa"/>
              <w:bottom w:w="10" w:type="dxa"/>
            </w:tcMar>
            <w:vAlign w:val="center"/>
          </w:tcPr>
          <w:p w14:paraId="51633809"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365" w:type="dxa"/>
            <w:gridSpan w:val="2"/>
            <w:tcBorders>
              <w:top w:val="single" w:sz="4" w:space="0" w:color="auto"/>
              <w:left w:val="single" w:sz="4" w:space="0" w:color="auto"/>
              <w:bottom w:val="single" w:sz="4" w:space="0" w:color="auto"/>
            </w:tcBorders>
            <w:tcMar>
              <w:top w:w="10" w:type="dxa"/>
              <w:bottom w:w="10" w:type="dxa"/>
            </w:tcMar>
            <w:vAlign w:val="center"/>
          </w:tcPr>
          <w:p w14:paraId="66699AC4"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46" w:type="dxa"/>
            <w:gridSpan w:val="2"/>
            <w:tcBorders>
              <w:top w:val="single" w:sz="4" w:space="0" w:color="auto"/>
              <w:left w:val="single" w:sz="4" w:space="0" w:color="auto"/>
              <w:bottom w:val="single" w:sz="4" w:space="0" w:color="auto"/>
            </w:tcBorders>
            <w:tcMar>
              <w:top w:w="10" w:type="dxa"/>
              <w:bottom w:w="10" w:type="dxa"/>
            </w:tcMar>
            <w:vAlign w:val="center"/>
          </w:tcPr>
          <w:p w14:paraId="7C6347D0"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06" w:type="dxa"/>
            <w:tcBorders>
              <w:top w:val="single" w:sz="4" w:space="0" w:color="auto"/>
              <w:left w:val="single" w:sz="4" w:space="0" w:color="auto"/>
              <w:bottom w:val="single" w:sz="4" w:space="0" w:color="auto"/>
            </w:tcBorders>
            <w:tcMar>
              <w:top w:w="10" w:type="dxa"/>
              <w:bottom w:w="10" w:type="dxa"/>
            </w:tcMar>
            <w:vAlign w:val="center"/>
          </w:tcPr>
          <w:p w14:paraId="07C6E503"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21" w:type="dxa"/>
            <w:tcBorders>
              <w:top w:val="single" w:sz="4" w:space="0" w:color="auto"/>
              <w:left w:val="single" w:sz="4" w:space="0" w:color="auto"/>
              <w:bottom w:val="single" w:sz="4" w:space="0" w:color="auto"/>
            </w:tcBorders>
            <w:tcMar>
              <w:top w:w="10" w:type="dxa"/>
              <w:bottom w:w="10" w:type="dxa"/>
            </w:tcMar>
            <w:vAlign w:val="center"/>
          </w:tcPr>
          <w:p w14:paraId="744C4DAC"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11" w:type="dxa"/>
            <w:tcBorders>
              <w:top w:val="single" w:sz="4" w:space="0" w:color="auto"/>
              <w:left w:val="single" w:sz="4" w:space="0" w:color="auto"/>
              <w:bottom w:val="single" w:sz="4" w:space="0" w:color="auto"/>
            </w:tcBorders>
            <w:tcMar>
              <w:top w:w="10" w:type="dxa"/>
              <w:bottom w:w="10" w:type="dxa"/>
            </w:tcMar>
            <w:vAlign w:val="center"/>
          </w:tcPr>
          <w:p w14:paraId="2E4CB86C"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7" w:type="dxa"/>
            <w:tcBorders>
              <w:top w:val="single" w:sz="4" w:space="0" w:color="auto"/>
              <w:left w:val="single" w:sz="4" w:space="0" w:color="auto"/>
              <w:bottom w:val="single" w:sz="4" w:space="0" w:color="auto"/>
            </w:tcBorders>
            <w:tcMar>
              <w:top w:w="10" w:type="dxa"/>
              <w:bottom w:w="10" w:type="dxa"/>
            </w:tcMar>
            <w:vAlign w:val="center"/>
          </w:tcPr>
          <w:p w14:paraId="504BC14E"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bottom w:val="single" w:sz="4" w:space="0" w:color="auto"/>
            </w:tcBorders>
            <w:tcMar>
              <w:top w:w="10" w:type="dxa"/>
              <w:bottom w:w="10" w:type="dxa"/>
            </w:tcMar>
            <w:vAlign w:val="center"/>
          </w:tcPr>
          <w:p w14:paraId="05439E6A"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bottom w:val="single" w:sz="4" w:space="0" w:color="auto"/>
            </w:tcBorders>
            <w:tcMar>
              <w:top w:w="10" w:type="dxa"/>
              <w:bottom w:w="10" w:type="dxa"/>
            </w:tcMar>
            <w:vAlign w:val="center"/>
          </w:tcPr>
          <w:p w14:paraId="0E20EA27"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bottom w:val="single" w:sz="4" w:space="0" w:color="auto"/>
            </w:tcBorders>
            <w:tcMar>
              <w:top w:w="10" w:type="dxa"/>
              <w:bottom w:w="10" w:type="dxa"/>
            </w:tcMar>
            <w:vAlign w:val="center"/>
          </w:tcPr>
          <w:p w14:paraId="1FC3A300"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bottom w:val="single" w:sz="4" w:space="0" w:color="auto"/>
            </w:tcBorders>
            <w:tcMar>
              <w:top w:w="10" w:type="dxa"/>
              <w:bottom w:w="10" w:type="dxa"/>
            </w:tcMar>
            <w:vAlign w:val="center"/>
          </w:tcPr>
          <w:p w14:paraId="2F50FFC2"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7" w:type="dxa"/>
            <w:tcBorders>
              <w:top w:val="single" w:sz="4" w:space="0" w:color="auto"/>
              <w:left w:val="single" w:sz="4" w:space="0" w:color="auto"/>
              <w:bottom w:val="single" w:sz="4" w:space="0" w:color="auto"/>
            </w:tcBorders>
            <w:tcMar>
              <w:top w:w="10" w:type="dxa"/>
              <w:bottom w:w="10" w:type="dxa"/>
            </w:tcMar>
            <w:vAlign w:val="center"/>
          </w:tcPr>
          <w:p w14:paraId="51707743"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87" w:type="dxa"/>
            <w:tcBorders>
              <w:top w:val="single" w:sz="4" w:space="0" w:color="auto"/>
              <w:left w:val="single" w:sz="4" w:space="0" w:color="auto"/>
              <w:bottom w:val="single" w:sz="4" w:space="0" w:color="auto"/>
            </w:tcBorders>
            <w:tcMar>
              <w:top w:w="10" w:type="dxa"/>
              <w:bottom w:w="10" w:type="dxa"/>
            </w:tcMar>
            <w:vAlign w:val="center"/>
          </w:tcPr>
          <w:p w14:paraId="629C319C"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7" w:type="dxa"/>
            <w:tcBorders>
              <w:top w:val="single" w:sz="4" w:space="0" w:color="auto"/>
              <w:left w:val="single" w:sz="4" w:space="0" w:color="auto"/>
              <w:bottom w:val="single" w:sz="4" w:space="0" w:color="auto"/>
            </w:tcBorders>
            <w:tcMar>
              <w:top w:w="10" w:type="dxa"/>
              <w:bottom w:w="10" w:type="dxa"/>
            </w:tcMar>
            <w:vAlign w:val="center"/>
          </w:tcPr>
          <w:p w14:paraId="1D281992"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bottom w:val="single" w:sz="4" w:space="0" w:color="auto"/>
            </w:tcBorders>
            <w:tcMar>
              <w:top w:w="10" w:type="dxa"/>
              <w:bottom w:w="10" w:type="dxa"/>
            </w:tcMar>
            <w:vAlign w:val="center"/>
          </w:tcPr>
          <w:p w14:paraId="2669BF19"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bottom w:val="single" w:sz="4" w:space="0" w:color="auto"/>
            </w:tcBorders>
            <w:tcMar>
              <w:top w:w="10" w:type="dxa"/>
              <w:bottom w:w="10" w:type="dxa"/>
            </w:tcMar>
            <w:vAlign w:val="center"/>
          </w:tcPr>
          <w:p w14:paraId="41D4D961"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bottom w:val="single" w:sz="4" w:space="0" w:color="auto"/>
            </w:tcBorders>
            <w:tcMar>
              <w:top w:w="10" w:type="dxa"/>
              <w:bottom w:w="10" w:type="dxa"/>
            </w:tcMar>
            <w:vAlign w:val="center"/>
          </w:tcPr>
          <w:p w14:paraId="1DA43A07"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bottom w:val="single" w:sz="4" w:space="0" w:color="auto"/>
            </w:tcBorders>
            <w:tcMar>
              <w:top w:w="10" w:type="dxa"/>
              <w:bottom w:w="10" w:type="dxa"/>
            </w:tcMar>
            <w:vAlign w:val="center"/>
          </w:tcPr>
          <w:p w14:paraId="4052E593"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92" w:type="dxa"/>
            <w:tcBorders>
              <w:top w:val="single" w:sz="4" w:space="0" w:color="auto"/>
              <w:left w:val="single" w:sz="4" w:space="0" w:color="auto"/>
              <w:bottom w:val="single" w:sz="4" w:space="0" w:color="auto"/>
            </w:tcBorders>
            <w:tcMar>
              <w:top w:w="10" w:type="dxa"/>
              <w:bottom w:w="10" w:type="dxa"/>
            </w:tcMar>
            <w:vAlign w:val="center"/>
          </w:tcPr>
          <w:p w14:paraId="473E19BC"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28" w:type="dxa"/>
            <w:tcBorders>
              <w:top w:val="single" w:sz="4" w:space="0" w:color="auto"/>
              <w:left w:val="single" w:sz="4" w:space="0" w:color="auto"/>
              <w:bottom w:val="single" w:sz="4" w:space="0" w:color="auto"/>
            </w:tcBorders>
            <w:tcMar>
              <w:top w:w="10" w:type="dxa"/>
              <w:bottom w:w="10" w:type="dxa"/>
            </w:tcMar>
            <w:vAlign w:val="center"/>
          </w:tcPr>
          <w:p w14:paraId="346E1944"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428" w:type="dxa"/>
            <w:tcBorders>
              <w:top w:val="single" w:sz="4" w:space="0" w:color="auto"/>
              <w:left w:val="single" w:sz="4" w:space="0" w:color="auto"/>
              <w:bottom w:val="single" w:sz="4" w:space="0" w:color="auto"/>
            </w:tcBorders>
            <w:tcMar>
              <w:top w:w="10" w:type="dxa"/>
              <w:bottom w:w="10" w:type="dxa"/>
            </w:tcMar>
            <w:vAlign w:val="center"/>
          </w:tcPr>
          <w:p w14:paraId="7ECC029E"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549" w:type="dxa"/>
            <w:tcBorders>
              <w:top w:val="single" w:sz="4" w:space="0" w:color="auto"/>
              <w:left w:val="single" w:sz="4" w:space="0" w:color="auto"/>
              <w:bottom w:val="single" w:sz="4" w:space="0" w:color="auto"/>
            </w:tcBorders>
            <w:tcMar>
              <w:top w:w="10" w:type="dxa"/>
              <w:bottom w:w="10" w:type="dxa"/>
            </w:tcMar>
            <w:vAlign w:val="center"/>
          </w:tcPr>
          <w:p w14:paraId="738D5B16"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c>
          <w:tcPr>
            <w:tcW w:w="658" w:type="dxa"/>
            <w:tcBorders>
              <w:top w:val="single" w:sz="4" w:space="0" w:color="auto"/>
              <w:left w:val="single" w:sz="4" w:space="0" w:color="auto"/>
              <w:bottom w:val="single" w:sz="4" w:space="0" w:color="auto"/>
              <w:right w:val="single" w:sz="4" w:space="0" w:color="auto"/>
            </w:tcBorders>
            <w:tcMar>
              <w:top w:w="10" w:type="dxa"/>
              <w:bottom w:w="10" w:type="dxa"/>
            </w:tcMar>
            <w:vAlign w:val="center"/>
          </w:tcPr>
          <w:p w14:paraId="10EC4638" w14:textId="77777777" w:rsidR="006561BA" w:rsidRPr="00770AA2" w:rsidRDefault="006561BA">
            <w:pPr>
              <w:widowControl w:val="0"/>
              <w:shd w:val="clear" w:color="auto" w:fill="auto"/>
              <w:spacing w:after="0" w:line="240" w:lineRule="auto"/>
              <w:jc w:val="left"/>
              <w:rPr>
                <w:rFonts w:ascii="Helvetica" w:eastAsia="Arial Unicode MS" w:hAnsi="Helvetica" w:cs="Times New Roman"/>
                <w:color w:val="000000" w:themeColor="text1"/>
                <w:sz w:val="6"/>
                <w:szCs w:val="6"/>
              </w:rPr>
            </w:pPr>
          </w:p>
        </w:tc>
      </w:tr>
    </w:tbl>
    <w:p w14:paraId="06091F9F" w14:textId="77777777" w:rsidR="006561BA" w:rsidRDefault="006561BA">
      <w:pPr>
        <w:pStyle w:val="Para"/>
        <w:spacing w:line="240" w:lineRule="auto"/>
        <w:jc w:val="left"/>
      </w:pPr>
    </w:p>
    <w:sectPr w:rsidR="006561BA">
      <w:footnotePr>
        <w:pos w:val="beneathText"/>
        <w:numRestart w:val="eachPage"/>
      </w:footnotePr>
      <w:pgSz w:w="16838" w:h="11906" w:orient="landscape" w:code="9"/>
      <w:pgMar w:top="1120" w:right="1680" w:bottom="1120" w:left="840" w:header="920"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E6360" w14:textId="77777777" w:rsidR="000D3D55" w:rsidRDefault="000D3D55">
      <w:pPr>
        <w:spacing w:after="0" w:line="240" w:lineRule="auto"/>
      </w:pPr>
      <w:r>
        <w:separator/>
      </w:r>
    </w:p>
  </w:endnote>
  <w:endnote w:type="continuationSeparator" w:id="0">
    <w:p w14:paraId="7B4681AD" w14:textId="77777777" w:rsidR="000D3D55" w:rsidRDefault="000D3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0E12" w14:textId="77777777" w:rsidR="005B4ED6" w:rsidRDefault="005B4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AB44" w14:textId="77777777" w:rsidR="005B4ED6" w:rsidRDefault="005B4E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54D9" w14:textId="77777777" w:rsidR="005B4ED6" w:rsidRDefault="005B4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20572" w14:textId="77777777" w:rsidR="000D3D55" w:rsidRDefault="000D3D55">
      <w:pPr>
        <w:pStyle w:val="FooterRule"/>
        <w:rPr>
          <w:lang w:val="de-DE"/>
        </w:rPr>
      </w:pPr>
      <w:r>
        <w:rPr>
          <w:lang w:val="de-DE"/>
        </w:rPr>
        <w:tab/>
      </w:r>
    </w:p>
  </w:footnote>
  <w:footnote w:type="continuationSeparator" w:id="0">
    <w:p w14:paraId="7249A85F" w14:textId="77777777" w:rsidR="000D3D55" w:rsidRDefault="000D3D55">
      <w:pPr>
        <w:spacing w:after="0" w:line="240" w:lineRule="auto"/>
      </w:pPr>
      <w:r>
        <w:continuationSeparator/>
      </w:r>
    </w:p>
  </w:footnote>
  <w:footnote w:type="continuationNotice" w:id="1">
    <w:p w14:paraId="72D4FD9B" w14:textId="77777777" w:rsidR="000D3D55" w:rsidRDefault="000D3D55">
      <w:pPr>
        <w:spacing w:after="0" w:line="240" w:lineRule="auto"/>
      </w:pPr>
    </w:p>
  </w:footnote>
  <w:footnote w:id="2">
    <w:p w14:paraId="6EEC7077" w14:textId="77777777" w:rsidR="006561BA" w:rsidRDefault="005B4ED6">
      <w:pPr>
        <w:pStyle w:val="FootnoteText"/>
        <w:rPr>
          <w:rFonts w:cs="Times New Roman"/>
          <w:szCs w:val="16"/>
        </w:rPr>
      </w:pPr>
      <w:r>
        <w:t>(</w:t>
      </w:r>
      <w:r>
        <w:rPr>
          <w:rStyle w:val="FootnoteReference"/>
          <w:rFonts w:cs="Times New Roman"/>
          <w:szCs w:val="16"/>
        </w:rPr>
        <w:footnoteRef/>
      </w:r>
      <w:r>
        <w:t>)</w:t>
      </w:r>
      <w:r>
        <w:tab/>
        <w:t>EUT L 198 av 22.6.2020, s. 13.</w:t>
      </w:r>
    </w:p>
  </w:footnote>
  <w:footnote w:id="3">
    <w:p w14:paraId="7FA381FC" w14:textId="77777777" w:rsidR="006561BA" w:rsidRDefault="005B4ED6">
      <w:pPr>
        <w:pStyle w:val="FootnoteText"/>
        <w:rPr>
          <w:rFonts w:cs="Times New Roman"/>
          <w:szCs w:val="16"/>
        </w:rPr>
      </w:pPr>
      <w:r>
        <w:t>(</w:t>
      </w:r>
      <w:r>
        <w:rPr>
          <w:rStyle w:val="FootnoteReference"/>
          <w:rFonts w:cs="Times New Roman"/>
          <w:szCs w:val="16"/>
        </w:rPr>
        <w:footnoteRef/>
      </w:r>
      <w:r>
        <w:t>)</w:t>
      </w:r>
      <w:r>
        <w:tab/>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footnote>
  <w:footnote w:id="4">
    <w:p w14:paraId="3EBE8B05" w14:textId="77777777" w:rsidR="006561BA" w:rsidRDefault="005B4ED6">
      <w:pPr>
        <w:pStyle w:val="FootnoteText"/>
        <w:rPr>
          <w:rFonts w:cs="Times New Roman"/>
          <w:szCs w:val="16"/>
        </w:rPr>
      </w:pPr>
      <w:r>
        <w:t>(</w:t>
      </w:r>
      <w:r>
        <w:rPr>
          <w:rStyle w:val="FootnoteReference"/>
          <w:rFonts w:cs="Times New Roman"/>
          <w:szCs w:val="16"/>
        </w:rPr>
        <w:footnoteRef/>
      </w:r>
      <w:r>
        <w:t>)</w:t>
      </w:r>
      <w:r>
        <w:tab/>
        <w:t>Kommisjonsmelding til Europaparlamentet, Rådet, Den europeiske økonomiske og sosiale komité og Regionkomiteen om en strategi for å finansiere omstillingen til en bærekraftig økonomi («</w:t>
      </w:r>
      <w:proofErr w:type="spellStart"/>
      <w:r>
        <w:t>Strategy</w:t>
      </w:r>
      <w:proofErr w:type="spellEnd"/>
      <w:r>
        <w:t xml:space="preserve"> for </w:t>
      </w:r>
      <w:proofErr w:type="spellStart"/>
      <w:r>
        <w:t>Financing</w:t>
      </w:r>
      <w:proofErr w:type="spellEnd"/>
      <w:r>
        <w:t xml:space="preserve"> </w:t>
      </w:r>
      <w:proofErr w:type="spellStart"/>
      <w:r>
        <w:t>the</w:t>
      </w:r>
      <w:proofErr w:type="spellEnd"/>
      <w:r>
        <w:t xml:space="preserve"> </w:t>
      </w:r>
      <w:proofErr w:type="spellStart"/>
      <w:r>
        <w:t>Transition</w:t>
      </w:r>
      <w:proofErr w:type="spellEnd"/>
      <w:r>
        <w:t xml:space="preserve"> to a </w:t>
      </w:r>
      <w:proofErr w:type="spellStart"/>
      <w:r>
        <w:t>Sustainable</w:t>
      </w:r>
      <w:proofErr w:type="spellEnd"/>
      <w:r>
        <w:t xml:space="preserve"> </w:t>
      </w:r>
      <w:proofErr w:type="spellStart"/>
      <w:r>
        <w:t>Economy</w:t>
      </w:r>
      <w:proofErr w:type="spellEnd"/>
      <w:r>
        <w:t>»), (COM(2021) 390 final).</w:t>
      </w:r>
    </w:p>
  </w:footnote>
  <w:footnote w:id="5">
    <w:p w14:paraId="2EE81D01" w14:textId="77777777" w:rsidR="006561BA" w:rsidRDefault="005B4ED6">
      <w:pPr>
        <w:pStyle w:val="FootnoteText"/>
        <w:rPr>
          <w:rFonts w:cs="Times New Roman"/>
          <w:szCs w:val="16"/>
        </w:rPr>
      </w:pPr>
      <w:r>
        <w:t>(</w:t>
      </w:r>
      <w:r>
        <w:rPr>
          <w:rStyle w:val="FootnoteReference"/>
          <w:rFonts w:cs="Times New Roman"/>
          <w:szCs w:val="16"/>
        </w:rPr>
        <w:footnoteRef/>
      </w:r>
      <w:r>
        <w:t>)</w:t>
      </w:r>
      <w:r>
        <w:tab/>
        <w:t>Delegert kommisjonsforordning (EU) 2021/2139 av 4. juni 2021 om utfylling av europaparlaments- og rådsforordning (EU) 2020/852 ved fastsettelse av de tekniske screeningkriteriene for å fastslå vilkårene for at en økonomisk aktivitet skal anses å bidra vesentlig til begrensning av klimaendringer eller tilpasning til klimaendringer, og for å fastslå om det er slik at den økonomiske aktiviteten ikke er til betydelig skade for noen av de andre miljømålene (EUT L 442 av 9.12.2021, s. 1).</w:t>
      </w:r>
    </w:p>
  </w:footnote>
  <w:footnote w:id="6">
    <w:p w14:paraId="19AD6F34" w14:textId="77777777" w:rsidR="006561BA" w:rsidRDefault="005B4ED6">
      <w:pPr>
        <w:pStyle w:val="FootnoteText"/>
        <w:rPr>
          <w:rFonts w:cs="Times New Roman"/>
          <w:szCs w:val="16"/>
        </w:rPr>
      </w:pPr>
      <w:r>
        <w:t>(</w:t>
      </w:r>
      <w:r>
        <w:rPr>
          <w:rStyle w:val="FootnoteReference"/>
          <w:rFonts w:cs="Times New Roman"/>
          <w:szCs w:val="16"/>
        </w:rPr>
        <w:footnoteRef/>
      </w:r>
      <w:r>
        <w:t>)</w:t>
      </w:r>
      <w:r>
        <w:tab/>
        <w:t>Europaparlaments- og rådsforordning (EF) nr. 1893/2006 av 20. desember 2006 om innføring av en standard for næringsgruppering NACE Revisjon 2, og om endring av rådsforordning (EØF) nr. 3037/90 og visse EF-forordninger innenfor særlige statistikkområder (EUT L 393 av 30.12.2006, s. 1).</w:t>
      </w:r>
    </w:p>
  </w:footnote>
  <w:footnote w:id="7">
    <w:p w14:paraId="2D8FEE71" w14:textId="77777777" w:rsidR="006561BA" w:rsidRDefault="005B4ED6">
      <w:pPr>
        <w:pStyle w:val="FootnoteText"/>
        <w:rPr>
          <w:rFonts w:cs="Times New Roman"/>
          <w:szCs w:val="16"/>
        </w:rPr>
      </w:pPr>
      <w:r>
        <w:t>(</w:t>
      </w:r>
      <w:r>
        <w:rPr>
          <w:rStyle w:val="FootnoteReference"/>
          <w:rFonts w:cs="Times New Roman"/>
          <w:szCs w:val="16"/>
        </w:rPr>
        <w:footnoteRef/>
      </w:r>
      <w:r>
        <w:t>)</w:t>
      </w:r>
      <w:r>
        <w:tab/>
        <w:t>Særlig europaparlaments- og rådsdirektiv 2000/60/EF av 23. oktober 2000 om fastsettelse av en ramme for fellesskapstiltak på området vannpolitikk (EFT L 327 av 22.12.2000, s. 1), europaparlaments- og rådsdirektiv 2008/105/EF av 16. desember 2008 om miljøkvalitetsstandarder på området vannpolitikk og om endring og senere oppheving av rådsdirektiv 82/176/EØF, 83/513/EØF, 84/156/EØF, 84/491/EØF, 86/280/EØF og om endring av europaparlaments- og rådsdirektiv 2000/60/EF (EUT L 348 av 24.12.2008, s. 84), europaparlaments- og rådsdirektiv 2006/118/EF av 12. desember 2006 om vern av grunnvann mot forurensning og forringelse (EUT L 372 av 27.12.2006, s. 19), rådsdirektiv 91/271/EØF av 21. mai 1991 om rensing av avløpsvann fra byområder (EFT L 135 av 30.5.1991, s. 40), europaparlaments- og rådsdirektiv (EU) 2020/2184 av 16. desember 2020 om kvaliteten på drikkevann (EUT L 435 av 23.12.2020), s. 1), europaparlaments- og rådsdirektiv 2008/56/EF av 17. juni 2008 om fastsettelse av en ramme for fellesskapstiltak på området havmiljøpolitikk (havstrategidirektivet) (EUT L 164 av 25.6.2008, s. 19), europaparlaments- og rådsdirektiv 2006/7/EF av 15. februar 2006 om styring av badevannets kvalitet og om oppheving av direktiv 76/160/EØF (EUT L 64 av 4.3.2006, s. 37) og rådsdirektiv 91/676/EØF av 12. desember 1991 om beskyttelse av vann mot forurensning forårsaket av nitrater fra landbruket (EFT L 375 av 31.12.1991, s. 1).</w:t>
      </w:r>
    </w:p>
  </w:footnote>
  <w:footnote w:id="8">
    <w:p w14:paraId="05BB22A5" w14:textId="77777777" w:rsidR="006561BA" w:rsidRDefault="005B4ED6">
      <w:pPr>
        <w:pStyle w:val="FootnoteText"/>
        <w:rPr>
          <w:rFonts w:cs="Times New Roman"/>
          <w:szCs w:val="16"/>
        </w:rPr>
      </w:pPr>
      <w:r>
        <w:t>(</w:t>
      </w:r>
      <w:r>
        <w:rPr>
          <w:rStyle w:val="FootnoteReference"/>
          <w:rFonts w:cs="Times New Roman"/>
          <w:szCs w:val="16"/>
        </w:rPr>
        <w:footnoteRef/>
      </w:r>
      <w:r>
        <w:t>)</w:t>
      </w:r>
      <w:r>
        <w:tab/>
        <w:t>Rådsdirektiv 91/271/EØF av 21. mai 1991 om rensing av avløpsvann fra byområder (EFT L 135 av 30.5.1991, s. 40).</w:t>
      </w:r>
    </w:p>
  </w:footnote>
  <w:footnote w:id="9">
    <w:p w14:paraId="772CD341" w14:textId="77777777" w:rsidR="006561BA" w:rsidRDefault="005B4ED6">
      <w:pPr>
        <w:pStyle w:val="FootnoteText"/>
        <w:rPr>
          <w:rFonts w:cs="Times New Roman"/>
          <w:szCs w:val="16"/>
        </w:rPr>
      </w:pPr>
      <w:r>
        <w:t>(</w:t>
      </w:r>
      <w:r>
        <w:rPr>
          <w:rStyle w:val="FootnoteReference"/>
          <w:rFonts w:cs="Times New Roman"/>
          <w:szCs w:val="16"/>
        </w:rPr>
        <w:footnoteRef/>
      </w:r>
      <w:r>
        <w:t>)</w:t>
      </w:r>
      <w:r>
        <w:tab/>
        <w:t xml:space="preserve">Kommisjonsmelding til Europaparlamentet, Det europeiske råd, Rådet, Den europeiske økonomiske og sosiale komité og Regionkomiteen om den europeiske grønne given («The European Green </w:t>
      </w:r>
      <w:proofErr w:type="spellStart"/>
      <w:r>
        <w:t>Deal</w:t>
      </w:r>
      <w:proofErr w:type="spellEnd"/>
      <w:r>
        <w:t>»), (COM(2019) 640 final).</w:t>
      </w:r>
    </w:p>
  </w:footnote>
  <w:footnote w:id="10">
    <w:p w14:paraId="0DB1511D" w14:textId="77777777" w:rsidR="006561BA" w:rsidRDefault="005B4ED6">
      <w:pPr>
        <w:pStyle w:val="FootnoteText"/>
        <w:rPr>
          <w:rFonts w:cs="Times New Roman"/>
          <w:szCs w:val="16"/>
        </w:rPr>
      </w:pPr>
      <w:r>
        <w:t>(</w:t>
      </w:r>
      <w:r>
        <w:rPr>
          <w:rStyle w:val="FootnoteReference"/>
          <w:rFonts w:cs="Times New Roman"/>
          <w:szCs w:val="16"/>
        </w:rPr>
        <w:footnoteRef/>
      </w:r>
      <w:r>
        <w:t>)</w:t>
      </w:r>
      <w:r>
        <w:tab/>
        <w:t xml:space="preserve">Kommisjonsmelding til Europaparlamentet, Rådet, Den europeiske økonomiske og sosiale komité og Regionkomiteen om en ny handlingsplan for den sirkulære økonomien – for et renere og mer konkurransedyktig Europa («A </w:t>
      </w:r>
      <w:proofErr w:type="spellStart"/>
      <w:r>
        <w:t>new</w:t>
      </w:r>
      <w:proofErr w:type="spellEnd"/>
      <w:r>
        <w:t xml:space="preserve"> </w:t>
      </w:r>
      <w:proofErr w:type="spellStart"/>
      <w:r>
        <w:t>Circular</w:t>
      </w:r>
      <w:proofErr w:type="spellEnd"/>
      <w:r>
        <w:t xml:space="preserve"> </w:t>
      </w:r>
      <w:proofErr w:type="spellStart"/>
      <w:r>
        <w:t>Economy</w:t>
      </w:r>
      <w:proofErr w:type="spellEnd"/>
      <w:r>
        <w:t xml:space="preserve"> Action Plan – For a </w:t>
      </w:r>
      <w:proofErr w:type="spellStart"/>
      <w:r>
        <w:t>cleaner</w:t>
      </w:r>
      <w:proofErr w:type="spellEnd"/>
      <w:r>
        <w:t xml:space="preserve"> and more </w:t>
      </w:r>
      <w:proofErr w:type="spellStart"/>
      <w:r>
        <w:t>competitive</w:t>
      </w:r>
      <w:proofErr w:type="spellEnd"/>
      <w:r>
        <w:t xml:space="preserve"> Europe») (COM(2020) 98 final).</w:t>
      </w:r>
    </w:p>
  </w:footnote>
  <w:footnote w:id="11">
    <w:p w14:paraId="6681799C" w14:textId="77777777" w:rsidR="006561BA" w:rsidRDefault="005B4ED6">
      <w:pPr>
        <w:pStyle w:val="FootnoteText"/>
        <w:rPr>
          <w:rFonts w:cs="Times New Roman"/>
          <w:szCs w:val="16"/>
        </w:rPr>
      </w:pPr>
      <w:r>
        <w:t>(</w:t>
      </w:r>
      <w:r>
        <w:rPr>
          <w:rStyle w:val="FootnoteReference"/>
          <w:rFonts w:cs="Times New Roman"/>
          <w:szCs w:val="16"/>
        </w:rPr>
        <w:footnoteRef/>
      </w:r>
      <w:r>
        <w:t>)</w:t>
      </w:r>
      <w:r>
        <w:tab/>
        <w:t xml:space="preserve">Kommisjonsmelding til Europaparlamentet, Rådet, Den europeiske økonomiske og sosiale komité og Regionkomiteen om en europeisk strategi for plast i en sirkulær økonomi («A European </w:t>
      </w:r>
      <w:proofErr w:type="spellStart"/>
      <w:r>
        <w:t>Strategy</w:t>
      </w:r>
      <w:proofErr w:type="spellEnd"/>
      <w:r>
        <w:t xml:space="preserve"> for </w:t>
      </w:r>
      <w:proofErr w:type="spellStart"/>
      <w:r>
        <w:t>Plastics</w:t>
      </w:r>
      <w:proofErr w:type="spellEnd"/>
      <w:r>
        <w:t xml:space="preserve"> in a </w:t>
      </w:r>
      <w:proofErr w:type="spellStart"/>
      <w:r>
        <w:t>Circular</w:t>
      </w:r>
      <w:proofErr w:type="spellEnd"/>
      <w:r>
        <w:t xml:space="preserve"> </w:t>
      </w:r>
      <w:proofErr w:type="spellStart"/>
      <w:r>
        <w:t>Economy</w:t>
      </w:r>
      <w:proofErr w:type="spellEnd"/>
      <w:r>
        <w:t>»), (COM(2018) 28 final).</w:t>
      </w:r>
    </w:p>
  </w:footnote>
  <w:footnote w:id="12">
    <w:p w14:paraId="102338BB" w14:textId="77777777" w:rsidR="006561BA" w:rsidRDefault="005B4ED6">
      <w:pPr>
        <w:pStyle w:val="FootnoteText"/>
        <w:rPr>
          <w:rFonts w:cs="Times New Roman"/>
          <w:szCs w:val="16"/>
        </w:rPr>
      </w:pPr>
      <w:r>
        <w:t>(</w:t>
      </w:r>
      <w:r>
        <w:rPr>
          <w:rStyle w:val="FootnoteReference"/>
          <w:rFonts w:cs="Times New Roman"/>
          <w:szCs w:val="16"/>
        </w:rPr>
        <w:footnoteRef/>
      </w:r>
      <w:r>
        <w:t>)</w:t>
      </w:r>
      <w:r>
        <w:tab/>
        <w:t xml:space="preserve">Kommisjonsmelding til Europaparlamentet, Rådet, Den europeiske økonomiske og sosiale komité og Regionkomiteen om EUs politiske ramme for biobasert, biologisk nedbrytbar og komposterbar plast («EU policy </w:t>
      </w:r>
      <w:proofErr w:type="spellStart"/>
      <w:r>
        <w:t>framework</w:t>
      </w:r>
      <w:proofErr w:type="spellEnd"/>
      <w:r>
        <w:t xml:space="preserve"> </w:t>
      </w:r>
      <w:proofErr w:type="spellStart"/>
      <w:r>
        <w:t>on</w:t>
      </w:r>
      <w:proofErr w:type="spellEnd"/>
      <w:r>
        <w:t xml:space="preserve"> </w:t>
      </w:r>
      <w:proofErr w:type="spellStart"/>
      <w:r>
        <w:t>biobased</w:t>
      </w:r>
      <w:proofErr w:type="spellEnd"/>
      <w:r>
        <w:t xml:space="preserve">, </w:t>
      </w:r>
      <w:proofErr w:type="spellStart"/>
      <w:r>
        <w:t>biodegradable</w:t>
      </w:r>
      <w:proofErr w:type="spellEnd"/>
      <w:r>
        <w:t xml:space="preserve"> and </w:t>
      </w:r>
      <w:proofErr w:type="spellStart"/>
      <w:r>
        <w:t>compostable</w:t>
      </w:r>
      <w:proofErr w:type="spellEnd"/>
      <w:r>
        <w:t xml:space="preserve"> </w:t>
      </w:r>
      <w:proofErr w:type="spellStart"/>
      <w:r>
        <w:t>plastics</w:t>
      </w:r>
      <w:proofErr w:type="spellEnd"/>
      <w:r>
        <w:t>») (COM(2022) 682 final).</w:t>
      </w:r>
    </w:p>
  </w:footnote>
  <w:footnote w:id="13">
    <w:p w14:paraId="3244165B" w14:textId="77777777" w:rsidR="006561BA" w:rsidRDefault="005B4ED6">
      <w:pPr>
        <w:pStyle w:val="FootnoteText"/>
        <w:rPr>
          <w:rFonts w:cs="Times New Roman"/>
          <w:szCs w:val="16"/>
        </w:rPr>
      </w:pPr>
      <w:r>
        <w:t>(</w:t>
      </w:r>
      <w:r>
        <w:rPr>
          <w:rStyle w:val="FootnoteReference"/>
          <w:rFonts w:cs="Times New Roman"/>
          <w:szCs w:val="16"/>
        </w:rPr>
        <w:footnoteRef/>
      </w:r>
      <w:r>
        <w:t>)</w:t>
      </w:r>
      <w:r>
        <w:tab/>
        <w:t>Europaparlaments- og rådsdirektiv 94/62/EF av 20. desember 1994 om emballasje og emballasjeavfall (EFT L 365 av 31.12.1994, s. 10).</w:t>
      </w:r>
    </w:p>
  </w:footnote>
  <w:footnote w:id="14">
    <w:p w14:paraId="791A7247" w14:textId="77777777" w:rsidR="006561BA" w:rsidRDefault="005B4ED6">
      <w:pPr>
        <w:pStyle w:val="FootnoteText"/>
        <w:rPr>
          <w:rFonts w:cs="Times New Roman"/>
          <w:szCs w:val="16"/>
        </w:rPr>
      </w:pPr>
      <w:r>
        <w:t>(</w:t>
      </w:r>
      <w:r>
        <w:rPr>
          <w:rStyle w:val="FootnoteReference"/>
          <w:rFonts w:cs="Times New Roman"/>
          <w:szCs w:val="16"/>
        </w:rPr>
        <w:footnoteRef/>
      </w:r>
      <w:r>
        <w:t>)</w:t>
      </w:r>
      <w:r>
        <w:tab/>
        <w:t>Europaparlaments- og rådsdirektiv (EU) 2018/2001 av 11. desember 2018 om å fremme bruk av energi fra fornybare kilder (EUT L 328 av 21.12.2018, s. 82).</w:t>
      </w:r>
    </w:p>
  </w:footnote>
  <w:footnote w:id="15">
    <w:p w14:paraId="069F0A1A" w14:textId="77777777" w:rsidR="006561BA" w:rsidRDefault="005B4ED6">
      <w:pPr>
        <w:pStyle w:val="FootnoteText"/>
        <w:rPr>
          <w:rFonts w:cs="Times New Roman"/>
          <w:szCs w:val="16"/>
        </w:rPr>
      </w:pPr>
      <w:r>
        <w:t>(</w:t>
      </w:r>
      <w:r>
        <w:rPr>
          <w:rStyle w:val="FootnoteReference"/>
          <w:rFonts w:cs="Times New Roman"/>
          <w:szCs w:val="16"/>
        </w:rPr>
        <w:footnoteRef/>
      </w:r>
      <w:r>
        <w:t>)</w:t>
      </w:r>
      <w:r>
        <w:tab/>
        <w:t>Se særlig artikkel 4 i europaparlaments- og rådsdirektiv 2008/98/EF av 19. november 2008 om avfall og om oppheving av visse direktiver (EUT L 312 av 22.11.2008, s. 3).</w:t>
      </w:r>
    </w:p>
  </w:footnote>
  <w:footnote w:id="16">
    <w:p w14:paraId="1E53481C" w14:textId="77777777" w:rsidR="006561BA" w:rsidRDefault="005B4ED6">
      <w:pPr>
        <w:pStyle w:val="FootnoteText"/>
        <w:rPr>
          <w:rFonts w:cs="Times New Roman"/>
          <w:szCs w:val="16"/>
        </w:rPr>
      </w:pPr>
      <w:r>
        <w:t>(</w:t>
      </w:r>
      <w:r>
        <w:rPr>
          <w:rStyle w:val="FootnoteReference"/>
          <w:rFonts w:cs="Times New Roman"/>
          <w:szCs w:val="16"/>
        </w:rPr>
        <w:footnoteRef/>
      </w:r>
      <w:r>
        <w:t>)</w:t>
      </w:r>
      <w:r>
        <w:tab/>
        <w:t>Eurostats database som inneholder opplysninger innsamlet i henhold til Europaparlaments- og rådsforordning (EF) nr. 2150/2002 av 25. november 2002 om avfallsstatistikk (EFT L 332 av 9.12.2002, s. 1).</w:t>
      </w:r>
    </w:p>
  </w:footnote>
  <w:footnote w:id="17">
    <w:p w14:paraId="7C022AA4" w14:textId="77777777" w:rsidR="006561BA" w:rsidRPr="00770AA2" w:rsidRDefault="005B4ED6">
      <w:pPr>
        <w:pStyle w:val="FootnoteText"/>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 xml:space="preserve">Det </w:t>
      </w:r>
      <w:proofErr w:type="spellStart"/>
      <w:r w:rsidRPr="00770AA2">
        <w:rPr>
          <w:lang w:val="en-US"/>
        </w:rPr>
        <w:t>europeiske</w:t>
      </w:r>
      <w:proofErr w:type="spellEnd"/>
      <w:r w:rsidRPr="00770AA2">
        <w:rPr>
          <w:lang w:val="en-US"/>
        </w:rPr>
        <w:t xml:space="preserve"> </w:t>
      </w:r>
      <w:proofErr w:type="spellStart"/>
      <w:r w:rsidRPr="00770AA2">
        <w:rPr>
          <w:lang w:val="en-US"/>
        </w:rPr>
        <w:t>miljøbyråets</w:t>
      </w:r>
      <w:proofErr w:type="spellEnd"/>
      <w:r w:rsidRPr="00770AA2">
        <w:rPr>
          <w:lang w:val="en-US"/>
        </w:rPr>
        <w:t xml:space="preserve"> rapport nr. 22/2018, «Unequal exposure and unequal impacts: social vulnerability to air pollution, noise and extreme temperatures in Europe».</w:t>
      </w:r>
    </w:p>
  </w:footnote>
  <w:footnote w:id="18">
    <w:p w14:paraId="7A2AD8ED" w14:textId="77777777" w:rsidR="006561BA" w:rsidRPr="00980A19" w:rsidRDefault="005B4ED6">
      <w:pPr>
        <w:pStyle w:val="FootnoteText"/>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Kommisjonsmelding til Europaparlamentet, Rådet, Den europeiske økonomiske og sosiale komité og Regionkomiteen om veien til en sunn planet for alle – EU-handlingsplan («Pathway to a Healthy Planet for All EU Action Plan»): Mot nullforurensning for luft, vann og jord («Towards Zero Pollution for Air, Water and Soil)», (COM(2021) 400 final).</w:t>
      </w:r>
    </w:p>
  </w:footnote>
  <w:footnote w:id="19">
    <w:p w14:paraId="58D0E5F8" w14:textId="77777777" w:rsidR="006561BA" w:rsidRPr="00980A19" w:rsidRDefault="005B4ED6">
      <w:pPr>
        <w:pStyle w:val="FootnoteText"/>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Kommisjonsmelding til Europaparlamentet, Rådet, Den europeiske økonomiske og sosiale komité og Regionkomiteen om en kjemikaliestrategi for en bærekraftig utvikling – På vei mot et giftfritt miljø («Chemicals Strategy for Sustainability Towards a Toxic-Free Environment»), (COM(2020) 667 final).</w:t>
      </w:r>
    </w:p>
  </w:footnote>
  <w:footnote w:id="20">
    <w:p w14:paraId="61134E42" w14:textId="77777777" w:rsidR="006561BA" w:rsidRPr="00980A19" w:rsidRDefault="005B4ED6">
      <w:pPr>
        <w:pStyle w:val="FootnoteText"/>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Kommisjonsmelding til Europaparlamentet, Rådet og Den europeiske økonomiske og sosiale komité om Den europeiske unions strategi om legemidler i miljøet («European Union Strategic Approach to Pharmaceuticals in the Environment»), (COM(2019) 128 final).</w:t>
      </w:r>
    </w:p>
  </w:footnote>
  <w:footnote w:id="21">
    <w:p w14:paraId="3CAE1AC9" w14:textId="77777777" w:rsidR="006561BA" w:rsidRDefault="005B4ED6">
      <w:pPr>
        <w:pStyle w:val="FootnoteText"/>
        <w:rPr>
          <w:rFonts w:cs="Times New Roman"/>
          <w:szCs w:val="16"/>
        </w:rPr>
      </w:pPr>
      <w:r>
        <w:t>(</w:t>
      </w:r>
      <w:r>
        <w:rPr>
          <w:rStyle w:val="FootnoteReference"/>
          <w:rFonts w:cs="Times New Roman"/>
          <w:szCs w:val="16"/>
        </w:rPr>
        <w:footnoteRef/>
      </w:r>
      <w:r>
        <w:t>)</w:t>
      </w:r>
      <w:r>
        <w:tab/>
        <w:t>Verdens økonomiske forum (2020), «The Global Risks Report 2020».</w:t>
      </w:r>
    </w:p>
  </w:footnote>
  <w:footnote w:id="22">
    <w:p w14:paraId="7E465E91" w14:textId="77777777" w:rsidR="006561BA" w:rsidRDefault="005B4ED6">
      <w:pPr>
        <w:pStyle w:val="FootnoteText"/>
        <w:rPr>
          <w:rFonts w:cs="Times New Roman"/>
          <w:szCs w:val="16"/>
        </w:rPr>
      </w:pPr>
      <w:r>
        <w:t>(</w:t>
      </w:r>
      <w:r>
        <w:rPr>
          <w:rStyle w:val="FootnoteReference"/>
          <w:rFonts w:cs="Times New Roman"/>
          <w:szCs w:val="16"/>
        </w:rPr>
        <w:footnoteRef/>
      </w:r>
      <w:r>
        <w:t>)</w:t>
      </w:r>
      <w:r>
        <w:tab/>
        <w:t>Europaparlaments- og rådsdirektiv 2010/75/EU av 24. november 2010 om industriutslipp (integrert forebygging og begrensning av forurensning) (EUT L 334 av 17.12.2010, s. 17).</w:t>
      </w:r>
    </w:p>
  </w:footnote>
  <w:footnote w:id="23">
    <w:p w14:paraId="6CA6E0CD" w14:textId="77777777" w:rsidR="006561BA" w:rsidRDefault="005B4ED6">
      <w:pPr>
        <w:pStyle w:val="FootnoteText"/>
        <w:rPr>
          <w:rFonts w:cs="Times New Roman"/>
          <w:szCs w:val="16"/>
        </w:rPr>
      </w:pPr>
      <w:r>
        <w:t>(</w:t>
      </w:r>
      <w:r>
        <w:rPr>
          <w:rStyle w:val="FootnoteReference"/>
          <w:rFonts w:cs="Times New Roman"/>
          <w:szCs w:val="16"/>
        </w:rPr>
        <w:footnoteRef/>
      </w:r>
      <w:r>
        <w:t>)</w:t>
      </w:r>
      <w:r>
        <w:tab/>
        <w:t>Delegert kommisjonsforordning (EU) 2021/2178 av 6. juli 2021 om utfylling av europaparlaments- og rådsforordning (EU) 2020/852 ved å presisere innholdet i og presentasjonen av opplysninger som skal gis av foretak som er omfattet av artikkel 19a eller 29a i direktiv 2013/34/EU med hensyn til miljømessig bærekraftige økonomiske aktiviteter, og ved å fastsette metoden som skal anvendes for å overholde denne opplysningsplikten (EUT L 443 av 10.12.2021, s. 9).</w:t>
      </w:r>
    </w:p>
  </w:footnote>
  <w:footnote w:id="24">
    <w:p w14:paraId="590B09B0" w14:textId="77777777" w:rsidR="006561BA" w:rsidRDefault="005B4ED6">
      <w:pPr>
        <w:pStyle w:val="FootnoteText"/>
        <w:rPr>
          <w:rFonts w:cs="Times New Roman"/>
          <w:szCs w:val="16"/>
        </w:rPr>
      </w:pPr>
      <w:r>
        <w:t>(</w:t>
      </w:r>
      <w:r>
        <w:rPr>
          <w:rStyle w:val="FootnoteReference"/>
          <w:rFonts w:cs="Times New Roman"/>
          <w:szCs w:val="16"/>
        </w:rPr>
        <w:footnoteRef/>
      </w:r>
      <w:r>
        <w:t>)</w:t>
      </w:r>
      <w:r>
        <w:tab/>
        <w:t>Europaparlaments- og rådsforordning (EU) 2021/1119 av 30. juni 2021 om fastsettelse av en ramme for å oppnå klimanøytralitet og om endring av forordning (EF) nr. 401/2009 og (EU) 2018/1999 («den europeiske klimaloven») (EUT L 243 av 9.7.2021, s. 1).</w:t>
      </w:r>
    </w:p>
  </w:footnote>
  <w:footnote w:id="25">
    <w:p w14:paraId="177F9076" w14:textId="7BE23C88"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For aktiviteter i tredjeland, i samsvar med gjeldende nasjonal rett eller internasjonale standarder som har likeverdige mål om god vanntilstand og et godt økologisk potensial, gjennom likeverdige prosedyreregler og materielle regler, det vil si en forvaltningsplan for bruk og beskyttelse av vann som er utarbeidet i samråd med relevante berørte parter, og som sikrer at 1) aktivitetenes innvirkning på den identifiserte tilstanden eller det identifiserte økologiske potensialet for den eller de vannforekomstene som kan bli berørt, vurderes, og 2) at forringelse eller forhindring av god tilstand</w:t>
      </w:r>
      <w:r w:rsidR="00976BEB">
        <w:t xml:space="preserve"> </w:t>
      </w:r>
      <w:r>
        <w:t>/</w:t>
      </w:r>
      <w:r w:rsidR="00976BEB">
        <w:t xml:space="preserve"> et </w:t>
      </w:r>
      <w:r>
        <w:t>godt økologisk potensial unngås.</w:t>
      </w:r>
    </w:p>
  </w:footnote>
  <w:footnote w:id="26">
    <w:p w14:paraId="13D5CB72"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Europaparlaments- og rådsdirektiv 2011/92/EU av 13. desember 2011 om vurdering av visse offentlige og private prosjekters miljøvirkninger (EUT L 26 av 28.1.2012, s. 1).</w:t>
      </w:r>
    </w:p>
  </w:footnote>
  <w:footnote w:id="27">
    <w:p w14:paraId="0BEAA052"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Kommisjonens gjennomføringsbeslutning (EU) 2022/679 av 19. januar 2022 om opprettelse av en overvåkingsliste over stoffer forbindelser som gir bekymring for drikkevann i henhold til europaparlaments- og rådsdirektiv (EU) 2020/2184 (EUT L 124 av 27.4.2022, s. 41).</w:t>
      </w:r>
    </w:p>
  </w:footnote>
  <w:footnote w:id="28">
    <w:p w14:paraId="43151D57"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ILI beregnes som nåværende årlige reelle tap (CARL – «</w:t>
      </w:r>
      <w:proofErr w:type="spellStart"/>
      <w:r>
        <w:t>current</w:t>
      </w:r>
      <w:proofErr w:type="spellEnd"/>
      <w:r>
        <w:t xml:space="preserve"> </w:t>
      </w:r>
      <w:proofErr w:type="spellStart"/>
      <w:r>
        <w:t>annual</w:t>
      </w:r>
      <w:proofErr w:type="spellEnd"/>
      <w:r>
        <w:t xml:space="preserve"> real losses») / uunngåelige årlige reelle tap (UARL – «</w:t>
      </w:r>
      <w:proofErr w:type="spellStart"/>
      <w:r>
        <w:t>unavoidable</w:t>
      </w:r>
      <w:proofErr w:type="spellEnd"/>
      <w:r>
        <w:t xml:space="preserve"> </w:t>
      </w:r>
      <w:proofErr w:type="spellStart"/>
      <w:r>
        <w:t>annual</w:t>
      </w:r>
      <w:proofErr w:type="spellEnd"/>
      <w:r>
        <w:t xml:space="preserve"> real losses»). De nåværende årlige reelle tapene (CARL) utgjør den mengden vann som faktisk går tapt fra distribusjonsnettet (det vil si leveres ikke til sluttbrukerne). De uunngåelige årlige reelle tapene (UARL) tar hensyn til at det alltid vil være en viss lekkasje i et vanndistribusjonsnett. UARL beregnes på grunnlag av faktorer som nettets lengde, antall stikkledninger og det trykket som nettet opererer ved.</w:t>
      </w:r>
    </w:p>
  </w:footnote>
  <w:footnote w:id="29">
    <w:p w14:paraId="1C136B40" w14:textId="27EF1116"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For aktiviteter i tredjeland, i samsvar med gjeldende nasjonal rett eller internasjonale standarder som har likeverdige mål om god vanntilstand og et godt økologisk potensial, gjennom likeverdige prosedyreregler og materielle regler, det vil si en forvaltningsplan for bruk og beskyttelse av vann som er utarbeidet i samråd med relevante berørte parter, og som sikrer at 1) aktivitetenes innvirkning på den identifiserte tilstanden eller det identifiserte økologiske potensialet for den eller de vannforekomstene som kan bli berørt, vurderes, og 2) at forringelse eller forhindring av god tilstand</w:t>
      </w:r>
      <w:r w:rsidR="00216468">
        <w:t xml:space="preserve"> </w:t>
      </w:r>
      <w:r>
        <w:t>/</w:t>
      </w:r>
      <w:r w:rsidR="00216468">
        <w:t xml:space="preserve"> et </w:t>
      </w:r>
      <w:r>
        <w:t>godt økologisk potensial unngås.</w:t>
      </w:r>
    </w:p>
  </w:footnote>
  <w:footnote w:id="30">
    <w:p w14:paraId="30062528" w14:textId="23DC3D4B"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For aktiviteter i tredjeland, i samsvar med gjeldende nasjonal rett eller internasjonale standarder som har likeverdige mål om god vanntilstand og et godt økologisk potensial, gjennom likeverdige prosedyreregler og materielle regler, det vil si en forvaltningsplan for bruk og beskyttelse av vann som er utarbeidet i samråd med relevante berørte parter, og som sikrer at 1) aktivitetenes innvirkning på den identifiserte tilstanden eller det identifiserte økologiske potensialet for den eller de vannforekomstene som kan bli berørt, vurderes, og 2) at forringelse eller forhindring av god tilstand</w:t>
      </w:r>
      <w:r w:rsidR="00494E60">
        <w:t xml:space="preserve"> </w:t>
      </w:r>
      <w:r>
        <w:t>/</w:t>
      </w:r>
      <w:r w:rsidR="00494E60">
        <w:t xml:space="preserve"> et </w:t>
      </w:r>
      <w:r>
        <w:t>godt økologisk potensial unngås.</w:t>
      </w:r>
    </w:p>
  </w:footnote>
  <w:footnote w:id="31">
    <w:p w14:paraId="76CC3E21"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Med personekvivalent (</w:t>
      </w:r>
      <w:proofErr w:type="spellStart"/>
      <w:r>
        <w:t>pe</w:t>
      </w:r>
      <w:proofErr w:type="spellEnd"/>
      <w:r>
        <w:t>) menes den organiske biologisk nedbrytbare belastningen som har et biokjemisk oksygenforbruk (BOD5) på 60 g oksygen per døgn i løpet av fem døgn.</w:t>
      </w:r>
    </w:p>
  </w:footnote>
  <w:footnote w:id="32">
    <w:p w14:paraId="14786696"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For eksempel i tråd med IPCCs retningslinjer for nasjonale klimagassregnskap for rensing av avløpsvann, utgave av 27.6.2023, finnes på: https://www.ipcc-nggip.iges.or.jp/public/2019rf/pdf/5_Volume5/19R_V5_6_Ch06_Wastewater.pdf.</w:t>
      </w:r>
    </w:p>
  </w:footnote>
  <w:footnote w:id="33">
    <w:p w14:paraId="6A043FDD"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Rådsdirektiv 86/278/EØF av 12. juni 1986 om vern av miljøet, særlig jord, ved bruk av slam fra renseanlegg i landbruket (EFT L 181 av 4.7.1986, s. 6).</w:t>
      </w:r>
    </w:p>
  </w:footnote>
  <w:footnote w:id="34">
    <w:p w14:paraId="4012E40A" w14:textId="77777777" w:rsidR="006561BA" w:rsidRDefault="005B4ED6">
      <w:pPr>
        <w:pStyle w:val="FootnoteText"/>
        <w:rPr>
          <w:rFonts w:cs="Times New Roman"/>
          <w:szCs w:val="16"/>
        </w:rPr>
      </w:pPr>
      <w:r>
        <w:t>(</w:t>
      </w:r>
      <w:r>
        <w:rPr>
          <w:rStyle w:val="FootnoteReference"/>
          <w:rFonts w:cs="Times New Roman"/>
          <w:szCs w:val="16"/>
        </w:rPr>
        <w:footnoteRef/>
      </w:r>
      <w:r>
        <w:t>)</w:t>
      </w:r>
      <w:r>
        <w:tab/>
        <w:t xml:space="preserve">Som definert i dokumentet fra Det felles forskningssenter (JRC) – «Best </w:t>
      </w:r>
      <w:proofErr w:type="spellStart"/>
      <w:r>
        <w:t>Environmental</w:t>
      </w:r>
      <w:proofErr w:type="spellEnd"/>
      <w:r>
        <w:t xml:space="preserve"> Management </w:t>
      </w:r>
      <w:proofErr w:type="spellStart"/>
      <w:r>
        <w:t>Practice</w:t>
      </w:r>
      <w:proofErr w:type="spellEnd"/>
      <w:r>
        <w:t xml:space="preserve"> for </w:t>
      </w:r>
      <w:proofErr w:type="spellStart"/>
      <w:r>
        <w:t>the</w:t>
      </w:r>
      <w:proofErr w:type="spellEnd"/>
      <w:r>
        <w:t xml:space="preserve"> Public Administration </w:t>
      </w:r>
      <w:proofErr w:type="spellStart"/>
      <w:r>
        <w:t>Sector</w:t>
      </w:r>
      <w:proofErr w:type="spellEnd"/>
      <w:r>
        <w:t>» (europa.eu).</w:t>
      </w:r>
    </w:p>
  </w:footnote>
  <w:footnote w:id="35">
    <w:p w14:paraId="2FC33CE9" w14:textId="1CE01200"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For aktiviteter i tredjeland, i samsvar med gjeldende nasjonal rett eller internasjonale standarder som har likeverdige mål om god vanntilstand og et godt økologisk potensial, gjennom likeverdige prosedyreregler og materielle regler, det vil si en forvaltningsplan for bruk og beskyttelse av vann som er utarbeidet i samråd med relevante berørte parter, og som sikrer at 1) aktivitetenes innvirkning på den identifiserte tilstanden eller det identifiserte økologiske potensialet for den eller de vannforekomstene som kan bli berørt, vurderes, og 2) at forringelse eller forhindring av god tilstand</w:t>
      </w:r>
      <w:r w:rsidR="00494E60">
        <w:t xml:space="preserve"> </w:t>
      </w:r>
      <w:r>
        <w:t>/</w:t>
      </w:r>
      <w:r w:rsidR="00494E60">
        <w:t xml:space="preserve"> et </w:t>
      </w:r>
      <w:r>
        <w:t>godt økologisk potensial unngås.</w:t>
      </w:r>
    </w:p>
  </w:footnote>
  <w:footnote w:id="36">
    <w:p w14:paraId="700471FC"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Europaparlaments- og rådsforordning (EU) nr. 1143/2014 av 22. oktober 2014 om forebygging og håndtering av innføring og spredning av invaderende fremmede arter (EUT L 317 av 4.11.2014, s. 35).</w:t>
      </w:r>
    </w:p>
  </w:footnote>
  <w:footnote w:id="37">
    <w:p w14:paraId="7595CB5A" w14:textId="15275148" w:rsidR="006561BA" w:rsidRDefault="005B4ED6">
      <w:pPr>
        <w:pStyle w:val="FootnoteText"/>
        <w:rPr>
          <w:rFonts w:cs="Times New Roman"/>
          <w:szCs w:val="16"/>
        </w:rPr>
      </w:pPr>
      <w:r>
        <w:t>(</w:t>
      </w:r>
      <w:r>
        <w:rPr>
          <w:rStyle w:val="FootnoteReference"/>
          <w:rFonts w:cs="Times New Roman"/>
          <w:szCs w:val="16"/>
        </w:rPr>
        <w:footnoteRef/>
      </w:r>
      <w:r>
        <w:t>)</w:t>
      </w:r>
      <w:r>
        <w:tab/>
      </w:r>
      <w:r w:rsidR="00E175DE" w:rsidRPr="00E175DE">
        <w:t>Styrt gjenoppfylling av grunnvannsmagasiner er «prosessen med bevisst å øke tilførselen av overflatevann fra et annet sted til et grunnvannsmagasin med henblikk på etterfølgende gjenvinning eller for å oppnå miljømessige fordeler».</w:t>
      </w:r>
    </w:p>
  </w:footnote>
  <w:footnote w:id="38">
    <w:p w14:paraId="0EA730D0"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Europaparlaments- og rådsdirektiv 2007/60/EF av 23. oktober 2007 om vurdering og håndtering av risiko for oversvømmelse (EUT L 288 av 6.11.2007, s. 27).</w:t>
      </w:r>
    </w:p>
  </w:footnote>
  <w:footnote w:id="39">
    <w:p w14:paraId="3F084B71"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Kommisjonsmelding til Europaparlamentet, Rådet, Den europeiske økonomiske og sosiale komité og Regionkomiteen om EUs strategi for biologisk mangfold for 2030 – Gi naturen større plass i våre liv («EU </w:t>
      </w:r>
      <w:proofErr w:type="spellStart"/>
      <w:r>
        <w:t>Biodiversity</w:t>
      </w:r>
      <w:proofErr w:type="spellEnd"/>
      <w:r>
        <w:t xml:space="preserve"> </w:t>
      </w:r>
      <w:proofErr w:type="spellStart"/>
      <w:r>
        <w:t>Strategy</w:t>
      </w:r>
      <w:proofErr w:type="spellEnd"/>
      <w:r>
        <w:t xml:space="preserve"> for 2030 – </w:t>
      </w:r>
      <w:proofErr w:type="spellStart"/>
      <w:r>
        <w:t>Bringing</w:t>
      </w:r>
      <w:proofErr w:type="spellEnd"/>
      <w:r>
        <w:t xml:space="preserve"> nature back </w:t>
      </w:r>
      <w:proofErr w:type="spellStart"/>
      <w:r>
        <w:t>into</w:t>
      </w:r>
      <w:proofErr w:type="spellEnd"/>
      <w:r>
        <w:t xml:space="preserve"> </w:t>
      </w:r>
      <w:proofErr w:type="spellStart"/>
      <w:r>
        <w:t>our</w:t>
      </w:r>
      <w:proofErr w:type="spellEnd"/>
      <w:r>
        <w:t xml:space="preserve"> lives», COM(2020) 380 final).</w:t>
      </w:r>
    </w:p>
  </w:footnote>
  <w:footnote w:id="40">
    <w:p w14:paraId="3C430A83"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Med «areal med stort karbonlager» menes våtmarker, herunder torvmyrer, og sammenhengende skogkledde områder i betydningen angitt i artikkel 29 nr. 4 bokstav a), b) og c) i europaparlaments- og rådsdirektiv (EU) 2018/2001 av 11. desember 2018 om å fremme bruk av energi fra fornybare kilder (EUT L 328 av 21.12.2018, s. 82).</w:t>
      </w:r>
    </w:p>
  </w:footnote>
  <w:footnote w:id="41">
    <w:p w14:paraId="72F722F9"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 xml:space="preserve">«EU Construction &amp; Demolition Waste Management Protocol», </w:t>
      </w:r>
      <w:proofErr w:type="spellStart"/>
      <w:r w:rsidRPr="00770AA2">
        <w:rPr>
          <w:lang w:val="en-US"/>
        </w:rPr>
        <w:t>september</w:t>
      </w:r>
      <w:proofErr w:type="spellEnd"/>
      <w:r w:rsidRPr="00770AA2">
        <w:rPr>
          <w:lang w:val="en-US"/>
        </w:rPr>
        <w:t xml:space="preserve"> 2016: https://ec.europa.eu/docsroom/documents/20509/.</w:t>
      </w:r>
    </w:p>
  </w:footnote>
  <w:footnote w:id="42">
    <w:p w14:paraId="0E058D11"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Europaparlaments- og rådsdirektiv 2009/128/EF av 21. oktober 2009 om fastsettelse av en ramme for fellesskapstiltak for å oppnå bærekraftig bruk av pesticider (EUT L 309 av 24.11.2009, s. 71).</w:t>
      </w:r>
    </w:p>
  </w:footnote>
  <w:footnote w:id="43">
    <w:p w14:paraId="06017A27"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Rådsdirektiv 92/43/EØF av 21. mai 1992 om vern av habitater og ville dyr og planter (EFT L 206 av 22.7.1992, s. 7).</w:t>
      </w:r>
    </w:p>
  </w:footnote>
  <w:footnote w:id="44">
    <w:p w14:paraId="01B7EDC2"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Europaparlaments- og rådsdirektiv 2009/147/EF av 30. november 2009 om vern av viltlevende fugler (EUT L 20 av 26.1.2010, s. 7).</w:t>
      </w:r>
    </w:p>
  </w:footnote>
  <w:footnote w:id="45">
    <w:p w14:paraId="0828D8D0" w14:textId="77777777" w:rsidR="006561BA" w:rsidRPr="00980A19" w:rsidRDefault="005B4ED6">
      <w:pPr>
        <w:pStyle w:val="FootnoteText"/>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«Datadrevne IT- eller OT-løsninger» omfatter produkter, sensorer, analyser og annen programvare som kan koples sammen, samt informasjons- og kommunikasjonsteknologi (IKT) med henblikk på overføring, lagring og visning av data og systemstyring.</w:t>
      </w:r>
    </w:p>
  </w:footnote>
  <w:footnote w:id="46">
    <w:p w14:paraId="221252EC" w14:textId="47A2D7E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For aktiviteter i tredjeland, i samsvar med gjeldende nasjonal rett eller internasjonale standarder som har likeverdige mål om god vanntilstand og et godt økologisk potensial, gjennom likeverdige prosedyreregler og materielle regler, det vil si en forvaltningsplan for bruk og beskyttelse av vann som er utarbeidet i samråd med relevante berørte parter, og som sikrer at 1) aktivitetenes innvirkning på den identifiserte tilstanden eller det identifiserte økologiske potensialet for den eller de vannforekomstene som kan bli berørt, vurderes, og 2) at forringelse eller forhindring av god tilstand</w:t>
      </w:r>
      <w:r w:rsidR="00417EF2" w:rsidRPr="00980A19">
        <w:rPr>
          <w:lang w:val="en-US"/>
        </w:rPr>
        <w:t xml:space="preserve"> </w:t>
      </w:r>
      <w:r w:rsidRPr="00980A19">
        <w:rPr>
          <w:lang w:val="en-US"/>
        </w:rPr>
        <w:t>/</w:t>
      </w:r>
      <w:r w:rsidR="00417EF2" w:rsidRPr="00980A19">
        <w:rPr>
          <w:lang w:val="en-US"/>
        </w:rPr>
        <w:t xml:space="preserve"> et </w:t>
      </w:r>
      <w:r w:rsidRPr="00980A19">
        <w:rPr>
          <w:lang w:val="en-US"/>
        </w:rPr>
        <w:t>godt økologisk potensial unngås.</w:t>
      </w:r>
    </w:p>
  </w:footnote>
  <w:footnote w:id="47">
    <w:p w14:paraId="3403EA6A"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Europaparlaments- og rådsdirektiv 2012/19/EU av 4. juli 2012 om avfall fra elektrisk og elektronisk utstyr (WEEE) (EUT L 197 av 24.7.2012, s. 38).</w:t>
      </w:r>
    </w:p>
  </w:footnote>
  <w:footnote w:id="48">
    <w:p w14:paraId="1544A210"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Europaparlaments- og rådsdirektiv 2009/125/EF av 21. oktober 2009 om fastsettelse av en ramme for å fastsette krav til miljøvennlig utforming av energirelaterte produkter (EUT L 285 av 31.10.2009, s. 10).</w:t>
      </w:r>
    </w:p>
  </w:footnote>
  <w:footnote w:id="49">
    <w:p w14:paraId="050A0ED4"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Europaparlaments- og rådsdirektiv 2011/65/EU av 8. juni 2011 om begrensning av bruken av visse farlige stoffer i elektrisk og elektronisk utstyr (EUT L 174 av 1.7.2011, s. 88).</w:t>
      </w:r>
    </w:p>
  </w:footnote>
  <w:footnote w:id="50">
    <w:p w14:paraId="6DE79006" w14:textId="77777777" w:rsidR="006561BA" w:rsidRPr="00980A19" w:rsidRDefault="005B4ED6">
      <w:pPr>
        <w:pStyle w:val="FootnoteText"/>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Framtidige scenarioer omfatter FNs klimapanels (IPCC) representative utslippsbaner («Representative Concentration Pathways» – RCP) RCP2.6, RCP4.5, RCP6.0 og RCP8.5.</w:t>
      </w:r>
    </w:p>
  </w:footnote>
  <w:footnote w:id="51">
    <w:p w14:paraId="678D36CB" w14:textId="77777777" w:rsidR="006561BA" w:rsidRPr="00980A19" w:rsidRDefault="005B4ED6">
      <w:pPr>
        <w:pStyle w:val="FootnoteText"/>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«Assessment Reports on Climate Change: «Impacts, Adaptation and Vulnerability», utgis regelmessig av FNs klimapanel (IPCC), FNs organ for vurdering av vitenskap knyttet til klimaendringer, https://www.ipcc.ch/reports/.</w:t>
      </w:r>
    </w:p>
  </w:footnote>
  <w:footnote w:id="52">
    <w:p w14:paraId="2F7BEEAD" w14:textId="77777777" w:rsidR="006561BA" w:rsidRDefault="005B4ED6">
      <w:pPr>
        <w:pStyle w:val="FootnoteText"/>
        <w:rPr>
          <w:rFonts w:cs="Times New Roman"/>
          <w:szCs w:val="16"/>
        </w:rPr>
      </w:pPr>
      <w:r>
        <w:t>(</w:t>
      </w:r>
      <w:r>
        <w:rPr>
          <w:rStyle w:val="FootnoteReference"/>
          <w:rFonts w:cs="Times New Roman"/>
          <w:szCs w:val="16"/>
        </w:rPr>
        <w:footnoteRef/>
      </w:r>
      <w:r>
        <w:t>)</w:t>
      </w:r>
      <w:r>
        <w:tab/>
        <w:t>Som for eksempel Copernicus-programmet som forvaltes av Europakommisjonen.</w:t>
      </w:r>
    </w:p>
  </w:footnote>
  <w:footnote w:id="53">
    <w:p w14:paraId="40803006" w14:textId="77777777" w:rsidR="006561BA" w:rsidRDefault="005B4ED6">
      <w:pPr>
        <w:pStyle w:val="FootnoteText"/>
        <w:rPr>
          <w:rFonts w:cs="Times New Roman"/>
          <w:szCs w:val="16"/>
        </w:rPr>
      </w:pPr>
      <w:r>
        <w:t>(</w:t>
      </w:r>
      <w:r>
        <w:rPr>
          <w:rStyle w:val="FootnoteReference"/>
          <w:rFonts w:cs="Times New Roman"/>
          <w:szCs w:val="16"/>
        </w:rPr>
        <w:footnoteRef/>
      </w:r>
      <w:r>
        <w:t>)</w:t>
      </w:r>
      <w:r>
        <w:tab/>
        <w:t>Naturbaserte løsninger er definert som «løsninger som er inspirert og støttet av naturen, som er kostnadseffektive, som gir samtidige miljømessige, sosiale og økonomiske fordeler, og som bidrar til å bygge opp motstandsdyktighet. Slike løsninger bringer mer natur og flere naturlige funksjoner og prosesser med større mangfold inn i byer, landskap og havområder gjennom lokalt tilpassede, ressurseffektive og systemiske inngrep.» Naturbaserte løsninger er derfor til fordel for det biologiske mangfoldet og støtter en rekke økosystemtjenester (utgave av 27.6. 2023: https://ec.europa.eu/research/environment/index.cfm?pg=nbs).</w:t>
      </w:r>
    </w:p>
  </w:footnote>
  <w:footnote w:id="54">
    <w:p w14:paraId="10BF3378" w14:textId="77777777" w:rsidR="006561BA" w:rsidRDefault="005B4ED6">
      <w:pPr>
        <w:pStyle w:val="FootnoteText"/>
        <w:rPr>
          <w:rFonts w:cs="Times New Roman"/>
          <w:szCs w:val="16"/>
        </w:rPr>
      </w:pPr>
      <w:r>
        <w:t>(</w:t>
      </w:r>
      <w:r>
        <w:rPr>
          <w:rStyle w:val="FootnoteReference"/>
          <w:rFonts w:cs="Times New Roman"/>
          <w:szCs w:val="16"/>
        </w:rPr>
        <w:footnoteRef/>
      </w:r>
      <w:r>
        <w:t>)</w:t>
      </w:r>
      <w:r>
        <w:tab/>
        <w:t xml:space="preserve">Se kommisjonsmelding til Europaparlamentet, Rådet, Den europeiske økonomiske og sosiale komité og Regionkomiteen om grønn infrastruktur (GI) – styrking av Europas naturkapital («Green </w:t>
      </w:r>
      <w:proofErr w:type="spellStart"/>
      <w:r>
        <w:t>Infrastructure</w:t>
      </w:r>
      <w:proofErr w:type="spellEnd"/>
      <w:r>
        <w:t xml:space="preserve"> (GI) – </w:t>
      </w:r>
      <w:proofErr w:type="spellStart"/>
      <w:r>
        <w:t>Enhancing</w:t>
      </w:r>
      <w:proofErr w:type="spellEnd"/>
      <w:r>
        <w:t xml:space="preserve"> </w:t>
      </w:r>
      <w:proofErr w:type="spellStart"/>
      <w:r>
        <w:t>Europe’s</w:t>
      </w:r>
      <w:proofErr w:type="spellEnd"/>
      <w:r>
        <w:t xml:space="preserve"> Natural Capital», (COM(2013) 249 final).</w:t>
      </w:r>
    </w:p>
  </w:footnote>
  <w:footnote w:id="55">
    <w:p w14:paraId="12263B8B" w14:textId="77777777" w:rsidR="006561BA" w:rsidRDefault="005B4ED6">
      <w:pPr>
        <w:pStyle w:val="FootnoteText"/>
        <w:rPr>
          <w:rFonts w:cs="Times New Roman"/>
          <w:szCs w:val="16"/>
        </w:rPr>
      </w:pPr>
      <w:r>
        <w:t>(</w:t>
      </w:r>
      <w:r>
        <w:rPr>
          <w:rStyle w:val="FootnoteReference"/>
          <w:rFonts w:cs="Times New Roman"/>
          <w:szCs w:val="16"/>
        </w:rPr>
        <w:footnoteRef/>
      </w:r>
      <w:r>
        <w:t>)</w:t>
      </w:r>
      <w:r>
        <w:tab/>
        <w:t>Listen over klimarelaterte farer i denne tabellen er ikke uttømmende og utgjør bare en veiledende liste over de mest utbredte farene som det minst skal tas hensyn til i klimarisiko- og sårbarhetsvurderingen.</w:t>
      </w:r>
    </w:p>
  </w:footnote>
  <w:footnote w:id="56">
    <w:p w14:paraId="5FC6F8C5" w14:textId="77777777" w:rsidR="006561BA" w:rsidRDefault="005B4ED6">
      <w:pPr>
        <w:pStyle w:val="FootnoteText"/>
        <w:rPr>
          <w:rFonts w:cs="Times New Roman"/>
          <w:szCs w:val="16"/>
        </w:rPr>
      </w:pPr>
      <w:r>
        <w:t>(</w:t>
      </w:r>
      <w:r>
        <w:rPr>
          <w:rStyle w:val="FootnoteReference"/>
          <w:rFonts w:cs="Times New Roman"/>
          <w:szCs w:val="16"/>
        </w:rPr>
        <w:footnoteRef/>
      </w:r>
      <w:r>
        <w:t>)</w:t>
      </w:r>
      <w:r>
        <w:tab/>
        <w:t>Europaparlaments- og rådsforordning (EU) nr. 2019/1021 av 20. juni 2019 om persistente organiske forurensende stoffer (EUT L 169 av 25.6.2019, s. 45).</w:t>
      </w:r>
    </w:p>
  </w:footnote>
  <w:footnote w:id="57">
    <w:p w14:paraId="6F427D06" w14:textId="77777777" w:rsidR="006561BA" w:rsidRDefault="005B4ED6">
      <w:pPr>
        <w:pStyle w:val="FootnoteText"/>
        <w:rPr>
          <w:rFonts w:cs="Times New Roman"/>
          <w:szCs w:val="16"/>
        </w:rPr>
      </w:pPr>
      <w:r>
        <w:t>(</w:t>
      </w:r>
      <w:r>
        <w:rPr>
          <w:rStyle w:val="FootnoteReference"/>
          <w:rFonts w:cs="Times New Roman"/>
          <w:szCs w:val="16"/>
        </w:rPr>
        <w:footnoteRef/>
      </w:r>
      <w:r>
        <w:t>)</w:t>
      </w:r>
      <w:r>
        <w:tab/>
        <w:t>Europaparlaments- og rådsforordning (EU) 2017/852 av 17. mai 2017 om kvikksølv og om oppheving av forordning (EF) nr. 1102/2008 (EUT L 137 av 24.5.2017, s. 1).</w:t>
      </w:r>
    </w:p>
  </w:footnote>
  <w:footnote w:id="58">
    <w:p w14:paraId="64C338C0" w14:textId="77777777" w:rsidR="006561BA" w:rsidRDefault="005B4ED6">
      <w:pPr>
        <w:pStyle w:val="FootnoteText"/>
        <w:rPr>
          <w:rFonts w:cs="Times New Roman"/>
          <w:szCs w:val="16"/>
        </w:rPr>
      </w:pPr>
      <w:r>
        <w:t>(</w:t>
      </w:r>
      <w:r>
        <w:rPr>
          <w:rStyle w:val="FootnoteReference"/>
          <w:rFonts w:cs="Times New Roman"/>
          <w:szCs w:val="16"/>
        </w:rPr>
        <w:footnoteRef/>
      </w:r>
      <w:r>
        <w:t>)</w:t>
      </w:r>
      <w:r>
        <w:tab/>
        <w:t>Europaparlaments- og rådsforordning (EF) nr. 1005/2009 av 16. september 2009 om stoffer som bryter ned ozonlaget (EUT L 286 av 31.10.2009, s. 1).</w:t>
      </w:r>
    </w:p>
  </w:footnote>
  <w:footnote w:id="59">
    <w:p w14:paraId="30651B68" w14:textId="77777777" w:rsidR="006561BA" w:rsidRDefault="005B4ED6">
      <w:pPr>
        <w:pStyle w:val="FootnoteText"/>
        <w:rPr>
          <w:rFonts w:cs="Times New Roman"/>
          <w:szCs w:val="16"/>
        </w:rPr>
      </w:pPr>
      <w:r>
        <w:t>(</w:t>
      </w:r>
      <w:r>
        <w:rPr>
          <w:rStyle w:val="FootnoteReference"/>
          <w:rFonts w:cs="Times New Roman"/>
          <w:szCs w:val="16"/>
        </w:rPr>
        <w:footnoteRef/>
      </w:r>
      <w:r>
        <w:t>)</w:t>
      </w:r>
      <w:r>
        <w:tab/>
        <w:t>Europaparlaments- og rådsforordning (EF) nr. 1907/2006 av 18. desember 2006 om registrering, vurdering og godkjenning av samt begrensninger for kjemikalier (REACH), om opprettelse av et europeisk kjemikaliebyrå, om endring av direktiv 1999/45/EF og om oppheving av rådsforordning (EØF) nr. 793/93 og kommisjonsforordning (EF) nr. 1488/94 samt rådsdirektiv 76/769/EØF og kommisjonsdirektiv 91/155/EØF, 93/67/EØF, 93/105/EF og 2000/21/EF (EUT L 396 av 30.12.2006, s. 1).</w:t>
      </w:r>
    </w:p>
  </w:footnote>
  <w:footnote w:id="60">
    <w:p w14:paraId="31D92FB6" w14:textId="77777777" w:rsidR="006561BA" w:rsidRDefault="005B4ED6">
      <w:pPr>
        <w:pStyle w:val="FootnoteText"/>
        <w:rPr>
          <w:rFonts w:cs="Times New Roman"/>
          <w:szCs w:val="16"/>
        </w:rPr>
      </w:pPr>
      <w:r>
        <w:t>(</w:t>
      </w:r>
      <w:r>
        <w:rPr>
          <w:rStyle w:val="FootnoteReference"/>
          <w:rFonts w:cs="Times New Roman"/>
          <w:szCs w:val="16"/>
        </w:rPr>
        <w:footnoteRef/>
      </w:r>
      <w:r>
        <w:t>)</w:t>
      </w:r>
      <w:r>
        <w:tab/>
        <w:t>Kommisjonen vil gjennomgå unntakene fra forbudet mot å produsere, bringe i omsetning eller bruke stoffene nevnt i bokstav f) når den har offentliggjort horisontale prinsipper om vesentlig anvendelse av kjemikalier.</w:t>
      </w:r>
    </w:p>
  </w:footnote>
  <w:footnote w:id="61">
    <w:p w14:paraId="7408252B" w14:textId="77777777" w:rsidR="006561BA" w:rsidRDefault="005B4ED6">
      <w:pPr>
        <w:pStyle w:val="FootnoteText"/>
        <w:rPr>
          <w:rFonts w:cs="Times New Roman"/>
          <w:szCs w:val="16"/>
        </w:rPr>
      </w:pPr>
      <w:r>
        <w:t>(</w:t>
      </w:r>
      <w:r>
        <w:rPr>
          <w:rStyle w:val="FootnoteReference"/>
          <w:rFonts w:cs="Times New Roman"/>
          <w:szCs w:val="16"/>
        </w:rPr>
        <w:footnoteRef/>
      </w:r>
      <w:r>
        <w:t>)</w:t>
      </w:r>
      <w:r>
        <w:tab/>
        <w:t>Kommisjonen vil gjennomgå unntakene fra forbudet mot produksjon, forekomst i sluttproduktet eller sluttresultatet, eller omsetning av stoffene nevnt i dette punktet når den har offentliggjort horisontale prinsipper om vesentlig anvendelse av kjemikalier.</w:t>
      </w:r>
    </w:p>
  </w:footnote>
  <w:footnote w:id="62">
    <w:p w14:paraId="7786CA78" w14:textId="77777777" w:rsidR="006561BA" w:rsidRDefault="005B4ED6">
      <w:pPr>
        <w:pStyle w:val="FootnoteText"/>
        <w:rPr>
          <w:rFonts w:cs="Times New Roman"/>
          <w:szCs w:val="16"/>
        </w:rPr>
      </w:pPr>
      <w:r>
        <w:t>(</w:t>
      </w:r>
      <w:r>
        <w:rPr>
          <w:rStyle w:val="FootnoteReference"/>
          <w:rFonts w:cs="Times New Roman"/>
          <w:szCs w:val="16"/>
        </w:rPr>
        <w:footnoteRef/>
      </w:r>
      <w:r>
        <w:t>)</w:t>
      </w:r>
      <w:r>
        <w:tab/>
        <w:t>Framgangsmåter som den vedkommende myndigheten skal følge for å avgjøre om prosjekter oppført i vedlegg II til direktiv 2011/92/EU skal gjennomgå en miljøkonsekvensutredning (som nevnt i artikkel 4 nr. 2 i det nevnte direktivet).</w:t>
      </w:r>
    </w:p>
  </w:footnote>
  <w:footnote w:id="63">
    <w:p w14:paraId="09125482" w14:textId="77777777" w:rsidR="006561BA" w:rsidRDefault="005B4ED6">
      <w:pPr>
        <w:pStyle w:val="FootnoteText"/>
        <w:rPr>
          <w:rFonts w:cs="Times New Roman"/>
          <w:szCs w:val="16"/>
        </w:rPr>
      </w:pPr>
      <w:r>
        <w:t>(</w:t>
      </w:r>
      <w:r>
        <w:rPr>
          <w:rStyle w:val="FootnoteReference"/>
          <w:rFonts w:cs="Times New Roman"/>
          <w:szCs w:val="16"/>
        </w:rPr>
        <w:footnoteRef/>
      </w:r>
      <w:r>
        <w:t>)</w:t>
      </w:r>
      <w:r>
        <w:tab/>
        <w:t xml:space="preserve">For aktiviteter i tredjeland, i samsvar med tilsvarende gjeldende nasjonal rett eller internasjonale standarder som krever gjennomføring av en miljøkonsekvensutredning eller screening, for eksempel «IFC </w:t>
      </w:r>
      <w:proofErr w:type="spellStart"/>
      <w:r>
        <w:t>Performance</w:t>
      </w:r>
      <w:proofErr w:type="spellEnd"/>
      <w:r>
        <w:t xml:space="preserve"> Standard 1: </w:t>
      </w:r>
      <w:proofErr w:type="spellStart"/>
      <w:r>
        <w:t>Assessment</w:t>
      </w:r>
      <w:proofErr w:type="spellEnd"/>
      <w:r>
        <w:t xml:space="preserve"> and Management </w:t>
      </w:r>
      <w:proofErr w:type="spellStart"/>
      <w:r>
        <w:t>of</w:t>
      </w:r>
      <w:proofErr w:type="spellEnd"/>
      <w:r>
        <w:t xml:space="preserve"> </w:t>
      </w:r>
      <w:proofErr w:type="spellStart"/>
      <w:r>
        <w:t>Environmental</w:t>
      </w:r>
      <w:proofErr w:type="spellEnd"/>
      <w:r>
        <w:t xml:space="preserve"> and </w:t>
      </w:r>
      <w:proofErr w:type="spellStart"/>
      <w:r>
        <w:t>Social</w:t>
      </w:r>
      <w:proofErr w:type="spellEnd"/>
      <w:r>
        <w:t xml:space="preserve"> Risks».</w:t>
      </w:r>
    </w:p>
  </w:footnote>
  <w:footnote w:id="64">
    <w:p w14:paraId="1F40BCE5" w14:textId="77777777" w:rsidR="006561BA" w:rsidRDefault="005B4ED6">
      <w:pPr>
        <w:pStyle w:val="FootnoteText"/>
        <w:rPr>
          <w:rFonts w:cs="Times New Roman"/>
          <w:szCs w:val="16"/>
        </w:rPr>
      </w:pPr>
      <w:r>
        <w:t>(</w:t>
      </w:r>
      <w:r>
        <w:rPr>
          <w:rStyle w:val="FootnoteReference"/>
          <w:rFonts w:cs="Times New Roman"/>
          <w:szCs w:val="16"/>
        </w:rPr>
        <w:footnoteRef/>
      </w:r>
      <w:r>
        <w:t>)</w:t>
      </w:r>
      <w:r>
        <w:tab/>
        <w:t xml:space="preserve">I samsvar med europaparlaments- og rådsdirektiv 2009/147/EF av 30. november 2009 om vern av viltlevende fugler (EUT L 20 av 26.1.2010, s. 7) og rådsdirektiv 92/43/EØF av 21. mai 1992 om vern av habitater og ville dyr og planter (EFT L 206 av 22.7.1992, s. 7). For aktiviteter i tredjeland, i samsvar med tilsvarende gjeldende nasjonal rett eller internasjonale standarder som har som mål å bevare habitater, ville dyr og ville planter, og som krever at det gjennomføres 1) en screeningprosedyre for å fastslå hvorvidt det for en gitt aktivitet er nødvendig med en hensiktsmessig vurdering av mulige konsekvenser for beskyttede habitater og arter, 2) en slik hensiktsmessig vurdering dersom screeningen fastslår at det er nødvendig, for eksempel «IFC </w:t>
      </w:r>
      <w:proofErr w:type="spellStart"/>
      <w:r>
        <w:t>Performance</w:t>
      </w:r>
      <w:proofErr w:type="spellEnd"/>
      <w:r>
        <w:t xml:space="preserve"> Standard 6: </w:t>
      </w:r>
      <w:proofErr w:type="spellStart"/>
      <w:r>
        <w:t>Biodiversity</w:t>
      </w:r>
      <w:proofErr w:type="spellEnd"/>
      <w:r>
        <w:t xml:space="preserve"> Conservation and </w:t>
      </w:r>
      <w:proofErr w:type="spellStart"/>
      <w:r>
        <w:t>Sustainable</w:t>
      </w:r>
      <w:proofErr w:type="spellEnd"/>
      <w:r>
        <w:t xml:space="preserve"> Management </w:t>
      </w:r>
      <w:proofErr w:type="spellStart"/>
      <w:r>
        <w:t>of</w:t>
      </w:r>
      <w:proofErr w:type="spellEnd"/>
      <w:r>
        <w:t xml:space="preserve"> </w:t>
      </w:r>
      <w:proofErr w:type="spellStart"/>
      <w:r>
        <w:t>Living</w:t>
      </w:r>
      <w:proofErr w:type="spellEnd"/>
      <w:r>
        <w:t xml:space="preserve"> Natural Resources».</w:t>
      </w:r>
    </w:p>
  </w:footnote>
  <w:footnote w:id="65">
    <w:p w14:paraId="119B637A" w14:textId="77777777" w:rsidR="006561BA" w:rsidRDefault="005B4ED6">
      <w:pPr>
        <w:pStyle w:val="FootnoteText"/>
        <w:rPr>
          <w:rFonts w:cs="Times New Roman"/>
          <w:szCs w:val="16"/>
        </w:rPr>
      </w:pPr>
      <w:r>
        <w:t>(</w:t>
      </w:r>
      <w:r>
        <w:rPr>
          <w:rStyle w:val="FootnoteReference"/>
          <w:rFonts w:cs="Times New Roman"/>
          <w:szCs w:val="16"/>
        </w:rPr>
        <w:footnoteRef/>
      </w:r>
      <w:r>
        <w:t>)</w:t>
      </w:r>
      <w:r>
        <w:tab/>
        <w:t>Disse tiltakene er blitt identifisert for å sikre at prosjektet, planen eller aktiviteten ikke har noen vesentlig innvirkning på bevaringsmålene for det beskyttede området.</w:t>
      </w:r>
    </w:p>
  </w:footnote>
  <w:footnote w:id="66">
    <w:p w14:paraId="11440156" w14:textId="46ED23B1"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Med «kontaktsensitiv emballasje» menes emballasje som er beregnet </w:t>
      </w:r>
      <w:r w:rsidR="009B0939">
        <w:t xml:space="preserve">for </w:t>
      </w:r>
      <w:r>
        <w:t xml:space="preserve">bruk </w:t>
      </w:r>
      <w:r w:rsidR="005A6315">
        <w:t>til</w:t>
      </w:r>
      <w:r>
        <w:t xml:space="preserve"> emballasje som omfattes av europaparlaments- og rådsforordning (EF) nr. 1831/2003 av 22. september 2003 om tilsetningsstoffer til bruk i fôrvarer (EUT L 268 av 18.10.2003, s. 29), europaparlaments- og rådsforordning (EF) nr. 1935/2004 av 27. oktober 2004 om materialer og gjenstander beregnet på å komme i kontakt med næringsmidler og om oppheving av direktiv 80/590/EØF og 89/109/EØF (EUT L 338 av 13.11.2004, s. 4), europaparlaments- og rådsforordning (EF) nr. 767/2009 av 13. juli 2009 om omsetning og bruk av fôrvarer, endring av europaparlaments- og rådsforordning (EF) nr. 1831/2003 og oppheving av rådsdirektiv 79/373/EØF, kommisjonsdirektiv 80/511/EØF, rådsdirektiv 82/471/EØF, 83/228/EØF, 93/74/EØF, 93/113/EF og 96/25/EF samt kommisjonsvedtak 2004/217/EF (EUT L 229 av 1.9.2009, s. 1), europaparlaments- og rådsforordning (EF) nr. 1223/2009 av 30. november 2009 om kosmetiske produkter (EUT L 342 av 22.12.2009, s. 59), europaparlaments- og rådsforordning (EU) 2017/745 av 5. april 2017 om medisinsk utstyr, om endring av direktiv 2001/83/EF, forordning (EF) nr. 178/2002 og forordning (EF) nr. 1223/2009 samt om oppheving av rådsdirektiv 90/385/EØF og 93/42/EØF (EUT L 117 av 5.5.2017, s. 1), europaparlaments- og rådsforordning (EU) 2017/746 av 5. april 2017 om medisinsk utstyr til in </w:t>
      </w:r>
      <w:proofErr w:type="spellStart"/>
      <w:r>
        <w:t>vitro</w:t>
      </w:r>
      <w:proofErr w:type="spellEnd"/>
      <w:r>
        <w:t>-diagnostikk og om oppheving av direktiv 98/79/EF og kommisjonsbeslutning 2010/227/EU (EUT L 117 av 5.5.2017, s. 176), europaparlaments- og rådsforordning (EU) 2019/4 av 11. desember 2018 om tilvirkning, omsetning og bruk av medisinfôr, endring av europaparlaments- og rådsforordning (EF) nr. 183/2005 og oppheving av rådsdirektiv 90/167/EØF (EUT L 4 av 7.1.2019, s. 1), europaparlaments- og rådsforordning (EU) 2019/6 av 11. desember 2018 om legemidler til dyr og om oppheving av direktiv 2001/82/EF (EUT L 4 av 7.1.2019, s. 43), europaparlaments- og rådsdirektiv 2001/83/EF av 6. november 2001 om innføring av et fellesskapsregelverk for legemidler for mennesker (EFT L 311 av 28.11.2001, s. 67) eller europaparlaments- og rådsdirektiv 2008/68/EF av 24. september 2008 om innlands transport av farlig gods (EUT L 260 av 30.9.2008, s. 13).</w:t>
      </w:r>
    </w:p>
  </w:footnote>
  <w:footnote w:id="67">
    <w:p w14:paraId="78F3F4B0"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Begrepet «kan </w:t>
      </w:r>
      <w:proofErr w:type="spellStart"/>
      <w:r>
        <w:t>ombrukes</w:t>
      </w:r>
      <w:proofErr w:type="spellEnd"/>
      <w:r>
        <w:t>» og «ombrukssystem» defineres og gjennomføres i samsvar med kravene til systemer for ombruk av emballasje i Unionens regelverk om emballasje og emballasjeavfall, herunder eventuelle standarder knyttet til antall sykluser i et ombrukssystem.</w:t>
      </w:r>
    </w:p>
  </w:footnote>
  <w:footnote w:id="68">
    <w:p w14:paraId="41FF09D6"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Kommisjonen vil revidere disse vilkårene når revisjonen av europaparlaments- og rådsdirektiv 94/62/EF av 20. desember 1994 om emballasje og emballasjeavfall (EFT L 365 av 31.12.1994, s. 10) er blitt vedtatt.</w:t>
      </w:r>
    </w:p>
  </w:footnote>
  <w:footnote w:id="69">
    <w:p w14:paraId="702920FE" w14:textId="089C5286"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B</w:t>
      </w:r>
      <w:r w:rsidR="0071095A">
        <w:t xml:space="preserve">ioavfall </w:t>
      </w:r>
      <w:r w:rsidR="003C38C9">
        <w:t>som b</w:t>
      </w:r>
      <w:r>
        <w:t xml:space="preserve">ærekraftig </w:t>
      </w:r>
      <w:r w:rsidR="003C38C9">
        <w:t>råvare</w:t>
      </w:r>
      <w:r>
        <w:t xml:space="preserve"> viser til industrielt bioavfall og kommunalt bioavfall, men ikke primær biomasse, ettersom det ikke foreligger juridisk bindende </w:t>
      </w:r>
      <w:proofErr w:type="spellStart"/>
      <w:r>
        <w:t>bærekraftskriterier</w:t>
      </w:r>
      <w:proofErr w:type="spellEnd"/>
      <w:r>
        <w:t>.</w:t>
      </w:r>
    </w:p>
  </w:footnote>
  <w:footnote w:id="70">
    <w:p w14:paraId="74E3B0B3"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Kommisjonen vil revidere disse vilkårene når revisjonen av europaparlaments- og rådsdirektiv 94/62/EF av 20. desember 1994 om emballasje og emballasjeavfall (EFT L 365 av 31.12.1994, s. 10) er blitt vedtatt.</w:t>
      </w:r>
    </w:p>
  </w:footnote>
  <w:footnote w:id="71">
    <w:p w14:paraId="5DFEA9C1" w14:textId="4D9C99AC"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Med «emballasjeenhet» menes en hel enhet, herunder alle integrerte eller separate komponenter som sammen tjener et emballeringsformål, som for eksempel innpak</w:t>
      </w:r>
      <w:r w:rsidR="00716C91">
        <w:t>k</w:t>
      </w:r>
      <w:r>
        <w:t>ing, beskyttelse, håndtering, levering, lagring, transport og presentasjon av produkter, og herunder uavhengige enheter av multiemballasje eller transportemballasje dersom de kasseres før de ankommer salgsstedet.</w:t>
      </w:r>
    </w:p>
  </w:footnote>
  <w:footnote w:id="72">
    <w:p w14:paraId="0DC32C28"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Med «materialgjenvinningsgrad» menes andelen av generert avfall som materialgjenvinnes.</w:t>
      </w:r>
    </w:p>
  </w:footnote>
  <w:footnote w:id="73">
    <w:p w14:paraId="1381A23F"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ISO 16290:2013, Space systems – Definition of the Technology Readiness Levels (TRLs) and their criteria of assessment (</w:t>
      </w:r>
      <w:proofErr w:type="spellStart"/>
      <w:r w:rsidRPr="00770AA2">
        <w:rPr>
          <w:lang w:val="en-US"/>
        </w:rPr>
        <w:t>utgave</w:t>
      </w:r>
      <w:proofErr w:type="spellEnd"/>
      <w:r w:rsidRPr="00770AA2">
        <w:rPr>
          <w:lang w:val="en-US"/>
        </w:rPr>
        <w:t xml:space="preserve"> av 27.6.2023: https://www.iso.org/obp/ui/#iso:std:iso:16290:ed-1:v1:en).</w:t>
      </w:r>
    </w:p>
  </w:footnote>
  <w:footnote w:id="74">
    <w:p w14:paraId="6F3A08B3"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Europaparlaments- og rådsforordning (EF) nr. 1272/2008 av 16. desember 2008 om klassifisering, merking og emballering av stoffer og stoffblandinger, om endring og oppheving av direktiv 67/548/EØF og 1999/45/EF, og om endring av forordning (EF) nr. 1907/2006 (EUT L 353 av 31.12.2008, s. 1).</w:t>
      </w:r>
    </w:p>
  </w:footnote>
  <w:footnote w:id="75">
    <w:p w14:paraId="206CB59D"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Kommisjonsrekommandasjon (EU) 2021/2279 av 15. desember 2021 om bruk av miljøavtrykkmetoder til å måle og formidle produkters og organisasjoners miljøprestasjon gjennom hele deres livssyklus (EUT L 471 av 30.12.2021, s.1).</w:t>
      </w:r>
    </w:p>
  </w:footnote>
  <w:footnote w:id="76">
    <w:p w14:paraId="058001CF"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ISO-standard 14067:2018, «Greenhouse gases — Carbon footprint of products — Requirements and guidelines for quantification» (</w:t>
      </w:r>
      <w:proofErr w:type="spellStart"/>
      <w:r w:rsidRPr="00770AA2">
        <w:rPr>
          <w:lang w:val="en-US"/>
        </w:rPr>
        <w:t>utgave</w:t>
      </w:r>
      <w:proofErr w:type="spellEnd"/>
      <w:r w:rsidRPr="00770AA2">
        <w:rPr>
          <w:lang w:val="en-US"/>
        </w:rPr>
        <w:t xml:space="preserve"> av 27.6.2023: https://www.iso.org/standard/71206.html).</w:t>
      </w:r>
    </w:p>
  </w:footnote>
  <w:footnote w:id="77">
    <w:p w14:paraId="1AD21767"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 xml:space="preserve">ISO-standard 14064-1:2018, «Greenhouse gases – Part 1: Specification with guidance at the </w:t>
      </w:r>
      <w:proofErr w:type="spellStart"/>
      <w:r w:rsidRPr="00770AA2">
        <w:rPr>
          <w:lang w:val="en-US"/>
        </w:rPr>
        <w:t>organisation</w:t>
      </w:r>
      <w:proofErr w:type="spellEnd"/>
      <w:r w:rsidRPr="00770AA2">
        <w:rPr>
          <w:lang w:val="en-US"/>
        </w:rPr>
        <w:t xml:space="preserve"> level for quantification and reporting of greenhouse gas emissions and removals (</w:t>
      </w:r>
      <w:proofErr w:type="spellStart"/>
      <w:r w:rsidRPr="00770AA2">
        <w:rPr>
          <w:lang w:val="en-US"/>
        </w:rPr>
        <w:t>utgave</w:t>
      </w:r>
      <w:proofErr w:type="spellEnd"/>
      <w:r w:rsidRPr="00770AA2">
        <w:rPr>
          <w:lang w:val="en-US"/>
        </w:rPr>
        <w:t xml:space="preserve"> av 27.6.2023: https://www.iso.org/standard/66453.html).</w:t>
      </w:r>
    </w:p>
  </w:footnote>
  <w:footnote w:id="78">
    <w:p w14:paraId="08D87C8C"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Kommisjonsrekommandasjon av 9. april 2013 om bruk av felles metoder for å måle og formidle opplysninger om produkters og organisasjoners miljøprestasjon over hele deres livssyklus (EUT L 124 av 4.5.2013, s. 1).</w:t>
      </w:r>
    </w:p>
  </w:footnote>
  <w:footnote w:id="79">
    <w:p w14:paraId="742ECE30"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Kommisjonens gjennomføringsbeslutning (EU) 2016/902 av 30. mai 2016 om fastsettelse av konklusjoner om beste tilgjengelige teknikker (BAT) for felles systemer for rensing/håndtering av spillvann og avgasser i kjemisk sektor i henhold til europaparlaments- og rådsdirektiv 2010/75/EU (EUT L 152 av 9.6.2016, s. 23).</w:t>
      </w:r>
    </w:p>
  </w:footnote>
  <w:footnote w:id="80">
    <w:p w14:paraId="42A904A5"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Kommisjonens gjennomføringsbeslutning (EU) 2022/2427 av 6. desember 2022 om fastsettelse av konklusjoner om beste tilgjengelige teknikker (BAT) for felles systemer for håndtering og rensing av avgasser i kjemisk sektor i henhold til europaparlaments- og rådsdirektiv 2010/75/EU om industriutslipp (EUT L 318 av 12.12.2022, s. 157).</w:t>
      </w:r>
    </w:p>
  </w:footnote>
  <w:footnote w:id="81">
    <w:p w14:paraId="6923F57F" w14:textId="53DED87F"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r>
      <w:r w:rsidR="009F5907" w:rsidRPr="00770AA2">
        <w:rPr>
          <w:lang w:val="en-US"/>
        </w:rPr>
        <w:t>«</w:t>
      </w:r>
      <w:r w:rsidR="00E23150">
        <w:rPr>
          <w:lang w:val="en-US"/>
        </w:rPr>
        <w:t xml:space="preserve">The </w:t>
      </w:r>
      <w:r w:rsidRPr="00770AA2">
        <w:rPr>
          <w:lang w:val="en-US"/>
        </w:rPr>
        <w:t>Best Available Techniques (BAT) Reference Document for the Production of Polymers</w:t>
      </w:r>
      <w:r w:rsidR="009F5907" w:rsidRPr="00770AA2">
        <w:rPr>
          <w:lang w:val="en-US"/>
        </w:rPr>
        <w:t>»</w:t>
      </w:r>
      <w:r w:rsidRPr="00770AA2">
        <w:rPr>
          <w:lang w:val="en-US"/>
        </w:rPr>
        <w:t xml:space="preserve"> (</w:t>
      </w:r>
      <w:proofErr w:type="spellStart"/>
      <w:r w:rsidRPr="00770AA2">
        <w:rPr>
          <w:lang w:val="en-US"/>
        </w:rPr>
        <w:t>utgave</w:t>
      </w:r>
      <w:proofErr w:type="spellEnd"/>
      <w:r w:rsidRPr="00770AA2">
        <w:rPr>
          <w:lang w:val="en-US"/>
        </w:rPr>
        <w:t xml:space="preserve"> av 27.6.2023: https://eippcb.jrc.ec.europa.eu/sites/default/files/2019-11/pol_bref_0807.pdf).</w:t>
      </w:r>
    </w:p>
  </w:footnote>
  <w:footnote w:id="82">
    <w:p w14:paraId="238DF4E3"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«Best Available Techniques (BAT) Reference Document for the Large Volumes Inorganic Chemicals – Solids and Others industry» (</w:t>
      </w:r>
      <w:proofErr w:type="spellStart"/>
      <w:r w:rsidRPr="00770AA2">
        <w:rPr>
          <w:lang w:val="en-US"/>
        </w:rPr>
        <w:t>utgave</w:t>
      </w:r>
      <w:proofErr w:type="spellEnd"/>
      <w:r w:rsidRPr="00770AA2">
        <w:rPr>
          <w:lang w:val="en-US"/>
        </w:rPr>
        <w:t xml:space="preserve"> av 27.6.2023: https://eippcb.jrc.ec.europa.eu/sites/default/files/2019-11/lvic-s_bref_0907.pdf).</w:t>
      </w:r>
    </w:p>
  </w:footnote>
  <w:footnote w:id="83">
    <w:p w14:paraId="17F86396"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 xml:space="preserve">«The Best Available Techniques (BAT) Reference Document for the manufacture of Large Volume Inorganic Chemicals – Ammonia, Acids and </w:t>
      </w:r>
      <w:proofErr w:type="spellStart"/>
      <w:r w:rsidRPr="00770AA2">
        <w:rPr>
          <w:lang w:val="en-US"/>
        </w:rPr>
        <w:t>Fertilisers</w:t>
      </w:r>
      <w:proofErr w:type="spellEnd"/>
      <w:r w:rsidRPr="00770AA2">
        <w:rPr>
          <w:lang w:val="en-US"/>
        </w:rPr>
        <w:t>» (</w:t>
      </w:r>
      <w:proofErr w:type="spellStart"/>
      <w:r w:rsidRPr="00770AA2">
        <w:rPr>
          <w:lang w:val="en-US"/>
        </w:rPr>
        <w:t>utgave</w:t>
      </w:r>
      <w:proofErr w:type="spellEnd"/>
      <w:r w:rsidRPr="00770AA2">
        <w:rPr>
          <w:lang w:val="en-US"/>
        </w:rPr>
        <w:t xml:space="preserve"> av 27.6.2023: https://eippcb.jrc.ec.europa.eu/sites/default/files/2019-11/lvic_aaf.pdf).</w:t>
      </w:r>
    </w:p>
  </w:footnote>
  <w:footnote w:id="84">
    <w:p w14:paraId="2F113108"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«The Best Available Techniques Reference Document (BREF) for Manufacture of Organic Fine Chemicals» (</w:t>
      </w:r>
      <w:proofErr w:type="spellStart"/>
      <w:r w:rsidRPr="00770AA2">
        <w:rPr>
          <w:lang w:val="en-US"/>
        </w:rPr>
        <w:t>utgave</w:t>
      </w:r>
      <w:proofErr w:type="spellEnd"/>
      <w:r w:rsidRPr="00770AA2">
        <w:rPr>
          <w:lang w:val="en-US"/>
        </w:rPr>
        <w:t xml:space="preserve"> av 27.6.2023: https://eippcb.jrc.ec.europa.eu/sites/default/files/2019-11/ofc_bref_0806.pdf).</w:t>
      </w:r>
    </w:p>
  </w:footnote>
  <w:footnote w:id="85">
    <w:p w14:paraId="4192DAF2"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 xml:space="preserve">«The Best Available Techniques Reference Document (BREF) for the production of </w:t>
      </w:r>
      <w:proofErr w:type="spellStart"/>
      <w:r w:rsidRPr="00770AA2">
        <w:rPr>
          <w:lang w:val="en-US"/>
        </w:rPr>
        <w:t>speciality</w:t>
      </w:r>
      <w:proofErr w:type="spellEnd"/>
      <w:r w:rsidRPr="00770AA2">
        <w:rPr>
          <w:lang w:val="en-US"/>
        </w:rPr>
        <w:t xml:space="preserve"> inorganic chemicals (SIC)» (</w:t>
      </w:r>
      <w:proofErr w:type="spellStart"/>
      <w:r w:rsidRPr="00770AA2">
        <w:rPr>
          <w:lang w:val="en-US"/>
        </w:rPr>
        <w:t>utgave</w:t>
      </w:r>
      <w:proofErr w:type="spellEnd"/>
      <w:r w:rsidRPr="00770AA2">
        <w:rPr>
          <w:lang w:val="en-US"/>
        </w:rPr>
        <w:t xml:space="preserve"> av 27.6.2023: https://eippcb.jrc.ec.europa.eu/reference/production-speciality-inorganic-chemicals).</w:t>
      </w:r>
    </w:p>
  </w:footnote>
  <w:footnote w:id="86">
    <w:p w14:paraId="39E643FD" w14:textId="77777777" w:rsidR="006561BA" w:rsidRDefault="005B4ED6">
      <w:pPr>
        <w:pStyle w:val="FootnoteText"/>
        <w:rPr>
          <w:rFonts w:cs="Times New Roman"/>
          <w:szCs w:val="16"/>
        </w:rPr>
      </w:pPr>
      <w:r w:rsidRPr="00980A19">
        <w:rPr>
          <w:lang w:val="en-US"/>
        </w:rPr>
        <w:t>(</w:t>
      </w:r>
      <w:r>
        <w:rPr>
          <w:rStyle w:val="FootnoteReference"/>
          <w:rFonts w:cs="Times New Roman"/>
          <w:szCs w:val="16"/>
        </w:rPr>
        <w:footnoteRef/>
      </w:r>
      <w:r w:rsidRPr="00980A19">
        <w:rPr>
          <w:lang w:val="en-US"/>
        </w:rPr>
        <w:t>)</w:t>
      </w:r>
      <w:r w:rsidRPr="00980A19">
        <w:rPr>
          <w:lang w:val="en-US"/>
        </w:rPr>
        <w:tab/>
        <w:t xml:space="preserve">Med «bærbart batteri» menes ethvert batteri som er forseglet og veier mindre enn eller høyst 5 kg, og som ikke er konstruert for industrielle formål. </w:t>
      </w:r>
      <w:r>
        <w:t>Et bærbart batteri er verken et elektrisk kjøretøybatteri eller et startbatteri.</w:t>
      </w:r>
    </w:p>
  </w:footnote>
  <w:footnote w:id="87">
    <w:p w14:paraId="51CB2517"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Europaparlaments- og rådsforordning (EF) nr. 66/2010 av 25. november 2009 om EU-miljømerket (EUT L 27 av 30.1.2010, s. 1).</w:t>
      </w:r>
    </w:p>
  </w:footnote>
  <w:footnote w:id="88">
    <w:p w14:paraId="795AB792"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Europaparlaments- og rådsforordning (EU) 2017/745 av 5. april 2017 om medisinsk utstyr (EUT L 117 av 5.5.2017, s. 1).</w:t>
      </w:r>
    </w:p>
  </w:footnote>
  <w:footnote w:id="89">
    <w:p w14:paraId="2841628A"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Europaparlaments- og rådsforordning (EU) 2017/746 av 5. april 2017 om medisinsk utstyr til </w:t>
      </w:r>
      <w:r>
        <w:rPr>
          <w:i/>
        </w:rPr>
        <w:t>in </w:t>
      </w:r>
      <w:proofErr w:type="spellStart"/>
      <w:r>
        <w:rPr>
          <w:i/>
        </w:rPr>
        <w:t>vitro</w:t>
      </w:r>
      <w:proofErr w:type="spellEnd"/>
      <w:r>
        <w:t>-diagnostikk (EUT L 117 av 5.5.2017, s. 176).</w:t>
      </w:r>
    </w:p>
  </w:footnote>
  <w:footnote w:id="90">
    <w:p w14:paraId="6F6DFD67"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Med «reparasjonsklasse» menes en klasse som angir en vares mulighet for å bli reparert på grunnlag av en metode som er fastsatt i samsvar med unionsretten (artikkel 16 i forordning (EU) 2017/1369).</w:t>
      </w:r>
    </w:p>
  </w:footnote>
  <w:footnote w:id="91">
    <w:p w14:paraId="699F5E3D"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Med «profesjonell reparatør» menes en aktør eller et foretak som tilbyr reparasjonstjenester og profesjonelt vedlikehold av produkter som er omfattet av denne aktiviteten.</w:t>
      </w:r>
    </w:p>
  </w:footnote>
  <w:footnote w:id="92">
    <w:p w14:paraId="21EF33E3"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Viktige reservedeler er deler som brukes til reparasjon eller renovering av et defekt produkt. For produkter som er omfattet av krav om tilgang til reservedeler i henhold til direktiv 2009/125/EF og gjennomføringsrettsakter vedtatt i henhold til det nevnte direktivet, anses viktige reservedeler å være dem som er oppført i vedlegget til den seneste gjennomføringsrettsakten for hver produktgruppe.</w:t>
      </w:r>
    </w:p>
  </w:footnote>
  <w:footnote w:id="93">
    <w:p w14:paraId="70A64A41"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Europaparlaments- og rådsdirektiv (EU) 2019/771 av 20. mai 2019 om visse aspekter ved avtaler om salg av varer, om endring av forordning (EU) 2017/2394 og direktiv 2009/22/EF, og om oppheving av direktiv 1999/44/EF (EUT L 136 av 22.5.2019, s. 28).</w:t>
      </w:r>
    </w:p>
  </w:footnote>
  <w:footnote w:id="94">
    <w:p w14:paraId="367B81B2"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I4R Platform (utgave av 27.6.2023, finnes på: https://i4r-platform.eu/about/).</w:t>
      </w:r>
    </w:p>
  </w:footnote>
  <w:footnote w:id="95">
    <w:p w14:paraId="3B2B5AAA" w14:textId="68FD0791"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Kritiske </w:t>
      </w:r>
      <w:r w:rsidR="00E53BD6">
        <w:t xml:space="preserve">råvarer </w:t>
      </w:r>
      <w:r>
        <w:t xml:space="preserve">er definert som de elementene som er oppført på EUs liste over kritiske </w:t>
      </w:r>
      <w:r w:rsidR="00E53BD6">
        <w:t xml:space="preserve">råvarer </w:t>
      </w:r>
      <w:r>
        <w:t xml:space="preserve">(opprettet gjennom kommisjonsmelding til Europaparlamentet, Rådet, Den europeiske økonomiske og sosiale komité og Regionkomiteen om motstandsdyktighet for kritiske </w:t>
      </w:r>
      <w:r w:rsidR="00984043">
        <w:t xml:space="preserve">råvarer </w:t>
      </w:r>
      <w:r>
        <w:t xml:space="preserve">(«Critical </w:t>
      </w:r>
      <w:proofErr w:type="spellStart"/>
      <w:r>
        <w:t>Raw</w:t>
      </w:r>
      <w:proofErr w:type="spellEnd"/>
      <w:r>
        <w:t xml:space="preserve"> Materials </w:t>
      </w:r>
      <w:proofErr w:type="spellStart"/>
      <w:r>
        <w:t>Resilience</w:t>
      </w:r>
      <w:proofErr w:type="spellEnd"/>
      <w:r>
        <w:t>»): En kurs mot økt sikkerhet og bærekraft («</w:t>
      </w:r>
      <w:proofErr w:type="spellStart"/>
      <w:r>
        <w:t>Charting</w:t>
      </w:r>
      <w:proofErr w:type="spellEnd"/>
      <w:r>
        <w:t xml:space="preserve"> a </w:t>
      </w:r>
      <w:proofErr w:type="spellStart"/>
      <w:r>
        <w:t>Path</w:t>
      </w:r>
      <w:proofErr w:type="spellEnd"/>
      <w:r>
        <w:t xml:space="preserve"> </w:t>
      </w:r>
      <w:proofErr w:type="spellStart"/>
      <w:r>
        <w:t>towards</w:t>
      </w:r>
      <w:proofErr w:type="spellEnd"/>
      <w:r>
        <w:t xml:space="preserve"> </w:t>
      </w:r>
      <w:proofErr w:type="spellStart"/>
      <w:r>
        <w:t>greater</w:t>
      </w:r>
      <w:proofErr w:type="spellEnd"/>
      <w:r>
        <w:t xml:space="preserve"> Security and </w:t>
      </w:r>
      <w:proofErr w:type="spellStart"/>
      <w:r>
        <w:t>Sustainability</w:t>
      </w:r>
      <w:proofErr w:type="spellEnd"/>
      <w:r>
        <w:t>», (COM(2020) 474 final)) eller annet relevant unionsregelverk.</w:t>
      </w:r>
    </w:p>
  </w:footnote>
  <w:footnote w:id="96">
    <w:p w14:paraId="0941ECCD"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Utgave av 16. juni 2023. Tilgjengelig på: https://echa.europa.eu/scip-database.</w:t>
      </w:r>
    </w:p>
  </w:footnote>
  <w:footnote w:id="97">
    <w:p w14:paraId="41261B10"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IEC 62474 – «Material Declaration for Products of and for the Electrotechnical Industry».</w:t>
      </w:r>
    </w:p>
  </w:footnote>
  <w:footnote w:id="98">
    <w:p w14:paraId="6DE8FD31"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 xml:space="preserve">IEC 82474 – «Material declaration – Part 1»: </w:t>
      </w:r>
      <w:proofErr w:type="spellStart"/>
      <w:r w:rsidRPr="00770AA2">
        <w:rPr>
          <w:lang w:val="en-US"/>
        </w:rPr>
        <w:t>Generelle</w:t>
      </w:r>
      <w:proofErr w:type="spellEnd"/>
      <w:r w:rsidRPr="00770AA2">
        <w:rPr>
          <w:lang w:val="en-US"/>
        </w:rPr>
        <w:t xml:space="preserve"> </w:t>
      </w:r>
      <w:proofErr w:type="spellStart"/>
      <w:r w:rsidRPr="00770AA2">
        <w:rPr>
          <w:lang w:val="en-US"/>
        </w:rPr>
        <w:t>krav</w:t>
      </w:r>
      <w:proofErr w:type="spellEnd"/>
    </w:p>
  </w:footnote>
  <w:footnote w:id="99">
    <w:p w14:paraId="1E462C7A"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EN 45555:2019 «General methods for assessing the recyclability and recoverability of energy-related products».</w:t>
      </w:r>
    </w:p>
  </w:footnote>
  <w:footnote w:id="100">
    <w:p w14:paraId="0524F88D"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Europaparlaments- og rådsforordning (EU) 2023/1542 av 12. juli 2023 om batterier og brukte batterier, om endring av direktiv 2008/98/EF og forordning (EU) 2019/1020 og om oppheving av direktiv 2006/66/EF (EUT L 191 av 28.7.2023, s. 1.).</w:t>
      </w:r>
    </w:p>
  </w:footnote>
  <w:footnote w:id="101">
    <w:p w14:paraId="765FDD7C"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Europaparlaments- og rådsforordning (EU) nr. 517/2014 av 16. april 2014 om fluorholdige klimagasser og om oppheving av forordning (EF) nr. 842/2006 (EUT L 150 av 20.5.2014, s. 195).</w:t>
      </w:r>
    </w:p>
  </w:footnote>
  <w:footnote w:id="102">
    <w:p w14:paraId="56C0DAF4"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Kravet er rettet mot de tre høyeste utnyttede energieffektivitetsklassene, og der minst noen produkter finnes på markedet. For å forstå hvilke klasser som er de høyeste utnyttede klassene, og der minst noen produkter finnes på markedet, utarbeider den europeiske produktdatabasen for energimerking en oversikt over tilgjengelige produkter på markedet (basert på offisielle data).</w:t>
      </w:r>
    </w:p>
  </w:footnote>
  <w:footnote w:id="103">
    <w:p w14:paraId="3F9C94B0"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Europaparlaments- og rådsforordning (EU) 2017/1369 av 4. juli 2017 om </w:t>
      </w:r>
      <w:proofErr w:type="spellStart"/>
      <w:r>
        <w:t>fastsetjing</w:t>
      </w:r>
      <w:proofErr w:type="spellEnd"/>
      <w:r>
        <w:t xml:space="preserve"> av ei ramme for energimerking og om oppheving av direktiv 2010/30/EU (EUT L 198 av 28.7.2017, s. 1).</w:t>
      </w:r>
    </w:p>
  </w:footnote>
  <w:footnote w:id="104">
    <w:p w14:paraId="7500F9CD"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Europaparlaments- og rådsdirektiv 2006/66/EF av 6. september 2006 om batterier og akkumulatorer og brukte batterier og akkumulatorer, og om oppheving av direktiv 91/157/EØF (EUT L 266 av 26.9.2006, s. 1).</w:t>
      </w:r>
    </w:p>
  </w:footnote>
  <w:footnote w:id="105">
    <w:p w14:paraId="417C33D2"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Europaparlaments- og rådsforordning (EU) 2019/1009 av 5. juni 2019 om fastsettelse av regler for tilgjengeliggjøring på markedet av EU-gjødselvarer, om endring av forordning (EF) nr. 1069/2009 og (EF) nr. 1107/2009 og om oppheving av forordning (EF) nr. 2003/2003 (EUT L 170 av 25.6.2019, s. 1).</w:t>
      </w:r>
    </w:p>
  </w:footnote>
  <w:footnote w:id="106">
    <w:p w14:paraId="54DCCCFD" w14:textId="77777777" w:rsidR="006561BA" w:rsidRDefault="005B4ED6">
      <w:pPr>
        <w:pStyle w:val="FootnoteText"/>
        <w:rPr>
          <w:rFonts w:cs="Times New Roman"/>
          <w:szCs w:val="16"/>
        </w:rPr>
      </w:pPr>
      <w:r>
        <w:t>(</w:t>
      </w:r>
      <w:r>
        <w:rPr>
          <w:rStyle w:val="FootnoteReference"/>
          <w:rFonts w:cs="Times New Roman"/>
          <w:szCs w:val="16"/>
        </w:rPr>
        <w:footnoteRef/>
      </w:r>
      <w:r>
        <w:t>)</w:t>
      </w:r>
      <w:r>
        <w:tab/>
        <w:t>Med «gjenvunnet vann» menes avløpsvann fra byområder som er behandlet i samsvar med kravene i direktiv 91/271/EØF, og som er et resultat av ytterligere behandling i et gjenvinningsanlegg.</w:t>
      </w:r>
    </w:p>
  </w:footnote>
  <w:footnote w:id="107">
    <w:p w14:paraId="35B0ED9D" w14:textId="77777777" w:rsidR="006561BA" w:rsidRDefault="005B4ED6">
      <w:pPr>
        <w:pStyle w:val="FootnoteText"/>
        <w:rPr>
          <w:rFonts w:cs="Times New Roman"/>
          <w:szCs w:val="16"/>
        </w:rPr>
      </w:pPr>
      <w:r>
        <w:t>(</w:t>
      </w:r>
      <w:r>
        <w:rPr>
          <w:rStyle w:val="FootnoteReference"/>
          <w:rFonts w:cs="Times New Roman"/>
          <w:szCs w:val="16"/>
        </w:rPr>
        <w:footnoteRef/>
      </w:r>
      <w:r>
        <w:t>)</w:t>
      </w:r>
      <w:r>
        <w:tab/>
        <w:t>Med «gråvann» menes ubehandlet avløpsvann som ikke er forurenset i forbindelse med toalettutslipp. Gråvann omfatter avløpsvann fra badekar, dusjer, baderomsvasker, vaskemaskiner og vaskekummer i vaskerier.</w:t>
      </w:r>
    </w:p>
  </w:footnote>
  <w:footnote w:id="108">
    <w:p w14:paraId="5F98627F"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Europaparlaments- og rådsforordning (EU) 2020/741 av 25. mai 2020 om minstekrav til ombruk av vann (EUT L 177 av 5.6.2020, s. 32).</w:t>
      </w:r>
    </w:p>
  </w:footnote>
  <w:footnote w:id="109">
    <w:p w14:paraId="74078065"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For eksempel ved å følge IPCCs retningslinjer for nasjonale klimagassregnskap for rensing av avløpsvann (utgave av 27.6.2023: https://www.ipcc-nggip.iges.or.jp/public/2019rf/pdf/5_Volume5/19R_V5_6_Ch06_Wastewater.pdf).</w:t>
      </w:r>
    </w:p>
  </w:footnote>
  <w:footnote w:id="110">
    <w:p w14:paraId="5ED58FDC" w14:textId="77777777" w:rsidR="006561BA" w:rsidRDefault="005B4ED6">
      <w:pPr>
        <w:pStyle w:val="FootnoteText"/>
        <w:rPr>
          <w:rFonts w:cs="Times New Roman"/>
          <w:szCs w:val="16"/>
        </w:rPr>
      </w:pPr>
      <w:r>
        <w:t>(</w:t>
      </w:r>
      <w:r>
        <w:rPr>
          <w:rStyle w:val="FootnoteReference"/>
          <w:rFonts w:cs="Times New Roman"/>
          <w:szCs w:val="16"/>
        </w:rPr>
        <w:footnoteRef/>
      </w:r>
      <w:r>
        <w:t>)</w:t>
      </w:r>
      <w:r>
        <w:tab/>
        <w:t>Med «farlig avfall» menes avfall som har en eller flere av de farlige egenskapene som er oppført i vedlegg III til europaparlaments- og rådsdirektiv 2008/98/EF av 19. november 2008 om avfall og om oppheving av visse direktiver (EUT L 312 av 22.11.2008, s. 3). Det omfatter strømmer som fraksjoner av farlig avfall som er generert av husholdninger, spilloljer, batterier, ikke-forurenset avfall fra elektrisk og elektronisk utstyr (WEEE), ikke-forurensede kasserte kjøretøyer, medisinsk avfall osv. En omfattende klassifisering av farlig avfall finnes i den europeiske listen over avfall (vedtak 2000/532/EF).</w:t>
      </w:r>
    </w:p>
  </w:footnote>
  <w:footnote w:id="111">
    <w:p w14:paraId="41FCDDCA" w14:textId="77777777" w:rsidR="006561BA" w:rsidRDefault="005B4ED6">
      <w:pPr>
        <w:pStyle w:val="FootnoteText"/>
        <w:rPr>
          <w:rFonts w:cs="Times New Roman"/>
          <w:szCs w:val="16"/>
        </w:rPr>
      </w:pPr>
      <w:r>
        <w:t>(</w:t>
      </w:r>
      <w:r>
        <w:rPr>
          <w:rStyle w:val="FootnoteReference"/>
          <w:rFonts w:cs="Times New Roman"/>
          <w:szCs w:val="16"/>
        </w:rPr>
        <w:footnoteRef/>
      </w:r>
      <w:r>
        <w:t>)</w:t>
      </w:r>
      <w:r>
        <w:tab/>
        <w:t xml:space="preserve">Med «forberedelse til ombruk» menes gjenvinningstiltak som kontroll, rengjøring eller reparasjon, der produkter eller komponenter av produkter som er blitt til avfall, forberedes slik at de kan </w:t>
      </w:r>
      <w:proofErr w:type="spellStart"/>
      <w:r>
        <w:t>ombrukes</w:t>
      </w:r>
      <w:proofErr w:type="spellEnd"/>
      <w:r>
        <w:t xml:space="preserve"> uten annen forbehandling,</w:t>
      </w:r>
    </w:p>
  </w:footnote>
  <w:footnote w:id="112">
    <w:p w14:paraId="1CD55352" w14:textId="77777777" w:rsidR="006561BA" w:rsidRDefault="005B4ED6">
      <w:pPr>
        <w:pStyle w:val="FootnoteText"/>
        <w:rPr>
          <w:rFonts w:cs="Times New Roman"/>
          <w:szCs w:val="16"/>
        </w:rPr>
      </w:pPr>
      <w:r>
        <w:t>(</w:t>
      </w:r>
      <w:r>
        <w:rPr>
          <w:rStyle w:val="FootnoteReference"/>
          <w:rFonts w:cs="Times New Roman"/>
          <w:szCs w:val="16"/>
        </w:rPr>
        <w:footnoteRef/>
      </w:r>
      <w:r>
        <w:t>)</w:t>
      </w:r>
      <w:r>
        <w:tab/>
        <w:t>Med «materialgjenvinning» menes all gjenvinning der avfallsmaterialer blir bearbeidet på nytt til produkter, materialer eller stoffer til enten det opprinnelige formålet eller til andre formål. Dette omfatter bearbeiding på nytt av organisk materiale, men omfatter ikke energiutnytting og ny bearbeiding til materialer som skal benyttes som brennstoff eller fyllmateriale.</w:t>
      </w:r>
    </w:p>
  </w:footnote>
  <w:footnote w:id="113">
    <w:p w14:paraId="3EEA2876"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Dette omfatter tekstiler, klær/bekledningsartikler, fottøy og tilbehør, som for eksempel belter eller hatter.</w:t>
      </w:r>
    </w:p>
  </w:footnote>
  <w:footnote w:id="114">
    <w:p w14:paraId="381F0F22"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Europaparlaments- og rådsdirektiv 2008/98/EF av 19. november 2008 om avfall og om oppheving av visse direktiver (EUT L 312 av 22.11.2008, s. 3).</w:t>
      </w:r>
    </w:p>
  </w:footnote>
  <w:footnote w:id="115">
    <w:p w14:paraId="1A946425"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Se Europakommisjonens veiledning for separat innsamling av kommunalt avfall («</w:t>
      </w:r>
      <w:proofErr w:type="spellStart"/>
      <w:r>
        <w:t>Guidance</w:t>
      </w:r>
      <w:proofErr w:type="spellEnd"/>
      <w:r>
        <w:t xml:space="preserve"> for separate </w:t>
      </w:r>
      <w:proofErr w:type="spellStart"/>
      <w:r>
        <w:t>collection</w:t>
      </w:r>
      <w:proofErr w:type="spellEnd"/>
      <w:r>
        <w:t xml:space="preserve"> </w:t>
      </w:r>
      <w:proofErr w:type="spellStart"/>
      <w:r>
        <w:t>of</w:t>
      </w:r>
      <w:proofErr w:type="spellEnd"/>
      <w:r>
        <w:t xml:space="preserve"> </w:t>
      </w:r>
      <w:proofErr w:type="spellStart"/>
      <w:r>
        <w:t>municipal</w:t>
      </w:r>
      <w:proofErr w:type="spellEnd"/>
      <w:r>
        <w:t xml:space="preserve"> </w:t>
      </w:r>
      <w:proofErr w:type="spellStart"/>
      <w:r>
        <w:t>waste</w:t>
      </w:r>
      <w:proofErr w:type="spellEnd"/>
      <w:r>
        <w:t>»), avsnitt 3.1 om økonomiske insentiver («</w:t>
      </w:r>
      <w:proofErr w:type="spellStart"/>
      <w:r>
        <w:t>Economic</w:t>
      </w:r>
      <w:proofErr w:type="spellEnd"/>
      <w:r>
        <w:t xml:space="preserve"> </w:t>
      </w:r>
      <w:proofErr w:type="spellStart"/>
      <w:r>
        <w:t>incentives</w:t>
      </w:r>
      <w:proofErr w:type="spellEnd"/>
      <w:r>
        <w:t>»), finnes på:https://op.europa.eu/en/publication-detail/-/publication/bb444830-94bf-11ea-aac4-01aa75ed71a1.</w:t>
      </w:r>
    </w:p>
  </w:footnote>
  <w:footnote w:id="116">
    <w:p w14:paraId="49D29C48"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I samsvar med europaparlaments- og rådsforordning (EU) 2018/858 av 30. mai 2018 om godkjenning av og markedstilsyn med motorvogner og deres tilhengere samt systemer, komponenter og separate tekniske enheter til slike motorvogner, om endring av forordning (EF) nr. 715/2007 og (EF) nr. 595/2009 og om oppheving av direktiv 2007/46/EF (EUT L 151 av 14.6.2018, s. 1).</w:t>
      </w:r>
    </w:p>
  </w:footnote>
  <w:footnote w:id="117">
    <w:p w14:paraId="2FC262E1" w14:textId="77777777" w:rsidR="006561BA" w:rsidRDefault="005B4ED6">
      <w:pPr>
        <w:pStyle w:val="FootnoteText"/>
        <w:rPr>
          <w:rFonts w:cs="Times New Roman"/>
          <w:szCs w:val="16"/>
        </w:rPr>
      </w:pPr>
      <w:r>
        <w:t>(</w:t>
      </w:r>
      <w:r>
        <w:rPr>
          <w:rStyle w:val="FootnoteReference"/>
          <w:rFonts w:cs="Times New Roman"/>
          <w:szCs w:val="16"/>
        </w:rPr>
        <w:footnoteRef/>
      </w:r>
      <w:r>
        <w:t>)</w:t>
      </w:r>
      <w:r>
        <w:tab/>
        <w:t>Kommisjonsvedtak 2000/532/EF av 3. mai 2000 om erstatning av kommisjonsvedtak 94/3/EF om utarbeiding av en liste over avfall i henhold til artikkel 1 bokstav a) i rådsdirektiv 75/442/EØF om avfall og rådsvedtak 94/904/EF om utarbeiding av en liste over farlig avfall i henhold til artikkel 1 nr. 4 i rådsdirektiv 91/689/EØF om farlig avfall (EFT L 226 av 6.9.2000, s. 3).</w:t>
      </w:r>
    </w:p>
  </w:footnote>
  <w:footnote w:id="118">
    <w:p w14:paraId="4F581AB8"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Med «produksjonsprosesser» menes enhver form for økonomisk aktivitet som produserer et materiale, et produkt eller en eiendel. Med «materialer som er nyttiggjort» menes resultatet av materialutnyttingsprosessen.</w:t>
      </w:r>
    </w:p>
  </w:footnote>
  <w:footnote w:id="119">
    <w:p w14:paraId="0205DB8A"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ISO 14067:2018 EN, «Greenhouse </w:t>
      </w:r>
      <w:proofErr w:type="spellStart"/>
      <w:r>
        <w:t>gases</w:t>
      </w:r>
      <w:proofErr w:type="spellEnd"/>
      <w:r>
        <w:t xml:space="preserve"> — </w:t>
      </w:r>
      <w:proofErr w:type="spellStart"/>
      <w:r>
        <w:t>Carbon</w:t>
      </w:r>
      <w:proofErr w:type="spellEnd"/>
      <w:r>
        <w:t xml:space="preserve"> </w:t>
      </w:r>
      <w:proofErr w:type="spellStart"/>
      <w:r>
        <w:t>footprint</w:t>
      </w:r>
      <w:proofErr w:type="spellEnd"/>
      <w:r>
        <w:t xml:space="preserve"> </w:t>
      </w:r>
      <w:proofErr w:type="spellStart"/>
      <w:r>
        <w:t>of</w:t>
      </w:r>
      <w:proofErr w:type="spellEnd"/>
      <w:r>
        <w:t xml:space="preserve"> </w:t>
      </w:r>
      <w:proofErr w:type="spellStart"/>
      <w:r>
        <w:t>products</w:t>
      </w:r>
      <w:proofErr w:type="spellEnd"/>
      <w:r>
        <w:t xml:space="preserve"> — </w:t>
      </w:r>
      <w:proofErr w:type="spellStart"/>
      <w:r>
        <w:t>Requirements</w:t>
      </w:r>
      <w:proofErr w:type="spellEnd"/>
      <w:r>
        <w:t xml:space="preserve"> and guidelines for </w:t>
      </w:r>
      <w:proofErr w:type="spellStart"/>
      <w:r>
        <w:t>quantification</w:t>
      </w:r>
      <w:proofErr w:type="spellEnd"/>
      <w:r>
        <w:t>» (utgave av 27.6.2023: https://www.iso.org/obp/ui#iso:std:iso:14067:ed-1:v1:en).</w:t>
      </w:r>
    </w:p>
  </w:footnote>
  <w:footnote w:id="120">
    <w:p w14:paraId="35C3F6AE"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 xml:space="preserve">ISO 14064-1:2018 EN, «Greenhouse gases – Part 1: Specification with guidance at the </w:t>
      </w:r>
      <w:proofErr w:type="spellStart"/>
      <w:r w:rsidRPr="00770AA2">
        <w:rPr>
          <w:lang w:val="en-US"/>
        </w:rPr>
        <w:t>organisation</w:t>
      </w:r>
      <w:proofErr w:type="spellEnd"/>
      <w:r w:rsidRPr="00770AA2">
        <w:rPr>
          <w:lang w:val="en-US"/>
        </w:rPr>
        <w:t xml:space="preserve"> level for quantification and reporting of greenhouse gas emissions and removals» (</w:t>
      </w:r>
      <w:proofErr w:type="spellStart"/>
      <w:r w:rsidRPr="00770AA2">
        <w:rPr>
          <w:lang w:val="en-US"/>
        </w:rPr>
        <w:t>utgave</w:t>
      </w:r>
      <w:proofErr w:type="spellEnd"/>
      <w:r w:rsidRPr="00770AA2">
        <w:rPr>
          <w:lang w:val="en-US"/>
        </w:rPr>
        <w:t xml:space="preserve"> av 27.6.2023: https://www.iso.org/obp/ui/#iso:std:iso:14064:-1:en).</w:t>
      </w:r>
    </w:p>
  </w:footnote>
  <w:footnote w:id="121">
    <w:p w14:paraId="39DB37DF"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Kommisjonens gjennomføringsbeslutning (EU) 2018/1147 av 10. august 2018 om fastsettelse av konklusjoner om beste tilgjengelige teknikker (BAT-konklusjoner) for avfallsbehandling, i henhold til europaparlaments- og rådsdirektiv 2010/75/EU (EUT L 208 av 17.8.2017, s. 38).</w:t>
      </w:r>
    </w:p>
  </w:footnote>
  <w:footnote w:id="122">
    <w:p w14:paraId="29FB3B82"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r>
      <w:proofErr w:type="spellStart"/>
      <w:r w:rsidRPr="00770AA2">
        <w:rPr>
          <w:lang w:val="en-US"/>
        </w:rPr>
        <w:t>Gjennomføringsbeslutning</w:t>
      </w:r>
      <w:proofErr w:type="spellEnd"/>
      <w:r w:rsidRPr="00770AA2">
        <w:rPr>
          <w:lang w:val="en-US"/>
        </w:rPr>
        <w:t xml:space="preserve"> (EU) 2018/1147.</w:t>
      </w:r>
    </w:p>
  </w:footnote>
  <w:footnote w:id="123">
    <w:p w14:paraId="2626A75F"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EN 13432:2000 «Packaging – Requirements for packaging recoverable through composting and biodegradation – Test scheme and evaluation criteria for the final acceptance of packaging».</w:t>
      </w:r>
    </w:p>
  </w:footnote>
  <w:footnote w:id="124">
    <w:p w14:paraId="33EFA361"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Gjennomføringsbeslutning (EU) 2018/1147.</w:t>
      </w:r>
    </w:p>
  </w:footnote>
  <w:footnote w:id="125">
    <w:p w14:paraId="0B5B9F1A"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Gjennomføringsbeslutning (EU) 2018/1147.</w:t>
      </w:r>
    </w:p>
  </w:footnote>
  <w:footnote w:id="126">
    <w:p w14:paraId="54F35A46"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Et stoff, en stoffblanding eller en komponent er identifiserbar dersom det eller den kan kontrolleres for å bekrefte at behandlingen er miljømessig forsvarlig.</w:t>
      </w:r>
    </w:p>
  </w:footnote>
  <w:footnote w:id="127">
    <w:p w14:paraId="16DB0141"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Kommisjonens gjennomføringsbeslutning (EU) 2016/2323 av 19. desember 2016 om opprettelse av den europeiske listen over skipsgjenvinningsanlegg i henhold til europaparlaments- og rådsforordning (EU) nr. 1257/2013 om gjenvinning av skip (EUT L 345 av 20.12.2016, s. 119).</w:t>
      </w:r>
    </w:p>
  </w:footnote>
  <w:footnote w:id="128">
    <w:p w14:paraId="6ACBDB93"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Europaparlaments- og rådsforordning (EU) nr. 1257/2013 av 20. november 2013 om gjenvinning av skip og om endring av forordning (EF) nr. 1013/2006 og direktiv 2009/16/EF (EUT L 330 av 10.12.2013, s. 1).</w:t>
      </w:r>
    </w:p>
  </w:footnote>
  <w:footnote w:id="129">
    <w:p w14:paraId="29B382C0"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På unionsplan er gjeldende krav for avfall fra elektrisk og elektronisk utstyr (WEE) fastsatt i direktiv 2012/19/EU og for kasserte kjøretøyer i europaparlaments- og rådsdirektiv 2000/53/EF av 18. september 2000 om kasserte kjøretøyer (EFT L 269 av 21.10.2000, s. 34).</w:t>
      </w:r>
    </w:p>
  </w:footnote>
  <w:footnote w:id="130">
    <w:p w14:paraId="66ABCC66"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EN 50625-1:2014 «Collection, logistics &amp; Treatment requirements for WEEE – Part 1: General treatment requirements».</w:t>
      </w:r>
    </w:p>
  </w:footnote>
  <w:footnote w:id="131">
    <w:p w14:paraId="67CD5E49"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EN 50625-2-1:2014 «Collection, logistics and treatment requirements for WEEE – Part 2-1: Treatment requirements for lamps».</w:t>
      </w:r>
    </w:p>
  </w:footnote>
  <w:footnote w:id="132">
    <w:p w14:paraId="4CA712AD"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EN 50625-2-2:2015 «Collection, logistics &amp; Treatment requirements for WEEE – Part 2-2: Treatment requirements for WEEE containing CRTs and flat panel displays».</w:t>
      </w:r>
    </w:p>
  </w:footnote>
  <w:footnote w:id="133">
    <w:p w14:paraId="40844FDD"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EN 50625-2-3:2017 «Collection, logistics &amp; treatment requirements for WEEE – Part 2-3: Treatment requirements for temperature exchange equipment and other WEEE containing VFC and/or VHC».</w:t>
      </w:r>
    </w:p>
  </w:footnote>
  <w:footnote w:id="134">
    <w:p w14:paraId="2EF8A309"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EN 50625-2-4:2017 «Collection, logistics &amp; treatment requirements for WEEE – Part 2-4: Treatment requirements for photovoltaic panels».</w:t>
      </w:r>
    </w:p>
  </w:footnote>
  <w:footnote w:id="135">
    <w:p w14:paraId="13934A44"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Gjennomføringsbeslutning (EU) 2018/1147.</w:t>
      </w:r>
    </w:p>
  </w:footnote>
  <w:footnote w:id="136">
    <w:p w14:paraId="1494DCCF"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I samsvar med artikkel 10 nr. 3 i europaparlaments- og rådsdirektiv 2008/98/EF av 19. november 2008 om avfall og om oppheving av visse direktiver (EUT L 312 av 22.11.2008, s. 3) samt med nasjonal lovgivning og avfallshåndteringsplaner.</w:t>
      </w:r>
    </w:p>
  </w:footnote>
  <w:footnote w:id="137">
    <w:p w14:paraId="2DE7BD54"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Gjennomføringsbeslutning (EU) 2018/1147.</w:t>
      </w:r>
    </w:p>
  </w:footnote>
  <w:footnote w:id="138">
    <w:p w14:paraId="2E5707F9"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Gjennomføringsbeslutning (EU) 2018/1147.</w:t>
      </w:r>
    </w:p>
  </w:footnote>
  <w:footnote w:id="139">
    <w:p w14:paraId="5BD9A7BC"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«EU Construction and Demolition Waste Management Protocol», vedlegg F (utgave av 27.6.2023: https://ec.europa.eu/docsroom/documents/20509/).</w:t>
      </w:r>
    </w:p>
  </w:footnote>
  <w:footnote w:id="140">
    <w:p w14:paraId="4804ADB0"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Med «forberedelse til ombruk» menes gjenvinningstiltak som kontroll, rengjøring eller reparasjon, der produkter eller komponenter av produkter som er blitt til avfall, forberedes slik at de kan </w:t>
      </w:r>
      <w:proofErr w:type="spellStart"/>
      <w:r>
        <w:t>ombrukes</w:t>
      </w:r>
      <w:proofErr w:type="spellEnd"/>
      <w:r>
        <w:t xml:space="preserve"> uten annen forbehandling, Dette omfatter for eksempel forberedelse til ombruk av visse bygningsdeler som takelementer, vinduer, dører, murstein, steiner eller betongelementer. En forutsetning for forberedelse til ombruk av bygningsdeler er vanligvis selektiv nedriving av bygninger eller andre anlegg.</w:t>
      </w:r>
    </w:p>
  </w:footnote>
  <w:footnote w:id="141">
    <w:p w14:paraId="76882355"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Med «materialgjenvinning» menes all gjenvinning der avfallsmaterialer blir bearbeidet på nytt til produkter, materialer eller stoffer til enten det opprinnelige formålet eller til andre formål. Dette omfatter bearbeiding på nytt av organisk materiale, men omfatter ikke energiutnytting og ny bearbeiding til materialer som skal benyttes som brennstoff eller fyllmateriale.</w:t>
      </w:r>
    </w:p>
  </w:footnote>
  <w:footnote w:id="142">
    <w:p w14:paraId="5FC07162"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Med «utfylling» menes alle former for utnytting der egnet ikke-farlig avfall brukes til restaureringsformål i utgravde områder eller til anleggstekniske formål ved landskapsutforming. Avfall som brukes til utfylling, skal erstatte materialer som ikke er avfall, være egnet til ovennevnte formål og begrenses til den mengden som er strengt nødvendig for å oppnå disse formålene.</w:t>
      </w:r>
    </w:p>
  </w:footnote>
  <w:footnote w:id="143">
    <w:p w14:paraId="74CAA007"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Se Level(s)-</w:t>
      </w:r>
      <w:proofErr w:type="spellStart"/>
      <w:r w:rsidRPr="00770AA2">
        <w:rPr>
          <w:lang w:val="en-US"/>
        </w:rPr>
        <w:t>indikator</w:t>
      </w:r>
      <w:proofErr w:type="spellEnd"/>
      <w:r w:rsidRPr="00770AA2">
        <w:rPr>
          <w:lang w:val="en-US"/>
        </w:rPr>
        <w:t xml:space="preserve"> 2.2: «Construction and demolition waste and materials, user manual: introductory briefing, instructions and guidance» (</w:t>
      </w:r>
      <w:proofErr w:type="spellStart"/>
      <w:r w:rsidRPr="00770AA2">
        <w:rPr>
          <w:lang w:val="en-US"/>
        </w:rPr>
        <w:t>utgave</w:t>
      </w:r>
      <w:proofErr w:type="spellEnd"/>
      <w:r w:rsidRPr="00770AA2">
        <w:rPr>
          <w:lang w:val="en-US"/>
        </w:rPr>
        <w:t xml:space="preserve"> 1.1 av </w:t>
      </w:r>
      <w:proofErr w:type="spellStart"/>
      <w:r w:rsidRPr="00770AA2">
        <w:rPr>
          <w:lang w:val="en-US"/>
        </w:rPr>
        <w:t>publikasjonen</w:t>
      </w:r>
      <w:proofErr w:type="spellEnd"/>
      <w:r w:rsidRPr="00770AA2">
        <w:rPr>
          <w:lang w:val="en-US"/>
        </w:rPr>
        <w:t>), https://susproc.jrc.ec.europa.eu/product-bureau//sites/default/files/2021-01/UM3_Indicator_2.2_v1.1_40pp.pdf. Excel-</w:t>
      </w:r>
      <w:proofErr w:type="spellStart"/>
      <w:r w:rsidRPr="00770AA2">
        <w:rPr>
          <w:lang w:val="en-US"/>
        </w:rPr>
        <w:t>regnearket</w:t>
      </w:r>
      <w:proofErr w:type="spellEnd"/>
      <w:r w:rsidRPr="00770AA2">
        <w:rPr>
          <w:lang w:val="en-US"/>
        </w:rPr>
        <w:t xml:space="preserve"> </w:t>
      </w:r>
      <w:proofErr w:type="spellStart"/>
      <w:r w:rsidRPr="00770AA2">
        <w:rPr>
          <w:lang w:val="en-US"/>
        </w:rPr>
        <w:t>på</w:t>
      </w:r>
      <w:proofErr w:type="spellEnd"/>
      <w:r w:rsidRPr="00770AA2">
        <w:rPr>
          <w:lang w:val="en-US"/>
        </w:rPr>
        <w:t xml:space="preserve"> </w:t>
      </w:r>
      <w:proofErr w:type="spellStart"/>
      <w:r w:rsidRPr="00770AA2">
        <w:rPr>
          <w:lang w:val="en-US"/>
        </w:rPr>
        <w:t>Kommisjonens</w:t>
      </w:r>
      <w:proofErr w:type="spellEnd"/>
      <w:r w:rsidRPr="00770AA2">
        <w:rPr>
          <w:lang w:val="en-US"/>
        </w:rPr>
        <w:t xml:space="preserve"> </w:t>
      </w:r>
      <w:proofErr w:type="spellStart"/>
      <w:r w:rsidRPr="00770AA2">
        <w:rPr>
          <w:lang w:val="en-US"/>
        </w:rPr>
        <w:t>nettsted</w:t>
      </w:r>
      <w:proofErr w:type="spellEnd"/>
      <w:r w:rsidRPr="00770AA2">
        <w:rPr>
          <w:lang w:val="en-US"/>
        </w:rPr>
        <w:t xml:space="preserve"> </w:t>
      </w:r>
      <w:proofErr w:type="spellStart"/>
      <w:r w:rsidRPr="00770AA2">
        <w:rPr>
          <w:lang w:val="en-US"/>
        </w:rPr>
        <w:t>skal</w:t>
      </w:r>
      <w:proofErr w:type="spellEnd"/>
      <w:r w:rsidRPr="00770AA2">
        <w:rPr>
          <w:lang w:val="en-US"/>
        </w:rPr>
        <w:t xml:space="preserve"> </w:t>
      </w:r>
      <w:proofErr w:type="spellStart"/>
      <w:r w:rsidRPr="00770AA2">
        <w:rPr>
          <w:lang w:val="en-US"/>
        </w:rPr>
        <w:t>benyttes</w:t>
      </w:r>
      <w:proofErr w:type="spellEnd"/>
      <w:r w:rsidRPr="00770AA2">
        <w:rPr>
          <w:lang w:val="en-US"/>
        </w:rPr>
        <w:t xml:space="preserve"> </w:t>
      </w:r>
      <w:proofErr w:type="spellStart"/>
      <w:r w:rsidRPr="00770AA2">
        <w:rPr>
          <w:lang w:val="en-US"/>
        </w:rPr>
        <w:t>til</w:t>
      </w:r>
      <w:proofErr w:type="spellEnd"/>
      <w:r w:rsidRPr="00770AA2">
        <w:rPr>
          <w:lang w:val="en-US"/>
        </w:rPr>
        <w:t xml:space="preserve"> </w:t>
      </w:r>
      <w:proofErr w:type="spellStart"/>
      <w:r w:rsidRPr="00770AA2">
        <w:rPr>
          <w:lang w:val="en-US"/>
        </w:rPr>
        <w:t>rapportering</w:t>
      </w:r>
      <w:proofErr w:type="spellEnd"/>
      <w:r w:rsidRPr="00770AA2">
        <w:rPr>
          <w:lang w:val="en-US"/>
        </w:rPr>
        <w:t>: «Construction and Demolition Waste (CDW) and materials Excel template: for estimating (Level 2) and recording (Level 3) amounts and types of CDW and their final destinations» (</w:t>
      </w:r>
      <w:proofErr w:type="spellStart"/>
      <w:r w:rsidRPr="00770AA2">
        <w:rPr>
          <w:lang w:val="en-US"/>
        </w:rPr>
        <w:t>utgave</w:t>
      </w:r>
      <w:proofErr w:type="spellEnd"/>
      <w:r w:rsidRPr="00770AA2">
        <w:rPr>
          <w:lang w:val="en-US"/>
        </w:rPr>
        <w:t xml:space="preserve"> 1.1), https://susproc.jrc.ec.europa.eu/product-bureau/product-groups/412/documents.</w:t>
      </w:r>
    </w:p>
  </w:footnote>
  <w:footnote w:id="144">
    <w:p w14:paraId="1C6A2E2C"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GWP oppgis som en numerisk indikator for hvert livsløpsstadium, uttrykt som </w:t>
      </w:r>
      <w:proofErr w:type="spellStart"/>
      <w:r>
        <w:t>kgCO</w:t>
      </w:r>
      <w:proofErr w:type="spellEnd"/>
      <w:r>
        <w:rPr>
          <w:vertAlign w:val="subscript"/>
        </w:rPr>
        <w:t xml:space="preserve"> 2</w:t>
      </w:r>
      <w:r>
        <w:t>e/m</w:t>
      </w:r>
      <w:r>
        <w:rPr>
          <w:vertAlign w:val="superscript"/>
        </w:rPr>
        <w:t>2</w:t>
      </w:r>
      <w:r>
        <w:t xml:space="preserve"> (av innendørs bruksareal) beregnet som et gjennomsnitt for ett år i en referanseperiode på 50 år. Datautvelgelse, definisjon av scenarioer og beregninger utføres i samsvar med EN 15978 (BS EN 15978:2011). Anvendelsesområdet for bygningselementer og teknisk utstyr er definert i det felles EU-rammeverket Level(s) for indikator 1.2. I henhold til rapporteringsformatet Level(s)-indikator 1.2 meddeles indikatoren som GWP for fossile brensler, GWP for </w:t>
      </w:r>
      <w:proofErr w:type="spellStart"/>
      <w:r>
        <w:t>biogen</w:t>
      </w:r>
      <w:proofErr w:type="spellEnd"/>
      <w:r>
        <w:t>, GWP for arealbruk og arealbruksendring, samt summen av disse (GWP samlet). Dersom det finnes et nasjonalt beregningsverktøy, eller dersom det kreves for å legge fram opplysninger eller innhente byggetillatelser, kan det aktuelle verktøyet brukes til å legge fram de nødvendige opplysningene. Andre beregningsverktøyer kan brukes dersom de oppfyller minstekriteriene fastsatt i det felles EU-rammeverket Level(s), se Level(s)-indikator 1.2: «</w:t>
      </w:r>
      <w:proofErr w:type="spellStart"/>
      <w:r>
        <w:t>Lifecycle</w:t>
      </w:r>
      <w:proofErr w:type="spellEnd"/>
      <w:r>
        <w:t xml:space="preserve"> Global </w:t>
      </w:r>
      <w:proofErr w:type="spellStart"/>
      <w:r>
        <w:t>Warming</w:t>
      </w:r>
      <w:proofErr w:type="spellEnd"/>
      <w:r>
        <w:t xml:space="preserve"> </w:t>
      </w:r>
      <w:proofErr w:type="spellStart"/>
      <w:r>
        <w:t>Potential</w:t>
      </w:r>
      <w:proofErr w:type="spellEnd"/>
      <w:r>
        <w:t xml:space="preserve"> (GWP)», </w:t>
      </w:r>
      <w:proofErr w:type="spellStart"/>
      <w:r>
        <w:t>user</w:t>
      </w:r>
      <w:proofErr w:type="spellEnd"/>
      <w:r>
        <w:t xml:space="preserve"> manual: </w:t>
      </w:r>
      <w:proofErr w:type="spellStart"/>
      <w:r>
        <w:t>introductory</w:t>
      </w:r>
      <w:proofErr w:type="spellEnd"/>
      <w:r>
        <w:t xml:space="preserve"> briefing, </w:t>
      </w:r>
      <w:proofErr w:type="spellStart"/>
      <w:r>
        <w:t>instructions</w:t>
      </w:r>
      <w:proofErr w:type="spellEnd"/>
      <w:r>
        <w:t xml:space="preserve"> and </w:t>
      </w:r>
      <w:proofErr w:type="spellStart"/>
      <w:r>
        <w:t>guidance</w:t>
      </w:r>
      <w:proofErr w:type="spellEnd"/>
      <w:r>
        <w:t>» (utgave 1.1 av publikasjonen), https://susproc.jrc.ec.europa.eu/product-bureau/sites/default/files/2021-01/UM3_Indicator_1.2_v1.1_37pp.pdf.</w:t>
      </w:r>
    </w:p>
  </w:footnote>
  <w:footnote w:id="145">
    <w:p w14:paraId="307A0AC1"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Se Level(s)-</w:t>
      </w:r>
      <w:proofErr w:type="spellStart"/>
      <w:r w:rsidRPr="00770AA2">
        <w:rPr>
          <w:lang w:val="en-US"/>
        </w:rPr>
        <w:t>indikator</w:t>
      </w:r>
      <w:proofErr w:type="spellEnd"/>
      <w:r w:rsidRPr="00770AA2">
        <w:rPr>
          <w:lang w:val="en-US"/>
        </w:rPr>
        <w:t xml:space="preserve"> 2.3: «Design for adaptability and renovation, user manual: introductory briefing, instruction and guidance» (</w:t>
      </w:r>
      <w:proofErr w:type="spellStart"/>
      <w:r w:rsidRPr="00770AA2">
        <w:rPr>
          <w:lang w:val="en-US"/>
        </w:rPr>
        <w:t>utgave</w:t>
      </w:r>
      <w:proofErr w:type="spellEnd"/>
      <w:r w:rsidRPr="00770AA2">
        <w:rPr>
          <w:lang w:val="en-US"/>
        </w:rPr>
        <w:t xml:space="preserve"> 1.1 av </w:t>
      </w:r>
      <w:proofErr w:type="spellStart"/>
      <w:r w:rsidRPr="00770AA2">
        <w:rPr>
          <w:lang w:val="en-US"/>
        </w:rPr>
        <w:t>publikasjonen</w:t>
      </w:r>
      <w:proofErr w:type="spellEnd"/>
      <w:r w:rsidRPr="00770AA2">
        <w:rPr>
          <w:lang w:val="en-US"/>
        </w:rPr>
        <w:t>), https://susproc.jrc.ec.europa.eu/product-bureau//sites/default/files/2021-01/UM3_Indicator_2.3_v1.1_23pp.pdf.</w:t>
      </w:r>
    </w:p>
  </w:footnote>
  <w:footnote w:id="146">
    <w:p w14:paraId="54FB4D80"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Se Level(s)-</w:t>
      </w:r>
      <w:proofErr w:type="spellStart"/>
      <w:r w:rsidRPr="00770AA2">
        <w:rPr>
          <w:lang w:val="en-US"/>
        </w:rPr>
        <w:t>indikator</w:t>
      </w:r>
      <w:proofErr w:type="spellEnd"/>
      <w:r w:rsidRPr="00770AA2">
        <w:rPr>
          <w:lang w:val="en-US"/>
        </w:rPr>
        <w:t xml:space="preserve"> 2.4: «Design for deconstruction, user manual: introductory briefing, instructions and guidance» (</w:t>
      </w:r>
      <w:proofErr w:type="spellStart"/>
      <w:r w:rsidRPr="00770AA2">
        <w:rPr>
          <w:lang w:val="en-US"/>
        </w:rPr>
        <w:t>utgave</w:t>
      </w:r>
      <w:proofErr w:type="spellEnd"/>
      <w:r w:rsidRPr="00770AA2">
        <w:rPr>
          <w:lang w:val="en-US"/>
        </w:rPr>
        <w:t xml:space="preserve"> 1.1 av </w:t>
      </w:r>
      <w:proofErr w:type="spellStart"/>
      <w:r w:rsidRPr="00770AA2">
        <w:rPr>
          <w:lang w:val="en-US"/>
        </w:rPr>
        <w:t>publikasjonen</w:t>
      </w:r>
      <w:proofErr w:type="spellEnd"/>
      <w:r w:rsidRPr="00770AA2">
        <w:rPr>
          <w:lang w:val="en-US"/>
        </w:rPr>
        <w:t>), https://susproc.jrc.ec.europa.eu/product-bureau/sites/default/files/2021-01/UM3_Indicator_2.4_v1.1_18pp.pdf.</w:t>
      </w:r>
    </w:p>
  </w:footnote>
  <w:footnote w:id="147">
    <w:p w14:paraId="47D91AF7" w14:textId="10AA9BC2"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I den delegerte rettsakten menes med «</w:t>
      </w:r>
      <w:r w:rsidR="00605160" w:rsidRPr="00980A19">
        <w:rPr>
          <w:lang w:val="en-US"/>
        </w:rPr>
        <w:t>sekundære råvarer</w:t>
      </w:r>
      <w:r w:rsidRPr="00980A19">
        <w:rPr>
          <w:lang w:val="en-US"/>
        </w:rPr>
        <w:t>» materialer som er forberedt til ombruk eller materialgjenvinning i samsvar med artikkel 3 i rammedirektivet om avfall, og som har opphørt å være avfall i henhold til artikkel 6 i det nevnte direktivet.</w:t>
      </w:r>
    </w:p>
  </w:footnote>
  <w:footnote w:id="148">
    <w:p w14:paraId="6EEC4C0C"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Dette gjelder materialet betong, herunder dets bestanddeler (for eksempel steinmaterialer). Enhver stålarmering er utelukket ettersom dette er et annet materiale som kan regnes som metall.</w:t>
      </w:r>
    </w:p>
  </w:footnote>
  <w:footnote w:id="149">
    <w:p w14:paraId="7A2E4BC9"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Biobaserte materialer produseres ved hjelp av biologiske ressurser (dyr, planter, mikroorganismer og avledet biomasse, herunder organisk avfall), som definert i COM(2018) 673. De omfatter konvensjonelle biobaserte materialer som tradisjonelt er produsert av biomasse (som for eksempel tre, kork, naturgummi, papir, tekstiler og byggematerialer av tre) og materialer som er utviklet i nyere tid, som for eksempel biobaserte kjemikalier eller biobasert plast.</w:t>
      </w:r>
    </w:p>
  </w:footnote>
  <w:footnote w:id="150">
    <w:p w14:paraId="5D1E5FB8"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Se Level(s)-</w:t>
      </w:r>
      <w:proofErr w:type="spellStart"/>
      <w:r w:rsidRPr="00770AA2">
        <w:rPr>
          <w:lang w:val="en-US"/>
        </w:rPr>
        <w:t>indikator</w:t>
      </w:r>
      <w:proofErr w:type="spellEnd"/>
      <w:r w:rsidRPr="00770AA2">
        <w:rPr>
          <w:lang w:val="en-US"/>
        </w:rPr>
        <w:t xml:space="preserve"> 2.1: «Bill of Quantities, materials and lifespans, user manual: introductory briefing, instructions and guidance» (</w:t>
      </w:r>
      <w:proofErr w:type="spellStart"/>
      <w:r w:rsidRPr="00770AA2">
        <w:rPr>
          <w:lang w:val="en-US"/>
        </w:rPr>
        <w:t>utgave</w:t>
      </w:r>
      <w:proofErr w:type="spellEnd"/>
      <w:r w:rsidRPr="00770AA2">
        <w:rPr>
          <w:lang w:val="en-US"/>
        </w:rPr>
        <w:t xml:space="preserve"> 1.1 av </w:t>
      </w:r>
      <w:proofErr w:type="spellStart"/>
      <w:r w:rsidRPr="00770AA2">
        <w:rPr>
          <w:lang w:val="en-US"/>
        </w:rPr>
        <w:t>publikasjonen</w:t>
      </w:r>
      <w:proofErr w:type="spellEnd"/>
      <w:r w:rsidRPr="00770AA2">
        <w:rPr>
          <w:lang w:val="en-US"/>
        </w:rPr>
        <w:t>), https://susproc.jrc.ec.europa.eu/product-bureau//sites/default/files/2021-01/UM3_Indicator_2.1_v1.1_34pp.pdf. Excel-</w:t>
      </w:r>
      <w:proofErr w:type="spellStart"/>
      <w:r w:rsidRPr="00770AA2">
        <w:rPr>
          <w:lang w:val="en-US"/>
        </w:rPr>
        <w:t>regnearket</w:t>
      </w:r>
      <w:proofErr w:type="spellEnd"/>
      <w:r w:rsidRPr="00770AA2">
        <w:rPr>
          <w:lang w:val="en-US"/>
        </w:rPr>
        <w:t xml:space="preserve"> </w:t>
      </w:r>
      <w:proofErr w:type="spellStart"/>
      <w:r w:rsidRPr="00770AA2">
        <w:rPr>
          <w:lang w:val="en-US"/>
        </w:rPr>
        <w:t>på</w:t>
      </w:r>
      <w:proofErr w:type="spellEnd"/>
      <w:r w:rsidRPr="00770AA2">
        <w:rPr>
          <w:lang w:val="en-US"/>
        </w:rPr>
        <w:t xml:space="preserve"> </w:t>
      </w:r>
      <w:proofErr w:type="spellStart"/>
      <w:r w:rsidRPr="00770AA2">
        <w:rPr>
          <w:lang w:val="en-US"/>
        </w:rPr>
        <w:t>Kommisjonens</w:t>
      </w:r>
      <w:proofErr w:type="spellEnd"/>
      <w:r w:rsidRPr="00770AA2">
        <w:rPr>
          <w:lang w:val="en-US"/>
        </w:rPr>
        <w:t xml:space="preserve"> </w:t>
      </w:r>
      <w:proofErr w:type="spellStart"/>
      <w:r w:rsidRPr="00770AA2">
        <w:rPr>
          <w:lang w:val="en-US"/>
        </w:rPr>
        <w:t>nettsted</w:t>
      </w:r>
      <w:proofErr w:type="spellEnd"/>
      <w:r w:rsidRPr="00770AA2">
        <w:rPr>
          <w:lang w:val="en-US"/>
        </w:rPr>
        <w:t xml:space="preserve"> </w:t>
      </w:r>
      <w:proofErr w:type="spellStart"/>
      <w:r w:rsidRPr="00770AA2">
        <w:rPr>
          <w:lang w:val="en-US"/>
        </w:rPr>
        <w:t>skal</w:t>
      </w:r>
      <w:proofErr w:type="spellEnd"/>
      <w:r w:rsidRPr="00770AA2">
        <w:rPr>
          <w:lang w:val="en-US"/>
        </w:rPr>
        <w:t xml:space="preserve"> </w:t>
      </w:r>
      <w:proofErr w:type="spellStart"/>
      <w:r w:rsidRPr="00770AA2">
        <w:rPr>
          <w:lang w:val="en-US"/>
        </w:rPr>
        <w:t>benyttes</w:t>
      </w:r>
      <w:proofErr w:type="spellEnd"/>
      <w:r w:rsidRPr="00770AA2">
        <w:rPr>
          <w:lang w:val="en-US"/>
        </w:rPr>
        <w:t xml:space="preserve"> </w:t>
      </w:r>
      <w:proofErr w:type="spellStart"/>
      <w:r w:rsidRPr="00770AA2">
        <w:rPr>
          <w:lang w:val="en-US"/>
        </w:rPr>
        <w:t>til</w:t>
      </w:r>
      <w:proofErr w:type="spellEnd"/>
      <w:r w:rsidRPr="00770AA2">
        <w:rPr>
          <w:lang w:val="en-US"/>
        </w:rPr>
        <w:t xml:space="preserve"> </w:t>
      </w:r>
      <w:proofErr w:type="spellStart"/>
      <w:r w:rsidRPr="00770AA2">
        <w:rPr>
          <w:lang w:val="en-US"/>
        </w:rPr>
        <w:t>rapportering</w:t>
      </w:r>
      <w:proofErr w:type="spellEnd"/>
      <w:r w:rsidRPr="00770AA2">
        <w:rPr>
          <w:lang w:val="en-US"/>
        </w:rPr>
        <w:t>: «Bill of Quantities, materials and lifespans, Excel template: for estimating (Level 2) and recording (Level 3) purchases of material quantities and costs» (</w:t>
      </w:r>
      <w:proofErr w:type="spellStart"/>
      <w:r w:rsidRPr="00770AA2">
        <w:rPr>
          <w:lang w:val="en-US"/>
        </w:rPr>
        <w:t>utgave</w:t>
      </w:r>
      <w:proofErr w:type="spellEnd"/>
      <w:r w:rsidRPr="00770AA2">
        <w:rPr>
          <w:lang w:val="en-US"/>
        </w:rPr>
        <w:t xml:space="preserve"> 1.2), https://susproc.jrc.ec.europa.eu/product-bureau/product-groups/412/documents.</w:t>
      </w:r>
    </w:p>
  </w:footnote>
  <w:footnote w:id="151">
    <w:p w14:paraId="714AFFDD"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ISO-standard 22057:2022, «Sustainability in buildings and civil engineering works – Data templates for the use of environmental product declarations (EPDs) for construction products in building information modelling (BIM)» (</w:t>
      </w:r>
      <w:proofErr w:type="spellStart"/>
      <w:r w:rsidRPr="00770AA2">
        <w:rPr>
          <w:lang w:val="en-US"/>
        </w:rPr>
        <w:t>utgave</w:t>
      </w:r>
      <w:proofErr w:type="spellEnd"/>
      <w:r w:rsidRPr="00770AA2">
        <w:rPr>
          <w:lang w:val="en-US"/>
        </w:rPr>
        <w:t xml:space="preserve"> av 27.6.2023: https://www.iso.org/standard/72463.html).</w:t>
      </w:r>
    </w:p>
  </w:footnote>
  <w:footnote w:id="152">
    <w:p w14:paraId="6546C24F"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Den beregnede mengden energi som er nødvendig for å dekke energibehovet knyttet til den vanlige bruken av en bygning, uttrykt ved en numerisk indikator for samlet primærenergibruk i kWh/m</w:t>
      </w:r>
      <w:r>
        <w:rPr>
          <w:vertAlign w:val="superscript"/>
        </w:rPr>
        <w:t>2</w:t>
      </w:r>
      <w:r>
        <w:t xml:space="preserve"> per år og basert på den relevante nasjonale beregningsmetoden, og som vist på energisertifikatet.</w:t>
      </w:r>
    </w:p>
  </w:footnote>
  <w:footnote w:id="153">
    <w:p w14:paraId="669948CF"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Europaparlaments- og rådsdirektiv 2010/31/EU av 19. mai 2010 om bygningers energiytelse (EUT L 153 av 18.6.2010, s. 13).</w:t>
      </w:r>
    </w:p>
  </w:footnote>
  <w:footnote w:id="154">
    <w:p w14:paraId="218B0D8F"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Gjelder for maling og lakk, takplater, gulvbelegg, herunder tilhørende klebemidler og tetningsmasser, innvendig isolasjon og innvendig overflatebehandling, for eksempel behandling av fuktighet og mugg.</w:t>
      </w:r>
    </w:p>
  </w:footnote>
  <w:footnote w:id="155">
    <w:p w14:paraId="6E93F10D"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CEN/TS 16516: 2013, «Construction products - Assessment of release of dangerous substances - Determination of emissions into indoor air».</w:t>
      </w:r>
    </w:p>
  </w:footnote>
  <w:footnote w:id="156">
    <w:p w14:paraId="3C937237" w14:textId="6BF54DEC"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ISO 16000-3:2011, «Indoor air – Part 3: Determination of formaldehyde and other carbonyl compounds in indoor air and test chamber air – Active sampling method».</w:t>
      </w:r>
    </w:p>
  </w:footnote>
  <w:footnote w:id="157">
    <w:p w14:paraId="7F91706F"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Grenseverdiene for utslipp av </w:t>
      </w:r>
      <w:proofErr w:type="spellStart"/>
      <w:r>
        <w:t>kreftframkallende</w:t>
      </w:r>
      <w:proofErr w:type="spellEnd"/>
      <w:r>
        <w:t xml:space="preserve"> flyktige organiske forbindelser gjelder for en prøvingsperiode på 28 dager.</w:t>
      </w:r>
    </w:p>
  </w:footnote>
  <w:footnote w:id="158">
    <w:p w14:paraId="099344F8"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ISO 18400-serien om jordkvalitet – prøvetaking.</w:t>
      </w:r>
    </w:p>
  </w:footnote>
  <w:footnote w:id="159">
    <w:p w14:paraId="71C98E45" w14:textId="77777777" w:rsidR="006561BA" w:rsidRPr="00980A19" w:rsidRDefault="005B4ED6">
      <w:pPr>
        <w:pStyle w:val="AnnexTableGrNotes"/>
        <w:spacing w:line="200" w:lineRule="exact"/>
        <w:ind w:left="300" w:hanging="300"/>
        <w:rPr>
          <w:rFonts w:cs="Times New Roman"/>
          <w:szCs w:val="16"/>
        </w:rPr>
      </w:pPr>
      <w:r w:rsidRPr="00980A19">
        <w:t>(</w:t>
      </w:r>
      <w:r>
        <w:rPr>
          <w:rStyle w:val="FootnoteReference"/>
          <w:rFonts w:cs="Times New Roman"/>
          <w:szCs w:val="16"/>
        </w:rPr>
        <w:footnoteRef/>
      </w:r>
      <w:r w:rsidRPr="00980A19">
        <w:t>)</w:t>
      </w:r>
      <w:r w:rsidRPr="00980A19">
        <w:tab/>
        <w:t>JRC ESDCA, LUCAS: «Land Use and Coverage Area frame Survey» (utgave av 27.6.2023: https://esdac.jrc.ec.europa.eu/projects/lucas).</w:t>
      </w:r>
    </w:p>
  </w:footnote>
  <w:footnote w:id="160">
    <w:p w14:paraId="5C63E566"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IUCN, «The IUCN European Red List of Threatened Species» (</w:t>
      </w:r>
      <w:proofErr w:type="spellStart"/>
      <w:r w:rsidRPr="00770AA2">
        <w:rPr>
          <w:lang w:val="en-US"/>
        </w:rPr>
        <w:t>utgave</w:t>
      </w:r>
      <w:proofErr w:type="spellEnd"/>
      <w:r w:rsidRPr="00770AA2">
        <w:rPr>
          <w:lang w:val="en-US"/>
        </w:rPr>
        <w:t xml:space="preserve"> av 27.6.2023: https://www.iucn.org/regions/europe/our-work/biodiversity-conservation/european-red-list-threatened-species).</w:t>
      </w:r>
    </w:p>
  </w:footnote>
  <w:footnote w:id="161">
    <w:p w14:paraId="7F646F77"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IUCN, «The IUCN Red List of Threatened Species» (</w:t>
      </w:r>
      <w:proofErr w:type="spellStart"/>
      <w:r w:rsidRPr="00770AA2">
        <w:rPr>
          <w:lang w:val="en-US"/>
        </w:rPr>
        <w:t>utgave</w:t>
      </w:r>
      <w:proofErr w:type="spellEnd"/>
      <w:r w:rsidRPr="00770AA2">
        <w:rPr>
          <w:lang w:val="en-US"/>
        </w:rPr>
        <w:t xml:space="preserve"> av 27.6.2023: https://www.iucnredlist.org).</w:t>
      </w:r>
    </w:p>
  </w:footnote>
  <w:footnote w:id="162">
    <w:p w14:paraId="4B151A45" w14:textId="77777777" w:rsidR="006561BA" w:rsidRPr="00980A19"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Arealer på over 0,5 hektar med trær som er over fem meter høye og har en trekronedekning på over 10 % av arealet, eller med trær som kan nå disse verdiene på stedet. Definisjonen omfatter ikke arealer som i hovedsak brukes til landbruksrelaterte eller </w:t>
      </w:r>
      <w:proofErr w:type="spellStart"/>
      <w:r>
        <w:t>byrelaterte</w:t>
      </w:r>
      <w:proofErr w:type="spellEnd"/>
      <w:r>
        <w:t xml:space="preserve"> formål. </w:t>
      </w:r>
      <w:r w:rsidRPr="00980A19">
        <w:t>«FAO Global Resources Assessment 2020. Terms and definitions» (utgave av 27.6.2023: http://www.fao.org/3/I8661EN/i8661en.pdf).</w:t>
      </w:r>
    </w:p>
  </w:footnote>
  <w:footnote w:id="163">
    <w:p w14:paraId="039DB498"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 xml:space="preserve">«EU Construction and Demolition Waste Management Protocol», </w:t>
      </w:r>
      <w:proofErr w:type="spellStart"/>
      <w:r w:rsidRPr="00770AA2">
        <w:rPr>
          <w:lang w:val="en-US"/>
        </w:rPr>
        <w:t>vedlegg</w:t>
      </w:r>
      <w:proofErr w:type="spellEnd"/>
      <w:r w:rsidRPr="00770AA2">
        <w:rPr>
          <w:lang w:val="en-US"/>
        </w:rPr>
        <w:t xml:space="preserve"> F (</w:t>
      </w:r>
      <w:proofErr w:type="spellStart"/>
      <w:r w:rsidRPr="00770AA2">
        <w:rPr>
          <w:lang w:val="en-US"/>
        </w:rPr>
        <w:t>utgave</w:t>
      </w:r>
      <w:proofErr w:type="spellEnd"/>
      <w:r w:rsidRPr="00770AA2">
        <w:rPr>
          <w:lang w:val="en-US"/>
        </w:rPr>
        <w:t xml:space="preserve"> av 27.6.2023: https://ec.europa.eu/docsroom/documents/20509/).</w:t>
      </w:r>
    </w:p>
  </w:footnote>
  <w:footnote w:id="164">
    <w:p w14:paraId="5425D16E"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Med «forberedelse til ombruk» menes gjenvinningstiltak som kontroll, rengjøring eller reparasjon, der produkter eller komponenter av produkter som er blitt til avfall, forberedes slik at de kan </w:t>
      </w:r>
      <w:proofErr w:type="spellStart"/>
      <w:r>
        <w:t>ombrukes</w:t>
      </w:r>
      <w:proofErr w:type="spellEnd"/>
      <w:r>
        <w:t xml:space="preserve"> uten annen forbehandling, Dette omfatter for eksempel forberedelse til ombruk av visse bygningsdeler som takelementer, vinduer, dører, murstein, steiner eller betongelementer. En forutsetning for forberedelse til ombruk av bygningsdeler er vanligvis selektiv nedriving av bygninger eller andre anlegg.</w:t>
      </w:r>
    </w:p>
  </w:footnote>
  <w:footnote w:id="165">
    <w:p w14:paraId="49E05B3A"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Med «materialgjenvinning» menes all gjenvinning der avfallsmaterialer blir bearbeidet på nytt til produkter, materialer eller stoffer til enten det opprinnelige formålet eller til andre formål. Dette omfatter bearbeiding på nytt av organisk materiale, men omfatter ikke energiutnytting og ny bearbeiding til materialer som skal benyttes som brennstoff eller fyllmateriale.</w:t>
      </w:r>
    </w:p>
  </w:footnote>
  <w:footnote w:id="166">
    <w:p w14:paraId="3F1899FC"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Med «utfylling» menes alle former for utnytting der egnet ikke-farlig avfall brukes til restaureringsformål i utgravde områder eller til anleggstekniske formål ved landskapsutforming. Avfall som brukes til utfylling, skal erstatte materialer som ikke er avfall, være egnet til ovennevnte formål og begrenses til den mengden som er strengt nødvendig for å oppnå disse formålene.</w:t>
      </w:r>
    </w:p>
  </w:footnote>
  <w:footnote w:id="167">
    <w:p w14:paraId="2DD83130"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Se Level(s)-</w:t>
      </w:r>
      <w:proofErr w:type="spellStart"/>
      <w:r w:rsidRPr="00770AA2">
        <w:rPr>
          <w:lang w:val="en-US"/>
        </w:rPr>
        <w:t>indikator</w:t>
      </w:r>
      <w:proofErr w:type="spellEnd"/>
      <w:r w:rsidRPr="00770AA2">
        <w:rPr>
          <w:lang w:val="en-US"/>
        </w:rPr>
        <w:t xml:space="preserve"> 2.2: «Construction and demolition waste and materials, user manual: introductory briefing, instructions and guidance» (</w:t>
      </w:r>
      <w:proofErr w:type="spellStart"/>
      <w:r w:rsidRPr="00770AA2">
        <w:rPr>
          <w:lang w:val="en-US"/>
        </w:rPr>
        <w:t>utgave</w:t>
      </w:r>
      <w:proofErr w:type="spellEnd"/>
      <w:r w:rsidRPr="00770AA2">
        <w:rPr>
          <w:lang w:val="en-US"/>
        </w:rPr>
        <w:t xml:space="preserve"> 1.1 av </w:t>
      </w:r>
      <w:proofErr w:type="spellStart"/>
      <w:r w:rsidRPr="00770AA2">
        <w:rPr>
          <w:lang w:val="en-US"/>
        </w:rPr>
        <w:t>publikasjonen</w:t>
      </w:r>
      <w:proofErr w:type="spellEnd"/>
      <w:r w:rsidRPr="00770AA2">
        <w:rPr>
          <w:lang w:val="en-US"/>
        </w:rPr>
        <w:t>), https://susproc.jrc.ec.europa.eu/product-bureau//sites/default/files/2021-01/UM3_Indicator_2.2_v1.1_40pp.pdf. Excel-</w:t>
      </w:r>
      <w:proofErr w:type="spellStart"/>
      <w:r w:rsidRPr="00770AA2">
        <w:rPr>
          <w:lang w:val="en-US"/>
        </w:rPr>
        <w:t>regnearket</w:t>
      </w:r>
      <w:proofErr w:type="spellEnd"/>
      <w:r w:rsidRPr="00770AA2">
        <w:rPr>
          <w:lang w:val="en-US"/>
        </w:rPr>
        <w:t xml:space="preserve"> </w:t>
      </w:r>
      <w:proofErr w:type="spellStart"/>
      <w:r w:rsidRPr="00770AA2">
        <w:rPr>
          <w:lang w:val="en-US"/>
        </w:rPr>
        <w:t>på</w:t>
      </w:r>
      <w:proofErr w:type="spellEnd"/>
      <w:r w:rsidRPr="00770AA2">
        <w:rPr>
          <w:lang w:val="en-US"/>
        </w:rPr>
        <w:t xml:space="preserve"> </w:t>
      </w:r>
      <w:proofErr w:type="spellStart"/>
      <w:r w:rsidRPr="00770AA2">
        <w:rPr>
          <w:lang w:val="en-US"/>
        </w:rPr>
        <w:t>Kommisjonens</w:t>
      </w:r>
      <w:proofErr w:type="spellEnd"/>
      <w:r w:rsidRPr="00770AA2">
        <w:rPr>
          <w:lang w:val="en-US"/>
        </w:rPr>
        <w:t xml:space="preserve"> </w:t>
      </w:r>
      <w:proofErr w:type="spellStart"/>
      <w:r w:rsidRPr="00770AA2">
        <w:rPr>
          <w:lang w:val="en-US"/>
        </w:rPr>
        <w:t>nettsted</w:t>
      </w:r>
      <w:proofErr w:type="spellEnd"/>
      <w:r w:rsidRPr="00770AA2">
        <w:rPr>
          <w:lang w:val="en-US"/>
        </w:rPr>
        <w:t xml:space="preserve"> </w:t>
      </w:r>
      <w:proofErr w:type="spellStart"/>
      <w:r w:rsidRPr="00770AA2">
        <w:rPr>
          <w:lang w:val="en-US"/>
        </w:rPr>
        <w:t>skal</w:t>
      </w:r>
      <w:proofErr w:type="spellEnd"/>
      <w:r w:rsidRPr="00770AA2">
        <w:rPr>
          <w:lang w:val="en-US"/>
        </w:rPr>
        <w:t xml:space="preserve"> </w:t>
      </w:r>
      <w:proofErr w:type="spellStart"/>
      <w:r w:rsidRPr="00770AA2">
        <w:rPr>
          <w:lang w:val="en-US"/>
        </w:rPr>
        <w:t>benyttes</w:t>
      </w:r>
      <w:proofErr w:type="spellEnd"/>
      <w:r w:rsidRPr="00770AA2">
        <w:rPr>
          <w:lang w:val="en-US"/>
        </w:rPr>
        <w:t xml:space="preserve"> </w:t>
      </w:r>
      <w:proofErr w:type="spellStart"/>
      <w:r w:rsidRPr="00770AA2">
        <w:rPr>
          <w:lang w:val="en-US"/>
        </w:rPr>
        <w:t>til</w:t>
      </w:r>
      <w:proofErr w:type="spellEnd"/>
      <w:r w:rsidRPr="00770AA2">
        <w:rPr>
          <w:lang w:val="en-US"/>
        </w:rPr>
        <w:t xml:space="preserve"> </w:t>
      </w:r>
      <w:proofErr w:type="spellStart"/>
      <w:r w:rsidRPr="00770AA2">
        <w:rPr>
          <w:lang w:val="en-US"/>
        </w:rPr>
        <w:t>rapportering</w:t>
      </w:r>
      <w:proofErr w:type="spellEnd"/>
      <w:r w:rsidRPr="00770AA2">
        <w:rPr>
          <w:lang w:val="en-US"/>
        </w:rPr>
        <w:t>: «Construction and Demolition Waste (CDW) and materials Excel template: for estimating (Level 2) and recording (Level 3) amounts and types of CDW and their final destinations» (</w:t>
      </w:r>
      <w:proofErr w:type="spellStart"/>
      <w:r w:rsidRPr="00770AA2">
        <w:rPr>
          <w:lang w:val="en-US"/>
        </w:rPr>
        <w:t>utgave</w:t>
      </w:r>
      <w:proofErr w:type="spellEnd"/>
      <w:r w:rsidRPr="00770AA2">
        <w:rPr>
          <w:lang w:val="en-US"/>
        </w:rPr>
        <w:t xml:space="preserve"> 1.1), https://susproc.jrc.ec.europa.eu/product-bureau/product-groups/412/documents.</w:t>
      </w:r>
    </w:p>
  </w:footnote>
  <w:footnote w:id="168">
    <w:p w14:paraId="235CAAFA" w14:textId="7AC7AB67" w:rsidR="00FA6CE7" w:rsidRPr="00A46531"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GWP oppgis som en numerisk indikator for hvert livsløpsstadium, uttrykt som </w:t>
      </w:r>
      <w:proofErr w:type="spellStart"/>
      <w:r>
        <w:t>kgCO</w:t>
      </w:r>
      <w:proofErr w:type="spellEnd"/>
      <w:r>
        <w:rPr>
          <w:vertAlign w:val="subscript"/>
        </w:rPr>
        <w:t xml:space="preserve"> 2</w:t>
      </w:r>
      <w:r>
        <w:t>e/m</w:t>
      </w:r>
      <w:r>
        <w:rPr>
          <w:vertAlign w:val="superscript"/>
        </w:rPr>
        <w:t>2</w:t>
      </w:r>
      <w:r>
        <w:t xml:space="preserve"> (av innendørs bruksareal) beregnet som et gjennomsnitt for ett år i en referanseperiode på 50 år. Datautvelgelse, definisjon av scenarioer og beregninger utføres i samsvar med EN 15978 (BS EN 15978:2011. </w:t>
      </w:r>
      <w:r w:rsidRPr="00770AA2">
        <w:rPr>
          <w:lang w:val="en-US"/>
        </w:rPr>
        <w:t xml:space="preserve">«Sustainability of construction works. Assessment of environmental performance of buildings. </w:t>
      </w:r>
      <w:proofErr w:type="spellStart"/>
      <w:r>
        <w:t>Calculation</w:t>
      </w:r>
      <w:proofErr w:type="spellEnd"/>
      <w:r>
        <w:t xml:space="preserve"> </w:t>
      </w:r>
      <w:proofErr w:type="spellStart"/>
      <w:r>
        <w:t>method</w:t>
      </w:r>
      <w:proofErr w:type="spellEnd"/>
      <w:r>
        <w:t>)». Anvendelsesområdet for bygningselementer og teknisk utstyr er definert i det felles EU-rammeverket Level(s) for indikator 1.2. Dersom det finnes et nasjonalt beregningsverktøy, eller dersom det kreves for å gi opplysninger eller innhente byggetillatelser, kan det aktuelle verktøyet brukes til å gi de nødvendige opplysningene. Andre beregningsverktøyer kan brukes dersom de oppfyller minstekriteriene fastsatt i det felles EU-rammeverket Level(s), se Level(s)-indikator 1.2: «</w:t>
      </w:r>
      <w:proofErr w:type="spellStart"/>
      <w:r>
        <w:t>Lifecycle</w:t>
      </w:r>
      <w:proofErr w:type="spellEnd"/>
      <w:r>
        <w:t xml:space="preserve"> Global </w:t>
      </w:r>
      <w:proofErr w:type="spellStart"/>
      <w:r>
        <w:t>Warming</w:t>
      </w:r>
      <w:proofErr w:type="spellEnd"/>
      <w:r>
        <w:t xml:space="preserve"> </w:t>
      </w:r>
      <w:proofErr w:type="spellStart"/>
      <w:r>
        <w:t>Potential</w:t>
      </w:r>
      <w:proofErr w:type="spellEnd"/>
      <w:r>
        <w:t xml:space="preserve"> (GWP)», </w:t>
      </w:r>
      <w:proofErr w:type="spellStart"/>
      <w:r>
        <w:t>user</w:t>
      </w:r>
      <w:proofErr w:type="spellEnd"/>
      <w:r>
        <w:t xml:space="preserve"> manual: </w:t>
      </w:r>
      <w:proofErr w:type="spellStart"/>
      <w:r>
        <w:t>introductory</w:t>
      </w:r>
      <w:proofErr w:type="spellEnd"/>
      <w:r>
        <w:t xml:space="preserve"> briefing, </w:t>
      </w:r>
      <w:proofErr w:type="spellStart"/>
      <w:r>
        <w:t>instructions</w:t>
      </w:r>
      <w:proofErr w:type="spellEnd"/>
      <w:r>
        <w:t xml:space="preserve"> and </w:t>
      </w:r>
      <w:proofErr w:type="spellStart"/>
      <w:r>
        <w:t>guidance</w:t>
      </w:r>
      <w:proofErr w:type="spellEnd"/>
      <w:r>
        <w:t>» (utgave 1.1 av publikasjonen</w:t>
      </w:r>
      <w:r w:rsidRPr="00FF7EA8">
        <w:t xml:space="preserve">), </w:t>
      </w:r>
      <w:hyperlink r:id="rId1" w:history="1">
        <w:r w:rsidR="00FA6CE7" w:rsidRPr="00FF7EA8">
          <w:rPr>
            <w:rStyle w:val="Hyperlink"/>
            <w:color w:val="auto"/>
          </w:rPr>
          <w:t>https://susproc.jrc.ec.europa.eu/product-bureau/sites/default/files/2021-01/UM3_Indicator_1.2_v1.1_37pp.pdf</w:t>
        </w:r>
      </w:hyperlink>
      <w:r w:rsidRPr="00FF7EA8">
        <w:t>.</w:t>
      </w:r>
    </w:p>
  </w:footnote>
  <w:footnote w:id="169">
    <w:p w14:paraId="143D955B" w14:textId="4BCCEED5"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r>
      <w:r w:rsidR="00E30E66">
        <w:rPr>
          <w:lang w:val="en-US"/>
        </w:rPr>
        <w:t>Se Level(s)-</w:t>
      </w:r>
      <w:proofErr w:type="spellStart"/>
      <w:r w:rsidR="00E30E66">
        <w:rPr>
          <w:lang w:val="en-US"/>
        </w:rPr>
        <w:t>indikator</w:t>
      </w:r>
      <w:proofErr w:type="spellEnd"/>
      <w:r w:rsidR="00E30E66">
        <w:rPr>
          <w:lang w:val="en-US"/>
        </w:rPr>
        <w:t xml:space="preserve"> 2.3: </w:t>
      </w:r>
      <w:r w:rsidR="002306B7" w:rsidRPr="002306B7">
        <w:rPr>
          <w:lang w:val="en-US"/>
        </w:rPr>
        <w:t>«Design for adaptability and renovation, user manual: introductory briefing, instruction and guidance» (</w:t>
      </w:r>
      <w:proofErr w:type="spellStart"/>
      <w:r w:rsidR="002306B7" w:rsidRPr="002306B7">
        <w:rPr>
          <w:lang w:val="en-US"/>
        </w:rPr>
        <w:t>utgave</w:t>
      </w:r>
      <w:proofErr w:type="spellEnd"/>
      <w:r w:rsidR="002306B7" w:rsidRPr="002306B7">
        <w:rPr>
          <w:lang w:val="en-US"/>
        </w:rPr>
        <w:t xml:space="preserve"> 1.1 av </w:t>
      </w:r>
      <w:proofErr w:type="spellStart"/>
      <w:r w:rsidR="002306B7" w:rsidRPr="002306B7">
        <w:rPr>
          <w:lang w:val="en-US"/>
        </w:rPr>
        <w:t>publikasjonen</w:t>
      </w:r>
      <w:proofErr w:type="spellEnd"/>
      <w:r w:rsidR="002306B7" w:rsidRPr="002306B7">
        <w:rPr>
          <w:lang w:val="en-US"/>
        </w:rPr>
        <w:t>), https://susproc.jrc.ec.europa.eu/product-bureau//sites/default/files/2021-01/UM3_Indicator_2.3_v1.1_23pp.pdf.</w:t>
      </w:r>
    </w:p>
  </w:footnote>
  <w:footnote w:id="170">
    <w:p w14:paraId="19978C4B"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Se Level(s)-</w:t>
      </w:r>
      <w:proofErr w:type="spellStart"/>
      <w:r w:rsidRPr="00770AA2">
        <w:rPr>
          <w:lang w:val="en-US"/>
        </w:rPr>
        <w:t>indikator</w:t>
      </w:r>
      <w:proofErr w:type="spellEnd"/>
      <w:r w:rsidRPr="00770AA2">
        <w:rPr>
          <w:lang w:val="en-US"/>
        </w:rPr>
        <w:t xml:space="preserve"> 2.4: «Design for deconstruction, user manual: introductory briefing, instructions and guidance» (</w:t>
      </w:r>
      <w:proofErr w:type="spellStart"/>
      <w:r w:rsidRPr="00770AA2">
        <w:rPr>
          <w:lang w:val="en-US"/>
        </w:rPr>
        <w:t>utgave</w:t>
      </w:r>
      <w:proofErr w:type="spellEnd"/>
      <w:r w:rsidRPr="00770AA2">
        <w:rPr>
          <w:lang w:val="en-US"/>
        </w:rPr>
        <w:t xml:space="preserve"> 1.1 av </w:t>
      </w:r>
      <w:proofErr w:type="spellStart"/>
      <w:r w:rsidRPr="00770AA2">
        <w:rPr>
          <w:lang w:val="en-US"/>
        </w:rPr>
        <w:t>publikasjonen</w:t>
      </w:r>
      <w:proofErr w:type="spellEnd"/>
      <w:r w:rsidRPr="00770AA2">
        <w:rPr>
          <w:lang w:val="en-US"/>
        </w:rPr>
        <w:t>), https://susproc.jrc.ec.europa.eu/product-bureau/sites/default/files/2021-01/UM3_Indicator_2.4_v1.1_18pp.pdf.</w:t>
      </w:r>
    </w:p>
  </w:footnote>
  <w:footnote w:id="171">
    <w:p w14:paraId="65EDD09E" w14:textId="77777777" w:rsidR="006561BA" w:rsidRPr="00980A19"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 xml:space="preserve">«International Property Measurement Standards: All Buildings». </w:t>
      </w:r>
      <w:r w:rsidRPr="00980A19">
        <w:rPr>
          <w:lang w:val="en-US"/>
        </w:rPr>
        <w:t>Utgitt av «International Property Measurement Standards Volatilitet (IPMSC)», https://ipmsc.org/.</w:t>
      </w:r>
    </w:p>
  </w:footnote>
  <w:footnote w:id="172">
    <w:p w14:paraId="6F692027" w14:textId="5ED1D632"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I den delegerte rettsakten menes med «</w:t>
      </w:r>
      <w:r w:rsidR="00605160" w:rsidRPr="00980A19">
        <w:rPr>
          <w:lang w:val="en-US"/>
        </w:rPr>
        <w:t>sekundære råvarer</w:t>
      </w:r>
      <w:r w:rsidRPr="00980A19">
        <w:rPr>
          <w:lang w:val="en-US"/>
        </w:rPr>
        <w:t>» materialer som er forberedt til ombruk eller materialgjenvinning i samsvar med artikkel 3 i rammedirektivet om avfall, og som har opphørt å være avfall i henhold til artikkel 6 i det nevnte direktivet.</w:t>
      </w:r>
    </w:p>
  </w:footnote>
  <w:footnote w:id="173">
    <w:p w14:paraId="2F036172"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Dette gjelder materialet betong, herunder dets bestanddeler (for eksempel steinmaterialer). Enhver stålarmering er utelukket ettersom dette er et annet materiale som kan regnes som metall.</w:t>
      </w:r>
    </w:p>
  </w:footnote>
  <w:footnote w:id="174">
    <w:p w14:paraId="2FBE0DD5"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Biobaserte materialer produseres ved hjelp av biologiske ressurser (dyr, planter, mikroorganismer og avledet biomasse, herunder organisk avfall), som definert i COM(2018) 673. De omfatter konvensjonelle biobaserte materialer som tradisjonelt er produsert av biomasse (som for eksempel tre, kork, naturgummi, papir, tekstiler og byggematerialer av tre) og materialer som er utviklet i nyere tid, som for eksempel biobaserte kjemikalier eller biobasert plast.</w:t>
      </w:r>
    </w:p>
  </w:footnote>
  <w:footnote w:id="175">
    <w:p w14:paraId="29257FCB"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Se Level(s)-</w:t>
      </w:r>
      <w:proofErr w:type="spellStart"/>
      <w:r w:rsidRPr="00770AA2">
        <w:rPr>
          <w:lang w:val="en-US"/>
        </w:rPr>
        <w:t>indikator</w:t>
      </w:r>
      <w:proofErr w:type="spellEnd"/>
      <w:r w:rsidRPr="00770AA2">
        <w:rPr>
          <w:lang w:val="en-US"/>
        </w:rPr>
        <w:t xml:space="preserve"> 2.1: «Bill of Quantities, materials and lifespans, user manual: introductory briefing, instructions and guidance» (</w:t>
      </w:r>
      <w:proofErr w:type="spellStart"/>
      <w:r w:rsidRPr="00770AA2">
        <w:rPr>
          <w:lang w:val="en-US"/>
        </w:rPr>
        <w:t>utgave</w:t>
      </w:r>
      <w:proofErr w:type="spellEnd"/>
      <w:r w:rsidRPr="00770AA2">
        <w:rPr>
          <w:lang w:val="en-US"/>
        </w:rPr>
        <w:t xml:space="preserve"> 1.1 av </w:t>
      </w:r>
      <w:proofErr w:type="spellStart"/>
      <w:r w:rsidRPr="00770AA2">
        <w:rPr>
          <w:lang w:val="en-US"/>
        </w:rPr>
        <w:t>publikasjonen</w:t>
      </w:r>
      <w:proofErr w:type="spellEnd"/>
      <w:r w:rsidRPr="00770AA2">
        <w:rPr>
          <w:lang w:val="en-US"/>
        </w:rPr>
        <w:t>), https://susproc.jrc.ec.europa.eu/product-bureau//sites/default/files/2021-01/UM3_Indicator_2.1_v1.1_34pp.pdf. Excel-</w:t>
      </w:r>
      <w:proofErr w:type="spellStart"/>
      <w:r w:rsidRPr="00770AA2">
        <w:rPr>
          <w:lang w:val="en-US"/>
        </w:rPr>
        <w:t>regnearket</w:t>
      </w:r>
      <w:proofErr w:type="spellEnd"/>
      <w:r w:rsidRPr="00770AA2">
        <w:rPr>
          <w:lang w:val="en-US"/>
        </w:rPr>
        <w:t xml:space="preserve"> </w:t>
      </w:r>
      <w:proofErr w:type="spellStart"/>
      <w:r w:rsidRPr="00770AA2">
        <w:rPr>
          <w:lang w:val="en-US"/>
        </w:rPr>
        <w:t>på</w:t>
      </w:r>
      <w:proofErr w:type="spellEnd"/>
      <w:r w:rsidRPr="00770AA2">
        <w:rPr>
          <w:lang w:val="en-US"/>
        </w:rPr>
        <w:t xml:space="preserve"> </w:t>
      </w:r>
      <w:proofErr w:type="spellStart"/>
      <w:r w:rsidRPr="00770AA2">
        <w:rPr>
          <w:lang w:val="en-US"/>
        </w:rPr>
        <w:t>Kommisjonens</w:t>
      </w:r>
      <w:proofErr w:type="spellEnd"/>
      <w:r w:rsidRPr="00770AA2">
        <w:rPr>
          <w:lang w:val="en-US"/>
        </w:rPr>
        <w:t xml:space="preserve"> </w:t>
      </w:r>
      <w:proofErr w:type="spellStart"/>
      <w:r w:rsidRPr="00770AA2">
        <w:rPr>
          <w:lang w:val="en-US"/>
        </w:rPr>
        <w:t>nettsted</w:t>
      </w:r>
      <w:proofErr w:type="spellEnd"/>
      <w:r w:rsidRPr="00770AA2">
        <w:rPr>
          <w:lang w:val="en-US"/>
        </w:rPr>
        <w:t xml:space="preserve"> </w:t>
      </w:r>
      <w:proofErr w:type="spellStart"/>
      <w:r w:rsidRPr="00770AA2">
        <w:rPr>
          <w:lang w:val="en-US"/>
        </w:rPr>
        <w:t>skal</w:t>
      </w:r>
      <w:proofErr w:type="spellEnd"/>
      <w:r w:rsidRPr="00770AA2">
        <w:rPr>
          <w:lang w:val="en-US"/>
        </w:rPr>
        <w:t xml:space="preserve"> </w:t>
      </w:r>
      <w:proofErr w:type="spellStart"/>
      <w:r w:rsidRPr="00770AA2">
        <w:rPr>
          <w:lang w:val="en-US"/>
        </w:rPr>
        <w:t>benyttes</w:t>
      </w:r>
      <w:proofErr w:type="spellEnd"/>
      <w:r w:rsidRPr="00770AA2">
        <w:rPr>
          <w:lang w:val="en-US"/>
        </w:rPr>
        <w:t xml:space="preserve"> </w:t>
      </w:r>
      <w:proofErr w:type="spellStart"/>
      <w:r w:rsidRPr="00770AA2">
        <w:rPr>
          <w:lang w:val="en-US"/>
        </w:rPr>
        <w:t>til</w:t>
      </w:r>
      <w:proofErr w:type="spellEnd"/>
      <w:r w:rsidRPr="00770AA2">
        <w:rPr>
          <w:lang w:val="en-US"/>
        </w:rPr>
        <w:t xml:space="preserve"> </w:t>
      </w:r>
      <w:proofErr w:type="spellStart"/>
      <w:r w:rsidRPr="00770AA2">
        <w:rPr>
          <w:lang w:val="en-US"/>
        </w:rPr>
        <w:t>rapportering</w:t>
      </w:r>
      <w:proofErr w:type="spellEnd"/>
      <w:r w:rsidRPr="00770AA2">
        <w:rPr>
          <w:lang w:val="en-US"/>
        </w:rPr>
        <w:t>: «Bill of Quantities, materials and lifespans, Excel template: for estimating (Level 2) and recording (Level 3) purchases of material quantities and costs» (</w:t>
      </w:r>
      <w:proofErr w:type="spellStart"/>
      <w:r w:rsidRPr="00770AA2">
        <w:rPr>
          <w:lang w:val="en-US"/>
        </w:rPr>
        <w:t>utgave</w:t>
      </w:r>
      <w:proofErr w:type="spellEnd"/>
      <w:r w:rsidRPr="00770AA2">
        <w:rPr>
          <w:lang w:val="en-US"/>
        </w:rPr>
        <w:t xml:space="preserve"> 1.2), https://susproc.jrc.ec.europa.eu/product-bureau/product-groups/412/documents.</w:t>
      </w:r>
    </w:p>
  </w:footnote>
  <w:footnote w:id="176">
    <w:p w14:paraId="1EA4594D"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ISO-standard 22057:2022, «Sustainability in buildings and civil engineering works – Data templates for the use of environmental product declarations (EPDs) for construction products in building information modelling (BIM)» (</w:t>
      </w:r>
      <w:proofErr w:type="spellStart"/>
      <w:r w:rsidRPr="00770AA2">
        <w:rPr>
          <w:lang w:val="en-US"/>
        </w:rPr>
        <w:t>utgave</w:t>
      </w:r>
      <w:proofErr w:type="spellEnd"/>
      <w:r w:rsidRPr="00770AA2">
        <w:rPr>
          <w:lang w:val="en-US"/>
        </w:rPr>
        <w:t xml:space="preserve"> av </w:t>
      </w:r>
      <w:proofErr w:type="spellStart"/>
      <w:r w:rsidRPr="00770AA2">
        <w:rPr>
          <w:lang w:val="en-US"/>
        </w:rPr>
        <w:t>april</w:t>
      </w:r>
      <w:proofErr w:type="spellEnd"/>
      <w:r w:rsidRPr="00770AA2">
        <w:rPr>
          <w:lang w:val="en-US"/>
        </w:rPr>
        <w:t xml:space="preserve"> 2022), https://www.iso.org/standard/72463.html.</w:t>
      </w:r>
    </w:p>
  </w:footnote>
  <w:footnote w:id="177">
    <w:p w14:paraId="2202AE8C"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Gjelder for maling og lakk, takplater, gulvbelegg (herunder tilhørende klebemidler og tetningsmasser), innvendig isolasjon og innvendig overflatebehandling, for eksempel behandling av fuktighet og mugg.</w:t>
      </w:r>
    </w:p>
  </w:footnote>
  <w:footnote w:id="178">
    <w:p w14:paraId="5BEF06F3" w14:textId="404CFB52"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ISO 16000-3:2011, «Indoor air – Part 3: Determination of formaldehyde and other carbonyl compounds in indoor air and test chamber air – Active sampling method» (</w:t>
      </w:r>
      <w:proofErr w:type="spellStart"/>
      <w:r w:rsidRPr="00770AA2">
        <w:rPr>
          <w:lang w:val="en-US"/>
        </w:rPr>
        <w:t>utgave</w:t>
      </w:r>
      <w:proofErr w:type="spellEnd"/>
      <w:r w:rsidRPr="00770AA2">
        <w:rPr>
          <w:lang w:val="en-US"/>
        </w:rPr>
        <w:t xml:space="preserve"> av 27.6.2023: https://www.iso.org/standard/51812.html).</w:t>
      </w:r>
    </w:p>
  </w:footnote>
  <w:footnote w:id="179">
    <w:p w14:paraId="7BEA8D2A" w14:textId="0C55ED24" w:rsidR="006561BA" w:rsidRPr="00770AA2" w:rsidRDefault="005B4ED6">
      <w:pPr>
        <w:pStyle w:val="FootnoteText"/>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 xml:space="preserve">Se de </w:t>
      </w:r>
      <w:proofErr w:type="spellStart"/>
      <w:r w:rsidRPr="00770AA2">
        <w:rPr>
          <w:lang w:val="en-US"/>
        </w:rPr>
        <w:t>aktivitetene</w:t>
      </w:r>
      <w:proofErr w:type="spellEnd"/>
      <w:r w:rsidRPr="00770AA2">
        <w:rPr>
          <w:lang w:val="en-US"/>
        </w:rPr>
        <w:t xml:space="preserve"> </w:t>
      </w:r>
      <w:proofErr w:type="spellStart"/>
      <w:r w:rsidRPr="00770AA2">
        <w:rPr>
          <w:lang w:val="en-US"/>
        </w:rPr>
        <w:t>som</w:t>
      </w:r>
      <w:proofErr w:type="spellEnd"/>
      <w:r w:rsidRPr="00770AA2">
        <w:rPr>
          <w:lang w:val="en-US"/>
        </w:rPr>
        <w:t xml:space="preserve"> er </w:t>
      </w:r>
      <w:proofErr w:type="spellStart"/>
      <w:r w:rsidRPr="00770AA2">
        <w:rPr>
          <w:lang w:val="en-US"/>
        </w:rPr>
        <w:t>oppført</w:t>
      </w:r>
      <w:proofErr w:type="spellEnd"/>
      <w:r w:rsidRPr="00770AA2">
        <w:rPr>
          <w:lang w:val="en-US"/>
        </w:rPr>
        <w:t xml:space="preserve"> </w:t>
      </w:r>
      <w:proofErr w:type="spellStart"/>
      <w:r w:rsidRPr="00770AA2">
        <w:rPr>
          <w:lang w:val="en-US"/>
        </w:rPr>
        <w:t>i</w:t>
      </w:r>
      <w:proofErr w:type="spellEnd"/>
      <w:r w:rsidRPr="00770AA2">
        <w:rPr>
          <w:lang w:val="en-US"/>
        </w:rPr>
        <w:t xml:space="preserve"> den </w:t>
      </w:r>
      <w:proofErr w:type="spellStart"/>
      <w:r w:rsidRPr="00770AA2">
        <w:rPr>
          <w:lang w:val="en-US"/>
        </w:rPr>
        <w:t>internasjonale</w:t>
      </w:r>
      <w:proofErr w:type="spellEnd"/>
      <w:r w:rsidRPr="00770AA2">
        <w:rPr>
          <w:lang w:val="en-US"/>
        </w:rPr>
        <w:t xml:space="preserve"> </w:t>
      </w:r>
      <w:proofErr w:type="spellStart"/>
      <w:r w:rsidRPr="00770AA2">
        <w:rPr>
          <w:lang w:val="en-US"/>
        </w:rPr>
        <w:t>standarden</w:t>
      </w:r>
      <w:proofErr w:type="spellEnd"/>
      <w:r w:rsidRPr="00770AA2">
        <w:rPr>
          <w:lang w:val="en-US"/>
        </w:rPr>
        <w:t xml:space="preserve"> for </w:t>
      </w:r>
      <w:proofErr w:type="spellStart"/>
      <w:r w:rsidRPr="00770AA2">
        <w:rPr>
          <w:lang w:val="en-US"/>
        </w:rPr>
        <w:t>kostnadsstyring</w:t>
      </w:r>
      <w:proofErr w:type="spellEnd"/>
      <w:r w:rsidRPr="00770AA2">
        <w:rPr>
          <w:lang w:val="en-US"/>
        </w:rPr>
        <w:t xml:space="preserve"> («International Cost Management Standard») </w:t>
      </w:r>
      <w:proofErr w:type="spellStart"/>
      <w:r w:rsidRPr="00770AA2">
        <w:rPr>
          <w:lang w:val="en-US"/>
        </w:rPr>
        <w:t>i</w:t>
      </w:r>
      <w:proofErr w:type="spellEnd"/>
      <w:r w:rsidRPr="00770AA2">
        <w:rPr>
          <w:lang w:val="en-US"/>
        </w:rPr>
        <w:t xml:space="preserve"> ICMS (EN): «Global Consistency in Presenting Construction Life Cycle Costs and Carbon Emissions 3rd edition», Table 1: ICMS Projects with their corresponding codes», https://icmscblog.files.wordpress.com/2021/11/icms_3rd_edition_final.pdf.</w:t>
      </w:r>
    </w:p>
  </w:footnote>
  <w:footnote w:id="180">
    <w:p w14:paraId="70366BE2"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Se Level(s)-</w:t>
      </w:r>
      <w:proofErr w:type="spellStart"/>
      <w:r w:rsidRPr="00770AA2">
        <w:rPr>
          <w:lang w:val="en-US"/>
        </w:rPr>
        <w:t>indikator</w:t>
      </w:r>
      <w:proofErr w:type="spellEnd"/>
      <w:r w:rsidRPr="00770AA2">
        <w:rPr>
          <w:lang w:val="en-US"/>
        </w:rPr>
        <w:t xml:space="preserve"> 2.2: «Construction and Demolition waste and materials», user manual: introductory briefing, </w:t>
      </w:r>
      <w:proofErr w:type="gramStart"/>
      <w:r w:rsidRPr="00770AA2">
        <w:rPr>
          <w:lang w:val="en-US"/>
        </w:rPr>
        <w:t>instructions</w:t>
      </w:r>
      <w:proofErr w:type="gramEnd"/>
      <w:r w:rsidRPr="00770AA2">
        <w:rPr>
          <w:lang w:val="en-US"/>
        </w:rPr>
        <w:t xml:space="preserve"> and guidance» (</w:t>
      </w:r>
      <w:proofErr w:type="spellStart"/>
      <w:r w:rsidRPr="00770AA2">
        <w:rPr>
          <w:lang w:val="en-US"/>
        </w:rPr>
        <w:t>utgave</w:t>
      </w:r>
      <w:proofErr w:type="spellEnd"/>
      <w:r w:rsidRPr="00770AA2">
        <w:rPr>
          <w:lang w:val="en-US"/>
        </w:rPr>
        <w:t xml:space="preserve"> 1.1 av </w:t>
      </w:r>
      <w:proofErr w:type="spellStart"/>
      <w:r w:rsidRPr="00770AA2">
        <w:rPr>
          <w:lang w:val="en-US"/>
        </w:rPr>
        <w:t>publikasjonen</w:t>
      </w:r>
      <w:proofErr w:type="spellEnd"/>
      <w:r w:rsidRPr="00770AA2">
        <w:rPr>
          <w:lang w:val="en-US"/>
        </w:rPr>
        <w:t>), https://susproc.jrc.ec.europa.eu/product-bureau//sites/default/files/2021-01/UM3_Indicator_2.2_v1.1_40pp.pdf.</w:t>
      </w:r>
    </w:p>
  </w:footnote>
  <w:footnote w:id="181">
    <w:p w14:paraId="72D59F08"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 xml:space="preserve">«Guidelines for the waste audits before demolition and renovation works of buildings». «EU Construction and Demolition Waste Management», </w:t>
      </w:r>
      <w:proofErr w:type="spellStart"/>
      <w:r w:rsidRPr="00770AA2">
        <w:rPr>
          <w:lang w:val="en-US"/>
        </w:rPr>
        <w:t>mai</w:t>
      </w:r>
      <w:proofErr w:type="spellEnd"/>
      <w:r w:rsidRPr="00770AA2">
        <w:rPr>
          <w:lang w:val="en-US"/>
        </w:rPr>
        <w:t xml:space="preserve"> 2018: https://ec.europa.eu/docsroom/documents/31521/attachments/1/translations/en/renditions/native. Excel-</w:t>
      </w:r>
      <w:proofErr w:type="spellStart"/>
      <w:r w:rsidRPr="00770AA2">
        <w:rPr>
          <w:lang w:val="en-US"/>
        </w:rPr>
        <w:t>regnearket</w:t>
      </w:r>
      <w:proofErr w:type="spellEnd"/>
      <w:r w:rsidRPr="00770AA2">
        <w:rPr>
          <w:lang w:val="en-US"/>
        </w:rPr>
        <w:t xml:space="preserve"> </w:t>
      </w:r>
      <w:proofErr w:type="spellStart"/>
      <w:r w:rsidRPr="00770AA2">
        <w:rPr>
          <w:lang w:val="en-US"/>
        </w:rPr>
        <w:t>på</w:t>
      </w:r>
      <w:proofErr w:type="spellEnd"/>
      <w:r w:rsidRPr="00770AA2">
        <w:rPr>
          <w:lang w:val="en-US"/>
        </w:rPr>
        <w:t xml:space="preserve"> </w:t>
      </w:r>
      <w:proofErr w:type="spellStart"/>
      <w:r w:rsidRPr="00770AA2">
        <w:rPr>
          <w:lang w:val="en-US"/>
        </w:rPr>
        <w:t>Kommisjonens</w:t>
      </w:r>
      <w:proofErr w:type="spellEnd"/>
      <w:r w:rsidRPr="00770AA2">
        <w:rPr>
          <w:lang w:val="en-US"/>
        </w:rPr>
        <w:t xml:space="preserve"> </w:t>
      </w:r>
      <w:proofErr w:type="spellStart"/>
      <w:r w:rsidRPr="00770AA2">
        <w:rPr>
          <w:lang w:val="en-US"/>
        </w:rPr>
        <w:t>nettsted</w:t>
      </w:r>
      <w:proofErr w:type="spellEnd"/>
      <w:r w:rsidRPr="00770AA2">
        <w:rPr>
          <w:lang w:val="en-US"/>
        </w:rPr>
        <w:t xml:space="preserve"> </w:t>
      </w:r>
      <w:proofErr w:type="spellStart"/>
      <w:r w:rsidRPr="00770AA2">
        <w:rPr>
          <w:lang w:val="en-US"/>
        </w:rPr>
        <w:t>skal</w:t>
      </w:r>
      <w:proofErr w:type="spellEnd"/>
      <w:r w:rsidRPr="00770AA2">
        <w:rPr>
          <w:lang w:val="en-US"/>
        </w:rPr>
        <w:t xml:space="preserve"> </w:t>
      </w:r>
      <w:proofErr w:type="spellStart"/>
      <w:r w:rsidRPr="00770AA2">
        <w:rPr>
          <w:lang w:val="en-US"/>
        </w:rPr>
        <w:t>benyttes</w:t>
      </w:r>
      <w:proofErr w:type="spellEnd"/>
      <w:r w:rsidRPr="00770AA2">
        <w:rPr>
          <w:lang w:val="en-US"/>
        </w:rPr>
        <w:t xml:space="preserve"> </w:t>
      </w:r>
      <w:proofErr w:type="spellStart"/>
      <w:r w:rsidRPr="00770AA2">
        <w:rPr>
          <w:lang w:val="en-US"/>
        </w:rPr>
        <w:t>til</w:t>
      </w:r>
      <w:proofErr w:type="spellEnd"/>
      <w:r w:rsidRPr="00770AA2">
        <w:rPr>
          <w:lang w:val="en-US"/>
        </w:rPr>
        <w:t xml:space="preserve"> </w:t>
      </w:r>
      <w:proofErr w:type="spellStart"/>
      <w:r w:rsidRPr="00770AA2">
        <w:rPr>
          <w:lang w:val="en-US"/>
        </w:rPr>
        <w:t>rapportering</w:t>
      </w:r>
      <w:proofErr w:type="spellEnd"/>
      <w:r w:rsidRPr="00770AA2">
        <w:rPr>
          <w:lang w:val="en-US"/>
        </w:rPr>
        <w:t xml:space="preserve"> av </w:t>
      </w:r>
      <w:proofErr w:type="spellStart"/>
      <w:r w:rsidRPr="00770AA2">
        <w:rPr>
          <w:lang w:val="en-US"/>
        </w:rPr>
        <w:t>anslag</w:t>
      </w:r>
      <w:proofErr w:type="spellEnd"/>
      <w:r w:rsidRPr="00770AA2">
        <w:rPr>
          <w:lang w:val="en-US"/>
        </w:rPr>
        <w:t xml:space="preserve"> over </w:t>
      </w:r>
      <w:proofErr w:type="spellStart"/>
      <w:r w:rsidRPr="00770AA2">
        <w:rPr>
          <w:lang w:val="en-US"/>
        </w:rPr>
        <w:t>rivingsavfall</w:t>
      </w:r>
      <w:proofErr w:type="spellEnd"/>
      <w:r w:rsidRPr="00770AA2">
        <w:rPr>
          <w:lang w:val="en-US"/>
        </w:rPr>
        <w:t xml:space="preserve"> </w:t>
      </w:r>
      <w:proofErr w:type="spellStart"/>
      <w:r w:rsidRPr="00770AA2">
        <w:rPr>
          <w:lang w:val="en-US"/>
        </w:rPr>
        <w:t>i</w:t>
      </w:r>
      <w:proofErr w:type="spellEnd"/>
      <w:r w:rsidRPr="00770AA2">
        <w:rPr>
          <w:lang w:val="en-US"/>
        </w:rPr>
        <w:t xml:space="preserve"> </w:t>
      </w:r>
      <w:proofErr w:type="spellStart"/>
      <w:r w:rsidRPr="00770AA2">
        <w:rPr>
          <w:lang w:val="en-US"/>
        </w:rPr>
        <w:t>henhold</w:t>
      </w:r>
      <w:proofErr w:type="spellEnd"/>
      <w:r w:rsidRPr="00770AA2">
        <w:rPr>
          <w:lang w:val="en-US"/>
        </w:rPr>
        <w:t xml:space="preserve"> </w:t>
      </w:r>
      <w:proofErr w:type="spellStart"/>
      <w:r w:rsidRPr="00770AA2">
        <w:rPr>
          <w:lang w:val="en-US"/>
        </w:rPr>
        <w:t>til</w:t>
      </w:r>
      <w:proofErr w:type="spellEnd"/>
      <w:r w:rsidRPr="00770AA2">
        <w:rPr>
          <w:lang w:val="en-US"/>
        </w:rPr>
        <w:t xml:space="preserve"> Level 2: «Construction and Demolition Waste (CDW) and materials Excel template: for estimating (Level 2) and recording (Level 3) amounts and types of CDW and their final destinations» (</w:t>
      </w:r>
      <w:proofErr w:type="spellStart"/>
      <w:r w:rsidRPr="00770AA2">
        <w:rPr>
          <w:lang w:val="en-US"/>
        </w:rPr>
        <w:t>utgave</w:t>
      </w:r>
      <w:proofErr w:type="spellEnd"/>
      <w:r w:rsidRPr="00770AA2">
        <w:rPr>
          <w:lang w:val="en-US"/>
        </w:rPr>
        <w:t xml:space="preserve"> 1.1), https://susproc.jrc.ec.europa.eu/product-bureau/product-groups/412/documents.</w:t>
      </w:r>
    </w:p>
  </w:footnote>
  <w:footnote w:id="182">
    <w:p w14:paraId="0842DF56" w14:textId="77777777" w:rsidR="006561BA" w:rsidRDefault="005B4ED6">
      <w:pPr>
        <w:pStyle w:val="AnnexTableGrNotes"/>
        <w:spacing w:line="200" w:lineRule="exact"/>
        <w:ind w:left="300" w:hanging="300"/>
        <w:rPr>
          <w:rFonts w:cs="Times New Roman"/>
          <w:szCs w:val="16"/>
        </w:rPr>
      </w:pPr>
      <w:r w:rsidRPr="00770AA2">
        <w:rPr>
          <w:lang w:val="en-US"/>
        </w:rPr>
        <w:t>(</w:t>
      </w:r>
      <w:r>
        <w:rPr>
          <w:rStyle w:val="FootnoteReference"/>
          <w:rFonts w:cs="Times New Roman"/>
          <w:szCs w:val="16"/>
        </w:rPr>
        <w:footnoteRef/>
      </w:r>
      <w:r w:rsidRPr="00770AA2">
        <w:rPr>
          <w:lang w:val="en-US"/>
        </w:rPr>
        <w:t>)</w:t>
      </w:r>
      <w:r w:rsidRPr="00770AA2">
        <w:rPr>
          <w:lang w:val="en-US"/>
        </w:rPr>
        <w:tab/>
        <w:t xml:space="preserve">«Guidelines for the waste audits before demolition and renovation works of buildings». «EU Construction and Demolition Waste Management», </w:t>
      </w:r>
      <w:proofErr w:type="spellStart"/>
      <w:r w:rsidRPr="00770AA2">
        <w:rPr>
          <w:lang w:val="en-US"/>
        </w:rPr>
        <w:t>mai</w:t>
      </w:r>
      <w:proofErr w:type="spellEnd"/>
      <w:r w:rsidRPr="00770AA2">
        <w:rPr>
          <w:lang w:val="en-US"/>
        </w:rPr>
        <w:t xml:space="preserve"> 2018: https://ec.europa.eu/docsroom/documents/31521/attachments/1/translations/en/renditions/native. Excel-</w:t>
      </w:r>
      <w:proofErr w:type="spellStart"/>
      <w:r w:rsidRPr="00770AA2">
        <w:rPr>
          <w:lang w:val="en-US"/>
        </w:rPr>
        <w:t>regnearket</w:t>
      </w:r>
      <w:proofErr w:type="spellEnd"/>
      <w:r w:rsidRPr="00770AA2">
        <w:rPr>
          <w:lang w:val="en-US"/>
        </w:rPr>
        <w:t xml:space="preserve"> </w:t>
      </w:r>
      <w:proofErr w:type="spellStart"/>
      <w:r w:rsidRPr="00770AA2">
        <w:rPr>
          <w:lang w:val="en-US"/>
        </w:rPr>
        <w:t>på</w:t>
      </w:r>
      <w:proofErr w:type="spellEnd"/>
      <w:r w:rsidRPr="00770AA2">
        <w:rPr>
          <w:lang w:val="en-US"/>
        </w:rPr>
        <w:t xml:space="preserve"> </w:t>
      </w:r>
      <w:proofErr w:type="spellStart"/>
      <w:r w:rsidRPr="00770AA2">
        <w:rPr>
          <w:lang w:val="en-US"/>
        </w:rPr>
        <w:t>Kommisjonens</w:t>
      </w:r>
      <w:proofErr w:type="spellEnd"/>
      <w:r w:rsidRPr="00770AA2">
        <w:rPr>
          <w:lang w:val="en-US"/>
        </w:rPr>
        <w:t xml:space="preserve"> </w:t>
      </w:r>
      <w:proofErr w:type="spellStart"/>
      <w:r w:rsidRPr="00770AA2">
        <w:rPr>
          <w:lang w:val="en-US"/>
        </w:rPr>
        <w:t>nettsted</w:t>
      </w:r>
      <w:proofErr w:type="spellEnd"/>
      <w:r w:rsidRPr="00770AA2">
        <w:rPr>
          <w:lang w:val="en-US"/>
        </w:rPr>
        <w:t xml:space="preserve"> </w:t>
      </w:r>
      <w:proofErr w:type="spellStart"/>
      <w:r w:rsidRPr="00770AA2">
        <w:rPr>
          <w:lang w:val="en-US"/>
        </w:rPr>
        <w:t>skal</w:t>
      </w:r>
      <w:proofErr w:type="spellEnd"/>
      <w:r w:rsidRPr="00770AA2">
        <w:rPr>
          <w:lang w:val="en-US"/>
        </w:rPr>
        <w:t xml:space="preserve"> </w:t>
      </w:r>
      <w:proofErr w:type="spellStart"/>
      <w:r w:rsidRPr="00770AA2">
        <w:rPr>
          <w:lang w:val="en-US"/>
        </w:rPr>
        <w:t>benyttes</w:t>
      </w:r>
      <w:proofErr w:type="spellEnd"/>
      <w:r w:rsidRPr="00770AA2">
        <w:rPr>
          <w:lang w:val="en-US"/>
        </w:rPr>
        <w:t xml:space="preserve"> </w:t>
      </w:r>
      <w:proofErr w:type="spellStart"/>
      <w:r w:rsidRPr="00770AA2">
        <w:rPr>
          <w:lang w:val="en-US"/>
        </w:rPr>
        <w:t>til</w:t>
      </w:r>
      <w:proofErr w:type="spellEnd"/>
      <w:r w:rsidRPr="00770AA2">
        <w:rPr>
          <w:lang w:val="en-US"/>
        </w:rPr>
        <w:t xml:space="preserve"> </w:t>
      </w:r>
      <w:proofErr w:type="spellStart"/>
      <w:r w:rsidRPr="00770AA2">
        <w:rPr>
          <w:lang w:val="en-US"/>
        </w:rPr>
        <w:t>rapportering</w:t>
      </w:r>
      <w:proofErr w:type="spellEnd"/>
      <w:r w:rsidRPr="00770AA2">
        <w:rPr>
          <w:lang w:val="en-US"/>
        </w:rPr>
        <w:t xml:space="preserve"> av </w:t>
      </w:r>
      <w:proofErr w:type="spellStart"/>
      <w:r w:rsidRPr="00770AA2">
        <w:rPr>
          <w:lang w:val="en-US"/>
        </w:rPr>
        <w:t>anslag</w:t>
      </w:r>
      <w:proofErr w:type="spellEnd"/>
      <w:r w:rsidRPr="00770AA2">
        <w:rPr>
          <w:lang w:val="en-US"/>
        </w:rPr>
        <w:t xml:space="preserve"> over </w:t>
      </w:r>
      <w:proofErr w:type="spellStart"/>
      <w:r w:rsidRPr="00770AA2">
        <w:rPr>
          <w:lang w:val="en-US"/>
        </w:rPr>
        <w:t>bygge</w:t>
      </w:r>
      <w:proofErr w:type="spellEnd"/>
      <w:r w:rsidRPr="00770AA2">
        <w:rPr>
          <w:lang w:val="en-US"/>
        </w:rPr>
        <w:t xml:space="preserve">- og </w:t>
      </w:r>
      <w:proofErr w:type="spellStart"/>
      <w:r w:rsidRPr="00770AA2">
        <w:rPr>
          <w:lang w:val="en-US"/>
        </w:rPr>
        <w:t>rivingsavfall</w:t>
      </w:r>
      <w:proofErr w:type="spellEnd"/>
      <w:r w:rsidRPr="00770AA2">
        <w:rPr>
          <w:lang w:val="en-US"/>
        </w:rPr>
        <w:t xml:space="preserve"> i </w:t>
      </w:r>
      <w:proofErr w:type="spellStart"/>
      <w:r w:rsidRPr="00770AA2">
        <w:rPr>
          <w:lang w:val="en-US"/>
        </w:rPr>
        <w:t>henhold</w:t>
      </w:r>
      <w:proofErr w:type="spellEnd"/>
      <w:r w:rsidRPr="00770AA2">
        <w:rPr>
          <w:lang w:val="en-US"/>
        </w:rPr>
        <w:t xml:space="preserve"> </w:t>
      </w:r>
      <w:proofErr w:type="spellStart"/>
      <w:r w:rsidRPr="00770AA2">
        <w:rPr>
          <w:lang w:val="en-US"/>
        </w:rPr>
        <w:t>til</w:t>
      </w:r>
      <w:proofErr w:type="spellEnd"/>
      <w:r w:rsidRPr="00770AA2">
        <w:rPr>
          <w:lang w:val="en-US"/>
        </w:rPr>
        <w:t xml:space="preserve"> Level 3: «Construction and Demolition Waste (CDW) and materials Excel template: for estimating (Level 2) and recording (Level 3) amounts and types of CDW and their final destinations» (</w:t>
      </w:r>
      <w:proofErr w:type="spellStart"/>
      <w:r w:rsidRPr="00770AA2">
        <w:rPr>
          <w:lang w:val="en-US"/>
        </w:rPr>
        <w:t>utgave</w:t>
      </w:r>
      <w:proofErr w:type="spellEnd"/>
      <w:r w:rsidRPr="00770AA2">
        <w:rPr>
          <w:lang w:val="en-US"/>
        </w:rPr>
        <w:t xml:space="preserve"> 1.1), https://susproc.jrc.ec.europa.eu/product-bureau/product-groups/412/documents. </w:t>
      </w:r>
      <w:r w:rsidRPr="00980A19">
        <w:rPr>
          <w:lang w:val="en-US"/>
        </w:rPr>
        <w:t xml:space="preserve">For dette formålet merkes hver type rivingsavfall med den aktuelle sekssifrede koden fra den europeiske listen over avfall som er opprettet ved vedtak 2000/532/EF. </w:t>
      </w:r>
      <w:r>
        <w:t xml:space="preserve">Når typen av avfallsbehandling tas med i Excel-regnearket (det vil si forberedelse til ombruk, materialgjenvinning, materialutnytting, energiutnytting eller sluttbehandling), dokumenteres det at de markedsdeltakerne som mottar avfallet, har teknisk kapasitet til å gjennomføre denne behandlingen. En slik dokumentasjon kan bestå av en lenke til selskapets nettsider der dette er dokumentert, eller en underskrevet erklæring fra en representant for selskapet. Dersom behandlingen finner sted på </w:t>
      </w:r>
      <w:proofErr w:type="spellStart"/>
      <w:r>
        <w:t>rivingsstedet</w:t>
      </w:r>
      <w:proofErr w:type="spellEnd"/>
      <w:r>
        <w:t>, for eksempel ved ombruk eller materialgjenvinning på stedet, kan akseptabel dokumentasjon bestå av en underskrevet erklæring fra en representant for selskapet.</w:t>
      </w:r>
    </w:p>
  </w:footnote>
  <w:footnote w:id="183">
    <w:p w14:paraId="087E893D"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Med «forberedelse til ombruk» menes gjenvinningstiltak som kontroll, rengjøring eller reparasjon, der produkter eller komponenter av produkter som er blitt til avfall, forberedes slik at de kan </w:t>
      </w:r>
      <w:proofErr w:type="spellStart"/>
      <w:r>
        <w:t>ombrukes</w:t>
      </w:r>
      <w:proofErr w:type="spellEnd"/>
      <w:r>
        <w:t xml:space="preserve"> uten annen forbehandling, Dette omfatter for eksempel forberedelse til ombruk av visse bygningsdeler som takelementer, vinduer, dører, murstein, steiner eller betongelementer. En forutsetning for forberedelse til ombruk av bygningsdeler er vanligvis selektiv nedriving av bygninger eller andre anlegg.</w:t>
      </w:r>
    </w:p>
  </w:footnote>
  <w:footnote w:id="184">
    <w:p w14:paraId="796395F7"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Med «materialgjenvinning» menes all gjenvinning der avfallsmaterialer blir bearbeidet på nytt til produkter, materialer eller stoffer til enten det opprinnelige formålet eller til andre formål. Dette omfatter bearbeiding på nytt av organisk materiale, men omfatter ikke energiutnytting og ny bearbeiding til materialer som skal benyttes som brennstoff eller fyllmateriale.</w:t>
      </w:r>
    </w:p>
  </w:footnote>
  <w:footnote w:id="185">
    <w:p w14:paraId="7C7D1665"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Med «utfylling» menes alle former for utnytting der egnet ikke-farlig avfall brukes til restaureringsformål i utgravde områder eller til anleggstekniske formål ved landskapsutforming. Avfall som brukes til utfylling, skal erstatte materialer som ikke er avfall, være egnet til ovennevnte formål og begrenses til den mengden som er strengt nødvendig for å oppnå disse formålene.</w:t>
      </w:r>
    </w:p>
  </w:footnote>
  <w:footnote w:id="186">
    <w:p w14:paraId="65D10FA9"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Se Level(s)-</w:t>
      </w:r>
      <w:proofErr w:type="spellStart"/>
      <w:r w:rsidRPr="00770AA2">
        <w:rPr>
          <w:lang w:val="en-US"/>
        </w:rPr>
        <w:t>indikator</w:t>
      </w:r>
      <w:proofErr w:type="spellEnd"/>
      <w:r w:rsidRPr="00770AA2">
        <w:rPr>
          <w:lang w:val="en-US"/>
        </w:rPr>
        <w:t xml:space="preserve"> 2.2: «Construction and demolition waste and materials, user manual: introductory briefing, instructions and guidance» (</w:t>
      </w:r>
      <w:proofErr w:type="spellStart"/>
      <w:r w:rsidRPr="00770AA2">
        <w:rPr>
          <w:lang w:val="en-US"/>
        </w:rPr>
        <w:t>utgave</w:t>
      </w:r>
      <w:proofErr w:type="spellEnd"/>
      <w:r w:rsidRPr="00770AA2">
        <w:rPr>
          <w:lang w:val="en-US"/>
        </w:rPr>
        <w:t xml:space="preserve"> 1.1 av </w:t>
      </w:r>
      <w:proofErr w:type="spellStart"/>
      <w:r w:rsidRPr="00770AA2">
        <w:rPr>
          <w:lang w:val="en-US"/>
        </w:rPr>
        <w:t>publikasjonen</w:t>
      </w:r>
      <w:proofErr w:type="spellEnd"/>
      <w:r w:rsidRPr="00770AA2">
        <w:rPr>
          <w:lang w:val="en-US"/>
        </w:rPr>
        <w:t>), https://susproc.jrc.ec.europa.eu/product-bureau//sites/default/files/2021-01/UM3_Indicator_2.2_v1.1_40pp.pdf.</w:t>
      </w:r>
    </w:p>
  </w:footnote>
  <w:footnote w:id="187">
    <w:p w14:paraId="2052A0AF"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Se vedlegg III til kommisjonsforordning (EU) nr. 849/2010 for en kategorisering av mineralsk ikke-farlig bygge- og rivingsavfall, https://eur-lex.europa.eu/legal-content/EN/TXT/PDF/?uri=CELEX:32010R0849&amp;from=EN.</w:t>
      </w:r>
    </w:p>
  </w:footnote>
  <w:footnote w:id="188">
    <w:p w14:paraId="1CEB2EB2" w14:textId="77777777" w:rsidR="006561BA" w:rsidRDefault="005B4ED6">
      <w:pPr>
        <w:pStyle w:val="FootnoteText"/>
        <w:rPr>
          <w:rFonts w:cs="Times New Roman"/>
          <w:szCs w:val="16"/>
        </w:rPr>
      </w:pPr>
      <w:r>
        <w:t>(</w:t>
      </w:r>
      <w:r>
        <w:rPr>
          <w:rStyle w:val="FootnoteReference"/>
          <w:rFonts w:cs="Times New Roman"/>
          <w:szCs w:val="16"/>
        </w:rPr>
        <w:footnoteRef/>
      </w:r>
      <w:r>
        <w:t>)</w:t>
      </w:r>
      <w:r>
        <w:tab/>
        <w:t>Med «funksjonsdyktighet» menes de forholdene under hvilke et bygd anlegg fortsatt anses som trygt å bruke.</w:t>
      </w:r>
    </w:p>
  </w:footnote>
  <w:footnote w:id="189">
    <w:p w14:paraId="056B2355" w14:textId="77777777" w:rsidR="006561BA" w:rsidRDefault="005B4ED6">
      <w:pPr>
        <w:pStyle w:val="FootnoteText"/>
        <w:rPr>
          <w:rFonts w:cs="Times New Roman"/>
          <w:szCs w:val="16"/>
        </w:rPr>
      </w:pPr>
      <w:r>
        <w:t>(</w:t>
      </w:r>
      <w:r>
        <w:rPr>
          <w:rStyle w:val="FootnoteReference"/>
          <w:rFonts w:cs="Times New Roman"/>
          <w:szCs w:val="16"/>
        </w:rPr>
        <w:footnoteRef/>
      </w:r>
      <w:r>
        <w:t>)</w:t>
      </w:r>
      <w:r>
        <w:tab/>
        <w:t>Med «servicenivå» menes et kvalitativt eller kvantitativt mål for å vurdere infrastrukturens evne til å imøtekomme de trafikale kravene som stilles til den.</w:t>
      </w:r>
    </w:p>
  </w:footnote>
  <w:footnote w:id="190">
    <w:p w14:paraId="7A371DFC" w14:textId="77777777" w:rsidR="006561BA" w:rsidRDefault="005B4ED6">
      <w:pPr>
        <w:pStyle w:val="FootnoteText"/>
        <w:rPr>
          <w:rFonts w:cs="Times New Roman"/>
          <w:szCs w:val="16"/>
        </w:rPr>
      </w:pPr>
      <w:r>
        <w:t>(</w:t>
      </w:r>
      <w:r>
        <w:rPr>
          <w:rStyle w:val="FootnoteReference"/>
          <w:rFonts w:cs="Times New Roman"/>
          <w:szCs w:val="16"/>
        </w:rPr>
        <w:footnoteRef/>
      </w:r>
      <w:r>
        <w:t>)</w:t>
      </w:r>
      <w:r>
        <w:tab/>
        <w:t xml:space="preserve">Med «levetid» menes den perioden da veien er i bruk, det vil si fra </w:t>
      </w:r>
      <w:proofErr w:type="spellStart"/>
      <w:r>
        <w:t>byggedatoen</w:t>
      </w:r>
      <w:proofErr w:type="spellEnd"/>
      <w:r>
        <w:t xml:space="preserve"> til datoen for ombygging eller </w:t>
      </w:r>
      <w:proofErr w:type="spellStart"/>
      <w:r>
        <w:t>riving</w:t>
      </w:r>
      <w:proofErr w:type="spellEnd"/>
      <w:r>
        <w:t>.</w:t>
      </w:r>
    </w:p>
  </w:footnote>
  <w:footnote w:id="191">
    <w:p w14:paraId="2F864FE6"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Med «forberedelse til ombruk» menes gjenvinningstiltak som kontroll, rengjøring eller reparasjon, der produkter eller komponenter av produkter som er blitt til avfall, forberedes slik at de kan </w:t>
      </w:r>
      <w:proofErr w:type="spellStart"/>
      <w:r>
        <w:t>ombrukes</w:t>
      </w:r>
      <w:proofErr w:type="spellEnd"/>
      <w:r>
        <w:t xml:space="preserve"> uten annen forbehandling, Dette omfatter for eksempel forberedelse til ombruk av visse bygningsdeler som takelementer, vinduer, dører, murstein, steiner eller betongelementer. En forutsetning for forberedelse til ombruk av bygningsdeler er vanligvis selektiv nedriving av bygninger eller andre anlegg.</w:t>
      </w:r>
    </w:p>
  </w:footnote>
  <w:footnote w:id="192">
    <w:p w14:paraId="4EB3EE11"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Med «materialgjenvinning» menes all gjenvinning der avfallsmaterialer blir bearbeidet på nytt til produkter, materialer eller stoffer til enten det opprinnelige formålet eller til andre formål. Dette omfatter bearbeiding på nytt av organisk materiale, men omfatter ikke energiutnytting og ny bearbeiding til materialer som skal benyttes som brennstoff eller fyllmateriale.</w:t>
      </w:r>
    </w:p>
  </w:footnote>
  <w:footnote w:id="193">
    <w:p w14:paraId="67C0CEE6"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Med «utfylling» menes alle former for utnytting der egnet ikke-farlig avfall brukes til restaureringsformål i utgravde områder eller til anleggstekniske formål ved landskapsutforming. Avfall som brukes til utfylling, skal erstatte materialer som ikke er avfall, være egnet til ovennevnte formål og begrenses til den mengden som er strengt nødvendig for å oppnå disse formålene.</w:t>
      </w:r>
    </w:p>
  </w:footnote>
  <w:footnote w:id="194">
    <w:p w14:paraId="6ACE4DC1"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r>
      <w:proofErr w:type="spellStart"/>
      <w:r w:rsidRPr="00770AA2">
        <w:rPr>
          <w:lang w:val="en-US"/>
        </w:rPr>
        <w:t>Kommisjonens</w:t>
      </w:r>
      <w:proofErr w:type="spellEnd"/>
      <w:r w:rsidRPr="00770AA2">
        <w:rPr>
          <w:lang w:val="en-US"/>
        </w:rPr>
        <w:t xml:space="preserve"> </w:t>
      </w:r>
      <w:proofErr w:type="spellStart"/>
      <w:r w:rsidRPr="00770AA2">
        <w:rPr>
          <w:lang w:val="en-US"/>
        </w:rPr>
        <w:t>arbeidsdokument</w:t>
      </w:r>
      <w:proofErr w:type="spellEnd"/>
      <w:r w:rsidRPr="00770AA2">
        <w:rPr>
          <w:lang w:val="en-US"/>
        </w:rPr>
        <w:t xml:space="preserve">. «EU Green Public Procurement Criteria for Road Design, Construction and Maintenance» (SWD(2016) 203), 2016, s. 17, </w:t>
      </w:r>
      <w:proofErr w:type="spellStart"/>
      <w:r w:rsidRPr="00770AA2">
        <w:rPr>
          <w:lang w:val="en-US"/>
        </w:rPr>
        <w:t>kolonnen</w:t>
      </w:r>
      <w:proofErr w:type="spellEnd"/>
      <w:r w:rsidRPr="00770AA2">
        <w:rPr>
          <w:lang w:val="en-US"/>
        </w:rPr>
        <w:t xml:space="preserve"> «comprehensive criteria», (</w:t>
      </w:r>
      <w:proofErr w:type="spellStart"/>
      <w:r w:rsidRPr="00770AA2">
        <w:rPr>
          <w:lang w:val="en-US"/>
        </w:rPr>
        <w:t>utgave</w:t>
      </w:r>
      <w:proofErr w:type="spellEnd"/>
      <w:r w:rsidRPr="00770AA2">
        <w:rPr>
          <w:lang w:val="en-US"/>
        </w:rPr>
        <w:t xml:space="preserve"> av 27.6.2023: https://ec.europa.eu/environment/gpp/pdf/toolkit/roads/EN.pdf).</w:t>
      </w:r>
    </w:p>
  </w:footnote>
  <w:footnote w:id="195">
    <w:p w14:paraId="0789DD27" w14:textId="293E7656"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I den delegerte rettsakten menes med «</w:t>
      </w:r>
      <w:r w:rsidR="004B7737" w:rsidRPr="00980A19">
        <w:rPr>
          <w:lang w:val="en-US"/>
        </w:rPr>
        <w:t>sekundære råvarer</w:t>
      </w:r>
      <w:r w:rsidRPr="00980A19">
        <w:rPr>
          <w:lang w:val="en-US"/>
        </w:rPr>
        <w:t>» materialer som er forberedt til ombruk eller materialgjenvinning i samsvar med artikkel 3 i rammedirektivet om avfall, og som har opphørt å være avfall i henhold til artikkel 6 i det nevnte direktivet.</w:t>
      </w:r>
    </w:p>
  </w:footnote>
  <w:footnote w:id="196">
    <w:p w14:paraId="4EF5D458"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r>
      <w:proofErr w:type="spellStart"/>
      <w:r w:rsidRPr="00770AA2">
        <w:rPr>
          <w:lang w:val="en-US"/>
        </w:rPr>
        <w:t>Kommisjonens</w:t>
      </w:r>
      <w:proofErr w:type="spellEnd"/>
      <w:r w:rsidRPr="00770AA2">
        <w:rPr>
          <w:lang w:val="en-US"/>
        </w:rPr>
        <w:t xml:space="preserve"> </w:t>
      </w:r>
      <w:proofErr w:type="spellStart"/>
      <w:r w:rsidRPr="00770AA2">
        <w:rPr>
          <w:lang w:val="en-US"/>
        </w:rPr>
        <w:t>arbeidsdokument</w:t>
      </w:r>
      <w:proofErr w:type="spellEnd"/>
      <w:r w:rsidRPr="00770AA2">
        <w:rPr>
          <w:lang w:val="en-US"/>
        </w:rPr>
        <w:t xml:space="preserve">. «EU Green Public Procurement Criteria for Road Design, Construction and Maintenance» (SWD(2016) 203), 2016, s. 15, </w:t>
      </w:r>
      <w:proofErr w:type="spellStart"/>
      <w:r w:rsidRPr="00770AA2">
        <w:rPr>
          <w:lang w:val="en-US"/>
        </w:rPr>
        <w:t>kolonnen</w:t>
      </w:r>
      <w:proofErr w:type="spellEnd"/>
      <w:r w:rsidRPr="00770AA2">
        <w:rPr>
          <w:lang w:val="en-US"/>
        </w:rPr>
        <w:t xml:space="preserve"> «comprehensive criteria», (</w:t>
      </w:r>
      <w:proofErr w:type="spellStart"/>
      <w:r w:rsidRPr="00770AA2">
        <w:rPr>
          <w:lang w:val="en-US"/>
        </w:rPr>
        <w:t>utgave</w:t>
      </w:r>
      <w:proofErr w:type="spellEnd"/>
      <w:r w:rsidRPr="00770AA2">
        <w:rPr>
          <w:lang w:val="en-US"/>
        </w:rPr>
        <w:t xml:space="preserve"> av 27.6.2023: https://ec.europa.eu/environment/gpp/pdf/toolkit/roads/EN.pdf).</w:t>
      </w:r>
    </w:p>
  </w:footnote>
  <w:footnote w:id="197">
    <w:p w14:paraId="47E01021" w14:textId="77777777" w:rsidR="006561BA" w:rsidRDefault="005B4ED6">
      <w:pPr>
        <w:pStyle w:val="FootnoteText"/>
        <w:rPr>
          <w:rFonts w:cs="Times New Roman"/>
          <w:szCs w:val="16"/>
        </w:rPr>
      </w:pPr>
      <w:r>
        <w:t>(</w:t>
      </w:r>
      <w:r>
        <w:rPr>
          <w:rStyle w:val="FootnoteReference"/>
          <w:rFonts w:cs="Times New Roman"/>
          <w:szCs w:val="16"/>
        </w:rPr>
        <w:footnoteRef/>
      </w:r>
      <w:r>
        <w:t>)</w:t>
      </w:r>
      <w:r>
        <w:tab/>
        <w:t>Med «vedlikehold av bygge- og anleggsarbeider» menes alle tiltak som treffes for å opprettholde og gjenopprette veienes funksjonsdyktighet og servicenivå.</w:t>
      </w:r>
    </w:p>
  </w:footnote>
  <w:footnote w:id="198">
    <w:p w14:paraId="79D7ABDC"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 xml:space="preserve">«EU Construction and Demolition Waste Management Protocol», </w:t>
      </w:r>
      <w:proofErr w:type="spellStart"/>
      <w:r w:rsidRPr="00770AA2">
        <w:rPr>
          <w:lang w:val="en-US"/>
        </w:rPr>
        <w:t>vedlegg</w:t>
      </w:r>
      <w:proofErr w:type="spellEnd"/>
      <w:r w:rsidRPr="00770AA2">
        <w:rPr>
          <w:lang w:val="en-US"/>
        </w:rPr>
        <w:t xml:space="preserve"> F (</w:t>
      </w:r>
      <w:proofErr w:type="spellStart"/>
      <w:r w:rsidRPr="00770AA2">
        <w:rPr>
          <w:lang w:val="en-US"/>
        </w:rPr>
        <w:t>utgave</w:t>
      </w:r>
      <w:proofErr w:type="spellEnd"/>
      <w:r w:rsidRPr="00770AA2">
        <w:rPr>
          <w:lang w:val="en-US"/>
        </w:rPr>
        <w:t xml:space="preserve"> av 27.6.2023: https://ec.europa.eu/docsroom/documents/20509/).</w:t>
      </w:r>
    </w:p>
  </w:footnote>
  <w:footnote w:id="199">
    <w:p w14:paraId="61E90A03"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Med «forberedelse til ombruk» menes gjenvinningstiltak som kontroll, rengjøring eller reparasjon, der produkter eller komponenter av produkter som er blitt til avfall, forberedes slik at de kan </w:t>
      </w:r>
      <w:proofErr w:type="spellStart"/>
      <w:r>
        <w:t>ombrukes</w:t>
      </w:r>
      <w:proofErr w:type="spellEnd"/>
      <w:r>
        <w:t xml:space="preserve"> uten annen forbehandling, Dette omfatter for eksempel forberedelse til ombruk av visse bygningsdeler som takelementer, vinduer, dører, murstein, steiner eller betongelementer. En forutsetning for forberedelse til ombruk av bygningsdeler er vanligvis selektiv nedriving av bygninger eller andre anlegg.</w:t>
      </w:r>
    </w:p>
  </w:footnote>
  <w:footnote w:id="200">
    <w:p w14:paraId="4431EEEE"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Med «materialgjenvinning» menes all gjenvinning der avfallsmaterialer blir bearbeidet på nytt til produkter, materialer eller stoffer til enten det opprinnelige formålet eller til andre formål. Dette omfatter bearbeiding på nytt av organisk materiale, men omfatter ikke energiutnytting og ny bearbeiding til materialer som skal benyttes som brennstoff eller fyllmateriale.</w:t>
      </w:r>
    </w:p>
  </w:footnote>
  <w:footnote w:id="201">
    <w:p w14:paraId="4AA7F222"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Med «utfylling» menes alle former for utnytting der egnet ikke-farlig avfall brukes til restaureringsformål i utgravde områder eller til anleggstekniske formål ved landskapsutforming. Avfall som brukes til utfylling, skal erstatte materialer som ikke er avfall, være egnet til ovennevnte formål og begrenses til den mengden som er strengt nødvendig for å oppnå disse formålene.</w:t>
      </w:r>
    </w:p>
  </w:footnote>
  <w:footnote w:id="202">
    <w:p w14:paraId="2800DBBE"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Se Level(s)-</w:t>
      </w:r>
      <w:proofErr w:type="spellStart"/>
      <w:r w:rsidRPr="00770AA2">
        <w:rPr>
          <w:lang w:val="en-US"/>
        </w:rPr>
        <w:t>indikator</w:t>
      </w:r>
      <w:proofErr w:type="spellEnd"/>
      <w:r w:rsidRPr="00770AA2">
        <w:rPr>
          <w:lang w:val="en-US"/>
        </w:rPr>
        <w:t xml:space="preserve"> 2.3: «Design for adaptability and renovation, user manual: introductory briefing, instruction and guidance» (</w:t>
      </w:r>
      <w:proofErr w:type="spellStart"/>
      <w:r w:rsidRPr="00770AA2">
        <w:rPr>
          <w:lang w:val="en-US"/>
        </w:rPr>
        <w:t>utgave</w:t>
      </w:r>
      <w:proofErr w:type="spellEnd"/>
      <w:r w:rsidRPr="00770AA2">
        <w:rPr>
          <w:lang w:val="en-US"/>
        </w:rPr>
        <w:t xml:space="preserve"> 1.1 av </w:t>
      </w:r>
      <w:proofErr w:type="spellStart"/>
      <w:r w:rsidRPr="00770AA2">
        <w:rPr>
          <w:lang w:val="en-US"/>
        </w:rPr>
        <w:t>publikasjonen</w:t>
      </w:r>
      <w:proofErr w:type="spellEnd"/>
      <w:r w:rsidRPr="00770AA2">
        <w:rPr>
          <w:lang w:val="en-US"/>
        </w:rPr>
        <w:t>), https://susproc.jrc.ec.europa.eu/product-bureau//sites/default/files/2021-01/UM3_Indicator_2.3_v1.1_23pp.pdf.</w:t>
      </w:r>
    </w:p>
  </w:footnote>
  <w:footnote w:id="203">
    <w:p w14:paraId="43FAD640"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Se Level(s)-</w:t>
      </w:r>
      <w:proofErr w:type="spellStart"/>
      <w:r w:rsidRPr="00770AA2">
        <w:rPr>
          <w:lang w:val="en-US"/>
        </w:rPr>
        <w:t>indikator</w:t>
      </w:r>
      <w:proofErr w:type="spellEnd"/>
      <w:r w:rsidRPr="00770AA2">
        <w:rPr>
          <w:lang w:val="en-US"/>
        </w:rPr>
        <w:t xml:space="preserve"> 2.4: «Design for deconstruction, user manual: introductory briefing, instructions and guidance» (</w:t>
      </w:r>
      <w:proofErr w:type="spellStart"/>
      <w:r w:rsidRPr="00770AA2">
        <w:rPr>
          <w:lang w:val="en-US"/>
        </w:rPr>
        <w:t>utgave</w:t>
      </w:r>
      <w:proofErr w:type="spellEnd"/>
      <w:r w:rsidRPr="00770AA2">
        <w:rPr>
          <w:lang w:val="en-US"/>
        </w:rPr>
        <w:t xml:space="preserve"> 1.1 av </w:t>
      </w:r>
      <w:proofErr w:type="spellStart"/>
      <w:r w:rsidRPr="00770AA2">
        <w:rPr>
          <w:lang w:val="en-US"/>
        </w:rPr>
        <w:t>publikasjonen</w:t>
      </w:r>
      <w:proofErr w:type="spellEnd"/>
      <w:r w:rsidRPr="00770AA2">
        <w:rPr>
          <w:lang w:val="en-US"/>
        </w:rPr>
        <w:t>), https://susproc.jrc.ec.europa.eu/product-bureau/sites/default/files/2021-01/UM3_Indicator_2.4_v1.1_18pp.pdf.</w:t>
      </w:r>
    </w:p>
  </w:footnote>
  <w:footnote w:id="204">
    <w:p w14:paraId="08FA2102" w14:textId="23614DE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I den delegerte rettsakten menes med «</w:t>
      </w:r>
      <w:r w:rsidR="00396206" w:rsidRPr="00980A19">
        <w:rPr>
          <w:lang w:val="en-US"/>
        </w:rPr>
        <w:t>sekundære råvarer</w:t>
      </w:r>
      <w:r w:rsidRPr="00980A19">
        <w:rPr>
          <w:lang w:val="en-US"/>
        </w:rPr>
        <w:t>» materialer som er forberedt til ombruk eller materialgjenvinning i samsvar med artikkel 3 i rammedirektivet om avfall, og som har opphørt å være avfall i henhold til artikkel 6 i det nevnte direktivet.</w:t>
      </w:r>
    </w:p>
  </w:footnote>
  <w:footnote w:id="205">
    <w:p w14:paraId="7ED0EF56"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ISO-standard 22057:2022, «Sustainability in buildings and civil engineering works – Data templates for the use of environmental product declarations (EPDs) for construction products in building information modelling (BIM)» (</w:t>
      </w:r>
      <w:proofErr w:type="spellStart"/>
      <w:r w:rsidRPr="00770AA2">
        <w:rPr>
          <w:lang w:val="en-US"/>
        </w:rPr>
        <w:t>utgave</w:t>
      </w:r>
      <w:proofErr w:type="spellEnd"/>
      <w:r w:rsidRPr="00770AA2">
        <w:rPr>
          <w:lang w:val="en-US"/>
        </w:rPr>
        <w:t xml:space="preserve"> av </w:t>
      </w:r>
      <w:proofErr w:type="spellStart"/>
      <w:r w:rsidRPr="00770AA2">
        <w:rPr>
          <w:lang w:val="en-US"/>
        </w:rPr>
        <w:t>april</w:t>
      </w:r>
      <w:proofErr w:type="spellEnd"/>
      <w:r w:rsidRPr="00770AA2">
        <w:rPr>
          <w:lang w:val="en-US"/>
        </w:rPr>
        <w:t xml:space="preserve"> 2022), https://www.iso.org/standard/72463.html.</w:t>
      </w:r>
    </w:p>
  </w:footnote>
  <w:footnote w:id="206">
    <w:p w14:paraId="307ABD7D"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Beregnet i samsvar med forordning (EU) 2019/331.</w:t>
      </w:r>
    </w:p>
  </w:footnote>
  <w:footnote w:id="207">
    <w:p w14:paraId="6FC43900"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Gjenspeiler medianverdien av anleggene i 2016 og 2017 (t CO</w:t>
      </w:r>
      <w:r w:rsidRPr="00980A19">
        <w:rPr>
          <w:vertAlign w:val="subscript"/>
          <w:lang w:val="en-US"/>
        </w:rPr>
        <w:t>2</w:t>
      </w:r>
      <w:r w:rsidRPr="00980A19">
        <w:rPr>
          <w:lang w:val="en-US"/>
        </w:rPr>
        <w:t>-ekvivalenter/t) av dataene samlet inn i forbindelse med fastsettelsen av kommisjonens gjennomføringsforordning (EU) 2021/447, bestemt på grunnlag av verifiserte opplysninger om anleggenes klimagasseffektivitet rapportert i henhold til artikkel 11 i direktiv 2003/87/EF.</w:t>
      </w:r>
    </w:p>
  </w:footnote>
  <w:footnote w:id="208">
    <w:p w14:paraId="55CBB7F9"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Gjenspeiler medianverdien av anleggene i 2016 og 2017 (t CO</w:t>
      </w:r>
      <w:r w:rsidRPr="00980A19">
        <w:rPr>
          <w:vertAlign w:val="subscript"/>
          <w:lang w:val="en-US"/>
        </w:rPr>
        <w:t>2</w:t>
      </w:r>
      <w:r w:rsidRPr="00980A19">
        <w:rPr>
          <w:lang w:val="en-US"/>
        </w:rPr>
        <w:t xml:space="preserve"> -ekvivalenter/t) av dataene som er samlet inn for grå sementklinker i forbindelse med fastsettelsen av kommisjonens gjennomføringsforordning (EU) 2021/447, multiplisert med forholdet mellom klinker og sement (0,65), bestemt på grunnlag av verifiserte opplysninger om anleggenes klimagasseffektivitet rapportert i henhold til artikkel 11 i direktiv 2003/87/EF.</w:t>
      </w:r>
    </w:p>
  </w:footnote>
  <w:footnote w:id="209">
    <w:p w14:paraId="035DB8C8"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Gjelder for maling og lakk, takplater, gulvbelegg, herunder tilhørende klebemidler og tetningsmasser, innvendig isolasjon og innvendig overflatebehandling, for eksempel behandling av fuktighet og mugg.</w:t>
      </w:r>
    </w:p>
  </w:footnote>
  <w:footnote w:id="210">
    <w:p w14:paraId="3D8684A8"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CEN/TS 16516: 2013, «Construction products - Assessment of release of dangerous substances - Determination of emissions into indoor air».</w:t>
      </w:r>
    </w:p>
  </w:footnote>
  <w:footnote w:id="211">
    <w:p w14:paraId="6C9BFD1E" w14:textId="4EDAF099"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ISO 16000-3:2011, «Indoor air – Part 3: Determination of formaldehyde and other carbonyl compounds in indoor air and test chamber air – Active sampling method».</w:t>
      </w:r>
    </w:p>
  </w:footnote>
  <w:footnote w:id="212">
    <w:p w14:paraId="374A4ACE"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Grenseverdiene for utslipp av </w:t>
      </w:r>
      <w:proofErr w:type="spellStart"/>
      <w:r>
        <w:t>kreftframkallende</w:t>
      </w:r>
      <w:proofErr w:type="spellEnd"/>
      <w:r>
        <w:t xml:space="preserve"> flyktige organiske forbindelser gjelder for en prøvingsperiode på 28 dager.</w:t>
      </w:r>
    </w:p>
  </w:footnote>
  <w:footnote w:id="213">
    <w:p w14:paraId="382491AF"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Europaparlaments- og rådsdirektiv 2002/49/EF av 25. juni 2002 om vurdering og håndtering av ekstern støy – Erklæring fra Kommisjonen i Forlikskomiteen om direktivet om vurdering og håndtering av ekstern støy (EFT L 189 av 18.7.2002, s. 12).</w:t>
      </w:r>
    </w:p>
  </w:footnote>
  <w:footnote w:id="214">
    <w:p w14:paraId="6DF5C009" w14:textId="77777777" w:rsidR="006561BA" w:rsidRDefault="005B4ED6">
      <w:pPr>
        <w:pStyle w:val="FootnoteText"/>
        <w:rPr>
          <w:rFonts w:cs="Times New Roman"/>
          <w:szCs w:val="16"/>
        </w:rPr>
      </w:pPr>
      <w:r>
        <w:t>(</w:t>
      </w:r>
      <w:r>
        <w:rPr>
          <w:rStyle w:val="FootnoteReference"/>
          <w:rFonts w:cs="Times New Roman"/>
          <w:szCs w:val="16"/>
        </w:rPr>
        <w:footnoteRef/>
      </w:r>
      <w:r>
        <w:t>)</w:t>
      </w:r>
      <w:r>
        <w:tab/>
        <w:t xml:space="preserve">Med «programvare» menes programvare på stedet og </w:t>
      </w:r>
      <w:proofErr w:type="spellStart"/>
      <w:r>
        <w:t>skybasert</w:t>
      </w:r>
      <w:proofErr w:type="spellEnd"/>
      <w:r>
        <w:t xml:space="preserve"> programvare.</w:t>
      </w:r>
    </w:p>
  </w:footnote>
  <w:footnote w:id="215">
    <w:p w14:paraId="07D514D4" w14:textId="77777777" w:rsidR="006561BA" w:rsidRDefault="005B4ED6">
      <w:pPr>
        <w:pStyle w:val="FootnoteText"/>
        <w:rPr>
          <w:rFonts w:cs="Times New Roman"/>
          <w:szCs w:val="16"/>
        </w:rPr>
      </w:pPr>
      <w:r>
        <w:t>(</w:t>
      </w:r>
      <w:r>
        <w:rPr>
          <w:rStyle w:val="FootnoteReference"/>
          <w:rFonts w:cs="Times New Roman"/>
          <w:szCs w:val="16"/>
        </w:rPr>
        <w:footnoteRef/>
      </w:r>
      <w:r>
        <w:t>)</w:t>
      </w:r>
      <w:r>
        <w:tab/>
        <w:t>«IT- eller OT-systemer» omfatter produkter, sensorer, analyser og annen programvare som kan koples sammen, samt informasjons- og kommunikasjonsteknologi (IKT) med henblikk på overføring, lagring og visning av data og systemhåndtering.</w:t>
      </w:r>
    </w:p>
  </w:footnote>
  <w:footnote w:id="216">
    <w:p w14:paraId="148CD0BA"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Med «forbruksvarer» menes ikke-varige varer som skal brukes, brukes opp eller skiftes ut. De kan være nødvendige for at et konsumgode skal fungere, eller brukes til produksjon uten å inngå i det ferdige produktet.</w:t>
      </w:r>
    </w:p>
  </w:footnote>
  <w:footnote w:id="217">
    <w:p w14:paraId="79301C86"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ISO-standard 14067:2018, «Greenhouse gases — Carbon footprint of products — Requirements and guidelines for quantification» (</w:t>
      </w:r>
      <w:proofErr w:type="spellStart"/>
      <w:r w:rsidRPr="00770AA2">
        <w:rPr>
          <w:lang w:val="en-US"/>
        </w:rPr>
        <w:t>utgave</w:t>
      </w:r>
      <w:proofErr w:type="spellEnd"/>
      <w:r w:rsidRPr="00770AA2">
        <w:rPr>
          <w:lang w:val="en-US"/>
        </w:rPr>
        <w:t xml:space="preserve"> av 27.6.2023: https://www.iso.org/standard/71206.html).</w:t>
      </w:r>
    </w:p>
  </w:footnote>
  <w:footnote w:id="218">
    <w:p w14:paraId="45C34048"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ISO-standard 14040:2006, «Environmental management – Life cycle assessment – Principles and framework» (</w:t>
      </w:r>
      <w:proofErr w:type="spellStart"/>
      <w:r w:rsidRPr="00770AA2">
        <w:rPr>
          <w:lang w:val="en-US"/>
        </w:rPr>
        <w:t>utgave</w:t>
      </w:r>
      <w:proofErr w:type="spellEnd"/>
      <w:r w:rsidRPr="00770AA2">
        <w:rPr>
          <w:lang w:val="en-US"/>
        </w:rPr>
        <w:t xml:space="preserve"> av 27.6.2023: https://www.iso.org/standard/37456.html).</w:t>
      </w:r>
    </w:p>
  </w:footnote>
  <w:footnote w:id="219">
    <w:p w14:paraId="6E85F0E1"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ISO-standard 14067:2018, «Greenhouse gases — Carbon footprint of products — Requirements and guidelines for quantification» (</w:t>
      </w:r>
      <w:proofErr w:type="spellStart"/>
      <w:r w:rsidRPr="00770AA2">
        <w:rPr>
          <w:lang w:val="en-US"/>
        </w:rPr>
        <w:t>utgave</w:t>
      </w:r>
      <w:proofErr w:type="spellEnd"/>
      <w:r w:rsidRPr="00770AA2">
        <w:rPr>
          <w:lang w:val="en-US"/>
        </w:rPr>
        <w:t xml:space="preserve"> av 27.6.2023: https://www.iso.org/standard/71206.html).</w:t>
      </w:r>
    </w:p>
  </w:footnote>
  <w:footnote w:id="220">
    <w:p w14:paraId="2376E911"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ISO-standard 14040:2006, «Environmental management – Life cycle assessment – Principles and framework» (</w:t>
      </w:r>
      <w:proofErr w:type="spellStart"/>
      <w:r w:rsidRPr="00770AA2">
        <w:rPr>
          <w:lang w:val="en-US"/>
        </w:rPr>
        <w:t>utgave</w:t>
      </w:r>
      <w:proofErr w:type="spellEnd"/>
      <w:r w:rsidRPr="00770AA2">
        <w:rPr>
          <w:lang w:val="en-US"/>
        </w:rPr>
        <w:t xml:space="preserve"> av 27.6.2023: https://www.iso.org/standard/37456.html).</w:t>
      </w:r>
    </w:p>
  </w:footnote>
  <w:footnote w:id="221">
    <w:p w14:paraId="23D7F86F"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Minsteopplysningene omfatter krav til energimerking i henhold til Unionens rammeforordning om energimerking, opplysninger som er omfattet av forordning (EF) nr. 1272/2008, opplysninger om stoffer som gir grunn til svært alvorlig bekymring i varer som sådan, eller i komplekse gjenstander (produkter) som fastsatt i henhold til direktiv 2008/98/EF, eller opplysninger om sikkerhet eller garanti.</w:t>
      </w:r>
    </w:p>
  </w:footnote>
  <w:footnote w:id="222">
    <w:p w14:paraId="2F628A33" w14:textId="5E2F10F4"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«Yteevne med hensyn til </w:t>
      </w:r>
      <w:proofErr w:type="spellStart"/>
      <w:r>
        <w:t>sirkularitet</w:t>
      </w:r>
      <w:proofErr w:type="spellEnd"/>
      <w:r>
        <w:t xml:space="preserve">» skal vurderes på grunnlag av i) produktets holdbarhet, pålitelighet, muligheten for ombruk, oppgradering og reparasjon, enkelt vedlikehold og renovering, ii) forekomst av stoffer som hemmer </w:t>
      </w:r>
      <w:proofErr w:type="spellStart"/>
      <w:r>
        <w:t>sirkulariteten</w:t>
      </w:r>
      <w:proofErr w:type="spellEnd"/>
      <w:r>
        <w:t xml:space="preserve"> hos produkter og materialer, iii) produkters energibruk eller energieffektivitet, iv) produkters ressursbruk eller ressurseffektivitet, v) innhold av </w:t>
      </w:r>
      <w:r w:rsidR="001C78BB">
        <w:t>material</w:t>
      </w:r>
      <w:r>
        <w:t xml:space="preserve">gjenvunne </w:t>
      </w:r>
      <w:r w:rsidR="00C80186">
        <w:t>råvarer</w:t>
      </w:r>
      <w:r>
        <w:t xml:space="preserve"> i produkter, vi) lett demontering, </w:t>
      </w:r>
      <w:proofErr w:type="spellStart"/>
      <w:r>
        <w:t>refabrikasjon</w:t>
      </w:r>
      <w:proofErr w:type="spellEnd"/>
      <w:r>
        <w:t xml:space="preserve"> og gjenvinning av produkter og materialer, vii) produkters miljøvirkning gjennom hele produktets livsløp, herunder karbon- og miljøavtrykk, viii) forebygging og reduksjon av avfall, herunder emballasjeavfall.</w:t>
      </w:r>
    </w:p>
  </w:footnote>
  <w:footnote w:id="223">
    <w:p w14:paraId="725C9221" w14:textId="77777777" w:rsidR="006561BA" w:rsidRDefault="005B4ED6">
      <w:pPr>
        <w:pStyle w:val="FootnoteText"/>
        <w:rPr>
          <w:rFonts w:cs="Times New Roman"/>
          <w:szCs w:val="16"/>
        </w:rPr>
      </w:pPr>
      <w:r>
        <w:t>(</w:t>
      </w:r>
      <w:r>
        <w:rPr>
          <w:rStyle w:val="FootnoteReference"/>
          <w:rFonts w:cs="Times New Roman"/>
          <w:szCs w:val="16"/>
        </w:rPr>
        <w:footnoteRef/>
      </w:r>
      <w:r>
        <w:t>)</w:t>
      </w:r>
      <w:r>
        <w:tab/>
        <w:t>Med «reparasjon» menes den prosessen der et defekt produkt bringes tilbake til en tilstand der det kan oppfylle sitt tiltenkte bruksområde, enten som en tjeneste eller med henblikk på senere videresalg av det reparerte produktet.</w:t>
      </w:r>
    </w:p>
  </w:footnote>
  <w:footnote w:id="224">
    <w:p w14:paraId="645EE064" w14:textId="77777777" w:rsidR="006561BA" w:rsidRDefault="005B4ED6">
      <w:pPr>
        <w:pStyle w:val="FootnoteText"/>
        <w:rPr>
          <w:rFonts w:cs="Times New Roman"/>
          <w:szCs w:val="16"/>
        </w:rPr>
      </w:pPr>
      <w:r>
        <w:t>(</w:t>
      </w:r>
      <w:r>
        <w:rPr>
          <w:rStyle w:val="FootnoteReference"/>
          <w:rFonts w:cs="Times New Roman"/>
          <w:szCs w:val="16"/>
        </w:rPr>
        <w:footnoteRef/>
      </w:r>
      <w:r>
        <w:t>)</w:t>
      </w:r>
      <w:r>
        <w:tab/>
        <w:t>Med «renovering» menes prøving og om nødvendig reparasjon, rengjøring eller endring av et brukt produkt for å øke eller gjenopprette dets yteevne eller funksjonsdyktighet eller for å oppfylle gjeldende tekniske standarder eller lovgivningsmessige krav, med det resultatet at et fullt funksjonelt produkt som skal brukes til et formål som minst er det som opprinnelig var tiltenkt, og for å opprettholde samsvaret med gjeldende tekniske standarder eller lovgivningsmessige krav som opprinnelig ble utformet på konstruksjonsstadiet.</w:t>
      </w:r>
    </w:p>
  </w:footnote>
  <w:footnote w:id="225">
    <w:p w14:paraId="26D34574" w14:textId="77777777" w:rsidR="006561BA" w:rsidRDefault="005B4ED6">
      <w:pPr>
        <w:pStyle w:val="FootnoteText"/>
        <w:rPr>
          <w:rFonts w:cs="Times New Roman"/>
          <w:szCs w:val="16"/>
        </w:rPr>
      </w:pPr>
      <w:r>
        <w:t>(</w:t>
      </w:r>
      <w:r>
        <w:rPr>
          <w:rStyle w:val="FootnoteReference"/>
          <w:rFonts w:cs="Times New Roman"/>
          <w:szCs w:val="16"/>
        </w:rPr>
        <w:footnoteRef/>
      </w:r>
      <w:r>
        <w:t>)</w:t>
      </w:r>
      <w:r>
        <w:tab/>
        <w:t>Med «</w:t>
      </w:r>
      <w:proofErr w:type="spellStart"/>
      <w:r>
        <w:t>refabrikasjon</w:t>
      </w:r>
      <w:proofErr w:type="spellEnd"/>
      <w:r>
        <w:t>» menes en standardisert industriprosess som finner sted i industri- eller fabrikkmiljøer, der produktene gjenopprettes til sin opprinnelige tilstand og yteevne som nye produkter eller bedre, og som vanligvis bringes i omsetning med en kommersiell garanti.</w:t>
      </w:r>
    </w:p>
  </w:footnote>
  <w:footnote w:id="226">
    <w:p w14:paraId="121C46EA" w14:textId="77777777" w:rsidR="006561BA" w:rsidRDefault="005B4ED6">
      <w:pPr>
        <w:pStyle w:val="FootnoteText"/>
        <w:rPr>
          <w:rFonts w:cs="Times New Roman"/>
          <w:szCs w:val="16"/>
        </w:rPr>
      </w:pPr>
      <w:r>
        <w:t>(</w:t>
      </w:r>
      <w:r>
        <w:rPr>
          <w:rStyle w:val="FootnoteReference"/>
          <w:rFonts w:cs="Times New Roman"/>
          <w:szCs w:val="16"/>
        </w:rPr>
        <w:footnoteRef/>
      </w:r>
      <w:r>
        <w:t>)</w:t>
      </w:r>
      <w:r>
        <w:tab/>
        <w:t>Varer, komponenter eller materialer som skal skiftes ut regelmessig fordi de enten slites ut eller brukes opp.</w:t>
      </w:r>
    </w:p>
  </w:footnote>
  <w:footnote w:id="227">
    <w:p w14:paraId="61D93554"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Produktets samsvar og selgerens ansvarsperiode er fastsatt i samsvar med de relevante bestemmelsene i direktiv (EU) 2019/771.</w:t>
      </w:r>
    </w:p>
  </w:footnote>
  <w:footnote w:id="228">
    <w:p w14:paraId="64DFCBCD" w14:textId="2B351754"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Europaparlaments- og rådsdirektiv</w:t>
      </w:r>
      <w:r w:rsidR="00483FEF">
        <w:t xml:space="preserve"> </w:t>
      </w:r>
      <w:r>
        <w:t>(EU) 2017/ 2102 av 15. november 2017 om endring av direktiv 2011/65/EU om begrensning av bruken av visse farlige stoffer i elektrisk og elektronisk utstyr (EUT L 305 av 21.11.2017, s. 8).</w:t>
      </w:r>
    </w:p>
  </w:footnote>
  <w:footnote w:id="229">
    <w:p w14:paraId="789A7413" w14:textId="47308F9E" w:rsidR="006561BA" w:rsidRDefault="005B4ED6">
      <w:pPr>
        <w:pStyle w:val="FootnoteText"/>
        <w:rPr>
          <w:rFonts w:cs="Times New Roman"/>
          <w:szCs w:val="16"/>
        </w:rPr>
      </w:pPr>
      <w:r>
        <w:t>(</w:t>
      </w:r>
      <w:r>
        <w:rPr>
          <w:rStyle w:val="FootnoteReference"/>
          <w:rFonts w:cs="Times New Roman"/>
          <w:szCs w:val="16"/>
        </w:rPr>
        <w:footnoteRef/>
      </w:r>
      <w:r>
        <w:t>)</w:t>
      </w:r>
      <w:r>
        <w:tab/>
        <w:t xml:space="preserve">Med «reservedel» menes </w:t>
      </w:r>
      <w:r w:rsidR="00ED55E6">
        <w:t xml:space="preserve">en </w:t>
      </w:r>
      <w:r>
        <w:t>separat del av et produkt som kan erstatte en del av et produkt med samme eller lignende funksjon Produktet kan ikke fungere etter hensikten uten den nevnte delen av produktet. Et produkts funksjonsdyktighet gjenopprettes eller forbedres når delen erstattes med en reservedel i samsvar med direktiv 2011/65/EU. Reservedeler kan være brukte deler.</w:t>
      </w:r>
    </w:p>
  </w:footnote>
  <w:footnote w:id="230">
    <w:p w14:paraId="5863FFBA"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Produktets samsvar og selgerens ansvarsperiode er fastsatt i samsvar med de relevante bestemmelsene i direktiv (EU) 2019/771.</w:t>
      </w:r>
    </w:p>
  </w:footnote>
  <w:footnote w:id="231">
    <w:p w14:paraId="0F56621B"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«E-handel» kan generelt defineres som salg eller kjøp av varer eller tjenester, enten mellom foretak, husholdninger, enkeltpersoner eller private organisasjoner, ved hjelp av elektroniske transaksjoner som gjennomføres via internett eller andre datamaskinbaserte nettverk (nettbasert kommunikasjon), se Eurostats «</w:t>
      </w:r>
      <w:proofErr w:type="spellStart"/>
      <w:r>
        <w:t>Statistics</w:t>
      </w:r>
      <w:proofErr w:type="spellEnd"/>
      <w:r>
        <w:t xml:space="preserve"> </w:t>
      </w:r>
      <w:proofErr w:type="spellStart"/>
      <w:r>
        <w:t>Explained</w:t>
      </w:r>
      <w:proofErr w:type="spellEnd"/>
      <w:r>
        <w:t xml:space="preserve"> </w:t>
      </w:r>
      <w:proofErr w:type="spellStart"/>
      <w:r>
        <w:t>Glossary</w:t>
      </w:r>
      <w:proofErr w:type="spellEnd"/>
      <w:r>
        <w:t>», finnes på: https://ec.europa.eu/eurostat/statistics-explained/index.php?title=Category:Glossary.</w:t>
      </w:r>
    </w:p>
  </w:footnote>
  <w:footnote w:id="232">
    <w:p w14:paraId="7FFE6FFC"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Begrepet «kan </w:t>
      </w:r>
      <w:proofErr w:type="spellStart"/>
      <w:r>
        <w:t>ombrukes</w:t>
      </w:r>
      <w:proofErr w:type="spellEnd"/>
      <w:r>
        <w:t>» og «ombrukssystem» defineres og gjennomføres i samsvar med kravene til systemer for ombruk av emballasje i Unionens regelverk om emballasje og emballasjeavfall, herunder eventuelle standarder knyttet til antall sykluser i et ombrukssystem.</w:t>
      </w:r>
    </w:p>
  </w:footnote>
  <w:footnote w:id="233">
    <w:p w14:paraId="5F1B1001" w14:textId="77777777" w:rsidR="006561BA" w:rsidRDefault="005B4ED6">
      <w:pPr>
        <w:pStyle w:val="FootnoteText"/>
        <w:rPr>
          <w:rFonts w:cs="Times New Roman"/>
          <w:szCs w:val="16"/>
        </w:rPr>
      </w:pPr>
      <w:r>
        <w:t>(</w:t>
      </w:r>
      <w:r>
        <w:rPr>
          <w:rStyle w:val="FootnoteReference"/>
          <w:rFonts w:cs="Times New Roman"/>
          <w:szCs w:val="16"/>
        </w:rPr>
        <w:footnoteRef/>
      </w:r>
      <w:r>
        <w:t>)</w:t>
      </w:r>
      <w:r>
        <w:tab/>
        <w:t xml:space="preserve">Forberedelse til ombruk utgjør en prosess eller en rekke prosesser der produkter eller komponenter av produkter som er blitt til avfall, forberedes slik at de kan </w:t>
      </w:r>
      <w:proofErr w:type="spellStart"/>
      <w:r>
        <w:t>ombrukes</w:t>
      </w:r>
      <w:proofErr w:type="spellEnd"/>
      <w:r>
        <w:t xml:space="preserve"> uten annen forbehandling. Det er det høyeste alternativet for avfallshåndtering i avfallshierarkiet (etter forebygging av avfall).</w:t>
      </w:r>
    </w:p>
  </w:footnote>
  <w:footnote w:id="234">
    <w:p w14:paraId="2C41E123"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I Unionen er aktiviteten i samsvar med artikkel 10 nr. 3 i europaparlaments- og rådsdirektiv 2008/98/EF av 19. november 2008 om avfall og om oppheving av visse direktiver (EUT L 312 av 22.11.2008, s. 3) eller med sektorspesifikt unionsregelverk om avfall samt nasjonal lovgivning og avfallshåndteringsplaner.</w:t>
      </w:r>
    </w:p>
  </w:footnote>
  <w:footnote w:id="235">
    <w:p w14:paraId="7666CF55"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Produktets samsvar og selgerens ansvarsperiode er fastsatt i samsvar med de relevante bestemmelsene i direktiv (EU) 2019/771.</w:t>
      </w:r>
    </w:p>
  </w:footnote>
  <w:footnote w:id="236">
    <w:p w14:paraId="612CE4FD"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ISO 14001:2015, «Environmental management systems – Requirements with guidance for use» (</w:t>
      </w:r>
      <w:proofErr w:type="spellStart"/>
      <w:r w:rsidRPr="00770AA2">
        <w:rPr>
          <w:lang w:val="en-US"/>
        </w:rPr>
        <w:t>utgave</w:t>
      </w:r>
      <w:proofErr w:type="spellEnd"/>
      <w:r w:rsidRPr="00770AA2">
        <w:rPr>
          <w:lang w:val="en-US"/>
        </w:rPr>
        <w:t xml:space="preserve"> av 27.6.2023: https://www.iso.org/standard/60857.html).</w:t>
      </w:r>
    </w:p>
  </w:footnote>
  <w:footnote w:id="237">
    <w:p w14:paraId="1259BA85"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Europaparlaments- og rådsforordning (EF) nr. 1221/2009 av 25. november 2009 om frivillig deltaking for organisasjonar i ei fellesskapsordning for miljøstyring og miljørevisjon (EMAS), og om oppheving av forordning (EF) nr. 761/2001 og kommisjonsvedtak 2001/681/EF og 2006/193/EF (EUT L 342 av 22.12.2009, s. 1).</w:t>
      </w:r>
    </w:p>
  </w:footnote>
  <w:footnote w:id="238">
    <w:p w14:paraId="1755366B"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ISO 9001:2015, «Quality management systems – Requirements» (</w:t>
      </w:r>
      <w:proofErr w:type="spellStart"/>
      <w:r w:rsidRPr="00770AA2">
        <w:rPr>
          <w:lang w:val="en-US"/>
        </w:rPr>
        <w:t>utgave</w:t>
      </w:r>
      <w:proofErr w:type="spellEnd"/>
      <w:r w:rsidRPr="00770AA2">
        <w:rPr>
          <w:lang w:val="en-US"/>
        </w:rPr>
        <w:t xml:space="preserve"> av 27.6.2023: https://www.iso.org/standard/62085.html).</w:t>
      </w:r>
    </w:p>
  </w:footnote>
  <w:footnote w:id="239">
    <w:p w14:paraId="3B155FE4"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Produktets samsvar og selgerens ansvarsperiode er fastsatt i samsvar med de relevante bestemmelsene i direktiv (EU) 2019/771.</w:t>
      </w:r>
    </w:p>
  </w:footnote>
  <w:footnote w:id="240">
    <w:p w14:paraId="3E0C906F"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«E-handel» kan generelt defineres som salg eller kjøp av varer eller tjenester, enten mellom foretak, husholdninger, enkeltpersoner eller private organisasjoner, ved hjelp av elektroniske transaksjoner som gjennomføres via internett eller andre datamaskinbaserte nettverk (nettbasert kommunikasjon), se Eurostats «</w:t>
      </w:r>
      <w:proofErr w:type="spellStart"/>
      <w:r>
        <w:t>Statistics</w:t>
      </w:r>
      <w:proofErr w:type="spellEnd"/>
      <w:r>
        <w:t xml:space="preserve"> </w:t>
      </w:r>
      <w:proofErr w:type="spellStart"/>
      <w:r>
        <w:t>Explained</w:t>
      </w:r>
      <w:proofErr w:type="spellEnd"/>
      <w:r>
        <w:t xml:space="preserve"> </w:t>
      </w:r>
      <w:proofErr w:type="spellStart"/>
      <w:r>
        <w:t>Glossary</w:t>
      </w:r>
      <w:proofErr w:type="spellEnd"/>
      <w:r>
        <w:t>», finnes på: https://ec.europa.eu/eurostat/statistics-explained/index.php?title=Category:Glossary.</w:t>
      </w:r>
    </w:p>
  </w:footnote>
  <w:footnote w:id="241">
    <w:p w14:paraId="030DCDAA"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Begrepet «kan </w:t>
      </w:r>
      <w:proofErr w:type="spellStart"/>
      <w:r>
        <w:t>ombrukes</w:t>
      </w:r>
      <w:proofErr w:type="spellEnd"/>
      <w:r>
        <w:t>» og «ombrukssystem» defineres og gjennomføres i samsvar med kravene til systemer for ombruk av emballasje i Unionens regelverk om emballasje og emballasjeavfall, herunder eventuelle standarder knyttet til antall sykluser i et ombrukssystem.</w:t>
      </w:r>
    </w:p>
  </w:footnote>
  <w:footnote w:id="242">
    <w:p w14:paraId="4397B658"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Europaparlaments- og rådsforordning (EU) 2019/631 av 17. april 2019 om fastsettelse av CO</w:t>
      </w:r>
      <w:r>
        <w:rPr>
          <w:vertAlign w:val="subscript"/>
        </w:rPr>
        <w:t>2</w:t>
      </w:r>
      <w:r>
        <w:t>-utslippsstandarder for nye personbiler og nye lette nyttekjøretøyer og om oppheving av forordning (EF) nr. 443/2009 og (EU) nr. 510/2011 (EUT L 111 av 25.4.2019, s. 13).</w:t>
      </w:r>
    </w:p>
  </w:footnote>
  <w:footnote w:id="243">
    <w:p w14:paraId="2E3B21AB"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Som definert i artikkel 4 i europaparlaments- og rådsforordning (EU) nr. 168/2013 av 15. januar 2013 om godkjenning av og markedstilsyn for to- eller trehjuls kjøretøyer og firehjuls motorsykler (EUT L 60 av 2.3.2013, s. 52).</w:t>
      </w:r>
    </w:p>
  </w:footnote>
  <w:footnote w:id="244">
    <w:p w14:paraId="2D87637B"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Europaparlaments- og rådsforordning (EU) nr. 168/2013 av 15. januar 2013 om godkjenning av og markedstilsyn for to- eller trehjuls kjøretøyer og firehjuls motorsykler (EUT L 60 av 2.3.2013, s. 52).</w:t>
      </w:r>
    </w:p>
  </w:footnote>
  <w:footnote w:id="245">
    <w:p w14:paraId="3E002EAA"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«E-handel» kan generelt defineres som salg eller kjøp av varer eller tjenester, enten mellom foretak, husholdninger, enkeltpersoner eller private organisasjoner, ved hjelp av elektroniske transaksjoner som gjennomføres via internett eller andre datamaskinbaserte nettverk (nettbasert kommunikasjon), se Eurostats «</w:t>
      </w:r>
      <w:proofErr w:type="spellStart"/>
      <w:r>
        <w:t>Statistics</w:t>
      </w:r>
      <w:proofErr w:type="spellEnd"/>
      <w:r>
        <w:t xml:space="preserve"> </w:t>
      </w:r>
      <w:proofErr w:type="spellStart"/>
      <w:r>
        <w:t>Explained</w:t>
      </w:r>
      <w:proofErr w:type="spellEnd"/>
      <w:r>
        <w:t xml:space="preserve"> </w:t>
      </w:r>
      <w:proofErr w:type="spellStart"/>
      <w:r>
        <w:t>Glossary</w:t>
      </w:r>
      <w:proofErr w:type="spellEnd"/>
      <w:r>
        <w:t>», finnes på: https://ec.europa.eu/eurostat/statistics-explained/index.php?title=Category:Glossary.</w:t>
      </w:r>
    </w:p>
  </w:footnote>
  <w:footnote w:id="246">
    <w:p w14:paraId="280B0674"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Begrepet «kan </w:t>
      </w:r>
      <w:proofErr w:type="spellStart"/>
      <w:r>
        <w:t>ombrukes</w:t>
      </w:r>
      <w:proofErr w:type="spellEnd"/>
      <w:r>
        <w:t>» og «ombrukssystem» defineres og gjennomføres i samsvar med kravene til systemer for ombruk av emballasje i Unionens regelverk om emballasje og emballasjeavfall, herunder eventuelle standarder knyttet til antall sykluser i et ombrukssystem.</w:t>
      </w:r>
    </w:p>
  </w:footnote>
  <w:footnote w:id="247">
    <w:p w14:paraId="4A0349AF" w14:textId="77777777" w:rsidR="006561BA" w:rsidRDefault="005B4ED6">
      <w:pPr>
        <w:pStyle w:val="FootnoteText"/>
        <w:rPr>
          <w:rFonts w:cs="Times New Roman"/>
          <w:szCs w:val="16"/>
        </w:rPr>
      </w:pPr>
      <w:r>
        <w:t>(</w:t>
      </w:r>
      <w:r>
        <w:rPr>
          <w:rStyle w:val="FootnoteReference"/>
          <w:rFonts w:cs="Times New Roman"/>
          <w:szCs w:val="16"/>
        </w:rPr>
        <w:footnoteRef/>
      </w:r>
      <w:r>
        <w:t>)</w:t>
      </w:r>
      <w:r>
        <w:tab/>
        <w:t>Med «markedsplasser» menes plattformer som setter kjøpere i forbindelse med selgere og letter transaksjoner via støtteteknologi eller tjenester, som for eksempel betalingsportaler eller logistikktjenester.</w:t>
      </w:r>
    </w:p>
  </w:footnote>
  <w:footnote w:id="248">
    <w:p w14:paraId="7B2EAB97" w14:textId="71FD87B1" w:rsidR="006561BA" w:rsidRDefault="005B4ED6">
      <w:pPr>
        <w:pStyle w:val="FootnoteText"/>
        <w:rPr>
          <w:rFonts w:cs="Times New Roman"/>
          <w:szCs w:val="16"/>
        </w:rPr>
      </w:pPr>
      <w:r>
        <w:t>(</w:t>
      </w:r>
      <w:r>
        <w:rPr>
          <w:rStyle w:val="FootnoteReference"/>
          <w:rFonts w:cs="Times New Roman"/>
          <w:szCs w:val="16"/>
        </w:rPr>
        <w:footnoteRef/>
      </w:r>
      <w:r>
        <w:t>)</w:t>
      </w:r>
      <w:r>
        <w:tab/>
        <w:t>Med «</w:t>
      </w:r>
      <w:r w:rsidR="00F96645">
        <w:t>annonseportaler</w:t>
      </w:r>
      <w:r>
        <w:t>» menes plattformer som setter kjøpere i forbindelse med selgere.</w:t>
      </w:r>
    </w:p>
  </w:footnote>
  <w:footnote w:id="249">
    <w:p w14:paraId="4879CB12"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Utstedt 1. juli 2019 av Den europeiske standardiseringsorganisasjon (CEN) og Den europeiske komité for elektroteknisk standardisering (CENELEC) (utgave av 27.6.2023: https://www.cenelec.eu/dyn/www/f?p=104:110:508227404055501::::FSP_ORG_ID,FSP_PROJECT,FSP_LANG_ID:1258297,65095,25).</w:t>
      </w:r>
    </w:p>
  </w:footnote>
  <w:footnote w:id="250">
    <w:p w14:paraId="03705E44" w14:textId="77777777" w:rsidR="006561BA" w:rsidRDefault="005B4ED6">
      <w:pPr>
        <w:pStyle w:val="FootnoteText"/>
        <w:rPr>
          <w:rFonts w:cs="Times New Roman"/>
          <w:szCs w:val="16"/>
        </w:rPr>
      </w:pPr>
      <w:r>
        <w:t>(</w:t>
      </w:r>
      <w:r>
        <w:rPr>
          <w:rStyle w:val="FootnoteReference"/>
          <w:rFonts w:cs="Times New Roman"/>
          <w:szCs w:val="16"/>
        </w:rPr>
        <w:footnoteRef/>
      </w:r>
      <w:r>
        <w:t>)</w:t>
      </w:r>
      <w:r>
        <w:tab/>
        <w:t xml:space="preserve">Framtidige scenarioer omfatter FNs klimapanels (IPCC) representative utslippsbaner («Representative </w:t>
      </w:r>
      <w:proofErr w:type="spellStart"/>
      <w:r>
        <w:t>Concentration</w:t>
      </w:r>
      <w:proofErr w:type="spellEnd"/>
      <w:r>
        <w:t xml:space="preserve"> </w:t>
      </w:r>
      <w:proofErr w:type="spellStart"/>
      <w:r>
        <w:t>Pathways</w:t>
      </w:r>
      <w:proofErr w:type="spellEnd"/>
      <w:r>
        <w:t>» – RCP) RCP2.6, RCP4.5, RCP6.0 og RCP8.5.</w:t>
      </w:r>
    </w:p>
  </w:footnote>
  <w:footnote w:id="251">
    <w:p w14:paraId="08DCF953" w14:textId="77777777" w:rsidR="006561BA" w:rsidRDefault="005B4ED6">
      <w:pPr>
        <w:pStyle w:val="FootnoteText"/>
        <w:rPr>
          <w:rFonts w:cs="Times New Roman"/>
          <w:szCs w:val="16"/>
        </w:rPr>
      </w:pPr>
      <w:r>
        <w:t>(</w:t>
      </w:r>
      <w:r>
        <w:rPr>
          <w:rStyle w:val="FootnoteReference"/>
          <w:rFonts w:cs="Times New Roman"/>
          <w:szCs w:val="16"/>
        </w:rPr>
        <w:footnoteRef/>
      </w:r>
      <w:r>
        <w:t>)</w:t>
      </w:r>
      <w:r>
        <w:tab/>
        <w:t>Vurderingsrapporter om klimaendringer: «</w:t>
      </w:r>
      <w:proofErr w:type="spellStart"/>
      <w:r>
        <w:t>Impacts</w:t>
      </w:r>
      <w:proofErr w:type="spellEnd"/>
      <w:r>
        <w:t xml:space="preserve">, Adaptation and </w:t>
      </w:r>
      <w:proofErr w:type="spellStart"/>
      <w:r>
        <w:t>Vulnerability</w:t>
      </w:r>
      <w:proofErr w:type="spellEnd"/>
      <w:r>
        <w:t>», utgis regelmessig av FNs klimapanel (IPCC), FNs organ for vurdering av vitenskap knyttet til klimaendringer, https://www.ipcc.ch/reports/.</w:t>
      </w:r>
    </w:p>
  </w:footnote>
  <w:footnote w:id="252">
    <w:p w14:paraId="2055957C" w14:textId="77777777" w:rsidR="006561BA" w:rsidRDefault="005B4ED6">
      <w:pPr>
        <w:pStyle w:val="FootnoteText"/>
        <w:rPr>
          <w:rFonts w:cs="Times New Roman"/>
          <w:szCs w:val="16"/>
        </w:rPr>
      </w:pPr>
      <w:r>
        <w:t>(</w:t>
      </w:r>
      <w:r>
        <w:rPr>
          <w:rStyle w:val="FootnoteReference"/>
          <w:rFonts w:cs="Times New Roman"/>
          <w:szCs w:val="16"/>
        </w:rPr>
        <w:footnoteRef/>
      </w:r>
      <w:r>
        <w:t>)</w:t>
      </w:r>
      <w:r>
        <w:tab/>
        <w:t>Som for eksempel Copernicus-programmet som forvaltes av Europakommisjonen.</w:t>
      </w:r>
    </w:p>
  </w:footnote>
  <w:footnote w:id="253">
    <w:p w14:paraId="0E546F98" w14:textId="5117046D" w:rsidR="006561BA" w:rsidRDefault="005B4ED6">
      <w:pPr>
        <w:pStyle w:val="FootnoteText"/>
        <w:rPr>
          <w:rFonts w:cs="Times New Roman"/>
          <w:szCs w:val="16"/>
        </w:rPr>
      </w:pPr>
      <w:r>
        <w:t>(</w:t>
      </w:r>
      <w:r>
        <w:rPr>
          <w:rStyle w:val="FootnoteReference"/>
          <w:rFonts w:cs="Times New Roman"/>
          <w:szCs w:val="16"/>
        </w:rPr>
        <w:footnoteRef/>
      </w:r>
      <w:r>
        <w:t>)</w:t>
      </w:r>
      <w:r>
        <w:tab/>
        <w:t>Naturbaserte løsninger er definert som «løsninger som er inspirert og støttet av naturen, som er kostnadseffektive, som gir samtidige miljømessige, sosiale og økonomiske fordeler, og som bidrar til å bygge opp motstandsdyktighet. Slike løsninger bringer mer natur og flere naturlige funksjoner og prosesser med større mangfold inn i byer, landskap og havområder gjennom lokalt tilpassede, ressurseffektive og systemiske inngrep.» Naturbaserte løsninger er derfor til fordel for det biologiske mangfoldet og støtter en rekke økosystemtjenester (utgave av 27.6. 2023: https://ec.europa.eu/research/environment/index.cfm?pg=nbs).</w:t>
      </w:r>
    </w:p>
  </w:footnote>
  <w:footnote w:id="254">
    <w:p w14:paraId="5849E0E0" w14:textId="77777777" w:rsidR="006561BA" w:rsidRDefault="005B4ED6">
      <w:pPr>
        <w:pStyle w:val="FootnoteText"/>
        <w:rPr>
          <w:rFonts w:cs="Times New Roman"/>
          <w:szCs w:val="16"/>
        </w:rPr>
      </w:pPr>
      <w:r>
        <w:t>(</w:t>
      </w:r>
      <w:r>
        <w:rPr>
          <w:rStyle w:val="FootnoteReference"/>
          <w:rFonts w:cs="Times New Roman"/>
          <w:szCs w:val="16"/>
        </w:rPr>
        <w:footnoteRef/>
      </w:r>
      <w:r>
        <w:t>)</w:t>
      </w:r>
      <w:r>
        <w:tab/>
        <w:t xml:space="preserve">Se kommisjonsmelding til Europaparlamentet, Rådet, Den europeiske økonomiske og sosiale komité og Regionkomiteen om grønn infrastruktur (GI) – styrking av Europas naturkapital («Green </w:t>
      </w:r>
      <w:proofErr w:type="spellStart"/>
      <w:r>
        <w:t>Infrastructure</w:t>
      </w:r>
      <w:proofErr w:type="spellEnd"/>
      <w:r>
        <w:t xml:space="preserve"> (GI) – </w:t>
      </w:r>
      <w:proofErr w:type="spellStart"/>
      <w:r>
        <w:t>Enhancing</w:t>
      </w:r>
      <w:proofErr w:type="spellEnd"/>
      <w:r>
        <w:t xml:space="preserve"> </w:t>
      </w:r>
      <w:proofErr w:type="spellStart"/>
      <w:r>
        <w:t>Europe’s</w:t>
      </w:r>
      <w:proofErr w:type="spellEnd"/>
      <w:r>
        <w:t xml:space="preserve"> Natural Capital», (COM(2013) 249 final).</w:t>
      </w:r>
    </w:p>
  </w:footnote>
  <w:footnote w:id="255">
    <w:p w14:paraId="2544D63B" w14:textId="77777777" w:rsidR="006561BA" w:rsidRDefault="005B4ED6">
      <w:pPr>
        <w:pStyle w:val="FootnoteText"/>
        <w:rPr>
          <w:rFonts w:cs="Times New Roman"/>
          <w:szCs w:val="16"/>
        </w:rPr>
      </w:pPr>
      <w:r>
        <w:t>(</w:t>
      </w:r>
      <w:r>
        <w:rPr>
          <w:rStyle w:val="FootnoteReference"/>
          <w:rFonts w:cs="Times New Roman"/>
          <w:szCs w:val="16"/>
        </w:rPr>
        <w:footnoteRef/>
      </w:r>
      <w:r>
        <w:t>)</w:t>
      </w:r>
      <w:r>
        <w:tab/>
        <w:t>Listen over klimarelaterte farer i denne tabellen er ikke uttømmende og utgjør bare en veiledende liste over de mest utbredte farene som det minst skal tas hensyn til i klimarisiko- og sårbarhetsvurderingen.</w:t>
      </w:r>
    </w:p>
  </w:footnote>
  <w:footnote w:id="256">
    <w:p w14:paraId="5CDB5BA4" w14:textId="77777777" w:rsidR="006561BA" w:rsidRDefault="005B4ED6">
      <w:pPr>
        <w:pStyle w:val="FootnoteText"/>
        <w:rPr>
          <w:rFonts w:cs="Times New Roman"/>
          <w:szCs w:val="16"/>
        </w:rPr>
      </w:pPr>
      <w:r>
        <w:t>(</w:t>
      </w:r>
      <w:r>
        <w:rPr>
          <w:rStyle w:val="FootnoteReference"/>
          <w:rFonts w:cs="Times New Roman"/>
          <w:szCs w:val="16"/>
        </w:rPr>
        <w:footnoteRef/>
      </w:r>
      <w:r>
        <w:t>)</w:t>
      </w:r>
      <w:r>
        <w:tab/>
        <w:t>For aktiviteter i tredjeland, i samsvar med gjeldende nasjonal rett eller internasjonale standarder som har likeverdige mål om god vanntilstand og et godt økologisk potensial, gjennom likeverdige prosedyreregler og materielle regler, det vil si en forvaltningsplan for bruk og beskyttelse av vann som er utarbeidet i samråd med relevante berørte parter, og som sikrer at 1) aktivitetenes innvirkning på den identifiserte tilstanden eller det identifiserte økologiske potensialet for den eller de vannforekomstene som kan bli berørt, vurderes, og 2) at forringelse eller forhindring av god tilstand / et godt økologisk potensial unngås eller, dersom dette ikke er mulig, 3) begrunnes med mangel på bedre miljøalternativer som ikke er uforholdsmessig kostnadskrevende / teknisk ugjennomførlige, og alle praktisk mulige tiltak treffes for å redusere de negative virkningene på vannforekomstens tilstand.</w:t>
      </w:r>
    </w:p>
  </w:footnote>
  <w:footnote w:id="257">
    <w:p w14:paraId="665783FC" w14:textId="77777777" w:rsidR="006561BA" w:rsidRDefault="005B4ED6">
      <w:pPr>
        <w:pStyle w:val="FootnoteText"/>
        <w:rPr>
          <w:rFonts w:cs="Times New Roman"/>
          <w:szCs w:val="16"/>
        </w:rPr>
      </w:pPr>
      <w:r>
        <w:t>(</w:t>
      </w:r>
      <w:r>
        <w:rPr>
          <w:rStyle w:val="FootnoteReference"/>
          <w:rFonts w:cs="Times New Roman"/>
          <w:szCs w:val="16"/>
        </w:rPr>
        <w:footnoteRef/>
      </w:r>
      <w:r>
        <w:t>)</w:t>
      </w:r>
      <w:r>
        <w:tab/>
        <w:t xml:space="preserve">I henhold til definisjonen i artikkel 3 nr. 5 i direktiv 2008/56/EF skal god miljøtilstand fastsettes på grunnlag av de kvalitative </w:t>
      </w:r>
      <w:proofErr w:type="spellStart"/>
      <w:r>
        <w:t>deskriptorene</w:t>
      </w:r>
      <w:proofErr w:type="spellEnd"/>
      <w:r>
        <w:t xml:space="preserve"> fastsatt i vedlegg I til det nevnte direktivet.</w:t>
      </w:r>
    </w:p>
  </w:footnote>
  <w:footnote w:id="258">
    <w:p w14:paraId="466F397B" w14:textId="77777777" w:rsidR="006561BA" w:rsidRDefault="005B4ED6">
      <w:pPr>
        <w:pStyle w:val="FootnoteText"/>
        <w:rPr>
          <w:rFonts w:cs="Times New Roman"/>
          <w:szCs w:val="16"/>
        </w:rPr>
      </w:pPr>
      <w:r>
        <w:t>(</w:t>
      </w:r>
      <w:r>
        <w:rPr>
          <w:rStyle w:val="FootnoteReference"/>
          <w:rFonts w:cs="Times New Roman"/>
          <w:szCs w:val="16"/>
        </w:rPr>
        <w:footnoteRef/>
      </w:r>
      <w:r>
        <w:t>)</w:t>
      </w:r>
      <w:r>
        <w:tab/>
        <w:t>Kommisjonen vil gjennomgå unntakene fra forbudet mot å produsere, bringe i omsetning eller bruke stoffene nevnt i bokstav f) når den har offentliggjort horisontale prinsipper om vesentlig anvendelse av kjemikalier.</w:t>
      </w:r>
    </w:p>
  </w:footnote>
  <w:footnote w:id="259">
    <w:p w14:paraId="33FD02D8" w14:textId="77777777" w:rsidR="006561BA" w:rsidRDefault="005B4ED6">
      <w:pPr>
        <w:pStyle w:val="FootnoteText"/>
        <w:rPr>
          <w:rFonts w:cs="Times New Roman"/>
          <w:szCs w:val="16"/>
        </w:rPr>
      </w:pPr>
      <w:r>
        <w:t>(</w:t>
      </w:r>
      <w:r>
        <w:rPr>
          <w:rStyle w:val="FootnoteReference"/>
          <w:rFonts w:cs="Times New Roman"/>
          <w:szCs w:val="16"/>
        </w:rPr>
        <w:footnoteRef/>
      </w:r>
      <w:r>
        <w:t>)</w:t>
      </w:r>
      <w:r>
        <w:tab/>
        <w:t>Kommisjonen vil gjennomgå unntakene fra forbudet mot produksjon, forekomst i sluttproduktet eller sluttresultatet, eller omsetning av stoffene nevnt i dette punktet når den har offentliggjort horisontale prinsipper om vesentlig anvendelse av kjemikalier.</w:t>
      </w:r>
    </w:p>
  </w:footnote>
  <w:footnote w:id="260">
    <w:p w14:paraId="0C62E62C" w14:textId="77777777" w:rsidR="006561BA" w:rsidRDefault="005B4ED6">
      <w:pPr>
        <w:pStyle w:val="FootnoteText"/>
        <w:rPr>
          <w:rFonts w:cs="Times New Roman"/>
          <w:szCs w:val="16"/>
        </w:rPr>
      </w:pPr>
      <w:r>
        <w:t>(</w:t>
      </w:r>
      <w:r>
        <w:rPr>
          <w:rStyle w:val="FootnoteReference"/>
          <w:rFonts w:cs="Times New Roman"/>
          <w:szCs w:val="16"/>
        </w:rPr>
        <w:footnoteRef/>
      </w:r>
      <w:r>
        <w:t>)</w:t>
      </w:r>
      <w:r>
        <w:tab/>
        <w:t>Framgangsmåter som den vedkommende myndigheten skal følge for å avgjøre om prosjekter oppført i vedlegg II til direktiv 2011/92/EU skal gjennomgå en miljøkonsekvensutredning (som nevnt i artikkel 4 nr. 2 i det nevnte direktivet).</w:t>
      </w:r>
    </w:p>
  </w:footnote>
  <w:footnote w:id="261">
    <w:p w14:paraId="4924E752" w14:textId="77777777" w:rsidR="006561BA" w:rsidRDefault="005B4ED6">
      <w:pPr>
        <w:pStyle w:val="FootnoteText"/>
        <w:rPr>
          <w:rFonts w:cs="Times New Roman"/>
          <w:szCs w:val="16"/>
        </w:rPr>
      </w:pPr>
      <w:r>
        <w:t>(</w:t>
      </w:r>
      <w:r>
        <w:rPr>
          <w:rStyle w:val="FootnoteReference"/>
          <w:rFonts w:cs="Times New Roman"/>
          <w:szCs w:val="16"/>
        </w:rPr>
        <w:footnoteRef/>
      </w:r>
      <w:r>
        <w:t>)</w:t>
      </w:r>
      <w:r>
        <w:tab/>
        <w:t xml:space="preserve">For aktiviteter i tredjeland, i samsvar med tilsvarende gjeldende nasjonal rett eller internasjonale standarder som krever gjennomføring av en miljøkonsekvensutredning eller screening, for eksempel «IFC </w:t>
      </w:r>
      <w:proofErr w:type="spellStart"/>
      <w:r>
        <w:t>Performance</w:t>
      </w:r>
      <w:proofErr w:type="spellEnd"/>
      <w:r>
        <w:t xml:space="preserve"> Standard 1: </w:t>
      </w:r>
      <w:proofErr w:type="spellStart"/>
      <w:r>
        <w:t>Assessment</w:t>
      </w:r>
      <w:proofErr w:type="spellEnd"/>
      <w:r>
        <w:t xml:space="preserve"> and Management </w:t>
      </w:r>
      <w:proofErr w:type="spellStart"/>
      <w:r>
        <w:t>of</w:t>
      </w:r>
      <w:proofErr w:type="spellEnd"/>
      <w:r>
        <w:t xml:space="preserve"> </w:t>
      </w:r>
      <w:proofErr w:type="spellStart"/>
      <w:r>
        <w:t>Environmental</w:t>
      </w:r>
      <w:proofErr w:type="spellEnd"/>
      <w:r>
        <w:t xml:space="preserve"> and </w:t>
      </w:r>
      <w:proofErr w:type="spellStart"/>
      <w:r>
        <w:t>Social</w:t>
      </w:r>
      <w:proofErr w:type="spellEnd"/>
      <w:r>
        <w:t xml:space="preserve"> Risks».</w:t>
      </w:r>
    </w:p>
  </w:footnote>
  <w:footnote w:id="262">
    <w:p w14:paraId="27CB1D9E" w14:textId="77777777" w:rsidR="006561BA" w:rsidRDefault="005B4ED6">
      <w:pPr>
        <w:pStyle w:val="FootnoteText"/>
        <w:rPr>
          <w:rFonts w:cs="Times New Roman"/>
          <w:szCs w:val="16"/>
        </w:rPr>
      </w:pPr>
      <w:r>
        <w:t>(</w:t>
      </w:r>
      <w:r>
        <w:rPr>
          <w:rStyle w:val="FootnoteReference"/>
          <w:rFonts w:cs="Times New Roman"/>
          <w:szCs w:val="16"/>
        </w:rPr>
        <w:footnoteRef/>
      </w:r>
      <w:r>
        <w:t>)</w:t>
      </w:r>
      <w:r>
        <w:tab/>
        <w:t xml:space="preserve">I samsvar med direktiv 2009/147/EF og 92/43/EØF. For aktiviteter i tredjeland, i samsvar med tilsvarende gjeldende nasjonal rett eller internasjonale standarder som har som mål å bevare habitater, ville dyr og ville planter, og som krever at det gjennomføres 1) en screeningprosedyre for å fastslå hvorvidt det for en gitt aktivitet er nødvendig med en hensiktsmessig vurdering av mulige konsekvenser for beskyttede habitater og arter, 2) en slik hensiktsmessig vurdering dersom screeningen fastslår at det er nødvendig, for eksempel «IFC </w:t>
      </w:r>
      <w:proofErr w:type="spellStart"/>
      <w:r>
        <w:t>Performance</w:t>
      </w:r>
      <w:proofErr w:type="spellEnd"/>
      <w:r>
        <w:t xml:space="preserve"> Standard 6: </w:t>
      </w:r>
      <w:proofErr w:type="spellStart"/>
      <w:r>
        <w:t>Biodiversity</w:t>
      </w:r>
      <w:proofErr w:type="spellEnd"/>
      <w:r>
        <w:t xml:space="preserve"> Conservation and </w:t>
      </w:r>
      <w:proofErr w:type="spellStart"/>
      <w:r>
        <w:t>Sustainable</w:t>
      </w:r>
      <w:proofErr w:type="spellEnd"/>
      <w:r>
        <w:t xml:space="preserve"> Management </w:t>
      </w:r>
      <w:proofErr w:type="spellStart"/>
      <w:r>
        <w:t>of</w:t>
      </w:r>
      <w:proofErr w:type="spellEnd"/>
      <w:r>
        <w:t xml:space="preserve"> </w:t>
      </w:r>
      <w:proofErr w:type="spellStart"/>
      <w:r>
        <w:t>Living</w:t>
      </w:r>
      <w:proofErr w:type="spellEnd"/>
      <w:r>
        <w:t xml:space="preserve"> Natural Resources».</w:t>
      </w:r>
    </w:p>
  </w:footnote>
  <w:footnote w:id="263">
    <w:p w14:paraId="363BEE4C" w14:textId="77777777" w:rsidR="006561BA" w:rsidRDefault="005B4ED6">
      <w:pPr>
        <w:pStyle w:val="FootnoteText"/>
        <w:rPr>
          <w:rFonts w:cs="Times New Roman"/>
          <w:szCs w:val="16"/>
        </w:rPr>
      </w:pPr>
      <w:r>
        <w:t>(</w:t>
      </w:r>
      <w:r>
        <w:rPr>
          <w:rStyle w:val="FootnoteReference"/>
          <w:rFonts w:cs="Times New Roman"/>
          <w:szCs w:val="16"/>
        </w:rPr>
        <w:footnoteRef/>
      </w:r>
      <w:r>
        <w:t>)</w:t>
      </w:r>
      <w:r>
        <w:tab/>
        <w:t>Disse tiltakene er blitt identifisert for å sikre at prosjektet, planen eller aktiviteten ikke har noen vesentlig innvirkning på bevaringsmålene for det beskyttede området.</w:t>
      </w:r>
    </w:p>
  </w:footnote>
  <w:footnote w:id="264">
    <w:p w14:paraId="3431A06B"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 xml:space="preserve">«European Medicines Agency Guidelines on the environmental risk assessment of medicinal products for human use», </w:t>
      </w:r>
      <w:proofErr w:type="spellStart"/>
      <w:r w:rsidRPr="00770AA2">
        <w:rPr>
          <w:lang w:val="en-US"/>
        </w:rPr>
        <w:t>utgave</w:t>
      </w:r>
      <w:proofErr w:type="spellEnd"/>
      <w:r w:rsidRPr="00770AA2">
        <w:rPr>
          <w:lang w:val="en-US"/>
        </w:rPr>
        <w:t xml:space="preserve"> av 27.6.2023, </w:t>
      </w:r>
      <w:proofErr w:type="spellStart"/>
      <w:r w:rsidRPr="00770AA2">
        <w:rPr>
          <w:lang w:val="en-US"/>
        </w:rPr>
        <w:t>finnes</w:t>
      </w:r>
      <w:proofErr w:type="spellEnd"/>
      <w:r w:rsidRPr="00770AA2">
        <w:rPr>
          <w:lang w:val="en-US"/>
        </w:rPr>
        <w:t xml:space="preserve"> på: https://www.ema.europa.eu/en/environmental-risk-assessment-medicinal-products-human-use-scientific-guideline.</w:t>
      </w:r>
    </w:p>
  </w:footnote>
  <w:footnote w:id="265">
    <w:p w14:paraId="6EE3F54C"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Viktige metabolitter er humane metabolitter som sannsynligvis vil bli utskilt i miljøet. Disse metabolittene er identifisert i (ikke-)kliniske studier av legemidlers metabolisme som er tilgjengelige i søknadene om markedsføringstillatelse. Slike metabolitter skal identifiseres i henhold til EMA/CPMP/ICH/286/1995, side 8. Viktige omdanningsprodukter for disse viktige humane metabolittene av opprinnelige forbindelser (den aktive legemiddelbestanddelen) er de som overstiger 10 % av oppløst organisk karbon (DOC) eller totalt organisk karbon (TOC) i den opprinnelige forbindelsen.</w:t>
      </w:r>
    </w:p>
  </w:footnote>
  <w:footnote w:id="266">
    <w:p w14:paraId="3A4648F0"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«OECD Guidelines for </w:t>
      </w:r>
      <w:proofErr w:type="spellStart"/>
      <w:r>
        <w:t>the</w:t>
      </w:r>
      <w:proofErr w:type="spellEnd"/>
      <w:r>
        <w:t xml:space="preserve"> Testing </w:t>
      </w:r>
      <w:proofErr w:type="spellStart"/>
      <w:r>
        <w:t>of</w:t>
      </w:r>
      <w:proofErr w:type="spellEnd"/>
      <w:r>
        <w:t xml:space="preserve"> Chemicals, Test 301 (A-F), </w:t>
      </w:r>
      <w:proofErr w:type="spellStart"/>
      <w:r>
        <w:t>Ready</w:t>
      </w:r>
      <w:proofErr w:type="spellEnd"/>
      <w:r>
        <w:t xml:space="preserve"> </w:t>
      </w:r>
      <w:proofErr w:type="spellStart"/>
      <w:r>
        <w:t>Biodegradability</w:t>
      </w:r>
      <w:proofErr w:type="spellEnd"/>
      <w:r>
        <w:t>», utgave av 27.6.2023, finnes på: https://www.oecd.org/chemicalsafety/risk-assessment/1948209.pdf. OECD-test nr. 301 (A–F) brukes til å identifisere stoffer som antas å være lett biologisk nedbrytbare og biologisk nedbrytbare på lang sikt, det vil si som mineraliseres under aerobe miljøforhold.</w:t>
      </w:r>
    </w:p>
  </w:footnote>
  <w:footnote w:id="267">
    <w:p w14:paraId="3569016B"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Studier på høyere nivå (OECD 308) gir resultater med såkalte halveringstider som viser når det er oppnådd 50 % biologisk nedbryting av den aktive legemiddelbestanddelen. Det er de halveringstidene som er akseptable for å påvise en tilstrekkelig rask biologisk nedbryting, det vil si ikke-persistens, i henhold til forordning (EF) nr. 1907/2006, vedlegg XIII, og som også er nevnt i Det europeiske legemiddelbyrås retningslinjer om miljørisikovurdering av legemidler for mennesker.</w:t>
      </w:r>
    </w:p>
  </w:footnote>
  <w:footnote w:id="268">
    <w:p w14:paraId="186844BC"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 xml:space="preserve">«OECD Guidelines for the Testing of Chemicals, Test No 308: Aerobic and Anaerobic Transformation in Aquatic Sediment Systems», </w:t>
      </w:r>
      <w:proofErr w:type="spellStart"/>
      <w:r w:rsidRPr="00770AA2">
        <w:rPr>
          <w:lang w:val="en-US"/>
        </w:rPr>
        <w:t>utgave</w:t>
      </w:r>
      <w:proofErr w:type="spellEnd"/>
      <w:r w:rsidRPr="00770AA2">
        <w:rPr>
          <w:lang w:val="en-US"/>
        </w:rPr>
        <w:t xml:space="preserve"> av 27.6.2023, </w:t>
      </w:r>
      <w:proofErr w:type="spellStart"/>
      <w:r w:rsidRPr="00770AA2">
        <w:rPr>
          <w:lang w:val="en-US"/>
        </w:rPr>
        <w:t>finnes</w:t>
      </w:r>
      <w:proofErr w:type="spellEnd"/>
      <w:r w:rsidRPr="00770AA2">
        <w:rPr>
          <w:lang w:val="en-US"/>
        </w:rPr>
        <w:t xml:space="preserve"> på: https://www.oecd-ilibrary.org/environment/test-no-308-aerobic-and-anaerobic-transformation-in-aquatic-sediment-systems_9789264070523-en.</w:t>
      </w:r>
    </w:p>
  </w:footnote>
  <w:footnote w:id="269">
    <w:p w14:paraId="7321921F"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Kommisjonen vil gjennomgå unntakene fra forbudet mot å produsere, bringe i omsetning eller bruke stoffene nevnt i bokstav f) og g) når den har offentliggjort horisontale prinsipper om vesentlig anvendelse av kjemikalier.</w:t>
      </w:r>
    </w:p>
  </w:footnote>
  <w:footnote w:id="270">
    <w:p w14:paraId="69EFA772"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Kravene i dette nummeret gjelder de forurensende stoffene som er identifisert i de viktigste miljøspørsmålene i hvert referansedokument om beste tilgjengelige teknikker (BREF), eller de utslippsnivåene som er forbundet med beste tilgjengelige teknikker (BAT-AEL) i de relevante BAT-konklusjonene i Kommisjonens gjennomføringsbeslutninger. Dersom utslippsnivåer som er forbundet med beste tilgjengelige teknikker (BAT-AEL), skiller mellom «eksisterende» og «nye anlegg», viser aktivitetsutøverne at utslippsnivåer som er forbundet med beste tilgjengelige teknikker (BAT-AEL), følges for nye anlegg. Når det ikke finnes et intervall for utslippsnivåer som er forbundet med beste tilgjengelige teknikker (BAT-AEL), men én enkelt verdi, ligger utslippsnivåene under denne verdien. Når intervallet for utslippsnivåer som er forbundet med beste tilgjengelige teknikker (BAT-AEL), uttrykkes på følgende måte: «&lt;x-y-enhet» (det vil si at intervallets nedre grense uttrykkes som «lavere enn»), beregnes midtpunktet ved hjelp av x og y. Gjennomsnittsperiodene er de samme som i utslippsnivåene som er forbundet med beste tilgjengelige teknikker (BAT-AEL) i referansedokumentene om beste tilgjengelige teknikker (BREF) som er beskrevet ovenfor.</w:t>
      </w:r>
    </w:p>
  </w:footnote>
  <w:footnote w:id="271">
    <w:p w14:paraId="29F7A7BE"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Kommisjonens gjennomføringsbeslutning (EU) 2022/2427 av 6. desember 2022 om fastsettelse av konklusjoner om beste tilgjengelige teknikker (BAT) for felles systemer for håndtering og rensing av avgasser i kjemisk sektor i henhold til europaparlaments- og rådsdirektiv 2010/75/EU om industriutslipp (EUT L 318 av 12.12.2022, s. 157).</w:t>
      </w:r>
    </w:p>
  </w:footnote>
  <w:footnote w:id="272">
    <w:p w14:paraId="1CEAEA02"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Referansedokumentet om beste tilgjengelige teknikker (BREF) for produksjon av organiske finkjemikalier, finnes på: https://eippcb.jrc.ec.europa.eu/sites/default/files/2019-11/ofc_bref_0806.pdf.</w:t>
      </w:r>
    </w:p>
  </w:footnote>
  <w:footnote w:id="273">
    <w:p w14:paraId="7B201B3A"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Kommisjonens gjennomføringsbeslutning (EU) 2016/902 av 30. mai 2016 om fastsettelse av konklusjoner om beste tilgjengelige teknikker (BAT) for felles systemer for rensing/håndtering av spillvann og avgasser i kjemisk sektor i henhold til europaparlaments- og rådsdirektiv 2010/75/EU (EUT L 152 av 9.6.2016, s. 23).</w:t>
      </w:r>
    </w:p>
  </w:footnote>
  <w:footnote w:id="274">
    <w:p w14:paraId="19C16B5F" w14:textId="62F925CC"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w:t>
      </w:r>
      <w:r w:rsidR="003441A8">
        <w:rPr>
          <w:lang w:val="en-US"/>
        </w:rPr>
        <w:t xml:space="preserve">The </w:t>
      </w:r>
      <w:r w:rsidRPr="00770AA2">
        <w:rPr>
          <w:lang w:val="en-US"/>
        </w:rPr>
        <w:t>Best Available Techniques (BAT) Reference Document for the Large Volumes Inorganic Chemicals – Solids and Others industry» (</w:t>
      </w:r>
      <w:proofErr w:type="spellStart"/>
      <w:r w:rsidRPr="00770AA2">
        <w:rPr>
          <w:lang w:val="en-US"/>
        </w:rPr>
        <w:t>utgave</w:t>
      </w:r>
      <w:proofErr w:type="spellEnd"/>
      <w:r w:rsidRPr="00770AA2">
        <w:rPr>
          <w:lang w:val="en-US"/>
        </w:rPr>
        <w:t xml:space="preserve"> av 27.6.2023: https://eippcb.jrc.ec.europa.eu/sites/default/files/2019-11/lvic-s_bref_0907.pdf).</w:t>
      </w:r>
    </w:p>
  </w:footnote>
  <w:footnote w:id="275">
    <w:p w14:paraId="2C40D32F"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 xml:space="preserve">«The Best Available Techniques (BAT) Reference Document for the manufacture of Large Volume Inorganic Chemicals – Ammonia, Acids and </w:t>
      </w:r>
      <w:proofErr w:type="spellStart"/>
      <w:r w:rsidRPr="00770AA2">
        <w:rPr>
          <w:lang w:val="en-US"/>
        </w:rPr>
        <w:t>Fertilisers</w:t>
      </w:r>
      <w:proofErr w:type="spellEnd"/>
      <w:r w:rsidRPr="00770AA2">
        <w:rPr>
          <w:lang w:val="en-US"/>
        </w:rPr>
        <w:t>» (</w:t>
      </w:r>
      <w:proofErr w:type="spellStart"/>
      <w:r w:rsidRPr="00770AA2">
        <w:rPr>
          <w:lang w:val="en-US"/>
        </w:rPr>
        <w:t>utgave</w:t>
      </w:r>
      <w:proofErr w:type="spellEnd"/>
      <w:r w:rsidRPr="00770AA2">
        <w:rPr>
          <w:lang w:val="en-US"/>
        </w:rPr>
        <w:t xml:space="preserve"> av 27.6.2023: https://eippcb.jrc.ec.europa.eu/sites/default/files/2019-11/lvic_aaf.pdf).</w:t>
      </w:r>
    </w:p>
  </w:footnote>
  <w:footnote w:id="276">
    <w:p w14:paraId="4DF28A57"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 xml:space="preserve">«The Best Available Techniques Reference Document (BREF) for the production of </w:t>
      </w:r>
      <w:proofErr w:type="spellStart"/>
      <w:r w:rsidRPr="00770AA2">
        <w:rPr>
          <w:lang w:val="en-US"/>
        </w:rPr>
        <w:t>speciality</w:t>
      </w:r>
      <w:proofErr w:type="spellEnd"/>
      <w:r w:rsidRPr="00770AA2">
        <w:rPr>
          <w:lang w:val="en-US"/>
        </w:rPr>
        <w:t xml:space="preserve"> inorganic chemicals (SIC)» (</w:t>
      </w:r>
      <w:proofErr w:type="spellStart"/>
      <w:r w:rsidRPr="00770AA2">
        <w:rPr>
          <w:lang w:val="en-US"/>
        </w:rPr>
        <w:t>utgave</w:t>
      </w:r>
      <w:proofErr w:type="spellEnd"/>
      <w:r w:rsidRPr="00770AA2">
        <w:rPr>
          <w:lang w:val="en-US"/>
        </w:rPr>
        <w:t xml:space="preserve"> av 27.6.2023: https://eippcb.jrc.ec.europa.eu/reference/production-speciality-inorganic-chemicals).</w:t>
      </w:r>
    </w:p>
  </w:footnote>
  <w:footnote w:id="277">
    <w:p w14:paraId="6CB20465" w14:textId="2AFC967C"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Det europeiske legemiddelbyrå, «ICH guideline Q3C (R8) </w:t>
      </w:r>
      <w:proofErr w:type="spellStart"/>
      <w:r>
        <w:t>on</w:t>
      </w:r>
      <w:proofErr w:type="spellEnd"/>
      <w:r>
        <w:t xml:space="preserve"> </w:t>
      </w:r>
      <w:proofErr w:type="spellStart"/>
      <w:r>
        <w:t>impurities</w:t>
      </w:r>
      <w:proofErr w:type="spellEnd"/>
      <w:r>
        <w:t xml:space="preserve">: guideline for residual solvents. </w:t>
      </w:r>
      <w:proofErr w:type="spellStart"/>
      <w:r>
        <w:t>Step</w:t>
      </w:r>
      <w:proofErr w:type="spellEnd"/>
      <w:r>
        <w:t xml:space="preserve"> 5, 2022», utgave av 27.6.2023, finnes på: https://www.ema.europa.eu/en/documents/scientific-guideline/international-conference-harmonisation-technical-requirements-registration-pharmaceuticals-human-use_en-33.pdf.</w:t>
      </w:r>
    </w:p>
  </w:footnote>
  <w:footnote w:id="278">
    <w:p w14:paraId="045F79E7"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Dersom unntaket i henhold til kriterium 1.3 får anvendelse.</w:t>
      </w:r>
    </w:p>
  </w:footnote>
  <w:footnote w:id="279">
    <w:p w14:paraId="5DD432E9" w14:textId="77777777" w:rsidR="006561BA" w:rsidRPr="00980A19" w:rsidRDefault="005B4ED6">
      <w:pPr>
        <w:pStyle w:val="AnnexTableGrNotes"/>
        <w:spacing w:line="200" w:lineRule="exact"/>
        <w:ind w:left="300" w:hanging="300"/>
        <w:rPr>
          <w:rFonts w:cs="Times New Roman"/>
          <w:szCs w:val="16"/>
        </w:rPr>
      </w:pPr>
      <w:r w:rsidRPr="00980A19">
        <w:t>(</w:t>
      </w:r>
      <w:r>
        <w:rPr>
          <w:rStyle w:val="FootnoteReference"/>
          <w:rFonts w:cs="Times New Roman"/>
          <w:szCs w:val="16"/>
        </w:rPr>
        <w:footnoteRef/>
      </w:r>
      <w:r w:rsidRPr="00980A19">
        <w:t>)</w:t>
      </w:r>
      <w:r w:rsidRPr="00980A19">
        <w:tab/>
        <w:t>ISO-standard 14067:2018, «Greenhouse gases — Carbon footprint of products — Requirements and guidelines for quantification», utgave av 27.6.2023, finnes på: https://www.iso.org/standard/71206.html</w:t>
      </w:r>
    </w:p>
  </w:footnote>
  <w:footnote w:id="280">
    <w:p w14:paraId="30B203FD"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 xml:space="preserve">ISO-standard 14064-1:2018, «Greenhouse gases – Part 1: Specification with guidance at the organization level for quantification and reporting of greenhouse gas emissions and removals», </w:t>
      </w:r>
      <w:proofErr w:type="spellStart"/>
      <w:r w:rsidRPr="00770AA2">
        <w:rPr>
          <w:lang w:val="en-US"/>
        </w:rPr>
        <w:t>utgave</w:t>
      </w:r>
      <w:proofErr w:type="spellEnd"/>
      <w:r w:rsidRPr="00770AA2">
        <w:rPr>
          <w:lang w:val="en-US"/>
        </w:rPr>
        <w:t xml:space="preserve"> av 27.6.2023, </w:t>
      </w:r>
      <w:proofErr w:type="spellStart"/>
      <w:r w:rsidRPr="00770AA2">
        <w:rPr>
          <w:lang w:val="en-US"/>
        </w:rPr>
        <w:t>finnes</w:t>
      </w:r>
      <w:proofErr w:type="spellEnd"/>
      <w:r w:rsidRPr="00770AA2">
        <w:rPr>
          <w:lang w:val="en-US"/>
        </w:rPr>
        <w:t xml:space="preserve"> på: https://www.iso.org/standard/66453.html.</w:t>
      </w:r>
    </w:p>
  </w:footnote>
  <w:footnote w:id="281">
    <w:p w14:paraId="384FD79A"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 xml:space="preserve">«Joint Research Centre, Best Environmental Management Practice for the Public Administration Sector», 2019, </w:t>
      </w:r>
      <w:proofErr w:type="spellStart"/>
      <w:r w:rsidRPr="00770AA2">
        <w:rPr>
          <w:lang w:val="en-US"/>
        </w:rPr>
        <w:t>utgave</w:t>
      </w:r>
      <w:proofErr w:type="spellEnd"/>
      <w:r w:rsidRPr="00770AA2">
        <w:rPr>
          <w:lang w:val="en-US"/>
        </w:rPr>
        <w:t xml:space="preserve"> av 27.6.2023, </w:t>
      </w:r>
      <w:proofErr w:type="spellStart"/>
      <w:r w:rsidRPr="00770AA2">
        <w:rPr>
          <w:lang w:val="en-US"/>
        </w:rPr>
        <w:t>finnes</w:t>
      </w:r>
      <w:proofErr w:type="spellEnd"/>
      <w:r w:rsidRPr="00770AA2">
        <w:rPr>
          <w:lang w:val="en-US"/>
        </w:rPr>
        <w:t xml:space="preserve"> på: https://op.europa.eu/en/publication-detail/-/publication/6063f857-7789-11e9-9f05-01aa75ed71a1/language-en.</w:t>
      </w:r>
    </w:p>
  </w:footnote>
  <w:footnote w:id="282">
    <w:p w14:paraId="6A0F0EDA"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 xml:space="preserve">«ISO 14046:2014 «Environmental management – Water footprint – Principles, requirements and guidelines», </w:t>
      </w:r>
      <w:proofErr w:type="spellStart"/>
      <w:r w:rsidRPr="00770AA2">
        <w:rPr>
          <w:lang w:val="en-US"/>
        </w:rPr>
        <w:t>utgave</w:t>
      </w:r>
      <w:proofErr w:type="spellEnd"/>
      <w:r w:rsidRPr="00770AA2">
        <w:rPr>
          <w:lang w:val="en-US"/>
        </w:rPr>
        <w:t xml:space="preserve"> av 27.6.2023, </w:t>
      </w:r>
      <w:proofErr w:type="spellStart"/>
      <w:r w:rsidRPr="00770AA2">
        <w:rPr>
          <w:lang w:val="en-US"/>
        </w:rPr>
        <w:t>finnes</w:t>
      </w:r>
      <w:proofErr w:type="spellEnd"/>
      <w:r w:rsidRPr="00770AA2">
        <w:rPr>
          <w:lang w:val="en-US"/>
        </w:rPr>
        <w:t xml:space="preserve"> på: https://www.iso.org/standard/43263.html.</w:t>
      </w:r>
    </w:p>
  </w:footnote>
  <w:footnote w:id="283">
    <w:p w14:paraId="5EB9AE37"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 xml:space="preserve">«European Medicines Agency Guidelines on the environmental risk assessment of medicinal products for human use», </w:t>
      </w:r>
      <w:proofErr w:type="spellStart"/>
      <w:r w:rsidRPr="00770AA2">
        <w:rPr>
          <w:lang w:val="en-US"/>
        </w:rPr>
        <w:t>utgave</w:t>
      </w:r>
      <w:proofErr w:type="spellEnd"/>
      <w:r w:rsidRPr="00770AA2">
        <w:rPr>
          <w:lang w:val="en-US"/>
        </w:rPr>
        <w:t xml:space="preserve"> av 27.6.2023, </w:t>
      </w:r>
      <w:proofErr w:type="spellStart"/>
      <w:r w:rsidRPr="00770AA2">
        <w:rPr>
          <w:lang w:val="en-US"/>
        </w:rPr>
        <w:t>finnes</w:t>
      </w:r>
      <w:proofErr w:type="spellEnd"/>
      <w:r w:rsidRPr="00770AA2">
        <w:rPr>
          <w:lang w:val="en-US"/>
        </w:rPr>
        <w:t xml:space="preserve"> på: https://www.ema.europa.eu/en/environmental-risk-assessment-medicinal-products-human-use-scientific-guideline.</w:t>
      </w:r>
    </w:p>
  </w:footnote>
  <w:footnote w:id="284">
    <w:p w14:paraId="145D58D6"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Viktige metabolitter er humane metabolitter som sannsynligvis vil bli utskilt i miljøet. Disse metabolittene er identifisert i (ikke-)kliniske studier av legemidlers metabolisme som er tilgjengelige i søknadene om markedsføringstillatelse. Slike metabolitter skal identifiseres i henhold til EMA/CPMP/ICH/286/1995, side 8. Viktige omdanningsprodukter for disse viktige humane metabolittene av opprinnelige forbindelser (den aktive legemiddelbestanddelen) er de som overstiger 10 % av oppløst organisk karbon (DOC) eller totalt organisk karbon (TOC) i den opprinnelige forbindelsen.</w:t>
      </w:r>
    </w:p>
  </w:footnote>
  <w:footnote w:id="285">
    <w:p w14:paraId="5C25CFF3"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«OECD Guidelines for </w:t>
      </w:r>
      <w:proofErr w:type="spellStart"/>
      <w:r>
        <w:t>the</w:t>
      </w:r>
      <w:proofErr w:type="spellEnd"/>
      <w:r>
        <w:t xml:space="preserve"> Testing </w:t>
      </w:r>
      <w:proofErr w:type="spellStart"/>
      <w:r>
        <w:t>of</w:t>
      </w:r>
      <w:proofErr w:type="spellEnd"/>
      <w:r>
        <w:t xml:space="preserve"> Chemicals, Test 301 (A-F), </w:t>
      </w:r>
      <w:proofErr w:type="spellStart"/>
      <w:r>
        <w:t>Ready</w:t>
      </w:r>
      <w:proofErr w:type="spellEnd"/>
      <w:r>
        <w:t xml:space="preserve"> </w:t>
      </w:r>
      <w:proofErr w:type="spellStart"/>
      <w:r>
        <w:t>Biodegradability</w:t>
      </w:r>
      <w:proofErr w:type="spellEnd"/>
      <w:r>
        <w:t>», utgave av 27.6.2023, finnes på: https://www.oecd.org/chemicalsafety/risk-assessment/1948209.pdf. OECD-test nr. 301 (A-F) brukes til å identifisere stoffer som antas å være lett biologisk nedbrytbare og biologisk nedbrytbare på lang sikt, det vil si som mineraliseres under aerobe miljøforhold.</w:t>
      </w:r>
    </w:p>
  </w:footnote>
  <w:footnote w:id="286">
    <w:p w14:paraId="31A77EAF"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Studier på høyere nivå (OECD 308) gir resultater med såkalte halveringstider som viser når det er oppnådd 50 % biologisk nedbryting av den aktive legemiddelbestanddelen. Det er de halveringstidene som er akseptable for å påvise en tilstrekkelig rask biologisk nedbryting, det vil si ikke-persistens, i henhold til forordning (EF) nr. 1907/2006, vedlegg XIII, og som også er nevnt i Det europeiske legemiddelbyrås retningslinjer om miljørisikovurdering av legemidler for mennesker.</w:t>
      </w:r>
    </w:p>
  </w:footnote>
  <w:footnote w:id="287">
    <w:p w14:paraId="01B3DE83"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 xml:space="preserve">«OECD Guidelines for the Testing of Chemicals, Test No 308: Aerobic and Anaerobic Transformation in Aquatic Sediment Systems», </w:t>
      </w:r>
      <w:proofErr w:type="spellStart"/>
      <w:r w:rsidRPr="00770AA2">
        <w:rPr>
          <w:lang w:val="en-US"/>
        </w:rPr>
        <w:t>utgave</w:t>
      </w:r>
      <w:proofErr w:type="spellEnd"/>
      <w:r w:rsidRPr="00770AA2">
        <w:rPr>
          <w:lang w:val="en-US"/>
        </w:rPr>
        <w:t xml:space="preserve"> av 27.6.2023, </w:t>
      </w:r>
      <w:proofErr w:type="spellStart"/>
      <w:r w:rsidRPr="00770AA2">
        <w:rPr>
          <w:lang w:val="en-US"/>
        </w:rPr>
        <w:t>finnes</w:t>
      </w:r>
      <w:proofErr w:type="spellEnd"/>
      <w:r w:rsidRPr="00770AA2">
        <w:rPr>
          <w:lang w:val="en-US"/>
        </w:rPr>
        <w:t xml:space="preserve"> på: https://www.oecd-ilibrary.org/environment/test-no-308-aerobic-and-anaerobic-transformation-in-aquatic-sediment-systems_9789264070523-en.</w:t>
      </w:r>
    </w:p>
  </w:footnote>
  <w:footnote w:id="288">
    <w:p w14:paraId="6C6C0062"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Kommisjonen vil gjennomgå unntakene fra forbudet mot å produsere, bringe i omsetning eller bruke stoffene nevnt i bokstav f) og g) når den har offentliggjort horisontale prinsipper om vesentlig anvendelse av kjemikalier.</w:t>
      </w:r>
    </w:p>
  </w:footnote>
  <w:footnote w:id="289">
    <w:p w14:paraId="0657A3AC"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Kravene i dette nummeret gjelder de forurensende stoffene som er identifisert i de viktigste miljøspørsmålene i hvert referansedokument om beste tilgjengelige teknikker (BREF), eller de utslippsnivåene som er forbundet med beste tilgjengelige teknikker (BAT-AEL) i de relevante BAT-konklusjonene i Kommisjonens gjennomføringsbeslutninger. Dersom utslippsnivåer som er forbundet med beste tilgjengelige teknikker (BAT-AEL), skiller mellom «eksisterende» og «nye anlegg», viser aktivitetsutøverne at utslippsnivåer som er forbundet med beste tilgjengelige teknikker (BAT-AEL), følges for nye anlegg. Når det ikke finnes et intervall for utslippsnivåer som er forbundet med beste tilgjengelige teknikker (BAT-AEL), men én enkelt verdi, ligger utslippsnivåene under denne verdien. Når intervallet for utslippsnivåer som er forbundet med beste tilgjengelige teknikker (BAT-AEL), uttrykkes på følgende måte: «&lt;x-y-enhet» (det vil si at intervallets nedre grense uttrykkes som «lavere enn»), beregnes midtpunktet ved hjelp av x og y. Gjennomsnittsperiodene er de samme som i utslippsnivåene som er forbundet med beste tilgjengelige teknikker (BAT-AEL) i referansedokumentene om beste tilgjengelige teknikker (BREF) som er beskrevet ovenfor.</w:t>
      </w:r>
    </w:p>
  </w:footnote>
  <w:footnote w:id="290">
    <w:p w14:paraId="6B2EAF76"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r>
      <w:proofErr w:type="spellStart"/>
      <w:r w:rsidRPr="00770AA2">
        <w:rPr>
          <w:lang w:val="en-US"/>
        </w:rPr>
        <w:t>Gjennomføringsbeslutning</w:t>
      </w:r>
      <w:proofErr w:type="spellEnd"/>
      <w:r w:rsidRPr="00770AA2">
        <w:rPr>
          <w:lang w:val="en-US"/>
        </w:rPr>
        <w:t xml:space="preserve"> (EU) 2022/2427.</w:t>
      </w:r>
    </w:p>
  </w:footnote>
  <w:footnote w:id="291">
    <w:p w14:paraId="790E219F"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«The Best Available Techniques Reference Document (BREF) for Manufacture of Organic Fine Chemicals» (</w:t>
      </w:r>
      <w:proofErr w:type="spellStart"/>
      <w:r w:rsidRPr="00770AA2">
        <w:rPr>
          <w:lang w:val="en-US"/>
        </w:rPr>
        <w:t>utgave</w:t>
      </w:r>
      <w:proofErr w:type="spellEnd"/>
      <w:r w:rsidRPr="00770AA2">
        <w:rPr>
          <w:lang w:val="en-US"/>
        </w:rPr>
        <w:t xml:space="preserve"> av 27.6.2023: https://eippcb.jrc.ec.europa.eu/sites/default/files/2019-11/ofc_bref_0806.pdf).</w:t>
      </w:r>
    </w:p>
  </w:footnote>
  <w:footnote w:id="292">
    <w:p w14:paraId="2E2CD65C"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r>
      <w:proofErr w:type="spellStart"/>
      <w:r w:rsidRPr="00770AA2">
        <w:rPr>
          <w:lang w:val="en-US"/>
        </w:rPr>
        <w:t>Gjennomføringsbeslutning</w:t>
      </w:r>
      <w:proofErr w:type="spellEnd"/>
      <w:r w:rsidRPr="00770AA2">
        <w:rPr>
          <w:lang w:val="en-US"/>
        </w:rPr>
        <w:t xml:space="preserve"> (EU) 2016/902.</w:t>
      </w:r>
    </w:p>
  </w:footnote>
  <w:footnote w:id="293">
    <w:p w14:paraId="09285C2B" w14:textId="3C3A942E"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w:t>
      </w:r>
      <w:r w:rsidR="00AA4B61">
        <w:rPr>
          <w:lang w:val="en-US"/>
        </w:rPr>
        <w:t xml:space="preserve">The </w:t>
      </w:r>
      <w:r w:rsidRPr="00770AA2">
        <w:rPr>
          <w:lang w:val="en-US"/>
        </w:rPr>
        <w:t>Best Available Techniques (BAT) Reference Document for the Large Volumes Inorganic Chemicals – Solids and Others industry» (</w:t>
      </w:r>
      <w:proofErr w:type="spellStart"/>
      <w:r w:rsidRPr="00770AA2">
        <w:rPr>
          <w:lang w:val="en-US"/>
        </w:rPr>
        <w:t>utgave</w:t>
      </w:r>
      <w:proofErr w:type="spellEnd"/>
      <w:r w:rsidRPr="00770AA2">
        <w:rPr>
          <w:lang w:val="en-US"/>
        </w:rPr>
        <w:t xml:space="preserve"> av 27.6.2023: https://eippcb.jrc.ec.europa.eu/sites/default/files/2019-11/lvic-s_bref_0907.pdf).</w:t>
      </w:r>
    </w:p>
  </w:footnote>
  <w:footnote w:id="294">
    <w:p w14:paraId="6C64A1CE"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 xml:space="preserve">«The Best Available Techniques (BAT) Reference Document for the manufacture of Large Volume Inorganic Chemicals – Ammonia, Acids and </w:t>
      </w:r>
      <w:proofErr w:type="spellStart"/>
      <w:r w:rsidRPr="00770AA2">
        <w:rPr>
          <w:lang w:val="en-US"/>
        </w:rPr>
        <w:t>Fertilisers</w:t>
      </w:r>
      <w:proofErr w:type="spellEnd"/>
      <w:r w:rsidRPr="00770AA2">
        <w:rPr>
          <w:lang w:val="en-US"/>
        </w:rPr>
        <w:t>» (</w:t>
      </w:r>
      <w:proofErr w:type="spellStart"/>
      <w:r w:rsidRPr="00770AA2">
        <w:rPr>
          <w:lang w:val="en-US"/>
        </w:rPr>
        <w:t>utgave</w:t>
      </w:r>
      <w:proofErr w:type="spellEnd"/>
      <w:r w:rsidRPr="00770AA2">
        <w:rPr>
          <w:lang w:val="en-US"/>
        </w:rPr>
        <w:t xml:space="preserve"> av 27.6.2023: https://eippcb.jrc.ec.europa.eu/sites/default/files/2019-11/lvic_aaf.pdf).</w:t>
      </w:r>
    </w:p>
  </w:footnote>
  <w:footnote w:id="295">
    <w:p w14:paraId="6BA040E9"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 xml:space="preserve">«The Best Available Techniques Reference Document (BREF) for the production of </w:t>
      </w:r>
      <w:proofErr w:type="spellStart"/>
      <w:r w:rsidRPr="00770AA2">
        <w:rPr>
          <w:lang w:val="en-US"/>
        </w:rPr>
        <w:t>speciality</w:t>
      </w:r>
      <w:proofErr w:type="spellEnd"/>
      <w:r w:rsidRPr="00770AA2">
        <w:rPr>
          <w:lang w:val="en-US"/>
        </w:rPr>
        <w:t xml:space="preserve"> inorganic chemicals (SIC)» (</w:t>
      </w:r>
      <w:proofErr w:type="spellStart"/>
      <w:r w:rsidRPr="00770AA2">
        <w:rPr>
          <w:lang w:val="en-US"/>
        </w:rPr>
        <w:t>utgave</w:t>
      </w:r>
      <w:proofErr w:type="spellEnd"/>
      <w:r w:rsidRPr="00770AA2">
        <w:rPr>
          <w:lang w:val="en-US"/>
        </w:rPr>
        <w:t xml:space="preserve"> av 27.6.2023: https://eippcb.jrc.ec.europa.eu/reference/production-speciality-inorganic-chemicals).</w:t>
      </w:r>
    </w:p>
  </w:footnote>
  <w:footnote w:id="296">
    <w:p w14:paraId="7DE72C31"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Det europeiske legemiddelbyrå, «ICH guideline Q3C (R8) </w:t>
      </w:r>
      <w:proofErr w:type="spellStart"/>
      <w:r>
        <w:t>on</w:t>
      </w:r>
      <w:proofErr w:type="spellEnd"/>
      <w:r>
        <w:t xml:space="preserve"> </w:t>
      </w:r>
      <w:proofErr w:type="spellStart"/>
      <w:r>
        <w:t>impurities</w:t>
      </w:r>
      <w:proofErr w:type="spellEnd"/>
      <w:r>
        <w:t xml:space="preserve">: guideline for residual solvents. </w:t>
      </w:r>
      <w:proofErr w:type="spellStart"/>
      <w:r>
        <w:t>Step</w:t>
      </w:r>
      <w:proofErr w:type="spellEnd"/>
      <w:r>
        <w:t xml:space="preserve"> 5, 2022» (utgave av 27.6.2023, finnes på: https://www.ema.europa.eu/en/documents/scientific-guideline/international-conference-harmonisation-technical-requirements-registration-pharmaceuticals-human-use_en-33.pdf).</w:t>
      </w:r>
    </w:p>
  </w:footnote>
  <w:footnote w:id="297">
    <w:p w14:paraId="28975641"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Dersom unntaket i henhold til kriterium 1.3 får anvendelse.</w:t>
      </w:r>
    </w:p>
  </w:footnote>
  <w:footnote w:id="298">
    <w:p w14:paraId="50D4B83B" w14:textId="77777777" w:rsidR="006561BA" w:rsidRPr="00980A19" w:rsidRDefault="005B4ED6">
      <w:pPr>
        <w:pStyle w:val="AnnexTableGrNotes"/>
        <w:spacing w:line="200" w:lineRule="exact"/>
        <w:ind w:left="300" w:hanging="300"/>
        <w:rPr>
          <w:rFonts w:cs="Times New Roman"/>
          <w:szCs w:val="16"/>
        </w:rPr>
      </w:pPr>
      <w:r w:rsidRPr="00980A19">
        <w:t>(</w:t>
      </w:r>
      <w:r>
        <w:rPr>
          <w:rStyle w:val="FootnoteReference"/>
          <w:rFonts w:cs="Times New Roman"/>
          <w:szCs w:val="16"/>
        </w:rPr>
        <w:footnoteRef/>
      </w:r>
      <w:r w:rsidRPr="00980A19">
        <w:t>)</w:t>
      </w:r>
      <w:r w:rsidRPr="00980A19">
        <w:tab/>
        <w:t>ISO-standard 14067:2018, «Greenhouse gases — Carbon footprint of products — Requirements and guidelines for quantification», utgave av 27.6.2023, finnes på: https://www.iso.org/standard/71206.html</w:t>
      </w:r>
    </w:p>
  </w:footnote>
  <w:footnote w:id="299">
    <w:p w14:paraId="0BAC8741"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 xml:space="preserve">ISO-standard 14064-1:2018, «Greenhouse gases – Part 1: Specification with guidance at the organization level for quantification and reporting of greenhouse gas emissions and removals», </w:t>
      </w:r>
      <w:proofErr w:type="spellStart"/>
      <w:r w:rsidRPr="00770AA2">
        <w:rPr>
          <w:lang w:val="en-US"/>
        </w:rPr>
        <w:t>utgave</w:t>
      </w:r>
      <w:proofErr w:type="spellEnd"/>
      <w:r w:rsidRPr="00770AA2">
        <w:rPr>
          <w:lang w:val="en-US"/>
        </w:rPr>
        <w:t xml:space="preserve"> av 27.6.2023, </w:t>
      </w:r>
      <w:proofErr w:type="spellStart"/>
      <w:r w:rsidRPr="00770AA2">
        <w:rPr>
          <w:lang w:val="en-US"/>
        </w:rPr>
        <w:t>finnes</w:t>
      </w:r>
      <w:proofErr w:type="spellEnd"/>
      <w:r w:rsidRPr="00770AA2">
        <w:rPr>
          <w:lang w:val="en-US"/>
        </w:rPr>
        <w:t xml:space="preserve"> på: https://www.iso.org/standard/66453.html.</w:t>
      </w:r>
    </w:p>
  </w:footnote>
  <w:footnote w:id="300">
    <w:p w14:paraId="74CD7797"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 xml:space="preserve">«Joint Research Centre, Best Environmental Management Practice for the Public Administration Sector», 2019, </w:t>
      </w:r>
      <w:proofErr w:type="spellStart"/>
      <w:r w:rsidRPr="00770AA2">
        <w:rPr>
          <w:lang w:val="en-US"/>
        </w:rPr>
        <w:t>utgave</w:t>
      </w:r>
      <w:proofErr w:type="spellEnd"/>
      <w:r w:rsidRPr="00770AA2">
        <w:rPr>
          <w:lang w:val="en-US"/>
        </w:rPr>
        <w:t xml:space="preserve"> av 27.6.2023, </w:t>
      </w:r>
      <w:proofErr w:type="spellStart"/>
      <w:r w:rsidRPr="00770AA2">
        <w:rPr>
          <w:lang w:val="en-US"/>
        </w:rPr>
        <w:t>finnes</w:t>
      </w:r>
      <w:proofErr w:type="spellEnd"/>
      <w:r w:rsidRPr="00770AA2">
        <w:rPr>
          <w:lang w:val="en-US"/>
        </w:rPr>
        <w:t xml:space="preserve"> på: https://op.europa.eu/en/publication-detail/-/publication/6063f857-7789-11e9-9f05-01aa75ed71a1/language-en.</w:t>
      </w:r>
    </w:p>
  </w:footnote>
  <w:footnote w:id="301">
    <w:p w14:paraId="0971D7CA"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 xml:space="preserve">«ISO 14046:2014 «Environmental management – Water footprint – Principles, requirements and guidelines», </w:t>
      </w:r>
      <w:proofErr w:type="spellStart"/>
      <w:r w:rsidRPr="00770AA2">
        <w:rPr>
          <w:lang w:val="en-US"/>
        </w:rPr>
        <w:t>utgave</w:t>
      </w:r>
      <w:proofErr w:type="spellEnd"/>
      <w:r w:rsidRPr="00770AA2">
        <w:rPr>
          <w:lang w:val="en-US"/>
        </w:rPr>
        <w:t xml:space="preserve"> av 27.6.2023, </w:t>
      </w:r>
      <w:proofErr w:type="spellStart"/>
      <w:r w:rsidRPr="00770AA2">
        <w:rPr>
          <w:lang w:val="en-US"/>
        </w:rPr>
        <w:t>finnes</w:t>
      </w:r>
      <w:proofErr w:type="spellEnd"/>
      <w:r w:rsidRPr="00770AA2">
        <w:rPr>
          <w:lang w:val="en-US"/>
        </w:rPr>
        <w:t xml:space="preserve"> på: https://www.iso.org/standard/43263.html.</w:t>
      </w:r>
    </w:p>
  </w:footnote>
  <w:footnote w:id="302">
    <w:p w14:paraId="6F7024A4" w14:textId="77777777" w:rsidR="006561BA" w:rsidRDefault="005B4ED6">
      <w:pPr>
        <w:pStyle w:val="FootnoteText"/>
        <w:rPr>
          <w:rFonts w:cs="Times New Roman"/>
          <w:szCs w:val="16"/>
        </w:rPr>
      </w:pPr>
      <w:r>
        <w:t>(</w:t>
      </w:r>
      <w:r>
        <w:rPr>
          <w:rStyle w:val="FootnoteReference"/>
          <w:rFonts w:cs="Times New Roman"/>
          <w:szCs w:val="16"/>
        </w:rPr>
        <w:footnoteRef/>
      </w:r>
      <w:r>
        <w:t>)</w:t>
      </w:r>
      <w:r>
        <w:tab/>
        <w:t>Med «farlig avfall» menes avfall som har en eller flere av de farlige egenskapene som er oppført i vedlegg III til direktiv 2008/98/EF. Det omfatter strømmer som fraksjoner av farlig avfall som er generert av husholdninger, spilloljer, batterier, ikke-forurenset avfall fra elektrisk og elektronisk utstyr (WEE), ikke-forurensede kasserte kjøretøyer, avfall fra helsesektoren, som for eksempel smittefarlig og cytotoksisk avfall osv. En omfattende klassifisering av farlig avfall finnes i den europeiske listen over avfall (opprettet ved kommisjonsvedtak 2000/532/EF).</w:t>
      </w:r>
    </w:p>
  </w:footnote>
  <w:footnote w:id="303">
    <w:p w14:paraId="3C3A93A0"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Utgave av 27.6.2023, finnes på: https://unece.org/transport/standards/transport/dangerous-goods/adr-2023-agreement-concerning-international-carriage.</w:t>
      </w:r>
    </w:p>
  </w:footnote>
  <w:footnote w:id="304">
    <w:p w14:paraId="2E3E3845"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I samsvar med forordning (EU) 2018/858.</w:t>
      </w:r>
    </w:p>
  </w:footnote>
  <w:footnote w:id="305">
    <w:p w14:paraId="24016C0F"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CLC/EN 50625-1: 2014 «Collection, logistics &amp; Treatment requirements for WEEE – Part 1: General treatment requirements».</w:t>
      </w:r>
    </w:p>
  </w:footnote>
  <w:footnote w:id="306">
    <w:p w14:paraId="659B4FBE"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«Collection, logistics &amp; treatment requirements for WEEE – Part 4: Specification for the collection and logistics associated with WEEE».</w:t>
      </w:r>
    </w:p>
  </w:footnote>
  <w:footnote w:id="307">
    <w:p w14:paraId="124F1321"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Gjennomføringsbeslutning (EU) 2018/1147.</w:t>
      </w:r>
    </w:p>
  </w:footnote>
  <w:footnote w:id="308">
    <w:p w14:paraId="7E9D8A10"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Med «gjenvinnbart avfall» menes avfall som kan gjenvinnes i samsvar med artikkel 3 nr. 17 i direktiv 2008/98/EF.</w:t>
      </w:r>
    </w:p>
  </w:footnote>
  <w:footnote w:id="309">
    <w:p w14:paraId="7CC6870A" w14:textId="77777777" w:rsidR="006561BA" w:rsidRPr="00980A19" w:rsidRDefault="005B4ED6">
      <w:pPr>
        <w:pStyle w:val="FootnoteText"/>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Med «ikke-gjenvinnbart avfall» menes avfall som ikke kan gjenvinnes i samsvar med artikkel 3 nr. 17 i direktiv 2008/98/EF.</w:t>
      </w:r>
    </w:p>
  </w:footnote>
  <w:footnote w:id="310">
    <w:p w14:paraId="673774F4" w14:textId="77777777" w:rsidR="006561BA" w:rsidRPr="00980A19" w:rsidRDefault="005B4ED6">
      <w:pPr>
        <w:pStyle w:val="FootnoteText"/>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Som fastsatt i vedlegg I til direktiv 2008/98/EF.</w:t>
      </w:r>
    </w:p>
  </w:footnote>
  <w:footnote w:id="311">
    <w:p w14:paraId="558EAB40"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Gjennomføringsbeslutning (EU) 2018/1147.</w:t>
      </w:r>
    </w:p>
  </w:footnote>
  <w:footnote w:id="312">
    <w:p w14:paraId="5D4CA4B1"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Kommisjonens gjennomføringsbeslutning (EU) 2019/2010 av 12. november 2019 om fastsettelse av konklusjoner om beste tilgjengelige teknikker (BAT) for avfallsforbrenning i henhold til europaparlaments- og rådsdirektiv 2010/75/EU (EUT L 312 av 3.12.2019, s. 55).</w:t>
      </w:r>
    </w:p>
  </w:footnote>
  <w:footnote w:id="313">
    <w:p w14:paraId="60571076"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EN 14899:2005 «Characterization of waste – Sampling of waste materials – Framework for the preparation and application of a Sampling Plan».</w:t>
      </w:r>
    </w:p>
  </w:footnote>
  <w:footnote w:id="314">
    <w:p w14:paraId="071F69DE"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EN 12457-2:2002 «</w:t>
      </w:r>
      <w:proofErr w:type="spellStart"/>
      <w:r w:rsidRPr="00770AA2">
        <w:rPr>
          <w:lang w:val="en-US"/>
        </w:rPr>
        <w:t>Characterisation</w:t>
      </w:r>
      <w:proofErr w:type="spellEnd"/>
      <w:r w:rsidRPr="00770AA2">
        <w:rPr>
          <w:lang w:val="en-US"/>
        </w:rPr>
        <w:t xml:space="preserve"> of waste – Leaching – Compliance test for leaching of granular waste materials and sludges – Part 2: One stage batch test at a liquid to solid ratio of 10 l/kg for materials with particle size below 4 mm (without or with size reduction)».</w:t>
      </w:r>
    </w:p>
  </w:footnote>
  <w:footnote w:id="315">
    <w:p w14:paraId="5B2D2BCF"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EN ISO 9888:1999 «Water quality – Evaluation of ultimate aerobic biodegradability of organic compounds in aqueous medium – Static test (Zahn-Wellens method)» (</w:t>
      </w:r>
      <w:proofErr w:type="spellStart"/>
      <w:r w:rsidRPr="00770AA2">
        <w:rPr>
          <w:lang w:val="en-US"/>
        </w:rPr>
        <w:t>utgave</w:t>
      </w:r>
      <w:proofErr w:type="spellEnd"/>
      <w:r w:rsidRPr="00770AA2">
        <w:rPr>
          <w:lang w:val="en-US"/>
        </w:rPr>
        <w:t xml:space="preserve"> av 27.6.2023, </w:t>
      </w:r>
      <w:proofErr w:type="spellStart"/>
      <w:r w:rsidRPr="00770AA2">
        <w:rPr>
          <w:lang w:val="en-US"/>
        </w:rPr>
        <w:t>finnes</w:t>
      </w:r>
      <w:proofErr w:type="spellEnd"/>
      <w:r w:rsidRPr="00770AA2">
        <w:rPr>
          <w:lang w:val="en-US"/>
        </w:rPr>
        <w:t xml:space="preserve"> på: https://www.iso.org/standard/28121.html).</w:t>
      </w:r>
    </w:p>
  </w:footnote>
  <w:footnote w:id="316">
    <w:p w14:paraId="6EF68CF2"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Europaparlaments- og rådsforordning (EF) nr. 1013/2006 av 14. juni 2006 om overføring av avfall (EUT L 190 av 12.7.2006, s. 1).</w:t>
      </w:r>
    </w:p>
  </w:footnote>
  <w:footnote w:id="317">
    <w:p w14:paraId="038A1D93"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Med «kvikksølvholdig avfall» menes avfall som består av, inneholder eller er forurenset med kvikksølv eller kvikksølvforbindelser.</w:t>
      </w:r>
    </w:p>
  </w:footnote>
  <w:footnote w:id="318">
    <w:p w14:paraId="649D350A"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 xml:space="preserve">WHO, «Safe management of wastes from health-care activities», 2. </w:t>
      </w:r>
      <w:proofErr w:type="spellStart"/>
      <w:r w:rsidRPr="00770AA2">
        <w:rPr>
          <w:lang w:val="en-US"/>
        </w:rPr>
        <w:t>utgave</w:t>
      </w:r>
      <w:proofErr w:type="spellEnd"/>
      <w:r w:rsidRPr="00770AA2">
        <w:rPr>
          <w:lang w:val="en-US"/>
        </w:rPr>
        <w:t>, 2014 (</w:t>
      </w:r>
      <w:proofErr w:type="spellStart"/>
      <w:r w:rsidRPr="00770AA2">
        <w:rPr>
          <w:lang w:val="en-US"/>
        </w:rPr>
        <w:t>utgave</w:t>
      </w:r>
      <w:proofErr w:type="spellEnd"/>
      <w:r w:rsidRPr="00770AA2">
        <w:rPr>
          <w:lang w:val="en-US"/>
        </w:rPr>
        <w:t xml:space="preserve"> av 27.6.2023, </w:t>
      </w:r>
      <w:proofErr w:type="spellStart"/>
      <w:r w:rsidRPr="00770AA2">
        <w:rPr>
          <w:lang w:val="en-US"/>
        </w:rPr>
        <w:t>finnes</w:t>
      </w:r>
      <w:proofErr w:type="spellEnd"/>
      <w:r w:rsidRPr="00770AA2">
        <w:rPr>
          <w:lang w:val="en-US"/>
        </w:rPr>
        <w:t xml:space="preserve"> </w:t>
      </w:r>
      <w:proofErr w:type="spellStart"/>
      <w:r w:rsidRPr="00770AA2">
        <w:rPr>
          <w:lang w:val="en-US"/>
        </w:rPr>
        <w:t>på</w:t>
      </w:r>
      <w:proofErr w:type="spellEnd"/>
      <w:r w:rsidRPr="00770AA2">
        <w:rPr>
          <w:lang w:val="en-US"/>
        </w:rPr>
        <w:t>: https://www.euro.who.int/__data/assets/pdf_file/0012/268779/Safe-management-of-wastes-from-health-care-activities-Eng.pdf).</w:t>
      </w:r>
    </w:p>
  </w:footnote>
  <w:footnote w:id="319">
    <w:p w14:paraId="7E08BA03" w14:textId="77777777" w:rsidR="006561BA" w:rsidRPr="00980A19" w:rsidRDefault="005B4ED6">
      <w:pPr>
        <w:pStyle w:val="AnnexTableGrNotes"/>
        <w:spacing w:line="200" w:lineRule="exact"/>
        <w:ind w:left="300" w:hanging="300"/>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Gjennomføringsbeslutning (EU) 2018/1147.</w:t>
      </w:r>
    </w:p>
  </w:footnote>
  <w:footnote w:id="320">
    <w:p w14:paraId="2FD50F2F" w14:textId="77777777" w:rsidR="006561BA" w:rsidRPr="00980A19" w:rsidRDefault="005B4ED6">
      <w:pPr>
        <w:pStyle w:val="FootnoteText"/>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Begrepet «deponi» er definert i rådsdirektiv 1999/31/EF av 26. april 1999 om deponering av avfall (EFT L 182 av 16.7.1999, s. 1) som et «avfallsanlegg for deponering av avfall på eller i jorden (det vil si underjordisk»), herunder både ikke-farlig og farlig avfall.</w:t>
      </w:r>
    </w:p>
    <w:p w14:paraId="1BB44EED" w14:textId="77777777" w:rsidR="006561BA" w:rsidRDefault="005B4ED6">
      <w:pPr>
        <w:pStyle w:val="AnnexNormal"/>
        <w:spacing w:after="0" w:line="200" w:lineRule="exact"/>
        <w:ind w:left="300"/>
        <w:rPr>
          <w:rFonts w:cs="Times New Roman"/>
          <w:sz w:val="16"/>
          <w:szCs w:val="16"/>
        </w:rPr>
      </w:pPr>
      <w:r>
        <w:rPr>
          <w:sz w:val="16"/>
        </w:rPr>
        <w:t>Et deponi «som ikke overholder de rettslige kravene», er et deponi som ikke oppfyller de driftsmessige og tekniske kravene som er definert i relevant EU-lovgivning eller nasjonal lovgivning.</w:t>
      </w:r>
    </w:p>
  </w:footnote>
  <w:footnote w:id="321">
    <w:p w14:paraId="6F448D32" w14:textId="77777777" w:rsidR="006561BA" w:rsidRDefault="005B4ED6">
      <w:pPr>
        <w:pStyle w:val="FootnoteText"/>
        <w:rPr>
          <w:rFonts w:cs="Times New Roman"/>
          <w:szCs w:val="16"/>
        </w:rPr>
      </w:pPr>
      <w:r>
        <w:t>(</w:t>
      </w:r>
      <w:r>
        <w:rPr>
          <w:rStyle w:val="FootnoteReference"/>
          <w:rFonts w:cs="Times New Roman"/>
          <w:szCs w:val="16"/>
        </w:rPr>
        <w:footnoteRef/>
      </w:r>
      <w:r>
        <w:t>)</w:t>
      </w:r>
      <w:r>
        <w:tab/>
        <w:t>Et «avfallsdeponi» er et område som brukes til sluttbehandling av avfall, og som ikke er utstyrt med systemer for bekjempelse av forurensning.</w:t>
      </w:r>
    </w:p>
  </w:footnote>
  <w:footnote w:id="322">
    <w:p w14:paraId="33E9B2B9" w14:textId="75BBD149" w:rsidR="006561BA" w:rsidRDefault="005B4ED6">
      <w:pPr>
        <w:pStyle w:val="FootnoteText"/>
        <w:rPr>
          <w:rFonts w:cs="Times New Roman"/>
          <w:szCs w:val="16"/>
        </w:rPr>
      </w:pPr>
      <w:r>
        <w:t>(</w:t>
      </w:r>
      <w:r>
        <w:rPr>
          <w:rStyle w:val="FootnoteReference"/>
          <w:rFonts w:cs="Times New Roman"/>
          <w:szCs w:val="16"/>
        </w:rPr>
        <w:footnoteRef/>
      </w:r>
      <w:r>
        <w:t>)</w:t>
      </w:r>
      <w:r>
        <w:tab/>
        <w:t>Med «utslipp</w:t>
      </w:r>
      <w:r w:rsidR="0071038E">
        <w:t>»</w:t>
      </w:r>
      <w:r>
        <w:t xml:space="preserve"> menes utslipp i miljøet som følge av menneskelige aktiviteter, av stoffer, preparater, organismer eller mikroorganismer (som fastsatt i artikkel 2 i europaparlaments- og rådsdirektiv 2004/35/EF av 21. april 2004 om miljøansvar med hensyn til forebygging og utbedring av miljøskader (EUT L 143 av 30.4.2004, s. 56).</w:t>
      </w:r>
    </w:p>
  </w:footnote>
  <w:footnote w:id="323">
    <w:p w14:paraId="277A2AEA" w14:textId="77777777" w:rsidR="006561BA" w:rsidRDefault="005B4ED6">
      <w:pPr>
        <w:pStyle w:val="FootnoteText"/>
        <w:rPr>
          <w:rFonts w:cs="Times New Roman"/>
          <w:szCs w:val="16"/>
        </w:rPr>
      </w:pPr>
      <w:r>
        <w:t>(</w:t>
      </w:r>
      <w:r>
        <w:rPr>
          <w:rStyle w:val="FootnoteReference"/>
          <w:rFonts w:cs="Times New Roman"/>
          <w:szCs w:val="16"/>
        </w:rPr>
        <w:footnoteRef/>
      </w:r>
      <w:r>
        <w:t>)</w:t>
      </w:r>
      <w:r>
        <w:tab/>
        <w:t>Rådsdirektiv 1999/31/EF av 26. april 1999 om deponering av avfall (EFT L 182 av 16.7.1999, s. 1).</w:t>
      </w:r>
    </w:p>
  </w:footnote>
  <w:footnote w:id="324">
    <w:p w14:paraId="14CD2655" w14:textId="77777777" w:rsidR="006561BA" w:rsidRDefault="005B4ED6">
      <w:pPr>
        <w:pStyle w:val="FootnoteText"/>
        <w:rPr>
          <w:rFonts w:cs="Times New Roman"/>
          <w:szCs w:val="16"/>
        </w:rPr>
      </w:pPr>
      <w:r>
        <w:t>(</w:t>
      </w:r>
      <w:r>
        <w:rPr>
          <w:rStyle w:val="FootnoteReference"/>
          <w:rFonts w:cs="Times New Roman"/>
          <w:szCs w:val="16"/>
        </w:rPr>
        <w:footnoteRef/>
      </w:r>
      <w:r>
        <w:t>)</w:t>
      </w:r>
      <w:r>
        <w:tab/>
        <w:t>For eksempel de retningslinjene for drift av deponier som er offentliggjort av «International Solid Waste Association (ISWA)».</w:t>
      </w:r>
    </w:p>
  </w:footnote>
  <w:footnote w:id="325">
    <w:p w14:paraId="1D443DC2" w14:textId="77777777" w:rsidR="006561BA" w:rsidRPr="00980A19" w:rsidRDefault="005B4ED6">
      <w:pPr>
        <w:pStyle w:val="AnnexTableGrNotes"/>
        <w:spacing w:line="200" w:lineRule="exact"/>
        <w:ind w:left="300" w:hanging="300"/>
        <w:rPr>
          <w:rFonts w:cs="Times New Roman"/>
          <w:szCs w:val="16"/>
          <w:lang w:val="nn-NO"/>
        </w:rPr>
      </w:pPr>
      <w:r w:rsidRPr="00980A19">
        <w:rPr>
          <w:lang w:val="nn-NO"/>
        </w:rPr>
        <w:t>(</w:t>
      </w:r>
      <w:r>
        <w:rPr>
          <w:rStyle w:val="FootnoteReference"/>
          <w:rFonts w:cs="Times New Roman"/>
          <w:szCs w:val="16"/>
        </w:rPr>
        <w:footnoteRef/>
      </w:r>
      <w:r w:rsidRPr="00980A19">
        <w:rPr>
          <w:lang w:val="nn-NO"/>
        </w:rPr>
        <w:t>)</w:t>
      </w:r>
      <w:r w:rsidRPr="00980A19">
        <w:rPr>
          <w:lang w:val="nn-NO"/>
        </w:rPr>
        <w:tab/>
        <w:t>Som definert i artikkel 2 nr. 6 i direktiv 2004/35/EF.</w:t>
      </w:r>
    </w:p>
  </w:footnote>
  <w:footnote w:id="326">
    <w:p w14:paraId="5E01FBC3" w14:textId="77777777" w:rsidR="006561BA" w:rsidRPr="00980A19" w:rsidRDefault="005B4ED6">
      <w:pPr>
        <w:pStyle w:val="AnnexTableGrNotes"/>
        <w:spacing w:line="200" w:lineRule="exact"/>
        <w:ind w:left="300" w:hanging="300"/>
        <w:rPr>
          <w:rFonts w:cs="Times New Roman"/>
          <w:szCs w:val="16"/>
          <w:lang w:val="nn-NO"/>
        </w:rPr>
      </w:pPr>
      <w:r w:rsidRPr="00980A19">
        <w:rPr>
          <w:lang w:val="nn-NO"/>
        </w:rPr>
        <w:t>(</w:t>
      </w:r>
      <w:r>
        <w:rPr>
          <w:rStyle w:val="FootnoteReference"/>
          <w:rFonts w:cs="Times New Roman"/>
          <w:szCs w:val="16"/>
        </w:rPr>
        <w:footnoteRef/>
      </w:r>
      <w:r w:rsidRPr="00980A19">
        <w:rPr>
          <w:lang w:val="nn-NO"/>
        </w:rPr>
        <w:t>)</w:t>
      </w:r>
      <w:r w:rsidRPr="00980A19">
        <w:rPr>
          <w:lang w:val="nn-NO"/>
        </w:rPr>
        <w:tab/>
        <w:t>Europaparlaments- og rådsdirektiv 2004/35/EF av 21. april 2004 om miljøansvar med hensyn til forebygging og utbedring av miljøskader (EUT L 143 av 30.4.2004, s. 56).</w:t>
      </w:r>
    </w:p>
  </w:footnote>
  <w:footnote w:id="327">
    <w:p w14:paraId="0D246233" w14:textId="77777777" w:rsidR="006561BA" w:rsidRPr="00980A19" w:rsidRDefault="005B4ED6">
      <w:pPr>
        <w:pStyle w:val="AnnexTableGrNotes"/>
        <w:spacing w:line="200" w:lineRule="exact"/>
        <w:ind w:left="300" w:hanging="300"/>
        <w:rPr>
          <w:rFonts w:cs="Times New Roman"/>
          <w:szCs w:val="16"/>
          <w:lang w:val="nn-NO"/>
        </w:rPr>
      </w:pPr>
      <w:r w:rsidRPr="00980A19">
        <w:rPr>
          <w:lang w:val="nn-NO"/>
        </w:rPr>
        <w:t>(</w:t>
      </w:r>
      <w:r>
        <w:rPr>
          <w:rStyle w:val="FootnoteReference"/>
          <w:rFonts w:cs="Times New Roman"/>
          <w:szCs w:val="16"/>
        </w:rPr>
        <w:footnoteRef/>
      </w:r>
      <w:r w:rsidRPr="00980A19">
        <w:rPr>
          <w:lang w:val="nn-NO"/>
        </w:rPr>
        <w:t>)</w:t>
      </w:r>
      <w:r w:rsidRPr="00980A19">
        <w:rPr>
          <w:lang w:val="nn-NO"/>
        </w:rPr>
        <w:tab/>
        <w:t>Se nr. 2 i vedlegg II til direktiv 2004/35/EF. For oppryddingsaktiviteter utenfor EU vises det til UNEPs (De forente nasjoners miljøprogram, UNEP) veiledning om håndtering av forurensede områder («Guidance on the management of contaminated sites»), med mindre like eller strengere standarder er obligatoriske i henhold til nasjonal lovgivning.</w:t>
      </w:r>
    </w:p>
  </w:footnote>
  <w:footnote w:id="328">
    <w:p w14:paraId="47D809C1" w14:textId="77777777" w:rsidR="006561BA" w:rsidRPr="00980A19" w:rsidRDefault="005B4ED6">
      <w:pPr>
        <w:pStyle w:val="AnnexTableGrNotes"/>
        <w:spacing w:line="200" w:lineRule="exact"/>
        <w:ind w:left="300" w:hanging="300"/>
        <w:rPr>
          <w:rFonts w:cs="Times New Roman"/>
          <w:szCs w:val="16"/>
          <w:lang w:val="nn-NO"/>
        </w:rPr>
      </w:pPr>
      <w:r w:rsidRPr="00980A19">
        <w:rPr>
          <w:lang w:val="nn-NO"/>
        </w:rPr>
        <w:t>(</w:t>
      </w:r>
      <w:r>
        <w:rPr>
          <w:rStyle w:val="FootnoteReference"/>
          <w:rFonts w:cs="Times New Roman"/>
          <w:szCs w:val="16"/>
        </w:rPr>
        <w:footnoteRef/>
      </w:r>
      <w:r w:rsidRPr="00980A19">
        <w:rPr>
          <w:lang w:val="nn-NO"/>
        </w:rPr>
        <w:t>)</w:t>
      </w:r>
      <w:r w:rsidRPr="00980A19">
        <w:rPr>
          <w:lang w:val="nn-NO"/>
        </w:rPr>
        <w:tab/>
        <w:t>Se nr. 1.3.1 i vedlegg II til direktiv 2004/35/EF. Når det gjelder oppryddingsaktiviteter utenfor EU, vises det til UNEPs veiledning om håndtering av forurensede områder og de standardene og veiledningsdokumentene for håndtering av deponier som er offentliggjort av «International Solid Waste Association», herunder de internasjonale retningslinjene for evaluering av deponier («International Guidelines for Landfill Evaluation») (2011), kjøreplanen for stenging av søppelplasser («Roadmap for Closing Waste Dumpsites») (2016) og retningslinjene for drift av deponier («Landfill Operational Guidelines») (2014, 2019).</w:t>
      </w:r>
    </w:p>
  </w:footnote>
  <w:footnote w:id="329">
    <w:p w14:paraId="45FB190A" w14:textId="77777777" w:rsidR="006561BA" w:rsidRPr="00980A19" w:rsidRDefault="005B4ED6">
      <w:pPr>
        <w:pStyle w:val="AnnexTableGrNotes"/>
        <w:spacing w:line="200" w:lineRule="exact"/>
        <w:ind w:left="300" w:hanging="300"/>
        <w:rPr>
          <w:rFonts w:cs="Times New Roman"/>
          <w:szCs w:val="16"/>
          <w:lang w:val="nn-NO"/>
        </w:rPr>
      </w:pPr>
      <w:r w:rsidRPr="00980A19">
        <w:rPr>
          <w:lang w:val="nn-NO"/>
        </w:rPr>
        <w:t>(</w:t>
      </w:r>
      <w:r>
        <w:rPr>
          <w:rStyle w:val="FootnoteReference"/>
          <w:rFonts w:cs="Times New Roman"/>
          <w:szCs w:val="16"/>
        </w:rPr>
        <w:footnoteRef/>
      </w:r>
      <w:r w:rsidRPr="00980A19">
        <w:rPr>
          <w:lang w:val="nn-NO"/>
        </w:rPr>
        <w:t>)</w:t>
      </w:r>
      <w:r w:rsidRPr="00980A19">
        <w:rPr>
          <w:lang w:val="nn-NO"/>
        </w:rPr>
        <w:tab/>
        <w:t>Når det gjelder oppryddingsaktiviteter utenfor EU, vises det til UNEPs veiledning om håndtering av forurensede områder og de standardene og veiledningsdokumentene for håndtering av deponier som er offentliggjort av «International Solid Waste Association», herunder de internasjonale retningslinjene for evaluering av deponier («International Guidelines for Landfill Evaluation») (2011), kjøreplanen for stenging av søppelplasser («Roadmap for Closing Waste Dumpsites») (2016) og retningslinjene for drift av deponier («Landfill Operational Guidelines») (2014, 2019).</w:t>
      </w:r>
    </w:p>
  </w:footnote>
  <w:footnote w:id="330">
    <w:p w14:paraId="4CFC6C00" w14:textId="77777777" w:rsidR="006561BA" w:rsidRPr="00980A19" w:rsidRDefault="005B4ED6">
      <w:pPr>
        <w:pStyle w:val="AnnexTableGrNotes"/>
        <w:spacing w:line="200" w:lineRule="exact"/>
        <w:ind w:left="300" w:hanging="300"/>
        <w:rPr>
          <w:rFonts w:cs="Times New Roman"/>
          <w:szCs w:val="16"/>
          <w:lang w:val="nn-NO"/>
        </w:rPr>
      </w:pPr>
      <w:r w:rsidRPr="00980A19">
        <w:rPr>
          <w:lang w:val="nn-NO"/>
        </w:rPr>
        <w:t>(</w:t>
      </w:r>
      <w:r>
        <w:rPr>
          <w:rStyle w:val="FootnoteReference"/>
          <w:rFonts w:cs="Times New Roman"/>
          <w:szCs w:val="16"/>
        </w:rPr>
        <w:footnoteRef/>
      </w:r>
      <w:r w:rsidRPr="00980A19">
        <w:rPr>
          <w:lang w:val="nn-NO"/>
        </w:rPr>
        <w:t>)</w:t>
      </w:r>
      <w:r w:rsidRPr="00980A19">
        <w:rPr>
          <w:lang w:val="nn-NO"/>
        </w:rPr>
        <w:tab/>
        <w:t>Når det gjelder oppryddingsaktiviteter utenfor EU, vises det til UNEPs veiledning om håndtering av forurensede områder og standardene og veiledningsdokumentene for håndtering av deponier som er offentliggjort av «International Solid Waste Association», herunder de internasjonale retningslinjene for evaluering av deponier («International Guidelines for Landfill Evaluation») (2011), kjøreplanen for stenging av søppelplasser («Roadmap for Closing Waste Dumpsites») (2016) og retningslinjene for drift av deponier («Landfill Operational Guidelines») (2014, 2019).</w:t>
      </w:r>
    </w:p>
  </w:footnote>
  <w:footnote w:id="331">
    <w:p w14:paraId="0AC80DE6" w14:textId="77777777" w:rsidR="006561BA" w:rsidRPr="00980A19" w:rsidRDefault="005B4ED6">
      <w:pPr>
        <w:pStyle w:val="AnnexTableGrNotes"/>
        <w:spacing w:line="200" w:lineRule="exact"/>
        <w:ind w:left="300" w:hanging="300"/>
        <w:rPr>
          <w:rFonts w:cs="Times New Roman"/>
          <w:szCs w:val="16"/>
          <w:lang w:val="nn-NO"/>
        </w:rPr>
      </w:pPr>
      <w:r w:rsidRPr="00980A19">
        <w:rPr>
          <w:lang w:val="nn-NO"/>
        </w:rPr>
        <w:t>(</w:t>
      </w:r>
      <w:r>
        <w:rPr>
          <w:rStyle w:val="FootnoteReference"/>
          <w:rFonts w:cs="Times New Roman"/>
          <w:szCs w:val="16"/>
        </w:rPr>
        <w:footnoteRef/>
      </w:r>
      <w:r w:rsidRPr="00980A19">
        <w:rPr>
          <w:lang w:val="nn-NO"/>
        </w:rPr>
        <w:t>)</w:t>
      </w:r>
      <w:r w:rsidRPr="00980A19">
        <w:rPr>
          <w:lang w:val="nn-NO"/>
        </w:rPr>
        <w:tab/>
        <w:t>Som definert i artikkel 2 nr. 6 i direktiv 2004/35/EF.</w:t>
      </w:r>
    </w:p>
  </w:footnote>
  <w:footnote w:id="332">
    <w:p w14:paraId="37C9F87D" w14:textId="77777777" w:rsidR="006561BA" w:rsidRPr="00980A19" w:rsidRDefault="005B4ED6">
      <w:pPr>
        <w:pStyle w:val="AnnexTableGrNotes"/>
        <w:spacing w:line="200" w:lineRule="exact"/>
        <w:ind w:left="300" w:hanging="300"/>
        <w:rPr>
          <w:rFonts w:cs="Times New Roman"/>
          <w:szCs w:val="16"/>
          <w:lang w:val="nn-NO"/>
        </w:rPr>
      </w:pPr>
      <w:r w:rsidRPr="00980A19">
        <w:rPr>
          <w:lang w:val="nn-NO"/>
        </w:rPr>
        <w:t>(</w:t>
      </w:r>
      <w:r>
        <w:rPr>
          <w:rStyle w:val="FootnoteReference"/>
          <w:rFonts w:cs="Times New Roman"/>
          <w:szCs w:val="16"/>
        </w:rPr>
        <w:footnoteRef/>
      </w:r>
      <w:r w:rsidRPr="00980A19">
        <w:rPr>
          <w:lang w:val="nn-NO"/>
        </w:rPr>
        <w:t>)</w:t>
      </w:r>
      <w:r w:rsidRPr="00980A19">
        <w:rPr>
          <w:lang w:val="nn-NO"/>
        </w:rPr>
        <w:tab/>
        <w:t>Se nr. 2 i vedlegg II til direktiv 2004/35/EF.</w:t>
      </w:r>
    </w:p>
  </w:footnote>
  <w:footnote w:id="333">
    <w:p w14:paraId="5A4E9545" w14:textId="77777777" w:rsidR="006561BA" w:rsidRPr="00980A19" w:rsidRDefault="005B4ED6">
      <w:pPr>
        <w:pStyle w:val="AnnexTableGrNotes"/>
        <w:spacing w:line="200" w:lineRule="exact"/>
        <w:ind w:left="300" w:hanging="300"/>
        <w:rPr>
          <w:rFonts w:cs="Times New Roman"/>
          <w:szCs w:val="16"/>
          <w:lang w:val="nn-NO"/>
        </w:rPr>
      </w:pPr>
      <w:r w:rsidRPr="00980A19">
        <w:rPr>
          <w:lang w:val="nn-NO"/>
        </w:rPr>
        <w:t>(</w:t>
      </w:r>
      <w:r>
        <w:rPr>
          <w:rStyle w:val="FootnoteReference"/>
          <w:rFonts w:cs="Times New Roman"/>
          <w:szCs w:val="16"/>
        </w:rPr>
        <w:footnoteRef/>
      </w:r>
      <w:r w:rsidRPr="00980A19">
        <w:rPr>
          <w:lang w:val="nn-NO"/>
        </w:rPr>
        <w:t>)</w:t>
      </w:r>
      <w:r w:rsidRPr="00980A19">
        <w:rPr>
          <w:lang w:val="nn-NO"/>
        </w:rPr>
        <w:tab/>
        <w:t>Se nr. 2 i vedlegg II til direktiv 2004/35/EF. Når det gjelder aktiviteter i tredjeland, med mindre strengere standarder er obligatorisk i henhold til nasjonal lovgivning, får UNEPs veiledning om håndtering av forurensede områder (UNEP/MC/COP.3/8/Rev.1) – Guidance_Contaminated_Sites_EN.pdf (mercuryconvention.org) anvendelse.</w:t>
      </w:r>
    </w:p>
  </w:footnote>
  <w:footnote w:id="334">
    <w:p w14:paraId="13C16B4F"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Se nr. 1.3.1 i vedlegg II til direktiv 2004/35/EF.</w:t>
      </w:r>
    </w:p>
    <w:p w14:paraId="7E3E771C" w14:textId="77777777" w:rsidR="006561BA" w:rsidRDefault="005B4ED6">
      <w:pPr>
        <w:pStyle w:val="AnnexTableCellLeft"/>
        <w:spacing w:line="200" w:lineRule="exact"/>
        <w:ind w:left="300"/>
        <w:rPr>
          <w:rFonts w:cs="Times New Roman"/>
          <w:sz w:val="16"/>
          <w:szCs w:val="16"/>
        </w:rPr>
      </w:pPr>
      <w:r>
        <w:rPr>
          <w:sz w:val="16"/>
        </w:rPr>
        <w:t>Når det gjelder aktiviteter i tredjeland som er i samsvar med tilsvarende gjeldende nasjonal rett eller internasjonale standarder (som for eksempel UNEPs veiledning om håndtering av forurensede områder (UNEP/MC/COP.3/8/Rev.1) – Guidance_Contaminated_Sites_EN.pdf (mercuryconvention.org)) som krever opprydding basert på en alternativ prosess og verdsettingsmetode som er beskrevet på en gjennomsiktig måte, med henblikk på å fastsette en egnet strategi, som omfatter primære utbedringstiltak (herunder overvåkingskrav) samt utfyllende og kompenserende utbedringstiltak i en egen oppryddingsplan.</w:t>
      </w:r>
    </w:p>
  </w:footnote>
  <w:footnote w:id="335">
    <w:p w14:paraId="3D6C5CF7" w14:textId="06D0D841"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Med «areal med stort karbonlager» menes våtmark</w:t>
      </w:r>
      <w:r w:rsidR="00FA34A6">
        <w:t>er</w:t>
      </w:r>
      <w:r>
        <w:t>, herunder torvmyrer, og sammenhengende skogkledde områder, gressmarker, mangrove</w:t>
      </w:r>
      <w:r w:rsidR="00891351">
        <w:t>skoge</w:t>
      </w:r>
      <w:r>
        <w:t>r og sjøgressenger i den betydningen som er angitt i artikkel 29 nr. 4 bokstav a), b) og c) i direktiv (EU) 2018/2001.</w:t>
      </w:r>
    </w:p>
  </w:footnote>
  <w:footnote w:id="336">
    <w:p w14:paraId="013749E0"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Med «klimagassutslipp innenfor anvendelsesområde 1» menes direkte klimagassutslipp fra kilder som eies eller kontrolleres av aktivitetsutøveren. Med «klimagassutslipp innenfor anvendelsesområde 2» menes indirekte klimagassutslipp fra produksjon av elektrisk kraft som forbrukes av aktivitetsutøveren.</w:t>
      </w:r>
    </w:p>
  </w:footnote>
  <w:footnote w:id="337">
    <w:p w14:paraId="4119B732" w14:textId="77777777" w:rsidR="006561BA" w:rsidRPr="00770AA2" w:rsidRDefault="005B4ED6">
      <w:pPr>
        <w:pStyle w:val="AnnexTableGrNotes"/>
        <w:spacing w:line="200" w:lineRule="exact"/>
        <w:ind w:left="300" w:hanging="300"/>
        <w:rPr>
          <w:rFonts w:cs="Times New Roman"/>
          <w:szCs w:val="16"/>
          <w:lang w:val="en-US"/>
        </w:rPr>
      </w:pPr>
      <w:r w:rsidRPr="00770AA2">
        <w:rPr>
          <w:lang w:val="en-US"/>
        </w:rPr>
        <w:t>(</w:t>
      </w:r>
      <w:r>
        <w:rPr>
          <w:rStyle w:val="FootnoteReference"/>
          <w:rFonts w:cs="Times New Roman"/>
          <w:szCs w:val="16"/>
        </w:rPr>
        <w:footnoteRef/>
      </w:r>
      <w:r w:rsidRPr="00770AA2">
        <w:rPr>
          <w:lang w:val="en-US"/>
        </w:rPr>
        <w:t>)</w:t>
      </w:r>
      <w:r w:rsidRPr="00770AA2">
        <w:rPr>
          <w:lang w:val="en-US"/>
        </w:rPr>
        <w:tab/>
        <w:t xml:space="preserve">«EU Construction &amp; Demolition Waste Management Protocol», </w:t>
      </w:r>
      <w:proofErr w:type="spellStart"/>
      <w:r w:rsidRPr="00770AA2">
        <w:rPr>
          <w:lang w:val="en-US"/>
        </w:rPr>
        <w:t>september</w:t>
      </w:r>
      <w:proofErr w:type="spellEnd"/>
      <w:r w:rsidRPr="00770AA2">
        <w:rPr>
          <w:lang w:val="en-US"/>
        </w:rPr>
        <w:t xml:space="preserve"> 2016: https://ec.europa.eu/docsroom/documents/20509/.</w:t>
      </w:r>
    </w:p>
  </w:footnote>
  <w:footnote w:id="338">
    <w:p w14:paraId="1295C213" w14:textId="77777777" w:rsidR="006561BA" w:rsidRPr="00980A19" w:rsidRDefault="005B4ED6">
      <w:pPr>
        <w:pStyle w:val="FootnoteText"/>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Framtidige scenarioer omfatter FNs klimapanels (IPCC) representative utslippsbaner («Representative Concentration Pathways» – RCP) RCP2.6, RCP4.5, RCP6.0 og RCP8.5.</w:t>
      </w:r>
    </w:p>
  </w:footnote>
  <w:footnote w:id="339">
    <w:p w14:paraId="164307BB" w14:textId="77777777" w:rsidR="006561BA" w:rsidRPr="00980A19" w:rsidRDefault="005B4ED6">
      <w:pPr>
        <w:pStyle w:val="FootnoteText"/>
        <w:rPr>
          <w:rFonts w:cs="Times New Roman"/>
          <w:szCs w:val="16"/>
          <w:lang w:val="en-US"/>
        </w:rPr>
      </w:pPr>
      <w:r w:rsidRPr="00980A19">
        <w:rPr>
          <w:lang w:val="en-US"/>
        </w:rPr>
        <w:t>(</w:t>
      </w:r>
      <w:r>
        <w:rPr>
          <w:rStyle w:val="FootnoteReference"/>
          <w:rFonts w:cs="Times New Roman"/>
          <w:szCs w:val="16"/>
        </w:rPr>
        <w:footnoteRef/>
      </w:r>
      <w:r w:rsidRPr="00980A19">
        <w:rPr>
          <w:lang w:val="en-US"/>
        </w:rPr>
        <w:t>)</w:t>
      </w:r>
      <w:r w:rsidRPr="00980A19">
        <w:rPr>
          <w:lang w:val="en-US"/>
        </w:rPr>
        <w:tab/>
        <w:t>Vurderingsrapporter om klimaendringer: «Impacts, Adaptation and Vulnerability», utgis regelmessig av FNs klimapanel (IPCC), FNs organ for vurdering av vitenskap knyttet til klimaendringer, https://www.ipcc.ch/reports/.</w:t>
      </w:r>
    </w:p>
  </w:footnote>
  <w:footnote w:id="340">
    <w:p w14:paraId="248C4696" w14:textId="77777777" w:rsidR="006561BA" w:rsidRDefault="005B4ED6">
      <w:pPr>
        <w:pStyle w:val="FootnoteText"/>
        <w:rPr>
          <w:rFonts w:cs="Times New Roman"/>
          <w:szCs w:val="16"/>
        </w:rPr>
      </w:pPr>
      <w:r>
        <w:t>(</w:t>
      </w:r>
      <w:r>
        <w:rPr>
          <w:rStyle w:val="FootnoteReference"/>
          <w:rFonts w:cs="Times New Roman"/>
          <w:szCs w:val="16"/>
        </w:rPr>
        <w:footnoteRef/>
      </w:r>
      <w:r>
        <w:t>)</w:t>
      </w:r>
      <w:r>
        <w:tab/>
        <w:t>Som for eksempel Copernicus-programmet som forvaltes av Europakommisjonen.</w:t>
      </w:r>
    </w:p>
  </w:footnote>
  <w:footnote w:id="341">
    <w:p w14:paraId="347C9E11" w14:textId="77777777" w:rsidR="006561BA" w:rsidRDefault="005B4ED6">
      <w:pPr>
        <w:pStyle w:val="FootnoteText"/>
        <w:rPr>
          <w:rFonts w:cs="Times New Roman"/>
          <w:szCs w:val="16"/>
        </w:rPr>
      </w:pPr>
      <w:r>
        <w:t>(</w:t>
      </w:r>
      <w:r>
        <w:rPr>
          <w:rStyle w:val="FootnoteReference"/>
          <w:rFonts w:cs="Times New Roman"/>
          <w:szCs w:val="16"/>
        </w:rPr>
        <w:footnoteRef/>
      </w:r>
      <w:r>
        <w:t>)</w:t>
      </w:r>
      <w:r>
        <w:tab/>
        <w:t>Naturbaserte løsninger er definert som «løsninger som er inspirert og støttet av naturen, som er kostnadseffektive, som gir samtidige miljømessige, sosiale og økonomiske fordeler, og som bidrar til å bygge opp motstandsdyktighet. Slike løsninger bringer mer natur og flere naturlige funksjoner og prosesser med større mangfold inn i byer, landskap og havområder gjennom lokalt tilpassede, ressurseffektive og systemiske inngrep.» Naturbaserte løsninger er derfor til fordel for det biologiske mangfoldet og støtter en rekke økosystemtjenester (utgave av 27.6. 2023: https://ec.europa.eu/research/environment/index.cfm?pg=nbs).</w:t>
      </w:r>
    </w:p>
  </w:footnote>
  <w:footnote w:id="342">
    <w:p w14:paraId="2BC8C725" w14:textId="77777777" w:rsidR="006561BA" w:rsidRDefault="005B4ED6">
      <w:pPr>
        <w:pStyle w:val="FootnoteText"/>
        <w:rPr>
          <w:rFonts w:cs="Times New Roman"/>
          <w:szCs w:val="16"/>
        </w:rPr>
      </w:pPr>
      <w:r>
        <w:t>(</w:t>
      </w:r>
      <w:r>
        <w:rPr>
          <w:rStyle w:val="FootnoteReference"/>
          <w:rFonts w:cs="Times New Roman"/>
          <w:szCs w:val="16"/>
        </w:rPr>
        <w:footnoteRef/>
      </w:r>
      <w:r>
        <w:t>)</w:t>
      </w:r>
      <w:r>
        <w:tab/>
        <w:t xml:space="preserve">Se kommisjonsmelding til Europaparlamentet, Rådet, Den europeiske økonomiske og sosiale komité og Regionkomiteen om grønn infrastruktur (GI) – styrking av Europas naturkapital («Green </w:t>
      </w:r>
      <w:proofErr w:type="spellStart"/>
      <w:r>
        <w:t>Infrastructure</w:t>
      </w:r>
      <w:proofErr w:type="spellEnd"/>
      <w:r>
        <w:t xml:space="preserve"> (GI) – </w:t>
      </w:r>
      <w:proofErr w:type="spellStart"/>
      <w:r>
        <w:t>Enhancing</w:t>
      </w:r>
      <w:proofErr w:type="spellEnd"/>
      <w:r>
        <w:t xml:space="preserve"> </w:t>
      </w:r>
      <w:proofErr w:type="spellStart"/>
      <w:r>
        <w:t>Europe’s</w:t>
      </w:r>
      <w:proofErr w:type="spellEnd"/>
      <w:r>
        <w:t xml:space="preserve"> Natural Capital», (COM(2013) 249 final).</w:t>
      </w:r>
    </w:p>
  </w:footnote>
  <w:footnote w:id="343">
    <w:p w14:paraId="508CAF88" w14:textId="77777777" w:rsidR="006561BA" w:rsidRDefault="005B4ED6">
      <w:pPr>
        <w:pStyle w:val="FootnoteText"/>
        <w:rPr>
          <w:rFonts w:cs="Times New Roman"/>
          <w:szCs w:val="16"/>
        </w:rPr>
      </w:pPr>
      <w:r>
        <w:t>(</w:t>
      </w:r>
      <w:r>
        <w:rPr>
          <w:rStyle w:val="FootnoteReference"/>
          <w:rFonts w:cs="Times New Roman"/>
          <w:szCs w:val="16"/>
        </w:rPr>
        <w:footnoteRef/>
      </w:r>
      <w:r>
        <w:t>)</w:t>
      </w:r>
      <w:r>
        <w:tab/>
        <w:t>Listen over klimarelaterte farer i denne tabellen er ikke uttømmende og utgjør bare en veiledende liste over de mest utbredte farene som det minst skal tas hensyn til i klimarisiko- og sårbarhetsvurderingen.</w:t>
      </w:r>
    </w:p>
  </w:footnote>
  <w:footnote w:id="344">
    <w:p w14:paraId="4036CD1F" w14:textId="77777777" w:rsidR="006561BA" w:rsidRDefault="005B4ED6">
      <w:pPr>
        <w:pStyle w:val="FootnoteText"/>
        <w:rPr>
          <w:rFonts w:cs="Times New Roman"/>
          <w:szCs w:val="16"/>
        </w:rPr>
      </w:pPr>
      <w:r>
        <w:t>(</w:t>
      </w:r>
      <w:r>
        <w:rPr>
          <w:rStyle w:val="FootnoteReference"/>
          <w:rFonts w:cs="Times New Roman"/>
          <w:szCs w:val="16"/>
        </w:rPr>
        <w:footnoteRef/>
      </w:r>
      <w:r>
        <w:t>)</w:t>
      </w:r>
      <w:r>
        <w:tab/>
        <w:t>For aktiviteter i tredjeland, i samsvar med gjeldende nasjonal rett eller internasjonale standarder som har likeverdige mål om god vanntilstand og et godt økologisk potensial, gjennom likeverdige prosedyreregler og materielle regler, det vil si en forvaltningsplan for bruk og beskyttelse av vann som er utarbeidet i samråd med relevante berørte parter, og som sikrer at 1) aktivitetenes innvirkning på den identifiserte tilstanden eller det identifiserte økologiske potensialet for den eller de vannforekomstene som kan bli berørt, vurderes, og 2) at forringelse eller forhindring av god tilstand / et godt økologisk potensial unngås eller, dersom dette ikke er mulig, 3) begrunnes med mangel på bedre miljøalternativer som ikke er uforholdsmessig kostnadskrevende / teknisk ugjennomførlige, og alle praktisk mulige tiltak treffes for å redusere de negative virkningene på vannforekomstens tilstand.</w:t>
      </w:r>
    </w:p>
  </w:footnote>
  <w:footnote w:id="345">
    <w:p w14:paraId="1167FA80" w14:textId="77777777" w:rsidR="006561BA" w:rsidRDefault="005B4ED6">
      <w:pPr>
        <w:pStyle w:val="FootnoteText"/>
        <w:rPr>
          <w:rFonts w:cs="Times New Roman"/>
          <w:szCs w:val="16"/>
        </w:rPr>
      </w:pPr>
      <w:r>
        <w:t>(</w:t>
      </w:r>
      <w:r>
        <w:rPr>
          <w:rStyle w:val="FootnoteReference"/>
          <w:rFonts w:cs="Times New Roman"/>
          <w:szCs w:val="16"/>
        </w:rPr>
        <w:footnoteRef/>
      </w:r>
      <w:r>
        <w:t>)</w:t>
      </w:r>
      <w:r>
        <w:tab/>
        <w:t xml:space="preserve">I henhold til definisjonen i artikkel 3 nr. 5 i direktiv 2008/56/EF skal god miljøtilstand fastsettes på grunnlag av de kvalitative </w:t>
      </w:r>
      <w:proofErr w:type="spellStart"/>
      <w:r>
        <w:t>deskriptorene</w:t>
      </w:r>
      <w:proofErr w:type="spellEnd"/>
      <w:r>
        <w:t xml:space="preserve"> fastsatt i vedlegg I til det nevnte direktivet.</w:t>
      </w:r>
    </w:p>
  </w:footnote>
  <w:footnote w:id="346">
    <w:p w14:paraId="5D01CAFA" w14:textId="77777777" w:rsidR="006561BA" w:rsidRDefault="005B4ED6">
      <w:pPr>
        <w:pStyle w:val="FootnoteText"/>
        <w:rPr>
          <w:rFonts w:cs="Times New Roman"/>
          <w:szCs w:val="16"/>
        </w:rPr>
      </w:pPr>
      <w:r>
        <w:t>(</w:t>
      </w:r>
      <w:r>
        <w:rPr>
          <w:rStyle w:val="FootnoteReference"/>
          <w:rFonts w:cs="Times New Roman"/>
          <w:szCs w:val="16"/>
        </w:rPr>
        <w:footnoteRef/>
      </w:r>
      <w:r>
        <w:t>)</w:t>
      </w:r>
      <w:r>
        <w:tab/>
        <w:t>Framgangsmåter som den vedkommende myndigheten skal følge for å avgjøre om prosjekter oppført i vedlegg II til direktiv 2011/92/EU skal gjennomgå en miljøkonsekvensutredning (som nevnt i artikkel 4 nr. 2 i det nevnte direktivet).</w:t>
      </w:r>
    </w:p>
  </w:footnote>
  <w:footnote w:id="347">
    <w:p w14:paraId="28D4C7CA" w14:textId="77777777" w:rsidR="006561BA" w:rsidRDefault="005B4ED6">
      <w:pPr>
        <w:pStyle w:val="FootnoteText"/>
        <w:rPr>
          <w:rFonts w:cs="Times New Roman"/>
          <w:szCs w:val="16"/>
        </w:rPr>
      </w:pPr>
      <w:r>
        <w:t>(</w:t>
      </w:r>
      <w:r>
        <w:rPr>
          <w:rStyle w:val="FootnoteReference"/>
          <w:rFonts w:cs="Times New Roman"/>
          <w:szCs w:val="16"/>
        </w:rPr>
        <w:footnoteRef/>
      </w:r>
      <w:r>
        <w:t>)</w:t>
      </w:r>
      <w:r>
        <w:tab/>
        <w:t xml:space="preserve">For aktiviteter i tredjeland, i samsvar med tilsvarende gjeldende nasjonal rett eller internasjonale standarder som krever gjennomføring av en miljøkonsekvensutredning eller screening, for eksempel «IFC </w:t>
      </w:r>
      <w:proofErr w:type="spellStart"/>
      <w:r>
        <w:t>Performance</w:t>
      </w:r>
      <w:proofErr w:type="spellEnd"/>
      <w:r>
        <w:t xml:space="preserve"> Standard 1: </w:t>
      </w:r>
      <w:proofErr w:type="spellStart"/>
      <w:r>
        <w:t>Assessment</w:t>
      </w:r>
      <w:proofErr w:type="spellEnd"/>
      <w:r>
        <w:t xml:space="preserve"> and Management </w:t>
      </w:r>
      <w:proofErr w:type="spellStart"/>
      <w:r>
        <w:t>of</w:t>
      </w:r>
      <w:proofErr w:type="spellEnd"/>
      <w:r>
        <w:t xml:space="preserve"> </w:t>
      </w:r>
      <w:proofErr w:type="spellStart"/>
      <w:r>
        <w:t>Environmental</w:t>
      </w:r>
      <w:proofErr w:type="spellEnd"/>
      <w:r>
        <w:t xml:space="preserve"> and </w:t>
      </w:r>
      <w:proofErr w:type="spellStart"/>
      <w:r>
        <w:t>Social</w:t>
      </w:r>
      <w:proofErr w:type="spellEnd"/>
      <w:r>
        <w:t xml:space="preserve"> Risks».</w:t>
      </w:r>
    </w:p>
  </w:footnote>
  <w:footnote w:id="348">
    <w:p w14:paraId="06016A9A" w14:textId="77777777" w:rsidR="006561BA" w:rsidRDefault="005B4ED6">
      <w:pPr>
        <w:pStyle w:val="FootnoteText"/>
        <w:rPr>
          <w:rFonts w:cs="Times New Roman"/>
          <w:szCs w:val="16"/>
        </w:rPr>
      </w:pPr>
      <w:r>
        <w:t>(</w:t>
      </w:r>
      <w:r>
        <w:rPr>
          <w:rStyle w:val="FootnoteReference"/>
          <w:rFonts w:cs="Times New Roman"/>
          <w:szCs w:val="16"/>
        </w:rPr>
        <w:footnoteRef/>
      </w:r>
      <w:r>
        <w:t>)</w:t>
      </w:r>
      <w:r>
        <w:tab/>
        <w:t xml:space="preserve">I samsvar med direktiv 2009/147/EF og 92/43/EØF. For aktiviteter i tredjeland, i samsvar med tilsvarende gjeldende nasjonal rett eller internasjonale standarder som har som mål å bevare habitater, ville dyr og ville planter, og som krever at det gjennomføres 1) en screeningprosedyre for å fastslå hvorvidt det for en gitt aktivitet er nødvendig med en hensiktsmessig vurdering av mulige konsekvenser for beskyttede habitater og arter, 2) en slik hensiktsmessig vurdering dersom screeningen fastslår at det er nødvendig, for eksempel «IFC </w:t>
      </w:r>
      <w:proofErr w:type="spellStart"/>
      <w:r>
        <w:t>Performance</w:t>
      </w:r>
      <w:proofErr w:type="spellEnd"/>
      <w:r>
        <w:t xml:space="preserve"> Standard 6: </w:t>
      </w:r>
      <w:proofErr w:type="spellStart"/>
      <w:r>
        <w:t>Biodiversity</w:t>
      </w:r>
      <w:proofErr w:type="spellEnd"/>
      <w:r>
        <w:t xml:space="preserve"> Conservation and </w:t>
      </w:r>
      <w:proofErr w:type="spellStart"/>
      <w:r>
        <w:t>Sustainable</w:t>
      </w:r>
      <w:proofErr w:type="spellEnd"/>
      <w:r>
        <w:t xml:space="preserve"> Management </w:t>
      </w:r>
      <w:proofErr w:type="spellStart"/>
      <w:r>
        <w:t>of</w:t>
      </w:r>
      <w:proofErr w:type="spellEnd"/>
      <w:r>
        <w:t xml:space="preserve"> </w:t>
      </w:r>
      <w:proofErr w:type="spellStart"/>
      <w:r>
        <w:t>Living</w:t>
      </w:r>
      <w:proofErr w:type="spellEnd"/>
      <w:r>
        <w:t xml:space="preserve"> Natural Resources».</w:t>
      </w:r>
    </w:p>
  </w:footnote>
  <w:footnote w:id="349">
    <w:p w14:paraId="7F633DBB" w14:textId="77777777" w:rsidR="006561BA" w:rsidRDefault="005B4ED6">
      <w:pPr>
        <w:pStyle w:val="FootnoteText"/>
        <w:rPr>
          <w:rFonts w:cs="Times New Roman"/>
          <w:szCs w:val="16"/>
        </w:rPr>
      </w:pPr>
      <w:r>
        <w:t>(</w:t>
      </w:r>
      <w:r>
        <w:rPr>
          <w:rStyle w:val="FootnoteReference"/>
          <w:rFonts w:cs="Times New Roman"/>
          <w:szCs w:val="16"/>
        </w:rPr>
        <w:footnoteRef/>
      </w:r>
      <w:r>
        <w:t>)</w:t>
      </w:r>
      <w:r>
        <w:tab/>
        <w:t>Disse tiltakene er blitt identifisert for å sikre at prosjektet, planen eller aktiviteten ikke har noen vesentlig innvirkning på bevaringsmålene for det beskyttede området.</w:t>
      </w:r>
    </w:p>
  </w:footnote>
  <w:footnote w:id="350">
    <w:p w14:paraId="1D441A15" w14:textId="77777777" w:rsidR="006561BA" w:rsidRDefault="005B4ED6">
      <w:pPr>
        <w:pStyle w:val="FootnoteText"/>
        <w:rPr>
          <w:rFonts w:cs="Times New Roman"/>
          <w:szCs w:val="16"/>
        </w:rPr>
      </w:pPr>
      <w:r>
        <w:t>(</w:t>
      </w:r>
      <w:r>
        <w:rPr>
          <w:rStyle w:val="FootnoteReference"/>
          <w:rFonts w:cs="Times New Roman"/>
          <w:szCs w:val="16"/>
        </w:rPr>
        <w:footnoteRef/>
      </w:r>
      <w:r>
        <w:t>)</w:t>
      </w:r>
      <w:r>
        <w:tab/>
        <w:t>Med «habitat» menes områder på land og i vann som kjennetegnes ved geografiske, abiotiske og biotiske særtrekk, enten de er helt eller delvis naturlige, i samsvar med artikkel 1 bokstav b) i direktiv 92/43/EØF.</w:t>
      </w:r>
    </w:p>
  </w:footnote>
  <w:footnote w:id="351">
    <w:p w14:paraId="58A967E0" w14:textId="77777777" w:rsidR="006561BA" w:rsidRDefault="005B4ED6">
      <w:pPr>
        <w:pStyle w:val="FootnoteText"/>
        <w:rPr>
          <w:rFonts w:cs="Times New Roman"/>
          <w:szCs w:val="16"/>
        </w:rPr>
      </w:pPr>
      <w:r>
        <w:t>(</w:t>
      </w:r>
      <w:r>
        <w:rPr>
          <w:rStyle w:val="FootnoteReference"/>
          <w:rFonts w:cs="Times New Roman"/>
          <w:szCs w:val="16"/>
        </w:rPr>
        <w:footnoteRef/>
      </w:r>
      <w:r>
        <w:t>)</w:t>
      </w:r>
      <w:r>
        <w:tab/>
        <w:t>Med «økosystemer» menes et dynamisk system av plante-, dyre- og mikroorganismesamfunn som i samspill med det ikke-levende miljøet utgjør en funksjonell enhet, og som omfatter habitattyper, habitater for arter og populasjoner av arter.</w:t>
      </w:r>
    </w:p>
  </w:footnote>
  <w:footnote w:id="352">
    <w:p w14:paraId="7602EAD1" w14:textId="77777777" w:rsidR="006561BA" w:rsidRDefault="005B4ED6">
      <w:pPr>
        <w:pStyle w:val="FootnoteText"/>
        <w:rPr>
          <w:rFonts w:cs="Times New Roman"/>
          <w:szCs w:val="16"/>
        </w:rPr>
      </w:pPr>
      <w:r>
        <w:t>(</w:t>
      </w:r>
      <w:r>
        <w:rPr>
          <w:rStyle w:val="FootnoteReference"/>
          <w:rFonts w:cs="Times New Roman"/>
          <w:szCs w:val="16"/>
        </w:rPr>
        <w:footnoteRef/>
      </w:r>
      <w:r>
        <w:t>)</w:t>
      </w:r>
      <w:r>
        <w:tab/>
        <w:t>Artikkel 2 «Definisjoner» i konvensjonen om biologisk mangfold (CBD) (utgave av 27.6.2023, finnes på: https://www.cbd.int/convention/articles/?a=cbd-02).</w:t>
      </w:r>
    </w:p>
  </w:footnote>
  <w:footnote w:id="353">
    <w:p w14:paraId="68F74A16" w14:textId="77777777" w:rsidR="006561BA" w:rsidRDefault="005B4ED6">
      <w:pPr>
        <w:pStyle w:val="FootnoteText"/>
        <w:rPr>
          <w:rFonts w:cs="Times New Roman"/>
          <w:szCs w:val="16"/>
        </w:rPr>
      </w:pPr>
      <w:r>
        <w:t>(</w:t>
      </w:r>
      <w:r>
        <w:rPr>
          <w:rStyle w:val="FootnoteReference"/>
          <w:rFonts w:cs="Times New Roman"/>
          <w:szCs w:val="16"/>
        </w:rPr>
        <w:footnoteRef/>
      </w:r>
      <w:r>
        <w:t>)</w:t>
      </w:r>
      <w:r>
        <w:tab/>
        <w:t>Med «god tilstand» menes en tilstand der de viktigste kjennetegnene hos et økosystem, det vil si dets fysiske, kjemiske, komposisjonelle, strukturelle og funksjonelle tilstand, samt de særlige kjennetegnene ved dets landskap og havområde, gjenspeiler det høye nivået av økologisk integritet, stabilitet og motstandsdyktighet som er nødvendig for å sikre dets opprettholdelse på lang sikt, uten at det berører mer spesifikke definisjoner av «god tilstand» i henhold til ulike rettslige rammer.</w:t>
      </w:r>
    </w:p>
  </w:footnote>
  <w:footnote w:id="354">
    <w:p w14:paraId="71E21910" w14:textId="77777777" w:rsidR="006561BA" w:rsidRDefault="005B4ED6">
      <w:pPr>
        <w:pStyle w:val="FootnoteText"/>
        <w:rPr>
          <w:rFonts w:cs="Times New Roman"/>
          <w:szCs w:val="16"/>
        </w:rPr>
      </w:pPr>
      <w:r>
        <w:t>(</w:t>
      </w:r>
      <w:r>
        <w:rPr>
          <w:rStyle w:val="FootnoteReference"/>
          <w:rFonts w:cs="Times New Roman"/>
          <w:szCs w:val="16"/>
        </w:rPr>
        <w:footnoteRef/>
      </w:r>
      <w:r>
        <w:t>)</w:t>
      </w:r>
      <w:r>
        <w:tab/>
        <w:t>Med «habitat for en art» menes et miljø som kjennetegnes ved spesifikke abiotiske og biotiske faktorer, og der arten lever på et av stadiene i sin biologiske syklus.</w:t>
      </w:r>
    </w:p>
  </w:footnote>
  <w:footnote w:id="355">
    <w:p w14:paraId="09E86A4F" w14:textId="77777777" w:rsidR="006561BA" w:rsidRDefault="005B4ED6">
      <w:pPr>
        <w:pStyle w:val="FootnoteText"/>
        <w:rPr>
          <w:rFonts w:cs="Times New Roman"/>
          <w:szCs w:val="16"/>
        </w:rPr>
      </w:pPr>
      <w:r>
        <w:t>(</w:t>
      </w:r>
      <w:r>
        <w:rPr>
          <w:rStyle w:val="FootnoteReference"/>
          <w:rFonts w:cs="Times New Roman"/>
          <w:szCs w:val="16"/>
        </w:rPr>
        <w:footnoteRef/>
      </w:r>
      <w:r>
        <w:t>)</w:t>
      </w:r>
      <w:r>
        <w:tab/>
        <w:t xml:space="preserve">Europaparlaments- og rådsforordning (EU) nr. 691/2011 av 6. juli 2011 om europeiske miljøøkonomiske </w:t>
      </w:r>
      <w:proofErr w:type="spellStart"/>
      <w:r>
        <w:t>rekneskapar</w:t>
      </w:r>
      <w:proofErr w:type="spellEnd"/>
      <w:r>
        <w:t xml:space="preserve"> (EUT L 192 av 22.7.2011, s. 1).</w:t>
      </w:r>
    </w:p>
  </w:footnote>
  <w:footnote w:id="356">
    <w:p w14:paraId="344316F7"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Restaureringsplanen kan være en del av en forvaltningsplan. Dersom området er omfattet av en forvaltningsplan, kreves det ingen ytterligere restaureringsplan.</w:t>
      </w:r>
    </w:p>
  </w:footnote>
  <w:footnote w:id="357">
    <w:p w14:paraId="0CD4D966"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Se https://www.iucn.org/theme/protected-areas/about/protected-area-categories (utgave av 27.6.2023).</w:t>
      </w:r>
    </w:p>
  </w:footnote>
  <w:footnote w:id="358">
    <w:p w14:paraId="5CA4E576"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Definisjonen av OECM og en veiledning for anvendelse av OECM er fastsatt i vedtak 14/8 fra FN-konvensjonen om biologisk mangfold (utgave av 27.6.2023: https://www.cbd.int/doc/decisions/cop-14/cop-14-dec-08-en.pdf).</w:t>
      </w:r>
    </w:p>
  </w:footnote>
  <w:footnote w:id="359">
    <w:p w14:paraId="3D03BDAE"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Kompensasjon for tap av biologisk mangfold er målbare bevaringsresultater som følge av tiltak som er utformet for å kompensere for gjenværende, uunngåelige og negative virkninger på biologisk mangfold som følge av en aktivitet eller et prosjekt etter at det er truffet egnede forebyggende og avbøtende tiltak. Målet med kompensasjon for tap av biologisk mangfold er å bevare de samme verdiene for biologisk mangfold (habitater, arter eller økosystemer) som påvirkes negativt av aktiviteten eller prosjektet.</w:t>
      </w:r>
    </w:p>
  </w:footnote>
  <w:footnote w:id="360">
    <w:p w14:paraId="53907F92"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Dette kan omfatte ytterligere bevarings-/restaureringsresultater utover kompenserende tiltak.</w:t>
      </w:r>
    </w:p>
  </w:footnote>
  <w:footnote w:id="361">
    <w:p w14:paraId="697AE931"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Med «areal med stort karbonlager» menes våtmarker, herunder torvmyrer, og sammenhengende skogkledde områder i betydningen angitt i artikkel 29 nr. 4 bokstav a), b) og c) i direktiv (EU) 2018/2001.</w:t>
      </w:r>
    </w:p>
  </w:footnote>
  <w:footnote w:id="362">
    <w:p w14:paraId="2B50DEE2"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Rådsdirektiv 91/676/EØF av 12. desember 1991 om beskyttelse av vann mot forurensning forårsaket av nitrater fra landbruket (EUT L 375 av 31.12.1991, s. 1).</w:t>
      </w:r>
    </w:p>
  </w:footnote>
  <w:footnote w:id="363">
    <w:p w14:paraId="58835506"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Som gjennomfører Stockholm-konvensjonen om persistente organiske forbindelser i Unionen (EUT L 209 av 31.7.2006, s. 3).</w:t>
      </w:r>
    </w:p>
  </w:footnote>
  <w:footnote w:id="364">
    <w:p w14:paraId="4161A79D" w14:textId="77777777" w:rsidR="006561BA" w:rsidRPr="00980A19" w:rsidRDefault="005B4ED6">
      <w:pPr>
        <w:pStyle w:val="AnnexTableGrNotes"/>
        <w:spacing w:line="200" w:lineRule="exact"/>
        <w:ind w:left="300" w:hanging="300"/>
        <w:rPr>
          <w:rFonts w:cs="Times New Roman"/>
          <w:szCs w:val="16"/>
        </w:rPr>
      </w:pPr>
      <w:r w:rsidRPr="00980A19">
        <w:t>(</w:t>
      </w:r>
      <w:r>
        <w:rPr>
          <w:rStyle w:val="FootnoteReference"/>
          <w:rFonts w:cs="Times New Roman"/>
          <w:szCs w:val="16"/>
        </w:rPr>
        <w:footnoteRef/>
      </w:r>
      <w:r w:rsidRPr="00980A19">
        <w:t>)</w:t>
      </w:r>
      <w:r w:rsidRPr="00980A19">
        <w:tab/>
        <w:t>«The WHO Recommended Classification of Pesticides by Hazard» (2019-utgaven) (utgave av 27.6.2023: https://apps.who.int/iris/bitstream/handle/10665/332193/9789240005662-eng.pdf?ua=1).</w:t>
      </w:r>
    </w:p>
  </w:footnote>
  <w:footnote w:id="365">
    <w:p w14:paraId="5A68031B" w14:textId="77777777" w:rsidR="006561BA" w:rsidRDefault="005B4ED6">
      <w:pPr>
        <w:pStyle w:val="FootnoteText"/>
        <w:rPr>
          <w:rFonts w:cs="Times New Roman"/>
          <w:szCs w:val="16"/>
        </w:rPr>
      </w:pPr>
      <w:r>
        <w:t>(</w:t>
      </w:r>
      <w:r>
        <w:rPr>
          <w:rStyle w:val="FootnoteReference"/>
          <w:rFonts w:cs="Times New Roman"/>
          <w:szCs w:val="16"/>
        </w:rPr>
        <w:footnoteRef/>
      </w:r>
      <w:r>
        <w:t>)</w:t>
      </w:r>
      <w:r>
        <w:tab/>
        <w:t xml:space="preserve">Med «turisme» menes den aktiviteten der en besøkende reiser til et hovedbestemmelsessted utenfor </w:t>
      </w:r>
      <w:proofErr w:type="spellStart"/>
      <w:r>
        <w:t>vedkommendes</w:t>
      </w:r>
      <w:proofErr w:type="spellEnd"/>
      <w:r>
        <w:t xml:space="preserve"> vanlige omgivelser i under ett år og med hvilket som helst hovedformål, herunder forretninger, fritid eller andre private formål, bortsett fra å bli ansatt i et foretak som er hjemmehørende på besøkelsesstedet, se Eurostats ordliste (utgave av 27.6.2023: https://ec.europa.eu/eurostat/statistics-explained/index.php?title=Glossary:Tourism).</w:t>
      </w:r>
    </w:p>
  </w:footnote>
  <w:footnote w:id="366">
    <w:p w14:paraId="634C112D"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Med «turistmål» menes i denne sammenhengen et geografisk område som avlegges besøk, og som består av en rekke ressurser og severdigheter som vanligvis fremmes av en organisasjon som forvalter reisemål, eller av en lokal, regional eller nasjonal reiselivsorganisasjon.</w:t>
      </w:r>
    </w:p>
  </w:footnote>
  <w:footnote w:id="367">
    <w:p w14:paraId="783BDA8A"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Med «belastningsevne» menes det høyeste antallet personer som kan besøke et turistmål samtidig, uten å forårsake ødeleggelse av det fysiske, økonomiske og sosiokulturelle miljøet og en uakseptabel forringelse av kvaliteten på de besøkendes tilfredshet (UNEP/MAP/PAP, 1997).</w:t>
      </w:r>
    </w:p>
  </w:footnote>
  <w:footnote w:id="368">
    <w:p w14:paraId="2B3BCF41"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Belastningsevnen kan også utvikles som en del av den miljøkonsekvensvurderingen eller den screeningen som det vises til i nr. 4.1.</w:t>
      </w:r>
    </w:p>
  </w:footnote>
  <w:footnote w:id="369">
    <w:p w14:paraId="308AB27A"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I henhold til kriteriene for hoteller fra «Global </w:t>
      </w:r>
      <w:proofErr w:type="spellStart"/>
      <w:r>
        <w:t>Sustainable</w:t>
      </w:r>
      <w:proofErr w:type="spellEnd"/>
      <w:r>
        <w:t xml:space="preserve"> </w:t>
      </w:r>
      <w:proofErr w:type="spellStart"/>
      <w:r>
        <w:t>Tourism</w:t>
      </w:r>
      <w:proofErr w:type="spellEnd"/>
      <w:r>
        <w:t xml:space="preserve"> Council (GSTC)» (utgave av 27.6.2023: https://www.gstcouncil.org/gstc-criteria/gstc-industry-criteria-for-hotels/).</w:t>
      </w:r>
    </w:p>
  </w:footnote>
  <w:footnote w:id="370">
    <w:p w14:paraId="53EDBF32"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Innføringen av fremmede skadelige arter forhindres eller spredningen av dem håndteres i samsvar med europaparlaments- og rådsforordning (EU) nr. 1143/2014 av 22. oktober 2014 om forebygging og håndtering av innføring og spredning av invaderende fremmede arter (EUT L 317 av 4.11.2014, s. 35). Utenfor EU vises det til nasjonal lovgivning og til CBDs «</w:t>
      </w:r>
      <w:proofErr w:type="spellStart"/>
      <w:r>
        <w:t>Supplementary</w:t>
      </w:r>
      <w:proofErr w:type="spellEnd"/>
      <w:r>
        <w:t xml:space="preserve"> </w:t>
      </w:r>
      <w:proofErr w:type="spellStart"/>
      <w:r>
        <w:t>Voluntary</w:t>
      </w:r>
      <w:proofErr w:type="spellEnd"/>
      <w:r>
        <w:t xml:space="preserve"> </w:t>
      </w:r>
      <w:proofErr w:type="spellStart"/>
      <w:r>
        <w:t>Guidance</w:t>
      </w:r>
      <w:proofErr w:type="spellEnd"/>
      <w:r>
        <w:t xml:space="preserve"> for </w:t>
      </w:r>
      <w:proofErr w:type="spellStart"/>
      <w:r>
        <w:t>Avoiding</w:t>
      </w:r>
      <w:proofErr w:type="spellEnd"/>
      <w:r>
        <w:t xml:space="preserve"> </w:t>
      </w:r>
      <w:proofErr w:type="spellStart"/>
      <w:r>
        <w:t>Uintentional</w:t>
      </w:r>
      <w:proofErr w:type="spellEnd"/>
      <w:r>
        <w:t xml:space="preserve"> </w:t>
      </w:r>
      <w:proofErr w:type="spellStart"/>
      <w:r>
        <w:t>Introductions</w:t>
      </w:r>
      <w:proofErr w:type="spellEnd"/>
      <w:r>
        <w:t xml:space="preserve"> </w:t>
      </w:r>
      <w:proofErr w:type="spellStart"/>
      <w:r>
        <w:t>of</w:t>
      </w:r>
      <w:proofErr w:type="spellEnd"/>
      <w:r>
        <w:t xml:space="preserve"> </w:t>
      </w:r>
      <w:proofErr w:type="spellStart"/>
      <w:r>
        <w:t>Invasive</w:t>
      </w:r>
      <w:proofErr w:type="spellEnd"/>
      <w:r>
        <w:t xml:space="preserve"> </w:t>
      </w:r>
      <w:proofErr w:type="spellStart"/>
      <w:r>
        <w:t>Alien</w:t>
      </w:r>
      <w:proofErr w:type="spellEnd"/>
      <w:r>
        <w:t xml:space="preserve"> Species Associated </w:t>
      </w:r>
      <w:proofErr w:type="spellStart"/>
      <w:r>
        <w:t>with</w:t>
      </w:r>
      <w:proofErr w:type="spellEnd"/>
      <w:r>
        <w:t xml:space="preserve"> Trade in Live </w:t>
      </w:r>
      <w:proofErr w:type="spellStart"/>
      <w:r>
        <w:t>Organisms</w:t>
      </w:r>
      <w:proofErr w:type="spellEnd"/>
      <w:r>
        <w:t>» (utgave av 27.6.2023) som finnes på 14/11. Fremmede skadelige arter (cbd.int).</w:t>
      </w:r>
    </w:p>
  </w:footnote>
  <w:footnote w:id="371">
    <w:p w14:paraId="62CCC8F0"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I samsvar med rådsforordning (EF) nr. 338/97 av 9. desember 1996 om vern av ville dyr og planter ved kontroll av handelen med dem (EFT L 61 av 3.3.1997, s. 1) og kommisjonsforordning (EF) nr. 865/2006 av 4. mai 2006 om nærmere regler for gjennomføringen av rådsforordning (EF) nr. 338/97 om vern av ville dyr og planter ved kontroll av handelen med dem (EUT L 166 av 19.6.2006, s. 1), som gjennomfører konvensjonen om internasjonal handel med truede arter («Convention </w:t>
      </w:r>
      <w:proofErr w:type="spellStart"/>
      <w:r>
        <w:t>on</w:t>
      </w:r>
      <w:proofErr w:type="spellEnd"/>
      <w:r>
        <w:t xml:space="preserve"> International Trade in </w:t>
      </w:r>
      <w:proofErr w:type="spellStart"/>
      <w:r>
        <w:t>Endangered</w:t>
      </w:r>
      <w:proofErr w:type="spellEnd"/>
      <w:r>
        <w:t xml:space="preserve"> Species </w:t>
      </w:r>
      <w:proofErr w:type="spellStart"/>
      <w:r>
        <w:t>of</w:t>
      </w:r>
      <w:proofErr w:type="spellEnd"/>
      <w:r>
        <w:t xml:space="preserve"> Wild Fauna and Flora», CITES) i Unionen. Når det gjelder aktiviteter i tredjeland, i tråd med konvensjonen om internasjonal handel med utryddelsestruede arter (CITES).</w:t>
      </w:r>
    </w:p>
  </w:footnote>
  <w:footnote w:id="372">
    <w:p w14:paraId="65458EFB"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I henhold til EU-miljømerket for overnattingsvirksomheter Kriterium 26a: Overnattingsvirksomheten skal informere og instruere gjestene om de tiltakene som er truffet lokalt med hensyn til biologisk mangfold og bevaring av landskap og natur.</w:t>
      </w:r>
    </w:p>
  </w:footnote>
  <w:footnote w:id="373">
    <w:p w14:paraId="388B0D53"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Som for eksempel EU-miljømerket for overnattingsvirksomheter, i samsvar med kommisjonsbeslutning (EU) 2017/175 av 25. januar 2017 om </w:t>
      </w:r>
      <w:proofErr w:type="spellStart"/>
      <w:r>
        <w:t>fastsetjing</w:t>
      </w:r>
      <w:proofErr w:type="spellEnd"/>
      <w:r>
        <w:t xml:space="preserve"> av kriteria for tildeling av EU-miljømerket til </w:t>
      </w:r>
      <w:proofErr w:type="spellStart"/>
      <w:r>
        <w:t>overnattingsstader</w:t>
      </w:r>
      <w:proofErr w:type="spellEnd"/>
      <w:r>
        <w:t xml:space="preserve"> (meddelt under dokument C (2017) 299) (EUT L 28 av 2.2.2017, s. 9), EUs sertifisering av økologiske næringsmidler og drikkevarer i samsvar med europaparlaments- og rådsforordning (EU) 2018/848 av 30. mai 2018 om økologisk produksjon og merking av økologiske produkter og om oppheving av rådsforordning (EF) nr. 834/2007 (EUT L 150 av 14.6.2018, s. 1), FSC-merket for tre- og papirvarer (utgave av 27.6.2023: https://fsc.org/en) eller Rainforest Alliance for visse varer (utgave av 27.6.2023: https://www.rainforest-alliance.org/for-business/2020-certification-program/)</w:t>
      </w:r>
    </w:p>
  </w:footnote>
  <w:footnote w:id="374">
    <w:p w14:paraId="498AF055" w14:textId="77777777" w:rsidR="006561BA" w:rsidRPr="00980A19" w:rsidRDefault="005B4ED6">
      <w:pPr>
        <w:pStyle w:val="AnnexTableGrNotes"/>
        <w:spacing w:line="200" w:lineRule="exact"/>
        <w:ind w:left="300" w:hanging="300"/>
        <w:rPr>
          <w:rFonts w:cs="Times New Roman"/>
          <w:szCs w:val="16"/>
          <w:lang w:val="nn-NO"/>
        </w:rPr>
      </w:pPr>
      <w:r w:rsidRPr="00980A19">
        <w:rPr>
          <w:lang w:val="nn-NO"/>
        </w:rPr>
        <w:t>(</w:t>
      </w:r>
      <w:r>
        <w:rPr>
          <w:rStyle w:val="FootnoteReference"/>
          <w:rFonts w:cs="Times New Roman"/>
          <w:szCs w:val="16"/>
        </w:rPr>
        <w:footnoteRef/>
      </w:r>
      <w:r w:rsidRPr="00980A19">
        <w:rPr>
          <w:lang w:val="nn-NO"/>
        </w:rPr>
        <w:t>)</w:t>
      </w:r>
      <w:r w:rsidRPr="00980A19">
        <w:rPr>
          <w:lang w:val="nn-NO"/>
        </w:rPr>
        <w:tab/>
        <w:t>I samsvar med forordning (EF) nr. 1221/2009.</w:t>
      </w:r>
    </w:p>
  </w:footnote>
  <w:footnote w:id="375">
    <w:p w14:paraId="7232DC25"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ISO 14001:2015 Ledelsessystemer for miljø – Spesifikasjon med veiledning.</w:t>
      </w:r>
    </w:p>
  </w:footnote>
  <w:footnote w:id="376">
    <w:p w14:paraId="24346D88"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Kommisjonsbeslutning (EU) 2016/611 av 15. april 2016 om referansedokumentet om beste miljøstyringspraksis, sektorspesifikke indikatorer for miljøprestasjon og standardverdier for referansemåling av beste kvalitet for turistsektoren i henhold til forordning (EF) nr. 1221/2009 om frivillig deltaking for </w:t>
      </w:r>
      <w:proofErr w:type="spellStart"/>
      <w:r>
        <w:t>organisasjonar</w:t>
      </w:r>
      <w:proofErr w:type="spellEnd"/>
      <w:r>
        <w:t xml:space="preserve"> i ei fellesskapsordning for miljøstyring og miljørevisjon (EMAS).</w:t>
      </w:r>
    </w:p>
  </w:footnote>
  <w:footnote w:id="377">
    <w:p w14:paraId="0A5AB813"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ISO 14024:2018 Miljømerker og deklarasjoner – Miljømerking type I – Prinsipper og prosedyrer.</w:t>
      </w:r>
    </w:p>
  </w:footnote>
  <w:footnote w:id="378">
    <w:p w14:paraId="5554772F"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Kravene omfatter særlig at man følger en metode med flere kriterier, at kriteriene er utviklet gjennom en uavhengig vitenskapsbasert prosess, er offentlig tilgjengelige og går lenger enn det som kreves i lovgivningen, samt at merket er basert på en upartisk kontrollprosedyre gjennom tredjepartsverifisering.</w:t>
      </w:r>
    </w:p>
  </w:footnote>
  <w:footnote w:id="379">
    <w:p w14:paraId="246D2E74"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Framgangsmåten som vedkommende myndighet skal følge for å avgjøre om prosjekter oppført i vedlegg II til direktiv 2011/92/EU skal gjøres til gjenstand for en miljøkonsekvensutredning (som nevnt i artikkel 4 nr. 2 i det nevnte direktivet).</w:t>
      </w:r>
    </w:p>
  </w:footnote>
  <w:footnote w:id="380">
    <w:p w14:paraId="0B9BCC98"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For aktiviteter i tredjeland, i samsvar med tilsvarende gjeldende nasjonal rett eller internasjonale standarder som krever gjennomføring av en miljøkonsekvensutredning eller screening, for eksempel «IFC </w:t>
      </w:r>
      <w:proofErr w:type="spellStart"/>
      <w:r>
        <w:t>Performance</w:t>
      </w:r>
      <w:proofErr w:type="spellEnd"/>
      <w:r>
        <w:t xml:space="preserve"> Standard 1: </w:t>
      </w:r>
      <w:proofErr w:type="spellStart"/>
      <w:r>
        <w:t>Assessment</w:t>
      </w:r>
      <w:proofErr w:type="spellEnd"/>
      <w:r>
        <w:t xml:space="preserve"> and Management </w:t>
      </w:r>
      <w:proofErr w:type="spellStart"/>
      <w:r>
        <w:t>of</w:t>
      </w:r>
      <w:proofErr w:type="spellEnd"/>
      <w:r>
        <w:t xml:space="preserve"> </w:t>
      </w:r>
      <w:proofErr w:type="spellStart"/>
      <w:r>
        <w:t>Environmental</w:t>
      </w:r>
      <w:proofErr w:type="spellEnd"/>
      <w:r>
        <w:t xml:space="preserve"> and </w:t>
      </w:r>
      <w:proofErr w:type="spellStart"/>
      <w:r>
        <w:t>Social</w:t>
      </w:r>
      <w:proofErr w:type="spellEnd"/>
      <w:r>
        <w:t xml:space="preserve"> Risks».</w:t>
      </w:r>
    </w:p>
  </w:footnote>
  <w:footnote w:id="381">
    <w:p w14:paraId="73049C63"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 xml:space="preserve">For aktiviteter i tredjeland, i samsvar med tilsvarende gjeldende nasjonal rett eller internasjonale standarder som har som mål å bevare habitater, ville dyr og ville planter, og som krever at det gjennomføres 1) en screeningprosedyre for å fastslå hvorvidt det for en gitt aktivitet er nødvendig med en hensiktsmessig vurdering av mulige konsekvenser for beskyttede habitater og arter, 2) en slik hensiktsmessig vurdering dersom screeningen fastslår at det er nødvendig, for eksempel «IFC </w:t>
      </w:r>
      <w:proofErr w:type="spellStart"/>
      <w:r>
        <w:t>Performance</w:t>
      </w:r>
      <w:proofErr w:type="spellEnd"/>
      <w:r>
        <w:t xml:space="preserve"> Standard 6: </w:t>
      </w:r>
      <w:proofErr w:type="spellStart"/>
      <w:r>
        <w:t>Biodiversity</w:t>
      </w:r>
      <w:proofErr w:type="spellEnd"/>
      <w:r>
        <w:t xml:space="preserve"> Conservation and </w:t>
      </w:r>
      <w:proofErr w:type="spellStart"/>
      <w:r>
        <w:t>Sustainable</w:t>
      </w:r>
      <w:proofErr w:type="spellEnd"/>
      <w:r>
        <w:t xml:space="preserve"> Management </w:t>
      </w:r>
      <w:proofErr w:type="spellStart"/>
      <w:r>
        <w:t>of</w:t>
      </w:r>
      <w:proofErr w:type="spellEnd"/>
      <w:r>
        <w:t xml:space="preserve"> </w:t>
      </w:r>
      <w:proofErr w:type="spellStart"/>
      <w:r>
        <w:t>Living</w:t>
      </w:r>
      <w:proofErr w:type="spellEnd"/>
      <w:r>
        <w:t xml:space="preserve"> Natural Resources».</w:t>
      </w:r>
    </w:p>
  </w:footnote>
  <w:footnote w:id="382">
    <w:p w14:paraId="12F07283"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Den beregnede mengden energi som er nødvendig for å dekke energibehovet knyttet til den vanlige bruken av en bygning, uttrykt ved en numerisk indikator for samlet primærenergibruk i kWh/m</w:t>
      </w:r>
      <w:r>
        <w:rPr>
          <w:vertAlign w:val="superscript"/>
        </w:rPr>
        <w:t>2</w:t>
      </w:r>
      <w:r>
        <w:t xml:space="preserve"> per år og basert på den relevante nasjonale beregningsmetoden, og som vist på energisertifikatet.</w:t>
      </w:r>
    </w:p>
  </w:footnote>
  <w:footnote w:id="383">
    <w:p w14:paraId="2D65B879"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Med «areal med stort karbonlager» menes våtmarker, herunder torvmyrer, og sammenhengende skogkledde områder i betydningen angitt i artikkel 29 nr. 4 bokstav a), b) og c) i direktiv (EU) 2018/2001.</w:t>
      </w:r>
    </w:p>
  </w:footnote>
  <w:footnote w:id="384">
    <w:p w14:paraId="3262CC3B"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Europaparlaments- og rådsdirektiv (EU) 2019/904 av 5. juni 2019 om reduksjon av miljøkonsekvensene av visse plastprodukter (EUT L 155 av 12.6.2019, s. 1).</w:t>
      </w:r>
    </w:p>
  </w:footnote>
  <w:footnote w:id="385">
    <w:p w14:paraId="1341B7D9"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Virksomheten skal bare kildesortere de materialene som det finnes separat innsamling for.</w:t>
      </w:r>
    </w:p>
  </w:footnote>
  <w:footnote w:id="386">
    <w:p w14:paraId="5B36AD16"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«Næringsmiddelavfall» som definert i artikkel 3 nr. 4a i direktiv 2008/98/EF.</w:t>
      </w:r>
    </w:p>
  </w:footnote>
  <w:footnote w:id="387">
    <w:p w14:paraId="5B9B1A1B" w14:textId="77777777" w:rsidR="006561BA" w:rsidRDefault="005B4ED6">
      <w:pPr>
        <w:pStyle w:val="AnnexTableGrNotes"/>
        <w:spacing w:line="200" w:lineRule="exact"/>
        <w:ind w:left="300" w:hanging="300"/>
        <w:rPr>
          <w:rFonts w:cs="Times New Roman"/>
          <w:szCs w:val="16"/>
        </w:rPr>
      </w:pPr>
      <w:r>
        <w:t>(</w:t>
      </w:r>
      <w:r>
        <w:rPr>
          <w:rStyle w:val="FootnoteReference"/>
          <w:rFonts w:cs="Times New Roman"/>
          <w:szCs w:val="16"/>
        </w:rPr>
        <w:footnoteRef/>
      </w:r>
      <w:r>
        <w:t>)</w:t>
      </w:r>
      <w:r>
        <w:tab/>
        <w:t>Europaparlaments- og rådsdirektiv (EU) 2015/2193 av 25. november 2015 om begrensning av utslipp av visse luftforurensende stoffer fra mellomstore forbrenningsanlegg (EUT L 313 av 28.11.2015, s. 1).</w:t>
      </w:r>
    </w:p>
  </w:footnote>
  <w:footnote w:id="388">
    <w:p w14:paraId="684553F9" w14:textId="77777777" w:rsidR="006561BA" w:rsidRDefault="005B4ED6">
      <w:pPr>
        <w:pStyle w:val="FootnoteText"/>
        <w:rPr>
          <w:rFonts w:cs="Times New Roman"/>
          <w:szCs w:val="16"/>
        </w:rPr>
      </w:pPr>
      <w:r>
        <w:t>(</w:t>
      </w:r>
      <w:r>
        <w:rPr>
          <w:rStyle w:val="FootnoteReference"/>
          <w:rFonts w:cs="Times New Roman"/>
          <w:szCs w:val="16"/>
        </w:rPr>
        <w:footnoteRef/>
      </w:r>
      <w:r>
        <w:t>)</w:t>
      </w:r>
      <w:r>
        <w:tab/>
        <w:t xml:space="preserve">Framtidige scenarioer omfatter FNs klimapanels (IPCC) representative utslippsbaner («Representative </w:t>
      </w:r>
      <w:proofErr w:type="spellStart"/>
      <w:r>
        <w:t>Concentration</w:t>
      </w:r>
      <w:proofErr w:type="spellEnd"/>
      <w:r>
        <w:t xml:space="preserve"> </w:t>
      </w:r>
      <w:proofErr w:type="spellStart"/>
      <w:r>
        <w:t>Pathways</w:t>
      </w:r>
      <w:proofErr w:type="spellEnd"/>
      <w:r>
        <w:t>» – RCP) RCP2.6, RCP4.5, RCP6.0 og RCP8.5.</w:t>
      </w:r>
    </w:p>
  </w:footnote>
  <w:footnote w:id="389">
    <w:p w14:paraId="46B37350" w14:textId="77777777" w:rsidR="006561BA" w:rsidRDefault="005B4ED6">
      <w:pPr>
        <w:pStyle w:val="FootnoteText"/>
        <w:rPr>
          <w:rFonts w:cs="Times New Roman"/>
          <w:szCs w:val="16"/>
        </w:rPr>
      </w:pPr>
      <w:r>
        <w:t>(</w:t>
      </w:r>
      <w:r>
        <w:rPr>
          <w:rStyle w:val="FootnoteReference"/>
          <w:rFonts w:cs="Times New Roman"/>
          <w:szCs w:val="16"/>
        </w:rPr>
        <w:footnoteRef/>
      </w:r>
      <w:r>
        <w:t>)</w:t>
      </w:r>
      <w:r>
        <w:tab/>
        <w:t>Vurderingsrapporter om klimaendringer: «</w:t>
      </w:r>
      <w:proofErr w:type="spellStart"/>
      <w:r>
        <w:t>Impacts</w:t>
      </w:r>
      <w:proofErr w:type="spellEnd"/>
      <w:r>
        <w:t xml:space="preserve">, Adaptation and </w:t>
      </w:r>
      <w:proofErr w:type="spellStart"/>
      <w:r>
        <w:t>Vulnerability</w:t>
      </w:r>
      <w:proofErr w:type="spellEnd"/>
      <w:r>
        <w:t>», utgis regelmessig av FNs klimapanel (IPCC), FNs organ for vurdering av vitenskap knyttet til klimaendringer, https://www.ipcc.ch/reports/.</w:t>
      </w:r>
    </w:p>
  </w:footnote>
  <w:footnote w:id="390">
    <w:p w14:paraId="6D5BA791" w14:textId="77777777" w:rsidR="006561BA" w:rsidRDefault="005B4ED6">
      <w:pPr>
        <w:pStyle w:val="FootnoteText"/>
        <w:rPr>
          <w:rFonts w:cs="Times New Roman"/>
          <w:szCs w:val="16"/>
        </w:rPr>
      </w:pPr>
      <w:r>
        <w:t>(</w:t>
      </w:r>
      <w:r>
        <w:rPr>
          <w:rStyle w:val="FootnoteReference"/>
          <w:rFonts w:cs="Times New Roman"/>
          <w:szCs w:val="16"/>
        </w:rPr>
        <w:footnoteRef/>
      </w:r>
      <w:r>
        <w:t>)</w:t>
      </w:r>
      <w:r>
        <w:tab/>
        <w:t>Som for eksempel Copernicus-programmet som forvaltes av Europakommisjonen.</w:t>
      </w:r>
    </w:p>
  </w:footnote>
  <w:footnote w:id="391">
    <w:p w14:paraId="703847E7" w14:textId="77777777" w:rsidR="006561BA" w:rsidRDefault="005B4ED6">
      <w:pPr>
        <w:pStyle w:val="FootnoteText"/>
        <w:rPr>
          <w:rFonts w:cs="Times New Roman"/>
          <w:szCs w:val="16"/>
        </w:rPr>
      </w:pPr>
      <w:r>
        <w:t>(</w:t>
      </w:r>
      <w:r>
        <w:rPr>
          <w:rStyle w:val="FootnoteReference"/>
          <w:rFonts w:cs="Times New Roman"/>
          <w:szCs w:val="16"/>
        </w:rPr>
        <w:footnoteRef/>
      </w:r>
      <w:r>
        <w:t>)</w:t>
      </w:r>
      <w:r>
        <w:tab/>
        <w:t>Naturbaserte løsninger er definert som «løsninger som er inspirert og støttet av naturen, som er kostnadseffektive, som gir samtidige miljømessige, sosiale og økonomiske fordeler, og som bidrar til å bygge opp motstandsdyktighet. Slike løsninger bringer mer natur og flere naturlige funksjoner og prosesser med større mangfold inn i byer, landskap og havområder gjennom lokalt tilpassede, ressurseffektive og systemiske inngrep.» Naturbaserte løsninger er derfor til fordel for det biologiske mangfoldet og støtter en rekke økosystemtjenester (utgave av 27.6. 2023: https://ec.europa.eu/research/environment/index.cfm?pg=nbs).</w:t>
      </w:r>
    </w:p>
  </w:footnote>
  <w:footnote w:id="392">
    <w:p w14:paraId="3A2B6E37" w14:textId="77777777" w:rsidR="006561BA" w:rsidRDefault="005B4ED6">
      <w:pPr>
        <w:pStyle w:val="FootnoteText"/>
        <w:rPr>
          <w:rFonts w:cs="Times New Roman"/>
          <w:szCs w:val="16"/>
        </w:rPr>
      </w:pPr>
      <w:r>
        <w:t>(</w:t>
      </w:r>
      <w:r>
        <w:rPr>
          <w:rStyle w:val="FootnoteReference"/>
          <w:rFonts w:cs="Times New Roman"/>
          <w:szCs w:val="16"/>
        </w:rPr>
        <w:footnoteRef/>
      </w:r>
      <w:r>
        <w:t>)</w:t>
      </w:r>
      <w:r>
        <w:tab/>
        <w:t xml:space="preserve">Se kommisjonsmelding til Europaparlamentet, Rådet, Den europeiske økonomiske og sosiale komité og Regionkomiteen om grønn infrastruktur (GI) – styrking av Europas naturkapital («Green </w:t>
      </w:r>
      <w:proofErr w:type="spellStart"/>
      <w:r>
        <w:t>Infrastructure</w:t>
      </w:r>
      <w:proofErr w:type="spellEnd"/>
      <w:r>
        <w:t xml:space="preserve"> (GI) – </w:t>
      </w:r>
      <w:proofErr w:type="spellStart"/>
      <w:r>
        <w:t>Enhancing</w:t>
      </w:r>
      <w:proofErr w:type="spellEnd"/>
      <w:r>
        <w:t xml:space="preserve"> </w:t>
      </w:r>
      <w:proofErr w:type="spellStart"/>
      <w:r>
        <w:t>Europe’s</w:t>
      </w:r>
      <w:proofErr w:type="spellEnd"/>
      <w:r>
        <w:t xml:space="preserve"> Natural Capital», (COM(2013) 249 final).</w:t>
      </w:r>
    </w:p>
  </w:footnote>
  <w:footnote w:id="393">
    <w:p w14:paraId="2F301337" w14:textId="77777777" w:rsidR="006561BA" w:rsidRDefault="005B4ED6">
      <w:pPr>
        <w:pStyle w:val="FootnoteText"/>
        <w:rPr>
          <w:rFonts w:cs="Times New Roman"/>
          <w:szCs w:val="16"/>
        </w:rPr>
      </w:pPr>
      <w:r>
        <w:t>(</w:t>
      </w:r>
      <w:r>
        <w:rPr>
          <w:rStyle w:val="FootnoteReference"/>
          <w:rFonts w:cs="Times New Roman"/>
          <w:szCs w:val="16"/>
        </w:rPr>
        <w:footnoteRef/>
      </w:r>
      <w:r>
        <w:t>)</w:t>
      </w:r>
      <w:r>
        <w:tab/>
        <w:t>Listen over klimarelaterte farer i denne tabellen er ikke uttømmende og utgjør bare en veiledende liste over de mest utbredte farene som det minst skal tas hensyn til i klimarisiko- og sårbarhetsvurderingen.</w:t>
      </w:r>
    </w:p>
  </w:footnote>
  <w:footnote w:id="394">
    <w:p w14:paraId="625DF9A6" w14:textId="77777777" w:rsidR="006561BA" w:rsidRDefault="005B4ED6">
      <w:pPr>
        <w:pStyle w:val="FootnoteText"/>
        <w:rPr>
          <w:rFonts w:cs="Times New Roman"/>
          <w:szCs w:val="16"/>
        </w:rPr>
      </w:pPr>
      <w:r>
        <w:t>(</w:t>
      </w:r>
      <w:r>
        <w:rPr>
          <w:rStyle w:val="FootnoteReference"/>
          <w:rFonts w:cs="Times New Roman"/>
          <w:szCs w:val="16"/>
        </w:rPr>
        <w:footnoteRef/>
      </w:r>
      <w:r>
        <w:t>)</w:t>
      </w:r>
      <w:r>
        <w:tab/>
        <w:t>For aktiviteter i tredjeland, i samsvar med gjeldende nasjonal rett eller internasjonale standarder som har likeverdige mål om god vanntilstand og et godt økologisk potensial, gjennom likeverdige prosedyreregler og materielle regler, det vil si en forvaltningsplan for bruk og beskyttelse av vann som er utarbeidet i samråd med relevante berørte parter, og som sikrer at 1) aktivitetenes innvirkning på den identifiserte tilstanden eller det identifiserte økologiske potensialet for den eller de vannforekomstene som kan bli berørt, vurderes, og 2) at forringelse eller forhindring av god tilstand / et godt økologisk potensial unngås eller, dersom dette ikke er mulig, 3) begrunnes med mangel på bedre miljøalternativer som ikke er uforholdsmessig kostnadskrevende / teknisk ugjennomførlige, og alle praktisk mulige tiltak treffes for å redusere de negative virkningene på vannforekomstens tilstand.</w:t>
      </w:r>
    </w:p>
  </w:footnote>
  <w:footnote w:id="395">
    <w:p w14:paraId="4A3F38E2" w14:textId="77777777" w:rsidR="006561BA" w:rsidRDefault="005B4ED6">
      <w:pPr>
        <w:pStyle w:val="FootnoteText"/>
        <w:rPr>
          <w:rFonts w:cs="Times New Roman"/>
          <w:szCs w:val="16"/>
        </w:rPr>
      </w:pPr>
      <w:r>
        <w:t>(</w:t>
      </w:r>
      <w:r>
        <w:rPr>
          <w:rStyle w:val="FootnoteReference"/>
          <w:rFonts w:cs="Times New Roman"/>
          <w:szCs w:val="16"/>
        </w:rPr>
        <w:footnoteRef/>
      </w:r>
      <w:r>
        <w:t>)</w:t>
      </w:r>
      <w:r>
        <w:tab/>
        <w:t xml:space="preserve">I henhold til definisjonen i artikkel 3 nr. 5 i direktiv 2008/56/EF skal god miljøtilstand fastsettes på grunnlag av de kvalitative </w:t>
      </w:r>
      <w:proofErr w:type="spellStart"/>
      <w:r>
        <w:t>deskriptorene</w:t>
      </w:r>
      <w:proofErr w:type="spellEnd"/>
      <w:r>
        <w:t xml:space="preserve"> fastsatt i vedlegg I til det nevnte direktivet.</w:t>
      </w:r>
    </w:p>
  </w:footnote>
  <w:footnote w:id="396">
    <w:p w14:paraId="76761F4C" w14:textId="77777777" w:rsidR="006561BA" w:rsidRDefault="005B4ED6">
      <w:pPr>
        <w:pStyle w:val="FootnoteText"/>
        <w:rPr>
          <w:rFonts w:cs="Times New Roman"/>
          <w:szCs w:val="16"/>
        </w:rPr>
      </w:pPr>
      <w:r>
        <w:t>(</w:t>
      </w:r>
      <w:r>
        <w:rPr>
          <w:rStyle w:val="FootnoteReference"/>
          <w:rFonts w:cs="Times New Roman"/>
          <w:szCs w:val="16"/>
        </w:rPr>
        <w:footnoteRef/>
      </w:r>
      <w:r>
        <w:t>)</w:t>
      </w:r>
      <w:r>
        <w:tab/>
        <w:t>Kommisjonen vil gjennomgå unntakene fra forbudet mot å produsere, bringe i omsetning eller bruke stoffene nevnt i bokstav f) når den har offentliggjort horisontale prinsipper om vesentlig anvendelse av kjemikalier.</w:t>
      </w:r>
    </w:p>
  </w:footnote>
  <w:footnote w:id="397">
    <w:p w14:paraId="2C9BA7B6" w14:textId="77777777" w:rsidR="006561BA" w:rsidRDefault="005B4ED6">
      <w:pPr>
        <w:pStyle w:val="FootnoteText"/>
        <w:rPr>
          <w:rFonts w:cs="Times New Roman"/>
          <w:szCs w:val="16"/>
        </w:rPr>
      </w:pPr>
      <w:r>
        <w:t>(</w:t>
      </w:r>
      <w:r>
        <w:rPr>
          <w:rStyle w:val="FootnoteReference"/>
          <w:rFonts w:cs="Times New Roman"/>
          <w:szCs w:val="16"/>
        </w:rPr>
        <w:footnoteRef/>
      </w:r>
      <w:r>
        <w:t>)</w:t>
      </w:r>
      <w:r>
        <w:tab/>
        <w:t>Kommisjonen vil gjennomgå unntakene fra forbudet mot produksjon, forekomst i sluttproduktet eller sluttresultatet, eller omsetning av stoffene nevnt i dette punktet når den har offentliggjort horisontale prinsipper om vesentlig anvendelse av kjemikalier.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AC87B" w14:textId="46C4362A" w:rsidR="005B4ED6" w:rsidRDefault="00980A19">
    <w:pPr>
      <w:pStyle w:val="Header"/>
    </w:pPr>
    <w:r>
      <w:pict w14:anchorId="705EC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529344" o:spid="_x0000_s1026" type="#_x0000_t75" style="position:absolute;left:0;text-align:left;margin-left:0;margin-top:0;width:461.45pt;height:450.95pt;z-index:-251657216;mso-position-horizontal:center;mso-position-horizontal-relative:margin;mso-position-vertical:center;mso-position-vertical-relative:margin" o:allowincell="f">
          <v:imagedata r:id="rId1" o:title="Vannmerke-NB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155930"/>
      <w:docPartObj>
        <w:docPartGallery w:val="Page Numbers (Top of Page)"/>
        <w:docPartUnique/>
      </w:docPartObj>
    </w:sdtPr>
    <w:sdtEndPr>
      <w:rPr>
        <w:noProof/>
      </w:rPr>
    </w:sdtEndPr>
    <w:sdtContent>
      <w:p w14:paraId="7DB7A97C" w14:textId="7FB43923" w:rsidR="006561BA" w:rsidRDefault="00980A19">
        <w:pPr>
          <w:pStyle w:val="Header"/>
          <w:jc w:val="right"/>
        </w:pPr>
        <w:r>
          <w:pict w14:anchorId="4000E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529345" o:spid="_x0000_s1027" type="#_x0000_t75" style="position:absolute;left:0;text-align:left;margin-left:0;margin-top:0;width:461.45pt;height:450.95pt;z-index:-251656192;mso-position-horizontal:center;mso-position-horizontal-relative:margin;mso-position-vertical:center;mso-position-vertical-relative:margin" o:allowincell="f">
              <v:imagedata r:id="rId1" o:title="Vannmerke-NBO"/>
              <w10:wrap anchorx="margin" anchory="margin"/>
            </v:shape>
          </w:pict>
        </w:r>
        <w:r w:rsidR="005B4ED6">
          <w:fldChar w:fldCharType="begin"/>
        </w:r>
        <w:r w:rsidR="005B4ED6">
          <w:instrText xml:space="preserve"> PAGE   \* MERGEFORMAT </w:instrText>
        </w:r>
        <w:r w:rsidR="005B4ED6">
          <w:fldChar w:fldCharType="separate"/>
        </w:r>
        <w:r w:rsidR="005B4ED6">
          <w:t>164</w:t>
        </w:r>
        <w:r w:rsidR="005B4ED6">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D2CF6" w14:textId="6DE962D2" w:rsidR="005B4ED6" w:rsidRDefault="00980A19">
    <w:pPr>
      <w:pStyle w:val="Header"/>
    </w:pPr>
    <w:r>
      <w:pict w14:anchorId="2D80F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529343" o:spid="_x0000_s1025" type="#_x0000_t75" style="position:absolute;left:0;text-align:left;margin-left:0;margin-top:0;width:461.45pt;height:450.95pt;z-index:-251658240;mso-position-horizontal:center;mso-position-horizontal-relative:margin;mso-position-vertical:center;mso-position-vertical-relative:margin" o:allowincell="f">
          <v:imagedata r:id="rId1" o:title="Vannmerke-NB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D19D3"/>
    <w:multiLevelType w:val="hybridMultilevel"/>
    <w:tmpl w:val="C8CE26D2"/>
    <w:lvl w:ilvl="0" w:tplc="CD48D4A2">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64A12FEB"/>
    <w:multiLevelType w:val="hybridMultilevel"/>
    <w:tmpl w:val="5ED6C5BA"/>
    <w:lvl w:ilvl="0" w:tplc="57724CBC">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6CAF3640"/>
    <w:multiLevelType w:val="hybridMultilevel"/>
    <w:tmpl w:val="185CD1C6"/>
    <w:lvl w:ilvl="0" w:tplc="4300D4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6036879">
    <w:abstractNumId w:val="2"/>
  </w:num>
  <w:num w:numId="2" w16cid:durableId="2088451025">
    <w:abstractNumId w:val="0"/>
  </w:num>
  <w:num w:numId="3" w16cid:durableId="2040623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consecutiveHyphenLimit w:val="2"/>
  <w:hyphenationZone w:val="357"/>
  <w:doNotHyphenateCaps/>
  <w:defaultTableStyle w:val="EFTATable"/>
  <w:characterSpacingControl w:val="doNotCompress"/>
  <w:hdrShapeDefaults>
    <o:shapedefaults v:ext="edit" spidmax="2050"/>
    <o:shapelayout v:ext="edit">
      <o:idmap v:ext="edit" data="1"/>
    </o:shapelayout>
  </w:hdrShapeDefaults>
  <w:footnotePr>
    <w:pos w:val="beneathText"/>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1BA"/>
    <w:rsid w:val="000028BA"/>
    <w:rsid w:val="000148E5"/>
    <w:rsid w:val="00027318"/>
    <w:rsid w:val="00032476"/>
    <w:rsid w:val="000415B7"/>
    <w:rsid w:val="00052EED"/>
    <w:rsid w:val="00054A54"/>
    <w:rsid w:val="00055446"/>
    <w:rsid w:val="0005676D"/>
    <w:rsid w:val="0006063C"/>
    <w:rsid w:val="00063005"/>
    <w:rsid w:val="00066608"/>
    <w:rsid w:val="00073D9C"/>
    <w:rsid w:val="00075BA4"/>
    <w:rsid w:val="00077091"/>
    <w:rsid w:val="000847EB"/>
    <w:rsid w:val="000960DE"/>
    <w:rsid w:val="000A78C2"/>
    <w:rsid w:val="000B3D12"/>
    <w:rsid w:val="000B7D0E"/>
    <w:rsid w:val="000C53E6"/>
    <w:rsid w:val="000C6D4A"/>
    <w:rsid w:val="000D3D55"/>
    <w:rsid w:val="000D48FD"/>
    <w:rsid w:val="000E19DA"/>
    <w:rsid w:val="000E46AE"/>
    <w:rsid w:val="000E5AAA"/>
    <w:rsid w:val="000E648C"/>
    <w:rsid w:val="000E67D2"/>
    <w:rsid w:val="001026D4"/>
    <w:rsid w:val="00104CA8"/>
    <w:rsid w:val="00107CD5"/>
    <w:rsid w:val="00111C90"/>
    <w:rsid w:val="00111D1C"/>
    <w:rsid w:val="001139C0"/>
    <w:rsid w:val="00131D62"/>
    <w:rsid w:val="00134C15"/>
    <w:rsid w:val="001379E4"/>
    <w:rsid w:val="00164B1D"/>
    <w:rsid w:val="001651DB"/>
    <w:rsid w:val="00180C54"/>
    <w:rsid w:val="001948CF"/>
    <w:rsid w:val="001A4596"/>
    <w:rsid w:val="001A47A1"/>
    <w:rsid w:val="001B474D"/>
    <w:rsid w:val="001B765A"/>
    <w:rsid w:val="001C3E96"/>
    <w:rsid w:val="001C78BB"/>
    <w:rsid w:val="001D0353"/>
    <w:rsid w:val="001E0940"/>
    <w:rsid w:val="001E255E"/>
    <w:rsid w:val="001E27E5"/>
    <w:rsid w:val="00216468"/>
    <w:rsid w:val="00216BE4"/>
    <w:rsid w:val="00217A70"/>
    <w:rsid w:val="002230A0"/>
    <w:rsid w:val="002230F3"/>
    <w:rsid w:val="0022772C"/>
    <w:rsid w:val="00227949"/>
    <w:rsid w:val="002306B7"/>
    <w:rsid w:val="00263038"/>
    <w:rsid w:val="00263202"/>
    <w:rsid w:val="00284EBD"/>
    <w:rsid w:val="002863A1"/>
    <w:rsid w:val="0029543C"/>
    <w:rsid w:val="002C399F"/>
    <w:rsid w:val="002C5F94"/>
    <w:rsid w:val="002C5FBA"/>
    <w:rsid w:val="002D749A"/>
    <w:rsid w:val="002E2523"/>
    <w:rsid w:val="002E3EBE"/>
    <w:rsid w:val="002E73FD"/>
    <w:rsid w:val="002F30F4"/>
    <w:rsid w:val="002F3922"/>
    <w:rsid w:val="003000C6"/>
    <w:rsid w:val="0030164A"/>
    <w:rsid w:val="00313EE9"/>
    <w:rsid w:val="00325963"/>
    <w:rsid w:val="00333E5F"/>
    <w:rsid w:val="003351A4"/>
    <w:rsid w:val="0034392E"/>
    <w:rsid w:val="00343AF3"/>
    <w:rsid w:val="00343DC2"/>
    <w:rsid w:val="003441A8"/>
    <w:rsid w:val="0035037D"/>
    <w:rsid w:val="00352CB6"/>
    <w:rsid w:val="003564DC"/>
    <w:rsid w:val="00366587"/>
    <w:rsid w:val="003668AC"/>
    <w:rsid w:val="00367EAD"/>
    <w:rsid w:val="00376DBB"/>
    <w:rsid w:val="003828EC"/>
    <w:rsid w:val="00384748"/>
    <w:rsid w:val="00396206"/>
    <w:rsid w:val="0039724F"/>
    <w:rsid w:val="003A0C08"/>
    <w:rsid w:val="003A1542"/>
    <w:rsid w:val="003A1B7B"/>
    <w:rsid w:val="003A68EF"/>
    <w:rsid w:val="003C01C3"/>
    <w:rsid w:val="003C38C9"/>
    <w:rsid w:val="003C3F1C"/>
    <w:rsid w:val="003C4AD7"/>
    <w:rsid w:val="0040029B"/>
    <w:rsid w:val="0041297E"/>
    <w:rsid w:val="00417EF2"/>
    <w:rsid w:val="00422381"/>
    <w:rsid w:val="00423FA7"/>
    <w:rsid w:val="00432B91"/>
    <w:rsid w:val="004400AD"/>
    <w:rsid w:val="00440EEB"/>
    <w:rsid w:val="00441A33"/>
    <w:rsid w:val="004438C7"/>
    <w:rsid w:val="004837DF"/>
    <w:rsid w:val="00483FEF"/>
    <w:rsid w:val="00494E60"/>
    <w:rsid w:val="004B10DF"/>
    <w:rsid w:val="004B1668"/>
    <w:rsid w:val="004B4D3F"/>
    <w:rsid w:val="004B7737"/>
    <w:rsid w:val="004C102C"/>
    <w:rsid w:val="004D30CD"/>
    <w:rsid w:val="004D3296"/>
    <w:rsid w:val="004D47AA"/>
    <w:rsid w:val="004F532F"/>
    <w:rsid w:val="00502733"/>
    <w:rsid w:val="00502CFC"/>
    <w:rsid w:val="0050533F"/>
    <w:rsid w:val="00507B3E"/>
    <w:rsid w:val="005139BB"/>
    <w:rsid w:val="005171FB"/>
    <w:rsid w:val="00530F4B"/>
    <w:rsid w:val="00534902"/>
    <w:rsid w:val="00576730"/>
    <w:rsid w:val="00591E72"/>
    <w:rsid w:val="005A6315"/>
    <w:rsid w:val="005B2626"/>
    <w:rsid w:val="005B4ED6"/>
    <w:rsid w:val="005C3F06"/>
    <w:rsid w:val="005D1CED"/>
    <w:rsid w:val="005D22A3"/>
    <w:rsid w:val="005D32C1"/>
    <w:rsid w:val="005F3AA0"/>
    <w:rsid w:val="005F3FEF"/>
    <w:rsid w:val="005F44AD"/>
    <w:rsid w:val="005F5583"/>
    <w:rsid w:val="005F6C58"/>
    <w:rsid w:val="00601EE9"/>
    <w:rsid w:val="00605160"/>
    <w:rsid w:val="00605B05"/>
    <w:rsid w:val="00613D1E"/>
    <w:rsid w:val="00614BF9"/>
    <w:rsid w:val="00635114"/>
    <w:rsid w:val="006367AE"/>
    <w:rsid w:val="00640F8C"/>
    <w:rsid w:val="00644445"/>
    <w:rsid w:val="00651BB3"/>
    <w:rsid w:val="00653F5B"/>
    <w:rsid w:val="00655BF8"/>
    <w:rsid w:val="006561BA"/>
    <w:rsid w:val="006713EF"/>
    <w:rsid w:val="00680383"/>
    <w:rsid w:val="0068049F"/>
    <w:rsid w:val="006918D6"/>
    <w:rsid w:val="00695700"/>
    <w:rsid w:val="0069764F"/>
    <w:rsid w:val="006A17C3"/>
    <w:rsid w:val="006A4419"/>
    <w:rsid w:val="006B144B"/>
    <w:rsid w:val="006B5F47"/>
    <w:rsid w:val="006B72A0"/>
    <w:rsid w:val="006B75BF"/>
    <w:rsid w:val="006C0885"/>
    <w:rsid w:val="006C0ED5"/>
    <w:rsid w:val="006C79EF"/>
    <w:rsid w:val="006D6DE2"/>
    <w:rsid w:val="006D723D"/>
    <w:rsid w:val="006E633D"/>
    <w:rsid w:val="006F2A43"/>
    <w:rsid w:val="006F30FF"/>
    <w:rsid w:val="006F59C7"/>
    <w:rsid w:val="006F5F15"/>
    <w:rsid w:val="00700296"/>
    <w:rsid w:val="0070387E"/>
    <w:rsid w:val="0071038E"/>
    <w:rsid w:val="0071095A"/>
    <w:rsid w:val="007119A6"/>
    <w:rsid w:val="00712347"/>
    <w:rsid w:val="00716B58"/>
    <w:rsid w:val="00716C91"/>
    <w:rsid w:val="007321E0"/>
    <w:rsid w:val="00734DB1"/>
    <w:rsid w:val="00753B36"/>
    <w:rsid w:val="0075663F"/>
    <w:rsid w:val="00763C66"/>
    <w:rsid w:val="00765082"/>
    <w:rsid w:val="00770728"/>
    <w:rsid w:val="00770AA2"/>
    <w:rsid w:val="007828C5"/>
    <w:rsid w:val="00783C18"/>
    <w:rsid w:val="007870FD"/>
    <w:rsid w:val="0079729A"/>
    <w:rsid w:val="00797C0E"/>
    <w:rsid w:val="00797CF7"/>
    <w:rsid w:val="007A0C6F"/>
    <w:rsid w:val="007B4C43"/>
    <w:rsid w:val="007C3003"/>
    <w:rsid w:val="007C39A3"/>
    <w:rsid w:val="007D3161"/>
    <w:rsid w:val="007E4A24"/>
    <w:rsid w:val="007E614A"/>
    <w:rsid w:val="007E61B7"/>
    <w:rsid w:val="007E65F6"/>
    <w:rsid w:val="007E6614"/>
    <w:rsid w:val="007E7704"/>
    <w:rsid w:val="007F0050"/>
    <w:rsid w:val="007F704D"/>
    <w:rsid w:val="007F757C"/>
    <w:rsid w:val="008045DB"/>
    <w:rsid w:val="008048D3"/>
    <w:rsid w:val="00814D4E"/>
    <w:rsid w:val="0081638F"/>
    <w:rsid w:val="00817F78"/>
    <w:rsid w:val="008207F3"/>
    <w:rsid w:val="00821DA0"/>
    <w:rsid w:val="0082249B"/>
    <w:rsid w:val="00823A56"/>
    <w:rsid w:val="00826988"/>
    <w:rsid w:val="00831BBF"/>
    <w:rsid w:val="0083429C"/>
    <w:rsid w:val="00861454"/>
    <w:rsid w:val="0086216C"/>
    <w:rsid w:val="0086450C"/>
    <w:rsid w:val="008657A5"/>
    <w:rsid w:val="00867E59"/>
    <w:rsid w:val="0088203A"/>
    <w:rsid w:val="00884576"/>
    <w:rsid w:val="00884650"/>
    <w:rsid w:val="00884730"/>
    <w:rsid w:val="00885D2B"/>
    <w:rsid w:val="00891351"/>
    <w:rsid w:val="008973CB"/>
    <w:rsid w:val="00897A8E"/>
    <w:rsid w:val="008A5096"/>
    <w:rsid w:val="008A5F6F"/>
    <w:rsid w:val="008B562F"/>
    <w:rsid w:val="008C52C8"/>
    <w:rsid w:val="008D4BCA"/>
    <w:rsid w:val="008E4419"/>
    <w:rsid w:val="008F0DE5"/>
    <w:rsid w:val="00905F41"/>
    <w:rsid w:val="009206FB"/>
    <w:rsid w:val="00921333"/>
    <w:rsid w:val="00921459"/>
    <w:rsid w:val="00935C9C"/>
    <w:rsid w:val="00943DA8"/>
    <w:rsid w:val="0094751D"/>
    <w:rsid w:val="00947C0B"/>
    <w:rsid w:val="00951A1F"/>
    <w:rsid w:val="00952E6E"/>
    <w:rsid w:val="00962B22"/>
    <w:rsid w:val="00963A8A"/>
    <w:rsid w:val="00976BEB"/>
    <w:rsid w:val="00980A19"/>
    <w:rsid w:val="00984043"/>
    <w:rsid w:val="009866DF"/>
    <w:rsid w:val="00987D7E"/>
    <w:rsid w:val="009B0939"/>
    <w:rsid w:val="009B20D8"/>
    <w:rsid w:val="009B2FD3"/>
    <w:rsid w:val="009B44D6"/>
    <w:rsid w:val="009B6158"/>
    <w:rsid w:val="009C1430"/>
    <w:rsid w:val="009D5C3D"/>
    <w:rsid w:val="009E7258"/>
    <w:rsid w:val="009F5907"/>
    <w:rsid w:val="00A04113"/>
    <w:rsid w:val="00A227F2"/>
    <w:rsid w:val="00A32C17"/>
    <w:rsid w:val="00A34D07"/>
    <w:rsid w:val="00A36F0B"/>
    <w:rsid w:val="00A43516"/>
    <w:rsid w:val="00A46531"/>
    <w:rsid w:val="00A47286"/>
    <w:rsid w:val="00A5119A"/>
    <w:rsid w:val="00A5198F"/>
    <w:rsid w:val="00A530E6"/>
    <w:rsid w:val="00A635E4"/>
    <w:rsid w:val="00A70546"/>
    <w:rsid w:val="00A708B8"/>
    <w:rsid w:val="00A736E5"/>
    <w:rsid w:val="00A766A4"/>
    <w:rsid w:val="00A82B56"/>
    <w:rsid w:val="00A92103"/>
    <w:rsid w:val="00AA0531"/>
    <w:rsid w:val="00AA4B61"/>
    <w:rsid w:val="00AC22B9"/>
    <w:rsid w:val="00AC2FF4"/>
    <w:rsid w:val="00AC428B"/>
    <w:rsid w:val="00AC549A"/>
    <w:rsid w:val="00AC610A"/>
    <w:rsid w:val="00AD56F0"/>
    <w:rsid w:val="00AD6F90"/>
    <w:rsid w:val="00AE12EF"/>
    <w:rsid w:val="00AF1CED"/>
    <w:rsid w:val="00AF360D"/>
    <w:rsid w:val="00B125A6"/>
    <w:rsid w:val="00B1267C"/>
    <w:rsid w:val="00B15EB9"/>
    <w:rsid w:val="00B17783"/>
    <w:rsid w:val="00B208F8"/>
    <w:rsid w:val="00B20D1E"/>
    <w:rsid w:val="00B2101A"/>
    <w:rsid w:val="00B2265F"/>
    <w:rsid w:val="00B301BE"/>
    <w:rsid w:val="00B314EE"/>
    <w:rsid w:val="00B448E2"/>
    <w:rsid w:val="00B51DD3"/>
    <w:rsid w:val="00B53194"/>
    <w:rsid w:val="00B63EFF"/>
    <w:rsid w:val="00B66764"/>
    <w:rsid w:val="00B70F5B"/>
    <w:rsid w:val="00B804AF"/>
    <w:rsid w:val="00B8211A"/>
    <w:rsid w:val="00B85801"/>
    <w:rsid w:val="00B872FB"/>
    <w:rsid w:val="00B91B08"/>
    <w:rsid w:val="00BA08E9"/>
    <w:rsid w:val="00BA108C"/>
    <w:rsid w:val="00BA53C1"/>
    <w:rsid w:val="00BA7DD6"/>
    <w:rsid w:val="00BB2EC9"/>
    <w:rsid w:val="00BC24FD"/>
    <w:rsid w:val="00BC4E2C"/>
    <w:rsid w:val="00BC6DE0"/>
    <w:rsid w:val="00BD4A4E"/>
    <w:rsid w:val="00BE00C3"/>
    <w:rsid w:val="00BE034F"/>
    <w:rsid w:val="00BE1452"/>
    <w:rsid w:val="00BF5915"/>
    <w:rsid w:val="00BF7528"/>
    <w:rsid w:val="00C02C7E"/>
    <w:rsid w:val="00C13AEA"/>
    <w:rsid w:val="00C16B68"/>
    <w:rsid w:val="00C30390"/>
    <w:rsid w:val="00C30A60"/>
    <w:rsid w:val="00C47C84"/>
    <w:rsid w:val="00C6603E"/>
    <w:rsid w:val="00C70DD6"/>
    <w:rsid w:val="00C80186"/>
    <w:rsid w:val="00C809E6"/>
    <w:rsid w:val="00C84414"/>
    <w:rsid w:val="00C849A3"/>
    <w:rsid w:val="00C84B73"/>
    <w:rsid w:val="00CA0EA7"/>
    <w:rsid w:val="00CA2D1A"/>
    <w:rsid w:val="00CB000B"/>
    <w:rsid w:val="00CB1665"/>
    <w:rsid w:val="00CB37B3"/>
    <w:rsid w:val="00CC6F4D"/>
    <w:rsid w:val="00CC7717"/>
    <w:rsid w:val="00CD3751"/>
    <w:rsid w:val="00CE5005"/>
    <w:rsid w:val="00CE6D04"/>
    <w:rsid w:val="00CF682A"/>
    <w:rsid w:val="00D07331"/>
    <w:rsid w:val="00D11080"/>
    <w:rsid w:val="00D161ED"/>
    <w:rsid w:val="00D17F87"/>
    <w:rsid w:val="00D20EE9"/>
    <w:rsid w:val="00D2258F"/>
    <w:rsid w:val="00D22D7A"/>
    <w:rsid w:val="00D25828"/>
    <w:rsid w:val="00D41CB9"/>
    <w:rsid w:val="00D42DC6"/>
    <w:rsid w:val="00D4332D"/>
    <w:rsid w:val="00D46609"/>
    <w:rsid w:val="00D675A1"/>
    <w:rsid w:val="00D7519B"/>
    <w:rsid w:val="00D76A4A"/>
    <w:rsid w:val="00D77F76"/>
    <w:rsid w:val="00D90ABB"/>
    <w:rsid w:val="00D937EF"/>
    <w:rsid w:val="00DA6141"/>
    <w:rsid w:val="00DA6856"/>
    <w:rsid w:val="00DB5CF1"/>
    <w:rsid w:val="00DC1FF3"/>
    <w:rsid w:val="00DC3FA9"/>
    <w:rsid w:val="00DC7827"/>
    <w:rsid w:val="00DD0AC4"/>
    <w:rsid w:val="00DD27A7"/>
    <w:rsid w:val="00DD527F"/>
    <w:rsid w:val="00DE3ECA"/>
    <w:rsid w:val="00DE5ACB"/>
    <w:rsid w:val="00DF3F84"/>
    <w:rsid w:val="00DF7DBC"/>
    <w:rsid w:val="00E1110C"/>
    <w:rsid w:val="00E12552"/>
    <w:rsid w:val="00E1397D"/>
    <w:rsid w:val="00E175DE"/>
    <w:rsid w:val="00E23150"/>
    <w:rsid w:val="00E30E66"/>
    <w:rsid w:val="00E44F50"/>
    <w:rsid w:val="00E4696E"/>
    <w:rsid w:val="00E5357C"/>
    <w:rsid w:val="00E53BD6"/>
    <w:rsid w:val="00E54BE7"/>
    <w:rsid w:val="00E71D3F"/>
    <w:rsid w:val="00E72327"/>
    <w:rsid w:val="00E82A58"/>
    <w:rsid w:val="00E85F45"/>
    <w:rsid w:val="00E925E2"/>
    <w:rsid w:val="00E92F13"/>
    <w:rsid w:val="00E953BB"/>
    <w:rsid w:val="00E96D8F"/>
    <w:rsid w:val="00EA1A00"/>
    <w:rsid w:val="00EA333C"/>
    <w:rsid w:val="00EA5F18"/>
    <w:rsid w:val="00EA6C4A"/>
    <w:rsid w:val="00EB46AF"/>
    <w:rsid w:val="00ED55E6"/>
    <w:rsid w:val="00EE6F52"/>
    <w:rsid w:val="00F11ADB"/>
    <w:rsid w:val="00F12AD7"/>
    <w:rsid w:val="00F17E27"/>
    <w:rsid w:val="00F208D0"/>
    <w:rsid w:val="00F27E32"/>
    <w:rsid w:val="00F438A3"/>
    <w:rsid w:val="00F4544C"/>
    <w:rsid w:val="00F56229"/>
    <w:rsid w:val="00F563D8"/>
    <w:rsid w:val="00F67131"/>
    <w:rsid w:val="00F6788B"/>
    <w:rsid w:val="00F73996"/>
    <w:rsid w:val="00F74EFA"/>
    <w:rsid w:val="00F81610"/>
    <w:rsid w:val="00F830D6"/>
    <w:rsid w:val="00F849F7"/>
    <w:rsid w:val="00F85824"/>
    <w:rsid w:val="00F90B2A"/>
    <w:rsid w:val="00F92D41"/>
    <w:rsid w:val="00F96645"/>
    <w:rsid w:val="00FA34A6"/>
    <w:rsid w:val="00FA6CE7"/>
    <w:rsid w:val="00FA6E72"/>
    <w:rsid w:val="00FB022D"/>
    <w:rsid w:val="00FB283F"/>
    <w:rsid w:val="00FB7190"/>
    <w:rsid w:val="00FC6835"/>
    <w:rsid w:val="00FD16FF"/>
    <w:rsid w:val="00FD384E"/>
    <w:rsid w:val="00FD7677"/>
    <w:rsid w:val="00FE28E5"/>
    <w:rsid w:val="00FF17D9"/>
    <w:rsid w:val="00FF7E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429FD"/>
  <w15:docId w15:val="{CE821142-3FD7-418F-B249-975B4B7D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hd w:val="clear" w:color="auto" w:fill="FF0000"/>
      <w:spacing w:line="240" w:lineRule="exact"/>
      <w:jc w:val="both"/>
    </w:pPr>
    <w:rPr>
      <w:rFonts w:ascii="Times New Roman" w:hAnsi="Times New Roman"/>
      <w:color w:val="00B05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4">
    <w:name w:val="line4"/>
    <w:next w:val="Para"/>
    <w:qFormat/>
    <w:pPr>
      <w:widowControl w:val="0"/>
      <w:pBdr>
        <w:bottom w:val="single" w:sz="4" w:space="1" w:color="auto"/>
      </w:pBdr>
      <w:suppressAutoHyphens/>
      <w:spacing w:after="257" w:line="240" w:lineRule="exact"/>
      <w:ind w:left="4162" w:right="4162"/>
      <w:jc w:val="center"/>
    </w:pPr>
    <w:rPr>
      <w:rFonts w:ascii="Times New Roman" w:hAnsi="Times New Roman"/>
      <w:sz w:val="18"/>
    </w:rPr>
  </w:style>
  <w:style w:type="paragraph" w:customStyle="1" w:styleId="line2">
    <w:name w:val="line2"/>
    <w:basedOn w:val="line4"/>
    <w:next w:val="Para"/>
    <w:qFormat/>
    <w:pPr>
      <w:ind w:left="4282" w:right="4282"/>
    </w:pPr>
  </w:style>
  <w:style w:type="paragraph" w:customStyle="1" w:styleId="line8">
    <w:name w:val="line8"/>
    <w:basedOn w:val="line2"/>
    <w:next w:val="Para"/>
    <w:qFormat/>
    <w:pPr>
      <w:ind w:left="4126" w:right="4126"/>
    </w:pPr>
  </w:style>
  <w:style w:type="paragraph" w:customStyle="1" w:styleId="line12">
    <w:name w:val="line12"/>
    <w:basedOn w:val="line2"/>
    <w:next w:val="Para"/>
    <w:qFormat/>
    <w:pPr>
      <w:ind w:left="3614" w:right="3614"/>
    </w:pPr>
  </w:style>
  <w:style w:type="paragraph" w:styleId="Header">
    <w:name w:val="header"/>
    <w:basedOn w:val="Para"/>
    <w:link w:val="HeaderChar"/>
    <w:uiPriority w:val="99"/>
    <w:unhideWhenUsed/>
    <w:pPr>
      <w:spacing w:after="100" w:line="200" w:lineRule="exact"/>
    </w:pPr>
  </w:style>
  <w:style w:type="character" w:customStyle="1" w:styleId="HeaderChar">
    <w:name w:val="Header Char"/>
    <w:basedOn w:val="DefaultParagraphFont"/>
    <w:link w:val="Header"/>
    <w:uiPriority w:val="99"/>
    <w:rPr>
      <w:rFonts w:ascii="Times New Roman" w:hAnsi="Times New Roman"/>
      <w:sz w:val="18"/>
      <w14:ligatures w14:val="standard"/>
    </w:rPr>
  </w:style>
  <w:style w:type="paragraph" w:styleId="Footer">
    <w:name w:val="footer"/>
    <w:basedOn w:val="Para"/>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hAnsi="Times New Roman"/>
      <w:sz w:val="18"/>
      <w14:ligatures w14:val="standard"/>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Title"/>
    <w:basedOn w:val="Para"/>
    <w:next w:val="SectionSubTitle"/>
    <w:qFormat/>
    <w:pPr>
      <w:keepNext/>
      <w:keepLines/>
      <w:suppressAutoHyphens/>
      <w:spacing w:line="680" w:lineRule="exact"/>
      <w:jc w:val="center"/>
      <w:outlineLvl w:val="0"/>
    </w:pPr>
    <w:rPr>
      <w:b/>
      <w:caps/>
      <w:color w:val="666666"/>
      <w:sz w:val="72"/>
    </w:rPr>
  </w:style>
  <w:style w:type="paragraph" w:customStyle="1" w:styleId="SectionSubTitle">
    <w:name w:val="SectionSubTitle"/>
    <w:basedOn w:val="Para"/>
    <w:next w:val="MainTitle"/>
    <w:qFormat/>
    <w:pPr>
      <w:keepNext/>
      <w:keepLines/>
      <w:suppressAutoHyphens/>
      <w:spacing w:after="500" w:line="400" w:lineRule="exact"/>
      <w:jc w:val="center"/>
      <w:outlineLvl w:val="1"/>
    </w:pPr>
    <w:rPr>
      <w:b/>
      <w:caps/>
      <w:color w:val="666666"/>
      <w:sz w:val="36"/>
    </w:rPr>
  </w:style>
  <w:style w:type="paragraph" w:customStyle="1" w:styleId="MainTitle">
    <w:name w:val="MainTitle"/>
    <w:basedOn w:val="Para"/>
    <w:qFormat/>
    <w:pPr>
      <w:keepNext/>
      <w:suppressAutoHyphens/>
      <w:spacing w:after="120"/>
      <w:jc w:val="center"/>
      <w:outlineLvl w:val="2"/>
    </w:pPr>
    <w:rPr>
      <w:b/>
    </w:rPr>
  </w:style>
  <w:style w:type="paragraph" w:customStyle="1" w:styleId="MainTitleItalic">
    <w:name w:val="MainTitleItalic"/>
    <w:basedOn w:val="MainTitle"/>
    <w:next w:val="Normal"/>
    <w:qFormat/>
    <w:pPr>
      <w:spacing w:after="240"/>
    </w:pPr>
    <w:rPr>
      <w:b w:val="0"/>
      <w:i/>
    </w:rPr>
  </w:style>
  <w:style w:type="paragraph" w:customStyle="1" w:styleId="PreambleInit">
    <w:name w:val="PreambleInit"/>
    <w:basedOn w:val="ParaSmall"/>
    <w:qFormat/>
    <w:pPr>
      <w:spacing w:before="240" w:after="240"/>
    </w:pPr>
  </w:style>
  <w:style w:type="paragraph" w:customStyle="1" w:styleId="Pa8">
    <w:name w:val="Pa8"/>
    <w:basedOn w:val="Normal"/>
    <w:next w:val="Normal"/>
    <w:uiPriority w:val="99"/>
    <w:pPr>
      <w:autoSpaceDE w:val="0"/>
      <w:autoSpaceDN w:val="0"/>
      <w:adjustRightInd w:val="0"/>
      <w:spacing w:after="0" w:line="241" w:lineRule="atLeast"/>
    </w:pPr>
    <w:rPr>
      <w:rFonts w:cs="Times New Roman"/>
      <w:sz w:val="24"/>
      <w:szCs w:val="24"/>
    </w:rPr>
  </w:style>
  <w:style w:type="paragraph" w:customStyle="1" w:styleId="GrSeq1">
    <w:name w:val="GrSeq1"/>
    <w:basedOn w:val="Para"/>
    <w:qFormat/>
    <w:pPr>
      <w:keepNext/>
      <w:keepLines/>
      <w:tabs>
        <w:tab w:val="left" w:pos="2027"/>
      </w:tabs>
      <w:suppressAutoHyphens/>
      <w:ind w:left="1020" w:hanging="1020"/>
    </w:pPr>
    <w:rPr>
      <w:rFonts w:eastAsia="Times New Roman" w:cs="Times New Roman"/>
      <w:b/>
      <w:bCs/>
      <w:szCs w:val="18"/>
    </w:rPr>
  </w:style>
  <w:style w:type="paragraph" w:customStyle="1" w:styleId="NumberedText">
    <w:name w:val="NumberedText"/>
    <w:basedOn w:val="Para"/>
    <w:qFormat/>
    <w:pPr>
      <w:tabs>
        <w:tab w:val="left" w:pos="2047"/>
      </w:tabs>
      <w:ind w:left="1020" w:hanging="1020"/>
    </w:pPr>
    <w:rPr>
      <w:rFonts w:eastAsia="Times New Roman" w:cs="Times New Roman"/>
      <w:szCs w:val="18"/>
    </w:rPr>
  </w:style>
  <w:style w:type="paragraph" w:styleId="FootnoteText">
    <w:name w:val="footnote text"/>
    <w:basedOn w:val="ParaSmall"/>
    <w:link w:val="FootnoteTextChar"/>
    <w:uiPriority w:val="99"/>
    <w:semiHidden/>
    <w:unhideWhenUsed/>
    <w:pPr>
      <w:spacing w:after="0"/>
      <w:ind w:left="300" w:hanging="300"/>
    </w:pPr>
    <w:rPr>
      <w:szCs w:val="20"/>
    </w:rPr>
  </w:style>
  <w:style w:type="character" w:customStyle="1" w:styleId="FootnoteTextChar">
    <w:name w:val="Footnote Text Char"/>
    <w:basedOn w:val="DefaultParagraphFont"/>
    <w:link w:val="FootnoteText"/>
    <w:uiPriority w:val="99"/>
    <w:semiHidden/>
    <w:rPr>
      <w:rFonts w:ascii="Times New Roman" w:hAnsi="Times New Roman"/>
      <w:sz w:val="16"/>
      <w:szCs w:val="20"/>
      <w14:ligatures w14:val="standard"/>
    </w:rPr>
  </w:style>
  <w:style w:type="character" w:styleId="FootnoteReference">
    <w:name w:val="footnote reference"/>
    <w:basedOn w:val="DefaultParagraphFont"/>
    <w:uiPriority w:val="99"/>
    <w:semiHidden/>
    <w:unhideWhenUsed/>
    <w:rPr>
      <w:rFonts w:ascii="Times New Roman" w:hAnsi="Times New Roman"/>
      <w:b w:val="0"/>
      <w:i w:val="0"/>
      <w:color w:val="auto"/>
      <w:position w:val="-2"/>
      <w:sz w:val="16"/>
      <w:vertAlign w:val="superscript"/>
    </w:rPr>
  </w:style>
  <w:style w:type="paragraph" w:customStyle="1" w:styleId="Footnote">
    <w:name w:val="Footnote"/>
    <w:basedOn w:val="FootnoteText"/>
    <w:qFormat/>
    <w:pPr>
      <w:spacing w:line="180" w:lineRule="exact"/>
    </w:pPr>
    <w:rPr>
      <w:rFonts w:eastAsia="Times New Roman" w:cs="Times New Roman"/>
      <w:sz w:val="14"/>
      <w:szCs w:val="14"/>
    </w:rPr>
  </w:style>
  <w:style w:type="paragraph" w:customStyle="1" w:styleId="FooterRule">
    <w:name w:val="FooterRule"/>
    <w:basedOn w:val="Para"/>
    <w:next w:val="Para"/>
    <w:qFormat/>
    <w:pPr>
      <w:tabs>
        <w:tab w:val="left" w:pos="2041"/>
      </w:tabs>
      <w:adjustRightInd w:val="0"/>
      <w:snapToGrid w:val="0"/>
      <w:spacing w:after="20" w:line="200" w:lineRule="exact"/>
      <w:ind w:right="-57"/>
    </w:pPr>
    <w:rPr>
      <w:u w:val="single"/>
    </w:rPr>
  </w:style>
  <w:style w:type="paragraph" w:customStyle="1" w:styleId="PreambleFinal">
    <w:name w:val="PreambleFinal"/>
    <w:basedOn w:val="PreambleInit"/>
    <w:qFormat/>
    <w:pPr>
      <w:spacing w:before="480" w:after="480" w:line="240" w:lineRule="exact"/>
      <w:jc w:val="left"/>
    </w:pPr>
  </w:style>
  <w:style w:type="paragraph" w:customStyle="1" w:styleId="Visas">
    <w:name w:val="Visas"/>
    <w:basedOn w:val="PreambleInit"/>
    <w:qFormat/>
    <w:pPr>
      <w:spacing w:line="240" w:lineRule="exact"/>
    </w:pPr>
    <w:rPr>
      <w:sz w:val="18"/>
    </w:rPr>
  </w:style>
  <w:style w:type="paragraph" w:customStyle="1" w:styleId="GrSeq2">
    <w:name w:val="GrSeq2"/>
    <w:basedOn w:val="GrSeq1"/>
    <w:qFormat/>
    <w:rPr>
      <w:i/>
    </w:rPr>
  </w:style>
  <w:style w:type="paragraph" w:customStyle="1" w:styleId="GrSeq3">
    <w:name w:val="GrSeq3"/>
    <w:basedOn w:val="GrSeq2"/>
    <w:next w:val="Para"/>
    <w:qFormat/>
    <w:rPr>
      <w:b w:val="0"/>
    </w:rPr>
  </w:style>
  <w:style w:type="paragraph" w:customStyle="1" w:styleId="GrSeq4">
    <w:name w:val="GrSeq4"/>
    <w:basedOn w:val="GrSeq3"/>
    <w:next w:val="Para"/>
    <w:qFormat/>
    <w:rPr>
      <w:i w:val="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0">
    <w:name w:val="Pa10"/>
    <w:basedOn w:val="Default"/>
    <w:next w:val="Default"/>
    <w:uiPriority w:val="99"/>
    <w:pPr>
      <w:spacing w:line="241" w:lineRule="atLeast"/>
    </w:pPr>
    <w:rPr>
      <w:color w:val="auto"/>
    </w:rPr>
  </w:style>
  <w:style w:type="paragraph" w:customStyle="1" w:styleId="TableTitle">
    <w:name w:val="TableTitle"/>
    <w:basedOn w:val="Para"/>
    <w:next w:val="Para"/>
    <w:qFormat/>
    <w:pPr>
      <w:keepNext/>
      <w:spacing w:after="120"/>
    </w:pPr>
  </w:style>
  <w:style w:type="paragraph" w:customStyle="1" w:styleId="Pa4">
    <w:name w:val="Pa4"/>
    <w:basedOn w:val="Default"/>
    <w:next w:val="Default"/>
    <w:uiPriority w:val="99"/>
    <w:pPr>
      <w:spacing w:line="241" w:lineRule="atLeast"/>
    </w:pPr>
    <w:rPr>
      <w:color w:val="auto"/>
    </w:rPr>
  </w:style>
  <w:style w:type="paragraph" w:customStyle="1" w:styleId="TableHeader">
    <w:name w:val="TableHeader"/>
    <w:basedOn w:val="Para"/>
    <w:qFormat/>
    <w:pPr>
      <w:spacing w:after="100" w:afterAutospacing="1" w:line="200" w:lineRule="exact"/>
      <w:jc w:val="center"/>
    </w:pPr>
    <w:rPr>
      <w:bCs/>
      <w:sz w:val="16"/>
    </w:rPr>
  </w:style>
  <w:style w:type="paragraph" w:customStyle="1" w:styleId="Pa15">
    <w:name w:val="Pa15"/>
    <w:basedOn w:val="Default"/>
    <w:next w:val="Default"/>
    <w:uiPriority w:val="99"/>
    <w:pPr>
      <w:spacing w:line="221" w:lineRule="atLeast"/>
    </w:pPr>
    <w:rPr>
      <w:color w:val="auto"/>
    </w:rPr>
  </w:style>
  <w:style w:type="paragraph" w:customStyle="1" w:styleId="Pa2">
    <w:name w:val="Pa2"/>
    <w:basedOn w:val="Default"/>
    <w:next w:val="Default"/>
    <w:uiPriority w:val="99"/>
    <w:pPr>
      <w:spacing w:line="241" w:lineRule="atLeast"/>
    </w:pPr>
    <w:rPr>
      <w:color w:val="auto"/>
    </w:rPr>
  </w:style>
  <w:style w:type="paragraph" w:customStyle="1" w:styleId="TableCell">
    <w:name w:val="TableCell"/>
    <w:basedOn w:val="TableHeader"/>
    <w:qFormat/>
    <w:rPr>
      <w:sz w:val="18"/>
    </w:rPr>
  </w:style>
  <w:style w:type="paragraph" w:customStyle="1" w:styleId="Pa16">
    <w:name w:val="Pa16"/>
    <w:basedOn w:val="Default"/>
    <w:next w:val="Default"/>
    <w:uiPriority w:val="99"/>
    <w:pPr>
      <w:spacing w:line="221" w:lineRule="atLeast"/>
    </w:pPr>
    <w:rPr>
      <w:color w:val="auto"/>
    </w:rPr>
  </w:style>
  <w:style w:type="paragraph" w:customStyle="1" w:styleId="TableCellRight">
    <w:name w:val="TableCellRight"/>
    <w:basedOn w:val="TableCell"/>
    <w:qFormat/>
    <w:pPr>
      <w:jc w:val="right"/>
    </w:pPr>
  </w:style>
  <w:style w:type="paragraph" w:customStyle="1" w:styleId="TableCellLeft">
    <w:name w:val="TableCellLeft"/>
    <w:basedOn w:val="TableCell"/>
    <w:qFormat/>
    <w:pPr>
      <w:jc w:val="left"/>
    </w:pPr>
  </w:style>
  <w:style w:type="paragraph" w:customStyle="1" w:styleId="TableGrNotes">
    <w:name w:val="TableGrNotes"/>
    <w:basedOn w:val="Para"/>
    <w:qFormat/>
    <w:pPr>
      <w:spacing w:after="0" w:line="180" w:lineRule="exact"/>
      <w:ind w:left="280" w:hanging="280"/>
    </w:pPr>
    <w:rPr>
      <w:sz w:val="16"/>
    </w:rPr>
  </w:style>
  <w:style w:type="paragraph" w:customStyle="1" w:styleId="NormalSmall">
    <w:name w:val="NormalSmall"/>
    <w:basedOn w:val="Normal"/>
    <w:qFormat/>
    <w:pPr>
      <w:spacing w:after="120" w:line="200" w:lineRule="exact"/>
    </w:pPr>
    <w:rPr>
      <w:sz w:val="16"/>
    </w:rPr>
  </w:style>
  <w:style w:type="paragraph" w:customStyle="1" w:styleId="TIART">
    <w:name w:val="TIART"/>
    <w:basedOn w:val="Para"/>
    <w:qFormat/>
    <w:pPr>
      <w:keepNext/>
      <w:keepLines/>
      <w:suppressAutoHyphens/>
      <w:jc w:val="center"/>
    </w:pPr>
    <w:rPr>
      <w:i/>
    </w:rPr>
  </w:style>
  <w:style w:type="paragraph" w:customStyle="1" w:styleId="STIART">
    <w:name w:val="STIART"/>
    <w:basedOn w:val="Para"/>
    <w:qFormat/>
    <w:pPr>
      <w:keepNext/>
      <w:keepLines/>
      <w:suppressAutoHyphens/>
      <w:jc w:val="center"/>
    </w:pPr>
    <w:rPr>
      <w:b/>
    </w:rPr>
  </w:style>
  <w:style w:type="paragraph" w:customStyle="1" w:styleId="Final">
    <w:name w:val="Final"/>
    <w:basedOn w:val="Para"/>
    <w:qFormat/>
    <w:pPr>
      <w:ind w:left="547" w:right="547"/>
    </w:pPr>
  </w:style>
  <w:style w:type="paragraph" w:customStyle="1" w:styleId="AnnexTI">
    <w:name w:val="AnnexTI"/>
    <w:basedOn w:val="ParaSmall"/>
    <w:qFormat/>
    <w:pPr>
      <w:keepNext/>
      <w:keepLines/>
      <w:suppressAutoHyphens/>
      <w:jc w:val="center"/>
    </w:pPr>
    <w:rPr>
      <w:i/>
    </w:rPr>
  </w:style>
  <w:style w:type="paragraph" w:customStyle="1" w:styleId="AnnexSTI">
    <w:name w:val="AnnexSTI"/>
    <w:basedOn w:val="Para"/>
    <w:qFormat/>
    <w:pPr>
      <w:keepNext/>
      <w:keepLines/>
      <w:suppressAutoHyphens/>
      <w:spacing w:after="400"/>
      <w:jc w:val="center"/>
    </w:pPr>
    <w:rPr>
      <w:b/>
    </w:rPr>
  </w:style>
  <w:style w:type="paragraph" w:customStyle="1" w:styleId="SmallNumberedText">
    <w:name w:val="SmallNumberedText"/>
    <w:basedOn w:val="ParaSmall"/>
    <w:qFormat/>
    <w:pPr>
      <w:ind w:left="280" w:hanging="280"/>
    </w:pPr>
  </w:style>
  <w:style w:type="paragraph" w:customStyle="1" w:styleId="QuoteStart">
    <w:name w:val="QuoteStart"/>
    <w:basedOn w:val="NumberedText"/>
    <w:qFormat/>
    <w:pPr>
      <w:spacing w:after="100" w:afterAutospacing="1"/>
      <w:ind w:left="0" w:firstLine="0"/>
    </w:pPr>
    <w:rPr>
      <w:i/>
    </w:rPr>
  </w:style>
  <w:style w:type="character" w:styleId="Hyperlink">
    <w:name w:val="Hyperlink"/>
    <w:basedOn w:val="DefaultParagraphFont"/>
    <w:uiPriority w:val="99"/>
    <w:unhideWhenUsed/>
    <w:rPr>
      <w:color w:val="0000FF" w:themeColor="hyperlink"/>
      <w:u w:val="none"/>
    </w:rPr>
  </w:style>
  <w:style w:type="paragraph" w:customStyle="1" w:styleId="SNF">
    <w:name w:val="SNF"/>
    <w:basedOn w:val="Para"/>
    <w:qFormat/>
    <w:rPr>
      <w:color w:val="FF0000"/>
    </w:rPr>
  </w:style>
  <w:style w:type="paragraph" w:customStyle="1" w:styleId="QuoteFootnoteRule">
    <w:name w:val="QuoteFootnoteRule"/>
    <w:basedOn w:val="Para"/>
    <w:qFormat/>
    <w:pPr>
      <w:keepNext/>
      <w:keepLines/>
      <w:pBdr>
        <w:bottom w:val="single" w:sz="4" w:space="1" w:color="auto"/>
      </w:pBdr>
      <w:spacing w:after="0" w:line="180" w:lineRule="exact"/>
      <w:ind w:right="8226"/>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Revision">
    <w:name w:val="Revision"/>
    <w:hidden/>
    <w:uiPriority w:val="99"/>
    <w:semiHidden/>
    <w:pPr>
      <w:spacing w:after="0" w:line="240" w:lineRule="auto"/>
    </w:pPr>
    <w:rPr>
      <w:rFonts w:ascii="Times New Roman" w:hAnsi="Times New Roman"/>
      <w:sz w:val="1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onsid">
    <w:name w:val="Consid"/>
    <w:basedOn w:val="Para"/>
    <w:qFormat/>
    <w:pPr>
      <w:ind w:left="540" w:hanging="540"/>
    </w:pPr>
  </w:style>
  <w:style w:type="paragraph" w:customStyle="1" w:styleId="ConsidWithoutNumber">
    <w:name w:val="ConsidWithoutNumber"/>
    <w:basedOn w:val="Consid"/>
    <w:qFormat/>
    <w:pPr>
      <w:ind w:left="0" w:firstLine="0"/>
    </w:pPr>
  </w:style>
  <w:style w:type="paragraph" w:customStyle="1" w:styleId="Alinea">
    <w:name w:val="Alinea"/>
    <w:basedOn w:val="Para"/>
    <w:qFormat/>
  </w:style>
  <w:style w:type="paragraph" w:customStyle="1" w:styleId="AlineaWithParag">
    <w:name w:val="AlineaWithParag"/>
    <w:basedOn w:val="Para"/>
    <w:qFormat/>
    <w:pPr>
      <w:tabs>
        <w:tab w:val="left" w:pos="400"/>
      </w:tabs>
    </w:pPr>
  </w:style>
  <w:style w:type="paragraph" w:customStyle="1" w:styleId="SignatoryItalic">
    <w:name w:val="SignatoryItalic"/>
    <w:basedOn w:val="Para"/>
    <w:qFormat/>
    <w:pPr>
      <w:spacing w:after="60"/>
      <w:jc w:val="center"/>
    </w:pPr>
    <w:rPr>
      <w:i/>
    </w:rPr>
  </w:style>
  <w:style w:type="paragraph" w:customStyle="1" w:styleId="Signatory">
    <w:name w:val="Signatory"/>
    <w:basedOn w:val="Para"/>
    <w:qFormat/>
    <w:pPr>
      <w:keepNext/>
      <w:keepLines/>
      <w:suppressAutoHyphens/>
      <w:spacing w:after="60"/>
      <w:jc w:val="center"/>
    </w:pPr>
  </w:style>
  <w:style w:type="paragraph" w:customStyle="1" w:styleId="TIARTquoted">
    <w:name w:val="TIART_quoted"/>
    <w:basedOn w:val="TIART"/>
    <w:qFormat/>
    <w:pPr>
      <w:jc w:val="left"/>
    </w:pPr>
  </w:style>
  <w:style w:type="paragraph" w:customStyle="1" w:styleId="STIARTquoted">
    <w:name w:val="STIART_quoted"/>
    <w:basedOn w:val="STIART"/>
    <w:qFormat/>
    <w:pPr>
      <w:jc w:val="left"/>
    </w:pPr>
  </w:style>
  <w:style w:type="paragraph" w:customStyle="1" w:styleId="MainTitleRoman">
    <w:name w:val="MainTitleRoman"/>
    <w:basedOn w:val="MainTitle"/>
    <w:qFormat/>
    <w:rPr>
      <w:b w:val="0"/>
    </w:rPr>
  </w:style>
  <w:style w:type="paragraph" w:customStyle="1" w:styleId="MainTitleSmall">
    <w:name w:val="MainTitleSmall"/>
    <w:basedOn w:val="MainTitle"/>
    <w:qFormat/>
    <w:pPr>
      <w:spacing w:line="200" w:lineRule="exact"/>
    </w:pPr>
    <w:rPr>
      <w:sz w:val="16"/>
    </w:rPr>
  </w:style>
  <w:style w:type="paragraph" w:customStyle="1" w:styleId="MainTitleRomanSmall">
    <w:name w:val="MainTitleRomanSmall"/>
    <w:basedOn w:val="MainTitleSmall"/>
    <w:qFormat/>
    <w:rPr>
      <w:b w:val="0"/>
    </w:rPr>
  </w:style>
  <w:style w:type="paragraph" w:customStyle="1" w:styleId="Formula">
    <w:name w:val="Formula"/>
    <w:basedOn w:val="Para"/>
    <w:qFormat/>
    <w:pPr>
      <w:spacing w:line="240" w:lineRule="auto"/>
    </w:pPr>
    <w:rPr>
      <w:rFonts w:ascii="Cambria Math" w:hAnsi="Cambria Math"/>
    </w:rPr>
  </w:style>
  <w:style w:type="paragraph" w:customStyle="1" w:styleId="FormulaSmall">
    <w:name w:val="FormulaSmall"/>
    <w:basedOn w:val="Formula"/>
    <w:qFormat/>
    <w:rPr>
      <w:rFonts w:eastAsiaTheme="minorEastAsia"/>
      <w:sz w:val="16"/>
    </w:rPr>
  </w:style>
  <w:style w:type="table" w:customStyle="1" w:styleId="EFTATable">
    <w:name w:val="EFTATable"/>
    <w:basedOn w:val="TableNormal"/>
    <w:uiPriority w:val="99"/>
    <w:pPr>
      <w:spacing w:after="0" w:line="200" w:lineRule="exact"/>
    </w:pPr>
    <w:rPr>
      <w:rFonts w:ascii="Times New Roman" w:hAnsi="Times New Roman"/>
      <w:sz w:val="16"/>
    </w:rPr>
    <w:tblPr>
      <w:tblBorders>
        <w:top w:val="single" w:sz="4" w:space="0" w:color="auto"/>
        <w:bottom w:val="single" w:sz="4" w:space="0" w:color="auto"/>
        <w:insideH w:val="single" w:sz="4" w:space="0" w:color="auto"/>
        <w:insideV w:val="single" w:sz="4" w:space="0" w:color="auto"/>
      </w:tblBorders>
      <w:tblCellMar>
        <w:top w:w="20" w:type="dxa"/>
        <w:left w:w="40" w:type="dxa"/>
        <w:bottom w:w="20" w:type="dxa"/>
        <w:right w:w="40" w:type="dxa"/>
      </w:tblCellMar>
    </w:tblPr>
  </w:style>
  <w:style w:type="paragraph" w:customStyle="1" w:styleId="TableTIGrNotes">
    <w:name w:val="TableTIGrNotes"/>
    <w:basedOn w:val="TableGrNotes"/>
    <w:qFormat/>
    <w:pPr>
      <w:spacing w:after="120"/>
    </w:pPr>
  </w:style>
  <w:style w:type="paragraph" w:customStyle="1" w:styleId="TableGrAnnotations">
    <w:name w:val="TableGrAnnotations"/>
    <w:basedOn w:val="ParaSmall"/>
    <w:qFormat/>
    <w:pPr>
      <w:spacing w:after="0" w:line="180" w:lineRule="exact"/>
    </w:pPr>
    <w:rPr>
      <w:sz w:val="14"/>
    </w:rPr>
  </w:style>
  <w:style w:type="paragraph" w:customStyle="1" w:styleId="FigureTI">
    <w:name w:val="FigureTI"/>
    <w:basedOn w:val="Para"/>
    <w:qFormat/>
    <w:pPr>
      <w:keepNext/>
      <w:keepLines/>
      <w:suppressAutoHyphens/>
      <w:jc w:val="center"/>
    </w:pPr>
    <w:rPr>
      <w:i/>
    </w:rPr>
  </w:style>
  <w:style w:type="paragraph" w:customStyle="1" w:styleId="FigureSTI">
    <w:name w:val="FigureSTI"/>
    <w:basedOn w:val="Para"/>
    <w:qFormat/>
    <w:pPr>
      <w:keepNext/>
      <w:keepLines/>
      <w:suppressAutoHyphens/>
      <w:jc w:val="center"/>
    </w:pPr>
    <w:rPr>
      <w:b/>
    </w:rPr>
  </w:style>
  <w:style w:type="paragraph" w:customStyle="1" w:styleId="FigureTISmall">
    <w:name w:val="FigureTISmall"/>
    <w:basedOn w:val="ParaSmall"/>
    <w:qFormat/>
    <w:pPr>
      <w:keepNext/>
      <w:keepLines/>
      <w:suppressAutoHyphens/>
      <w:jc w:val="center"/>
    </w:pPr>
    <w:rPr>
      <w:i/>
    </w:rPr>
  </w:style>
  <w:style w:type="paragraph" w:customStyle="1" w:styleId="FigureSTISmall">
    <w:name w:val="FigureSTISmall"/>
    <w:basedOn w:val="ParaSmall"/>
    <w:qFormat/>
    <w:pPr>
      <w:keepNext/>
      <w:keepLines/>
      <w:suppressAutoHyphens/>
      <w:jc w:val="center"/>
    </w:pPr>
    <w:rPr>
      <w:b/>
    </w:rPr>
  </w:style>
  <w:style w:type="paragraph" w:customStyle="1" w:styleId="AnnexNumberedText">
    <w:name w:val="AnnexNumberedText"/>
    <w:basedOn w:val="AnnexNormal"/>
    <w:qFormat/>
    <w:pPr>
      <w:spacing w:after="120"/>
      <w:ind w:left="280" w:hanging="280"/>
    </w:pPr>
  </w:style>
  <w:style w:type="paragraph" w:customStyle="1" w:styleId="AnnexNormal">
    <w:name w:val="AnnexNormal"/>
    <w:basedOn w:val="Para"/>
    <w:qFormat/>
  </w:style>
  <w:style w:type="paragraph" w:customStyle="1" w:styleId="AnnexGrSeq4">
    <w:name w:val="AnnexGrSeq4"/>
    <w:basedOn w:val="ParaSmall"/>
    <w:qFormat/>
    <w:pPr>
      <w:keepNext/>
      <w:keepLines/>
      <w:suppressAutoHyphens/>
      <w:jc w:val="center"/>
    </w:pPr>
  </w:style>
  <w:style w:type="paragraph" w:customStyle="1" w:styleId="AnnexTableCellLeft">
    <w:name w:val="AnnexTableCellLeft"/>
    <w:basedOn w:val="Para"/>
    <w:qFormat/>
    <w:pPr>
      <w:spacing w:after="0"/>
    </w:pPr>
  </w:style>
  <w:style w:type="paragraph" w:customStyle="1" w:styleId="AnnexTableHeader">
    <w:name w:val="AnnexTableHeader"/>
    <w:basedOn w:val="Para"/>
    <w:qFormat/>
    <w:pPr>
      <w:spacing w:after="0"/>
      <w:jc w:val="center"/>
    </w:pPr>
    <w:rPr>
      <w:sz w:val="16"/>
    </w:rPr>
  </w:style>
  <w:style w:type="paragraph" w:customStyle="1" w:styleId="AnnexTableGrNotes">
    <w:name w:val="AnnexTableGrNotes"/>
    <w:basedOn w:val="Para"/>
    <w:qFormat/>
    <w:pPr>
      <w:spacing w:after="0" w:line="220" w:lineRule="exact"/>
      <w:ind w:left="280" w:hanging="280"/>
    </w:pPr>
    <w:rPr>
      <w:sz w:val="16"/>
    </w:rPr>
  </w:style>
  <w:style w:type="paragraph" w:customStyle="1" w:styleId="AnnexTableGrAnnotations">
    <w:name w:val="AnnexTableGrAnnotations"/>
    <w:basedOn w:val="AnnexTableGrNotes"/>
    <w:qFormat/>
    <w:pPr>
      <w:ind w:left="0" w:firstLine="0"/>
    </w:pPr>
  </w:style>
  <w:style w:type="paragraph" w:customStyle="1" w:styleId="AnnexTableCell">
    <w:name w:val="AnnexTableCell"/>
    <w:basedOn w:val="Para"/>
    <w:qFormat/>
    <w:pPr>
      <w:spacing w:after="0"/>
      <w:jc w:val="center"/>
    </w:pPr>
  </w:style>
  <w:style w:type="paragraph" w:customStyle="1" w:styleId="Style1">
    <w:name w:val="Style1"/>
    <w:basedOn w:val="AnnexTableCell"/>
    <w:qFormat/>
  </w:style>
  <w:style w:type="paragraph" w:customStyle="1" w:styleId="AnnexTableCellRight">
    <w:name w:val="AnnexTableCellRight"/>
    <w:basedOn w:val="AnnexTableCell"/>
    <w:qFormat/>
    <w:pPr>
      <w:jc w:val="right"/>
    </w:pPr>
  </w:style>
  <w:style w:type="paragraph" w:customStyle="1" w:styleId="AnnexGrSeq1">
    <w:name w:val="AnnexGrSeq1"/>
    <w:basedOn w:val="ParaSmall"/>
    <w:qFormat/>
    <w:pPr>
      <w:keepNext/>
      <w:keepLines/>
      <w:suppressAutoHyphens/>
      <w:jc w:val="center"/>
    </w:pPr>
  </w:style>
  <w:style w:type="paragraph" w:customStyle="1" w:styleId="AnnexGrSeq2">
    <w:name w:val="AnnexGrSeq2"/>
    <w:basedOn w:val="AnnexGrSeq1"/>
    <w:qFormat/>
    <w:pPr>
      <w:spacing w:line="240" w:lineRule="exact"/>
    </w:pPr>
    <w:rPr>
      <w:sz w:val="18"/>
    </w:rPr>
  </w:style>
  <w:style w:type="paragraph" w:customStyle="1" w:styleId="AnnexGrSeq3">
    <w:name w:val="AnnexGrSeq3"/>
    <w:basedOn w:val="AnnexGrSeq2"/>
    <w:qFormat/>
  </w:style>
  <w:style w:type="paragraph" w:customStyle="1" w:styleId="AnnexAlinea">
    <w:name w:val="AnnexAlinea"/>
    <w:basedOn w:val="ParaSmall"/>
    <w:qFormat/>
  </w:style>
  <w:style w:type="paragraph" w:customStyle="1" w:styleId="AnnexAlineaWithParag">
    <w:name w:val="AnnexAlineaWithParag"/>
    <w:basedOn w:val="AnnexNormal"/>
    <w:qFormat/>
    <w:pPr>
      <w:tabs>
        <w:tab w:val="left" w:pos="400"/>
      </w:tabs>
    </w:pPr>
  </w:style>
  <w:style w:type="paragraph" w:customStyle="1" w:styleId="AnnexTIART">
    <w:name w:val="AnnexTIART"/>
    <w:basedOn w:val="ParaSmall"/>
    <w:qFormat/>
    <w:pPr>
      <w:keepNext/>
      <w:keepLines/>
      <w:suppressAutoHyphens/>
      <w:jc w:val="center"/>
    </w:pPr>
    <w:rPr>
      <w:i/>
    </w:rPr>
  </w:style>
  <w:style w:type="paragraph" w:customStyle="1" w:styleId="AnnexSTIART">
    <w:name w:val="AnnexSTIART"/>
    <w:basedOn w:val="AnnexTIART"/>
    <w:qFormat/>
    <w:rPr>
      <w:b/>
      <w:i w:val="0"/>
    </w:rPr>
  </w:style>
  <w:style w:type="paragraph" w:customStyle="1" w:styleId="AnnexDivisionTI">
    <w:name w:val="AnnexDivisionTI"/>
    <w:basedOn w:val="ParaSmall"/>
    <w:qFormat/>
    <w:pPr>
      <w:keepNext/>
      <w:keepLines/>
      <w:suppressAutoHyphens/>
      <w:jc w:val="center"/>
    </w:pPr>
  </w:style>
  <w:style w:type="paragraph" w:customStyle="1" w:styleId="AnnexDivisionSTI">
    <w:name w:val="AnnexDivisionSTI"/>
    <w:basedOn w:val="ParaSmall"/>
    <w:qFormat/>
    <w:pPr>
      <w:keepNext/>
      <w:keepLines/>
      <w:suppressAutoHyphens/>
      <w:jc w:val="center"/>
    </w:pPr>
  </w:style>
  <w:style w:type="paragraph" w:customStyle="1" w:styleId="DivConsidTIlt51">
    <w:name w:val="DivConsidTIlt51"/>
    <w:basedOn w:val="Para"/>
    <w:qFormat/>
    <w:pPr>
      <w:keepNext/>
      <w:keepLines/>
      <w:suppressAutoHyphens/>
      <w:jc w:val="center"/>
    </w:pPr>
    <w:rPr>
      <w:caps/>
      <w:sz w:val="16"/>
    </w:rPr>
  </w:style>
  <w:style w:type="paragraph" w:customStyle="1" w:styleId="DivConsidSTIlt51">
    <w:name w:val="DivConsidSTIlt51"/>
    <w:basedOn w:val="Para"/>
    <w:qFormat/>
    <w:pPr>
      <w:keepNext/>
      <w:keepLines/>
      <w:suppressAutoHyphens/>
      <w:jc w:val="center"/>
    </w:pPr>
    <w:rPr>
      <w:b/>
    </w:rPr>
  </w:style>
  <w:style w:type="paragraph" w:customStyle="1" w:styleId="AnnexFigureSTI">
    <w:name w:val="AnnexFigureSTI"/>
    <w:basedOn w:val="ParaSmall"/>
    <w:qFormat/>
    <w:pPr>
      <w:keepNext/>
      <w:keepLines/>
      <w:suppressAutoHyphens/>
      <w:jc w:val="center"/>
    </w:pPr>
    <w:rPr>
      <w:b/>
    </w:rPr>
  </w:style>
  <w:style w:type="paragraph" w:customStyle="1" w:styleId="AnnexFigureTI">
    <w:name w:val="AnnexFigureTI"/>
    <w:basedOn w:val="ParaSmall"/>
    <w:qFormat/>
    <w:pPr>
      <w:keepNext/>
      <w:keepLines/>
      <w:suppressAutoHyphens/>
      <w:jc w:val="center"/>
    </w:pPr>
    <w:rPr>
      <w:i/>
    </w:rPr>
  </w:style>
  <w:style w:type="paragraph" w:customStyle="1" w:styleId="Para">
    <w:name w:val="Para"/>
    <w:qFormat/>
    <w:pPr>
      <w:spacing w:line="240" w:lineRule="exact"/>
      <w:jc w:val="both"/>
    </w:pPr>
    <w:rPr>
      <w:rFonts w:ascii="Times New Roman" w:hAnsi="Times New Roman"/>
      <w:sz w:val="18"/>
      <w14:ligatures w14:val="standard"/>
    </w:rPr>
  </w:style>
  <w:style w:type="paragraph" w:customStyle="1" w:styleId="ParaSmall">
    <w:name w:val="ParaSmall"/>
    <w:basedOn w:val="Para"/>
    <w:qFormat/>
    <w:pPr>
      <w:spacing w:line="200" w:lineRule="exact"/>
    </w:pPr>
    <w:rPr>
      <w:sz w:val="16"/>
    </w:rPr>
  </w:style>
  <w:style w:type="paragraph" w:styleId="Quote">
    <w:name w:val="Quote"/>
    <w:basedOn w:val="Para"/>
    <w:next w:val="Para"/>
    <w:link w:val="QuoteChar"/>
    <w:uiPriority w:val="29"/>
    <w:qFormat/>
    <w:rPr>
      <w:i/>
      <w:iCs/>
      <w:color w:val="000000" w:themeColor="text1"/>
    </w:rPr>
  </w:style>
  <w:style w:type="character" w:customStyle="1" w:styleId="QuoteChar">
    <w:name w:val="Quote Char"/>
    <w:basedOn w:val="DefaultParagraphFont"/>
    <w:link w:val="Quote"/>
    <w:uiPriority w:val="29"/>
    <w:rPr>
      <w:rFonts w:ascii="Times New Roman" w:hAnsi="Times New Roman"/>
      <w:i/>
      <w:iCs/>
      <w:color w:val="000000" w:themeColor="text1"/>
      <w:sz w:val="18"/>
      <w14:ligatures w14:val="standard"/>
    </w:rPr>
  </w:style>
  <w:style w:type="paragraph" w:customStyle="1" w:styleId="SequenceNumber">
    <w:name w:val="SequenceNumber"/>
    <w:basedOn w:val="Para"/>
    <w:qFormat/>
    <w:pPr>
      <w:jc w:val="right"/>
    </w:pPr>
    <w:rPr>
      <w:b/>
    </w:rPr>
  </w:style>
  <w:style w:type="paragraph" w:customStyle="1" w:styleId="SignatorySmall">
    <w:name w:val="SignatorySmall"/>
    <w:basedOn w:val="ParaSmall"/>
    <w:qFormat/>
    <w:pPr>
      <w:spacing w:after="60"/>
      <w:jc w:val="center"/>
    </w:pPr>
  </w:style>
  <w:style w:type="paragraph" w:customStyle="1" w:styleId="SignatoryItalicSmall">
    <w:name w:val="SignatoryItalicSmall"/>
    <w:basedOn w:val="SignatorySmall"/>
    <w:qFormat/>
    <w:rPr>
      <w:i/>
    </w:rPr>
  </w:style>
  <w:style w:type="paragraph" w:customStyle="1" w:styleId="GrSeq5">
    <w:name w:val="GrSeq5"/>
    <w:basedOn w:val="GrSeq1"/>
    <w:qFormat/>
    <w:rPr>
      <w:b w:val="0"/>
    </w:rPr>
  </w:style>
  <w:style w:type="paragraph" w:customStyle="1" w:styleId="GrSeq6">
    <w:name w:val="GrSeq6"/>
    <w:basedOn w:val="GrSeq5"/>
    <w:qFormat/>
  </w:style>
  <w:style w:type="paragraph" w:customStyle="1" w:styleId="GrSeq7">
    <w:name w:val="GrSeq7"/>
    <w:basedOn w:val="GrSeq6"/>
    <w:qFormat/>
  </w:style>
  <w:style w:type="paragraph" w:customStyle="1" w:styleId="AnnexGrSeq5">
    <w:name w:val="AnnexGrSeq5"/>
    <w:basedOn w:val="AnnexGrSeq4"/>
    <w:qFormat/>
    <w:pPr>
      <w:spacing w:line="240" w:lineRule="exact"/>
    </w:pPr>
    <w:rPr>
      <w:sz w:val="18"/>
    </w:rPr>
  </w:style>
  <w:style w:type="paragraph" w:customStyle="1" w:styleId="AnnexGrSeq6">
    <w:name w:val="AnnexGrSeq6"/>
    <w:basedOn w:val="AnnexGrSeq5"/>
    <w:qFormat/>
  </w:style>
  <w:style w:type="paragraph" w:customStyle="1" w:styleId="AnnexGrSeq7">
    <w:name w:val="AnnexGrSeq7"/>
    <w:basedOn w:val="AnnexGrSeq6"/>
    <w:qFormat/>
  </w:style>
  <w:style w:type="paragraph" w:customStyle="1" w:styleId="AnnexQuoteFootnoteRule">
    <w:name w:val="AnnexQuoteFootnoteRule"/>
    <w:basedOn w:val="AnnexNormal"/>
    <w:qFormat/>
    <w:pPr>
      <w:pBdr>
        <w:bottom w:val="single" w:sz="4" w:space="1" w:color="auto"/>
      </w:pBdr>
      <w:spacing w:after="0"/>
      <w:ind w:right="7500"/>
    </w:pPr>
  </w:style>
  <w:style w:type="paragraph" w:customStyle="1" w:styleId="RotatedHeader">
    <w:name w:val="RotatedHeader"/>
    <w:basedOn w:val="Header"/>
    <w:qFormat/>
    <w:pPr>
      <w:pBdr>
        <w:bottom w:val="single" w:sz="4" w:space="6" w:color="auto"/>
      </w:pBdr>
      <w:tabs>
        <w:tab w:val="center" w:pos="4848"/>
        <w:tab w:val="right" w:pos="9611"/>
      </w:tabs>
      <w:spacing w:after="120"/>
    </w:pPr>
  </w:style>
  <w:style w:type="paragraph" w:customStyle="1" w:styleId="DivConsidTIlt52">
    <w:name w:val="DivConsidTIlt52"/>
    <w:basedOn w:val="Para"/>
    <w:qFormat/>
    <w:pPr>
      <w:keepNext/>
      <w:keepLines/>
      <w:suppressAutoHyphens/>
      <w:jc w:val="center"/>
    </w:pPr>
    <w:rPr>
      <w:caps/>
      <w:sz w:val="16"/>
    </w:rPr>
  </w:style>
  <w:style w:type="paragraph" w:customStyle="1" w:styleId="DivConsidSTIlt52">
    <w:name w:val="DivConsidSTIlt52"/>
    <w:basedOn w:val="Para"/>
    <w:qFormat/>
    <w:pPr>
      <w:keepNext/>
      <w:suppressAutoHyphens/>
      <w:jc w:val="center"/>
    </w:pPr>
    <w:rPr>
      <w:b/>
    </w:rPr>
  </w:style>
  <w:style w:type="paragraph" w:customStyle="1" w:styleId="DivConsidTIlt53">
    <w:name w:val="DivConsidTIlt53"/>
    <w:basedOn w:val="Para"/>
    <w:qFormat/>
    <w:pPr>
      <w:keepNext/>
      <w:keepLines/>
      <w:suppressAutoHyphens/>
      <w:jc w:val="left"/>
    </w:pPr>
  </w:style>
  <w:style w:type="paragraph" w:customStyle="1" w:styleId="DivConsidSTIlt53">
    <w:name w:val="DivConsidSTIlt53"/>
    <w:basedOn w:val="Para"/>
    <w:qFormat/>
    <w:pPr>
      <w:keepNext/>
      <w:keepLines/>
      <w:suppressAutoHyphens/>
      <w:jc w:val="left"/>
    </w:pPr>
  </w:style>
  <w:style w:type="paragraph" w:customStyle="1" w:styleId="DivConsidTIlt54">
    <w:name w:val="DivConsidTIlt54"/>
    <w:basedOn w:val="Para"/>
    <w:qFormat/>
    <w:pPr>
      <w:keepNext/>
      <w:keepLines/>
      <w:suppressAutoHyphens/>
      <w:jc w:val="left"/>
    </w:pPr>
  </w:style>
  <w:style w:type="paragraph" w:customStyle="1" w:styleId="DivConsidSTIlt54">
    <w:name w:val="DivConsidSTIlt54"/>
    <w:basedOn w:val="Para"/>
    <w:qFormat/>
    <w:pPr>
      <w:keepNext/>
      <w:keepLines/>
      <w:suppressAutoHyphens/>
      <w:jc w:val="left"/>
    </w:pPr>
  </w:style>
  <w:style w:type="paragraph" w:customStyle="1" w:styleId="DivConsidTIgt51">
    <w:name w:val="DivConsidTIgt51"/>
    <w:basedOn w:val="Para"/>
    <w:qFormat/>
    <w:pPr>
      <w:jc w:val="center"/>
    </w:pPr>
    <w:rPr>
      <w:caps/>
      <w:sz w:val="16"/>
    </w:rPr>
  </w:style>
  <w:style w:type="paragraph" w:customStyle="1" w:styleId="DivConsidSTIgt55">
    <w:name w:val="DivConsidSTIgt55"/>
    <w:basedOn w:val="Para"/>
    <w:qFormat/>
    <w:pPr>
      <w:jc w:val="left"/>
    </w:pPr>
  </w:style>
  <w:style w:type="paragraph" w:customStyle="1" w:styleId="DivConsidTIgt56">
    <w:name w:val="DivConsidTIgt56"/>
    <w:basedOn w:val="Para"/>
    <w:qFormat/>
    <w:pPr>
      <w:keepNext/>
      <w:keepLines/>
      <w:suppressAutoHyphens/>
      <w:jc w:val="left"/>
    </w:pPr>
  </w:style>
  <w:style w:type="paragraph" w:customStyle="1" w:styleId="DivConsidSTIgt56">
    <w:name w:val="DivConsidSTIgt56"/>
    <w:basedOn w:val="Para"/>
    <w:qFormat/>
    <w:pPr>
      <w:jc w:val="left"/>
    </w:pPr>
  </w:style>
  <w:style w:type="paragraph" w:customStyle="1" w:styleId="DivConsidTIgt57">
    <w:name w:val="DivConsidTIgt57"/>
    <w:basedOn w:val="DivConsidTIgt56"/>
    <w:qFormat/>
  </w:style>
  <w:style w:type="paragraph" w:customStyle="1" w:styleId="DivConsidSTIgt57">
    <w:name w:val="DivConsidSTIgt57"/>
    <w:basedOn w:val="DivConsidSTIgt56"/>
    <w:qFormat/>
  </w:style>
  <w:style w:type="paragraph" w:customStyle="1" w:styleId="DivConsidTIgt58">
    <w:name w:val="DivConsidTIgt58"/>
    <w:basedOn w:val="DivConsidTIgt57"/>
    <w:qFormat/>
  </w:style>
  <w:style w:type="paragraph" w:customStyle="1" w:styleId="DivConsidSTIgt58">
    <w:name w:val="DivConsidSTIgt58"/>
    <w:basedOn w:val="DivConsidSTIgt57"/>
    <w:qFormat/>
  </w:style>
  <w:style w:type="paragraph" w:customStyle="1" w:styleId="DivisionTI1">
    <w:name w:val="DivisionTI1"/>
    <w:basedOn w:val="Para"/>
    <w:qFormat/>
    <w:pPr>
      <w:keepNext/>
      <w:keepLines/>
      <w:suppressAutoHyphens/>
      <w:jc w:val="center"/>
    </w:pPr>
    <w:rPr>
      <w:caps/>
      <w:sz w:val="16"/>
    </w:rPr>
  </w:style>
  <w:style w:type="paragraph" w:customStyle="1" w:styleId="DivisionSTI1">
    <w:name w:val="DivisionSTI1"/>
    <w:basedOn w:val="Para"/>
    <w:qFormat/>
    <w:pPr>
      <w:keepNext/>
      <w:keepLines/>
      <w:suppressAutoHyphens/>
      <w:jc w:val="center"/>
    </w:pPr>
  </w:style>
  <w:style w:type="paragraph" w:customStyle="1" w:styleId="DivisionTI2">
    <w:name w:val="DivisionTI2"/>
    <w:basedOn w:val="Para"/>
    <w:qFormat/>
    <w:pPr>
      <w:keepNext/>
      <w:keepLines/>
      <w:suppressAutoHyphens/>
      <w:jc w:val="center"/>
    </w:pPr>
  </w:style>
  <w:style w:type="paragraph" w:customStyle="1" w:styleId="DivisionSTI2">
    <w:name w:val="DivisionSTI2"/>
    <w:basedOn w:val="Para"/>
    <w:qFormat/>
    <w:pPr>
      <w:keepNext/>
      <w:keepLines/>
      <w:suppressAutoHyphens/>
      <w:jc w:val="center"/>
    </w:pPr>
  </w:style>
  <w:style w:type="paragraph" w:customStyle="1" w:styleId="DivisionTI3">
    <w:name w:val="DivisionTI3"/>
    <w:basedOn w:val="Para"/>
    <w:qFormat/>
    <w:pPr>
      <w:keepNext/>
      <w:keepLines/>
      <w:suppressAutoHyphens/>
      <w:jc w:val="left"/>
    </w:pPr>
  </w:style>
  <w:style w:type="paragraph" w:customStyle="1" w:styleId="DivisionSTI3">
    <w:name w:val="DivisionSTI3"/>
    <w:basedOn w:val="Para"/>
    <w:qFormat/>
    <w:pPr>
      <w:keepNext/>
      <w:keepLines/>
      <w:suppressAutoHyphens/>
      <w:jc w:val="left"/>
    </w:pPr>
  </w:style>
  <w:style w:type="paragraph" w:customStyle="1" w:styleId="DivisionTI4">
    <w:name w:val="DivisionTI4"/>
    <w:basedOn w:val="DivisionTI3"/>
    <w:qFormat/>
  </w:style>
  <w:style w:type="paragraph" w:customStyle="1" w:styleId="DivisionSTI4">
    <w:name w:val="DivisionSTI4"/>
    <w:basedOn w:val="DivisionSTI3"/>
    <w:qFormat/>
  </w:style>
  <w:style w:type="paragraph" w:customStyle="1" w:styleId="DivisionTI5">
    <w:name w:val="DivisionTI5"/>
    <w:basedOn w:val="DivisionTI4"/>
    <w:qFormat/>
  </w:style>
  <w:style w:type="paragraph" w:customStyle="1" w:styleId="DivisionSTI5">
    <w:name w:val="DivisionSTI5"/>
    <w:basedOn w:val="DivisionSTI4"/>
    <w:qFormat/>
  </w:style>
  <w:style w:type="paragraph" w:customStyle="1" w:styleId="DivisionTI6">
    <w:name w:val="DivisionTI6"/>
    <w:basedOn w:val="DivisionTI5"/>
    <w:qFormat/>
  </w:style>
  <w:style w:type="paragraph" w:customStyle="1" w:styleId="DivisionSTI6">
    <w:name w:val="DivisionSTI6"/>
    <w:basedOn w:val="DivisionSTI5"/>
    <w:qFormat/>
  </w:style>
  <w:style w:type="paragraph" w:customStyle="1" w:styleId="DivisionTI7">
    <w:name w:val="DivisionTI7"/>
    <w:basedOn w:val="DivisionTI6"/>
    <w:qFormat/>
  </w:style>
  <w:style w:type="paragraph" w:customStyle="1" w:styleId="DivisionSTI7">
    <w:name w:val="DivisionSTI7"/>
    <w:basedOn w:val="DivisionSTI6"/>
    <w:qFormat/>
  </w:style>
  <w:style w:type="paragraph" w:customStyle="1" w:styleId="DivisionTI8">
    <w:name w:val="DivisionTI8"/>
    <w:basedOn w:val="DivisionTI7"/>
    <w:qFormat/>
  </w:style>
  <w:style w:type="paragraph" w:customStyle="1" w:styleId="DivisionSTI8">
    <w:name w:val="DivisionSTI8"/>
    <w:basedOn w:val="DivisionSTI7"/>
    <w:qFormat/>
  </w:style>
  <w:style w:type="paragraph" w:customStyle="1" w:styleId="DivConsidSTIgt51">
    <w:name w:val="DivConsidSTIgt51"/>
    <w:basedOn w:val="DivConsidSTIgt55"/>
    <w:qFormat/>
    <w:pPr>
      <w:jc w:val="center"/>
    </w:pPr>
    <w:rPr>
      <w:sz w:val="16"/>
    </w:rPr>
  </w:style>
  <w:style w:type="paragraph" w:customStyle="1" w:styleId="DivConsidTIgt52">
    <w:name w:val="DivConsidTIgt52"/>
    <w:basedOn w:val="DivConsidTIgt51"/>
    <w:qFormat/>
  </w:style>
  <w:style w:type="paragraph" w:customStyle="1" w:styleId="DivConsidSTIgt52">
    <w:name w:val="DivConsidSTIgt52"/>
    <w:basedOn w:val="DivConsidSTIgt51"/>
    <w:qFormat/>
  </w:style>
  <w:style w:type="paragraph" w:customStyle="1" w:styleId="DivConsidTIgt53">
    <w:name w:val="DivConsidTIgt53"/>
    <w:basedOn w:val="DivConsidTIgt51"/>
    <w:qFormat/>
    <w:pPr>
      <w:jc w:val="left"/>
    </w:pPr>
  </w:style>
  <w:style w:type="paragraph" w:customStyle="1" w:styleId="DivConsidSTIgt53">
    <w:name w:val="DivConsidSTIgt53"/>
    <w:basedOn w:val="DivConsidSTIgt55"/>
    <w:qFormat/>
  </w:style>
  <w:style w:type="paragraph" w:customStyle="1" w:styleId="DivConsidTIgt54">
    <w:name w:val="DivConsidTIgt54"/>
    <w:basedOn w:val="DivConsidTIgt51"/>
    <w:qFormat/>
    <w:pPr>
      <w:jc w:val="left"/>
    </w:pPr>
    <w:rPr>
      <w:sz w:val="18"/>
    </w:rPr>
  </w:style>
  <w:style w:type="paragraph" w:customStyle="1" w:styleId="DivConsidSTIgt54">
    <w:name w:val="DivConsidSTIgt54"/>
    <w:basedOn w:val="DivConsidSTIgt55"/>
    <w:qFormat/>
  </w:style>
  <w:style w:type="paragraph" w:customStyle="1" w:styleId="DivConsidTIgt55">
    <w:name w:val="DivConsidTIgt55"/>
    <w:basedOn w:val="DivConsidTIgt51"/>
    <w:qFormat/>
    <w:pPr>
      <w:jc w:val="left"/>
    </w:pPr>
  </w:style>
  <w:style w:type="paragraph" w:customStyle="1" w:styleId="DivisionChapterTI1">
    <w:name w:val="DivisionChapterTI1"/>
    <w:basedOn w:val="Para"/>
    <w:qFormat/>
    <w:pPr>
      <w:keepNext/>
      <w:keepLines/>
      <w:suppressAutoHyphens/>
      <w:jc w:val="center"/>
    </w:pPr>
    <w:rPr>
      <w:caps/>
      <w:sz w:val="16"/>
    </w:rPr>
  </w:style>
  <w:style w:type="paragraph" w:customStyle="1" w:styleId="DivisionChapterSTI1">
    <w:name w:val="DivisionChapterSTI1"/>
    <w:basedOn w:val="Para"/>
    <w:qFormat/>
    <w:pPr>
      <w:keepNext/>
      <w:keepLines/>
      <w:suppressAutoHyphens/>
      <w:jc w:val="center"/>
    </w:pPr>
    <w:rPr>
      <w:b/>
      <w:caps/>
      <w:sz w:val="16"/>
    </w:rPr>
  </w:style>
  <w:style w:type="paragraph" w:customStyle="1" w:styleId="DivisionSectionTI1">
    <w:name w:val="DivisionSectionTI1"/>
    <w:basedOn w:val="Para"/>
    <w:qFormat/>
    <w:pPr>
      <w:keepNext/>
      <w:keepLines/>
      <w:suppressAutoHyphens/>
      <w:jc w:val="center"/>
    </w:pPr>
    <w:rPr>
      <w:caps/>
      <w:sz w:val="16"/>
    </w:rPr>
  </w:style>
  <w:style w:type="paragraph" w:customStyle="1" w:styleId="DivisionSectionSTI1">
    <w:name w:val="DivisionSectionSTI1"/>
    <w:basedOn w:val="Para"/>
    <w:qFormat/>
    <w:pPr>
      <w:jc w:val="center"/>
    </w:pPr>
    <w:rPr>
      <w:b/>
      <w:caps/>
      <w:sz w:val="16"/>
    </w:rPr>
  </w:style>
  <w:style w:type="character" w:styleId="FollowedHyperlink">
    <w:name w:val="FollowedHyperlink"/>
    <w:basedOn w:val="DefaultParagraphFont"/>
    <w:uiPriority w:val="99"/>
    <w:semiHidden/>
    <w:unhideWhenUsed/>
    <w:rPr>
      <w:color w:val="0000FF"/>
      <w:u w:val="none"/>
    </w:rPr>
  </w:style>
  <w:style w:type="character" w:customStyle="1" w:styleId="Footnote8pt">
    <w:name w:val="Footnote8pt"/>
    <w:basedOn w:val="DefaultParagraphFont"/>
    <w:uiPriority w:val="1"/>
    <w:qFormat/>
    <w:rPr>
      <w:rFonts w:ascii="Times New Roman" w:hAnsi="Times New Roman"/>
      <w:color w:val="auto"/>
      <w:sz w:val="16"/>
      <w:lang w:val="nb-NO"/>
    </w:rPr>
  </w:style>
  <w:style w:type="character" w:customStyle="1" w:styleId="Footnote7pt">
    <w:name w:val="Footnote7pt"/>
    <w:basedOn w:val="DefaultParagraphFont"/>
    <w:uiPriority w:val="1"/>
    <w:qFormat/>
    <w:rPr>
      <w:rFonts w:ascii="Times New Roman" w:hAnsi="Times New Roman"/>
      <w:color w:val="auto"/>
      <w:sz w:val="14"/>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770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usproc.jrc.ec.europa.eu/product-bureau/sites/default/files/2021-01/UM3_Indicator_1.2_v1.1_37p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27BDD-A1FE-4504-BBEC-DF9B5312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2595</TotalTime>
  <Pages>164</Pages>
  <Words>66450</Words>
  <Characters>352187</Characters>
  <Application>Microsoft Office Word</Application>
  <DocSecurity>0</DocSecurity>
  <Lines>2934</Lines>
  <Paragraphs>835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amplexor</Company>
  <LinksUpToDate>false</LinksUpToDate>
  <CharactersWithSpaces>417802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EFTA</dc:creator>
  <cp:lastModifiedBy>Longva, Frank</cp:lastModifiedBy>
  <cp:revision>471</cp:revision>
  <cp:lastPrinted>2023-12-12T12:49:00Z</cp:lastPrinted>
  <dcterms:created xsi:type="dcterms:W3CDTF">2016-11-02T11:36:00Z</dcterms:created>
  <dcterms:modified xsi:type="dcterms:W3CDTF">2024-01-29T07:45:00Z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sue_date">
    <vt:lpwstr>27.10.2016</vt:lpwstr>
  </property>
  <property fmtid="{D5CDD505-2E9C-101B-9397-08002B2CF9AE}" pid="3" name="volume">
    <vt:lpwstr>56</vt:lpwstr>
  </property>
  <property fmtid="{D5CDD505-2E9C-101B-9397-08002B2CF9AE}" pid="4" name="rhead">
    <vt:lpwstr>EØS-tillegget til Den europeiske unions tidende</vt:lpwstr>
  </property>
  <property fmtid="{D5CDD505-2E9C-101B-9397-08002B2CF9AE}" pid="5" name="producer">
    <vt:lpwstr>amplexor</vt:lpwstr>
  </property>
  <property fmtid="{D5CDD505-2E9C-101B-9397-08002B2CF9AE}" pid="6" name="issue_nr">
    <vt:lpwstr>23</vt:lpwstr>
  </property>
</Properties>
</file>