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ABC29" w14:textId="22E08D83" w:rsidR="00BC269C" w:rsidRDefault="00BC269C" w:rsidP="00B21C46">
      <w:pPr>
        <w:pStyle w:val="PublTittel"/>
        <w:rPr>
          <w:lang w:val="en-GB"/>
        </w:rPr>
      </w:pPr>
      <w:r>
        <w:rPr>
          <w:lang w:val="en-GB"/>
        </w:rPr>
        <w:t xml:space="preserve">Meld. St. </w:t>
      </w:r>
      <w:r w:rsidRPr="006773F6">
        <w:rPr>
          <w:lang w:val="en-GB"/>
        </w:rPr>
        <w:t>1</w:t>
      </w:r>
      <w:r w:rsidR="00DE3EE5" w:rsidRPr="006773F6">
        <w:rPr>
          <w:lang w:val="en-GB"/>
        </w:rPr>
        <w:t xml:space="preserve"> (202</w:t>
      </w:r>
      <w:r w:rsidR="007E05D6">
        <w:rPr>
          <w:lang w:val="en-GB"/>
        </w:rPr>
        <w:t>6</w:t>
      </w:r>
      <w:r w:rsidR="00DE3EE5" w:rsidRPr="006773F6">
        <w:rPr>
          <w:lang w:val="en-GB"/>
        </w:rPr>
        <w:t>–202</w:t>
      </w:r>
      <w:r w:rsidR="007E05D6">
        <w:rPr>
          <w:lang w:val="en-GB"/>
        </w:rPr>
        <w:t>7</w:t>
      </w:r>
      <w:r w:rsidR="00DE3EE5" w:rsidRPr="006773F6">
        <w:rPr>
          <w:lang w:val="en-GB"/>
        </w:rPr>
        <w:t>)</w:t>
      </w:r>
    </w:p>
    <w:p w14:paraId="1B18B1BD" w14:textId="45324415" w:rsidR="00DE3EE5" w:rsidRPr="00385D5F" w:rsidRDefault="00DE3EE5" w:rsidP="00890182">
      <w:pPr>
        <w:pStyle w:val="Undertittel"/>
        <w:rPr>
          <w:lang w:val="en-GB"/>
        </w:rPr>
      </w:pPr>
      <w:r w:rsidRPr="00385D5F">
        <w:rPr>
          <w:lang w:val="en-GB"/>
        </w:rPr>
        <w:t>Chapter 2.2, 2.3 and 3.1</w:t>
      </w:r>
    </w:p>
    <w:p w14:paraId="04FC9A0D" w14:textId="77777777" w:rsidR="001257A1" w:rsidRPr="00385D5F" w:rsidRDefault="001257A1" w:rsidP="00890182">
      <w:pPr>
        <w:pStyle w:val="UnOverskrift1"/>
        <w:rPr>
          <w:rFonts w:eastAsia="Tahoma"/>
          <w:lang w:val="en-GB"/>
        </w:rPr>
      </w:pPr>
      <w:r w:rsidRPr="00385D5F">
        <w:rPr>
          <w:rFonts w:eastAsia="Tahoma"/>
          <w:lang w:val="en-GB"/>
        </w:rPr>
        <w:t>2.2</w:t>
      </w:r>
      <w:r w:rsidRPr="00385D5F">
        <w:rPr>
          <w:rFonts w:eastAsia="Tahoma"/>
          <w:lang w:val="en-GB"/>
        </w:rPr>
        <w:tab/>
        <w:t>The Norwegian economy</w:t>
      </w:r>
    </w:p>
    <w:p w14:paraId="6C0B976F" w14:textId="537F42C3" w:rsidR="001257A1" w:rsidRPr="00385D5F" w:rsidRDefault="001257A1" w:rsidP="001257A1">
      <w:pPr>
        <w:rPr>
          <w:rFonts w:cs="Times New Roman"/>
          <w:color w:val="000000"/>
          <w:lang w:val="en-GB"/>
        </w:rPr>
      </w:pPr>
      <w:r w:rsidRPr="00385D5F">
        <w:rPr>
          <w:rFonts w:cs="Times New Roman"/>
          <w:color w:val="000000"/>
          <w:spacing w:val="-2"/>
          <w:lang w:val="en-GB"/>
        </w:rPr>
        <w:t xml:space="preserve">Activity growth in the Norwegian economy increased last year, but the pace of growth has slowed somewhat over the past year. Growth is expected to increase again ahead, particularly because purchasing power developments provide a basis for higher private consumption. At the same time, the Norwegian economy is affected by turbulence </w:t>
      </w:r>
      <w:r w:rsidR="004D7717">
        <w:rPr>
          <w:rFonts w:cs="Times New Roman"/>
          <w:color w:val="000000"/>
          <w:spacing w:val="-2"/>
          <w:lang w:val="en-GB"/>
        </w:rPr>
        <w:t>globally</w:t>
      </w:r>
      <w:r w:rsidRPr="00385D5F">
        <w:rPr>
          <w:rFonts w:cs="Times New Roman"/>
          <w:color w:val="000000"/>
          <w:spacing w:val="-2"/>
          <w:lang w:val="en-GB"/>
        </w:rPr>
        <w:t xml:space="preserve">. Inflation and interest rate expectations in Norway have also picked up since early in the year. Consumer price inflation is above the inflation target, and since winter </w:t>
      </w:r>
      <w:proofErr w:type="spellStart"/>
      <w:r w:rsidRPr="00385D5F">
        <w:rPr>
          <w:rFonts w:cs="Times New Roman"/>
          <w:color w:val="000000"/>
          <w:spacing w:val="-2"/>
          <w:lang w:val="en-GB"/>
        </w:rPr>
        <w:t>Norges</w:t>
      </w:r>
      <w:proofErr w:type="spellEnd"/>
      <w:r w:rsidRPr="00385D5F">
        <w:rPr>
          <w:rFonts w:cs="Times New Roman"/>
          <w:color w:val="000000"/>
          <w:spacing w:val="-2"/>
          <w:lang w:val="en-GB"/>
        </w:rPr>
        <w:t xml:space="preserve"> Bank has adjusted its course from planning for further interest rate cuts to raising the interest rate and signalling that more interest rate increases may be forthcoming. Heightened uncertainty and higher interest rates are dampening activity growth.</w:t>
      </w:r>
    </w:p>
    <w:p w14:paraId="13BD80AD" w14:textId="77777777" w:rsidR="001257A1" w:rsidRPr="00385D5F" w:rsidRDefault="001257A1" w:rsidP="001257A1">
      <w:pPr>
        <w:rPr>
          <w:rFonts w:cs="Times New Roman"/>
          <w:color w:val="000000"/>
          <w:lang w:val="en-GB"/>
        </w:rPr>
      </w:pPr>
      <w:r w:rsidRPr="00385D5F">
        <w:rPr>
          <w:rFonts w:cs="Times New Roman"/>
          <w:color w:val="000000"/>
          <w:lang w:val="en-GB"/>
        </w:rPr>
        <w:t xml:space="preserve">Inflation is influenced by </w:t>
      </w:r>
      <w:proofErr w:type="gramStart"/>
      <w:r w:rsidRPr="00385D5F">
        <w:rPr>
          <w:rFonts w:cs="Times New Roman"/>
          <w:color w:val="000000"/>
          <w:lang w:val="en-GB"/>
        </w:rPr>
        <w:t>a number of</w:t>
      </w:r>
      <w:proofErr w:type="gramEnd"/>
      <w:r w:rsidRPr="00385D5F">
        <w:rPr>
          <w:rFonts w:cs="Times New Roman"/>
          <w:color w:val="000000"/>
          <w:lang w:val="en-GB"/>
        </w:rPr>
        <w:t xml:space="preserve"> factors. On the one hand, petroleum prices have risen (see Box 2.2). In addition, wage growth was higher than expected last year, and many enterprises </w:t>
      </w:r>
      <w:proofErr w:type="gramStart"/>
      <w:r w:rsidRPr="00385D5F">
        <w:rPr>
          <w:rFonts w:cs="Times New Roman"/>
          <w:color w:val="000000"/>
          <w:lang w:val="en-GB"/>
        </w:rPr>
        <w:t>have to</w:t>
      </w:r>
      <w:proofErr w:type="gramEnd"/>
      <w:r w:rsidRPr="00385D5F">
        <w:rPr>
          <w:rFonts w:cs="Times New Roman"/>
          <w:color w:val="000000"/>
          <w:lang w:val="en-GB"/>
        </w:rPr>
        <w:t xml:space="preserve"> cover higher costs by raising selling prices. The war in the Middle East is adding to uncertainty about how inflation will develop in the period ahead as it affects prices for petroleum and other commodities such as fertiliser and metals. On the other hand, the krone has appreciated since the beginning of the year. This is curbing inflation.</w:t>
      </w:r>
    </w:p>
    <w:p w14:paraId="67FE305B" w14:textId="31DB99A8" w:rsidR="001257A1" w:rsidRPr="00385D5F" w:rsidRDefault="001257A1" w:rsidP="001257A1">
      <w:pPr>
        <w:jc w:val="both"/>
        <w:textAlignment w:val="baseline"/>
        <w:rPr>
          <w:rFonts w:cs="Times New Roman"/>
          <w:color w:val="000000"/>
          <w:lang w:val="en-GB"/>
        </w:rPr>
      </w:pPr>
      <w:r w:rsidRPr="00385D5F">
        <w:rPr>
          <w:rFonts w:cs="Times New Roman"/>
          <w:color w:val="000000"/>
          <w:lang w:val="en-GB"/>
        </w:rPr>
        <w:t>Higher prices for oil, gas and other commodities increase government revenues, but overall are considered to have a relatively modest effect on growth in the mainland economy. Since Norway is an exporter of petroleum and other commodities, high prices in isolation have a stimulating effect on the economy. At the same time, higher energy prices will draw in purchasing power from Norwegian households. In addition, combined with heightened uncertainty, this will dampen growth among Norway</w:t>
      </w:r>
      <w:r w:rsidR="00BC269C">
        <w:rPr>
          <w:rFonts w:cs="Times New Roman"/>
          <w:color w:val="000000"/>
          <w:lang w:val="en-GB"/>
        </w:rPr>
        <w:t>’</w:t>
      </w:r>
      <w:r w:rsidRPr="00385D5F">
        <w:rPr>
          <w:rFonts w:cs="Times New Roman"/>
          <w:color w:val="000000"/>
          <w:lang w:val="en-GB"/>
        </w:rPr>
        <w:t>s main trading partners.</w:t>
      </w:r>
    </w:p>
    <w:p w14:paraId="1D920627" w14:textId="21D5186B" w:rsidR="001257A1" w:rsidRDefault="001257A1" w:rsidP="001257A1">
      <w:pPr>
        <w:jc w:val="both"/>
        <w:textAlignment w:val="baseline"/>
        <w:rPr>
          <w:rFonts w:cs="Times New Roman"/>
          <w:color w:val="000000"/>
          <w:lang w:val="en-GB"/>
        </w:rPr>
      </w:pPr>
      <w:r w:rsidRPr="00385D5F">
        <w:rPr>
          <w:rFonts w:cs="Times New Roman"/>
          <w:color w:val="000000"/>
          <w:lang w:val="en-GB"/>
        </w:rPr>
        <w:t xml:space="preserve">As recently as January, </w:t>
      </w:r>
      <w:proofErr w:type="spellStart"/>
      <w:r w:rsidRPr="00385D5F">
        <w:rPr>
          <w:rFonts w:cs="Times New Roman"/>
          <w:color w:val="000000"/>
          <w:lang w:val="en-GB"/>
        </w:rPr>
        <w:t>Norges</w:t>
      </w:r>
      <w:proofErr w:type="spellEnd"/>
      <w:r w:rsidRPr="00385D5F">
        <w:rPr>
          <w:rFonts w:cs="Times New Roman"/>
          <w:color w:val="000000"/>
          <w:lang w:val="en-GB"/>
        </w:rPr>
        <w:t xml:space="preserve"> Bank projected that the key policy rate would be lowered this year. This message was abandoned at the monetary policy meeting in March, and at the monetary policy meeting in May, the policy rate was raised from </w:t>
      </w:r>
      <w:r w:rsidR="00145425">
        <w:rPr>
          <w:rFonts w:cs="Times New Roman"/>
          <w:color w:val="000000"/>
          <w:lang w:val="en-GB"/>
        </w:rPr>
        <w:t xml:space="preserve">4 to </w:t>
      </w:r>
      <w:r w:rsidRPr="006773F6">
        <w:rPr>
          <w:rFonts w:cs="Times New Roman"/>
          <w:color w:val="000000"/>
          <w:lang w:val="en-GB"/>
        </w:rPr>
        <w:t>4</w:t>
      </w:r>
      <w:r w:rsidR="00145425">
        <w:rPr>
          <w:rFonts w:cs="Times New Roman"/>
          <w:color w:val="000000"/>
          <w:lang w:val="en-GB"/>
        </w:rPr>
        <w:t>¼</w:t>
      </w:r>
      <w:r w:rsidRPr="00385D5F">
        <w:rPr>
          <w:rFonts w:cs="Times New Roman"/>
          <w:color w:val="000000"/>
          <w:lang w:val="en-GB"/>
        </w:rPr>
        <w:t xml:space="preserve"> per cent (Chart 2.8). The policy rate was raised further to </w:t>
      </w:r>
      <w:r w:rsidRPr="006773F6">
        <w:rPr>
          <w:rFonts w:cs="Times New Roman"/>
          <w:color w:val="000000"/>
          <w:lang w:val="en-GB"/>
        </w:rPr>
        <w:t>4</w:t>
      </w:r>
      <w:r w:rsidR="001A4090">
        <w:rPr>
          <w:rFonts w:cs="Times New Roman"/>
          <w:color w:val="000000"/>
          <w:lang w:val="en-GB"/>
        </w:rPr>
        <w:t>½</w:t>
      </w:r>
      <w:r w:rsidR="00BC269C">
        <w:rPr>
          <w:rFonts w:cs="Times New Roman"/>
          <w:color w:val="000000"/>
          <w:lang w:val="en-GB"/>
        </w:rPr>
        <w:t xml:space="preserve"> </w:t>
      </w:r>
      <w:r w:rsidRPr="00385D5F">
        <w:rPr>
          <w:rFonts w:cs="Times New Roman"/>
          <w:color w:val="000000"/>
          <w:lang w:val="en-GB"/>
        </w:rPr>
        <w:t>per cent at the monetary policy meeting in September. In connection with the September meeting, the Bank stated that there will probably be a need to maintain a high policy rate for a period ahead and that it is prepared to raise the interest rate further if the inflation outlook so warrants. In justifying a tighter monetary policy, the Bank has emphasised that a situation must be avoided where firms and households begin to plan for inflation to remain high, as this may result in more persistent inflation.</w:t>
      </w:r>
    </w:p>
    <w:tbl>
      <w:tblPr>
        <w:tblStyle w:val="StandardBoks"/>
        <w:tblW w:w="0" w:type="auto"/>
        <w:tblLook w:val="04A0" w:firstRow="1" w:lastRow="0" w:firstColumn="1" w:lastColumn="0" w:noHBand="0" w:noVBand="1"/>
      </w:tblPr>
      <w:tblGrid>
        <w:gridCol w:w="9062"/>
      </w:tblGrid>
      <w:tr w:rsidR="00890182" w:rsidRPr="00B21C46" w14:paraId="2E053D5D" w14:textId="77777777" w:rsidTr="00BC269C">
        <w:tc>
          <w:tcPr>
            <w:tcW w:w="9062" w:type="dxa"/>
          </w:tcPr>
          <w:p w14:paraId="6732C047" w14:textId="77777777" w:rsidR="00890182" w:rsidRPr="00592CFE" w:rsidRDefault="00890182" w:rsidP="00BD424A">
            <w:pPr>
              <w:spacing w:after="160" w:line="278" w:lineRule="auto"/>
              <w:jc w:val="both"/>
              <w:rPr>
                <w:rStyle w:val="halvfet"/>
                <w:lang w:val="en-US"/>
              </w:rPr>
            </w:pPr>
            <w:r w:rsidRPr="00592CFE">
              <w:rPr>
                <w:rStyle w:val="halvfet"/>
                <w:lang w:val="en-US"/>
              </w:rPr>
              <w:t>Box 2.2 Development in petroleum prices</w:t>
            </w:r>
          </w:p>
          <w:p w14:paraId="21074B1F" w14:textId="77777777" w:rsidR="00890182" w:rsidRPr="00890182" w:rsidRDefault="00890182" w:rsidP="00BD424A">
            <w:pPr>
              <w:spacing w:after="160" w:line="278" w:lineRule="auto"/>
              <w:jc w:val="both"/>
              <w:textAlignment w:val="baseline"/>
              <w:rPr>
                <w:rFonts w:cs="Times New Roman"/>
                <w:color w:val="000000"/>
                <w:sz w:val="24"/>
                <w:szCs w:val="24"/>
                <w:lang w:val="en-US"/>
              </w:rPr>
            </w:pPr>
            <w:r w:rsidRPr="00890182">
              <w:rPr>
                <w:rFonts w:cs="Times New Roman"/>
                <w:color w:val="000000"/>
                <w:sz w:val="24"/>
                <w:szCs w:val="24"/>
                <w:lang w:val="en-US"/>
              </w:rPr>
              <w:t xml:space="preserve">In late February, the United States and Israel launched military strikes against Iran, and shipping through the Strait of Hormuz came to a near complete halt. Normally, about 20 per cent of global oil production and a corresponding share of global liquefied natural gas (LNG) production are transported through the strait, mainly to Asian countries such as China, India, Japan and South Korea. The loss has led to a sharp reduction in the supply of oil and gas. There is still considerable uncertainty associated with the further development of the conflict and about when export volumes </w:t>
            </w:r>
            <w:proofErr w:type="spellStart"/>
            <w:r w:rsidRPr="00890182">
              <w:rPr>
                <w:rFonts w:cs="Times New Roman"/>
                <w:color w:val="000000"/>
                <w:sz w:val="24"/>
                <w:szCs w:val="24"/>
                <w:lang w:val="en-US"/>
              </w:rPr>
              <w:t>willnormalise</w:t>
            </w:r>
            <w:proofErr w:type="spellEnd"/>
            <w:r w:rsidRPr="00890182">
              <w:rPr>
                <w:rFonts w:cs="Times New Roman"/>
                <w:color w:val="000000"/>
                <w:sz w:val="24"/>
                <w:szCs w:val="24"/>
                <w:lang w:val="en-US"/>
              </w:rPr>
              <w:t>.</w:t>
            </w:r>
          </w:p>
          <w:p w14:paraId="4C64FF63" w14:textId="77777777" w:rsidR="00890182" w:rsidRPr="00890182" w:rsidRDefault="00890182" w:rsidP="00BD424A">
            <w:pPr>
              <w:pStyle w:val="avsnitt-undertittel"/>
              <w:jc w:val="both"/>
              <w:rPr>
                <w:lang w:val="en-US"/>
              </w:rPr>
            </w:pPr>
            <w:r w:rsidRPr="00890182">
              <w:rPr>
                <w:lang w:val="en-US"/>
              </w:rPr>
              <w:t>Oil prices</w:t>
            </w:r>
          </w:p>
          <w:p w14:paraId="59A66443" w14:textId="77777777" w:rsidR="00890182" w:rsidRPr="00890182" w:rsidRDefault="00890182" w:rsidP="00BD424A">
            <w:pPr>
              <w:spacing w:after="160" w:line="278" w:lineRule="auto"/>
              <w:jc w:val="both"/>
              <w:textAlignment w:val="baseline"/>
              <w:rPr>
                <w:rFonts w:cs="Times New Roman"/>
                <w:color w:val="000000"/>
                <w:spacing w:val="-2"/>
                <w:sz w:val="24"/>
                <w:szCs w:val="24"/>
                <w:lang w:val="en-US"/>
              </w:rPr>
            </w:pPr>
            <w:r w:rsidRPr="00890182">
              <w:rPr>
                <w:rFonts w:cs="Times New Roman"/>
                <w:color w:val="000000"/>
                <w:spacing w:val="-2"/>
                <w:sz w:val="24"/>
                <w:szCs w:val="24"/>
                <w:lang w:val="en-US"/>
              </w:rPr>
              <w:t xml:space="preserve">Oil prices have been markedly higher this year than last year (Chart 2.5). So far this year, oil prices have averaged USD 88 per barrel, the highest since 2022. Ever since the war broke out, the oil market has been </w:t>
            </w:r>
            <w:proofErr w:type="spellStart"/>
            <w:r w:rsidRPr="00890182">
              <w:rPr>
                <w:rFonts w:cs="Times New Roman"/>
                <w:color w:val="000000"/>
                <w:spacing w:val="-2"/>
                <w:sz w:val="24"/>
                <w:szCs w:val="24"/>
                <w:lang w:val="en-US"/>
              </w:rPr>
              <w:t>characterised</w:t>
            </w:r>
            <w:proofErr w:type="spellEnd"/>
            <w:r w:rsidRPr="00890182">
              <w:rPr>
                <w:rFonts w:cs="Times New Roman"/>
                <w:color w:val="000000"/>
                <w:spacing w:val="-2"/>
                <w:sz w:val="24"/>
                <w:szCs w:val="24"/>
                <w:lang w:val="en-US"/>
              </w:rPr>
              <w:t xml:space="preserve"> by periodically large daily fluctuations in response to news about the conflict. However, futures prices have always </w:t>
            </w:r>
            <w:proofErr w:type="gramStart"/>
            <w:r w:rsidRPr="00890182">
              <w:rPr>
                <w:rFonts w:cs="Times New Roman"/>
                <w:color w:val="000000"/>
                <w:spacing w:val="-2"/>
                <w:sz w:val="24"/>
                <w:szCs w:val="24"/>
                <w:lang w:val="en-US"/>
              </w:rPr>
              <w:t>priced</w:t>
            </w:r>
            <w:proofErr w:type="gramEnd"/>
            <w:r w:rsidRPr="00890182">
              <w:rPr>
                <w:rFonts w:cs="Times New Roman"/>
                <w:color w:val="000000"/>
                <w:spacing w:val="-2"/>
                <w:sz w:val="24"/>
                <w:szCs w:val="24"/>
                <w:lang w:val="en-US"/>
              </w:rPr>
              <w:t xml:space="preserve"> in an expectation that a political solution is not far away, which has contributed to keeping oil prices lower than implied by physical market disturbances in isolation.</w:t>
            </w:r>
          </w:p>
          <w:p w14:paraId="5F613C60" w14:textId="6B8CEA28" w:rsidR="00890182" w:rsidRPr="00890182" w:rsidRDefault="00890182" w:rsidP="00BD424A">
            <w:pPr>
              <w:spacing w:after="160" w:line="278" w:lineRule="auto"/>
              <w:jc w:val="both"/>
              <w:textAlignment w:val="baseline"/>
              <w:rPr>
                <w:rFonts w:cs="Times New Roman"/>
                <w:color w:val="000000"/>
                <w:spacing w:val="-3"/>
                <w:sz w:val="24"/>
                <w:szCs w:val="24"/>
                <w:lang w:val="en-US"/>
              </w:rPr>
            </w:pPr>
            <w:r w:rsidRPr="00890182">
              <w:rPr>
                <w:rFonts w:cs="Times New Roman"/>
                <w:color w:val="000000"/>
                <w:spacing w:val="-3"/>
                <w:sz w:val="24"/>
                <w:szCs w:val="24"/>
                <w:lang w:val="en-US"/>
              </w:rPr>
              <w:t>The price increase is mainly related to sharply reduced oil production in the Middle East since February, where fields have been shut down for safety reasons or are producing less than normal due to limited export capacity and limited local storage capacity. Alternative overland transport routes are used but have limited capacity. In addition to the near closure of the Strait of Hormuz, since mid-September the Houthi militia has carried out a major offensive along Yemen</w:t>
            </w:r>
            <w:r w:rsidR="00BC269C">
              <w:rPr>
                <w:rFonts w:cs="Times New Roman"/>
                <w:color w:val="000000"/>
                <w:spacing w:val="-3"/>
                <w:sz w:val="24"/>
                <w:szCs w:val="24"/>
                <w:lang w:val="en-US"/>
              </w:rPr>
              <w:t>’</w:t>
            </w:r>
            <w:r w:rsidRPr="00890182">
              <w:rPr>
                <w:rFonts w:cs="Times New Roman"/>
                <w:color w:val="000000"/>
                <w:spacing w:val="-3"/>
                <w:sz w:val="24"/>
                <w:szCs w:val="24"/>
                <w:lang w:val="en-US"/>
              </w:rPr>
              <w:t>s Red Sea coast, taking control of the Bab al-Mandeb Strait. This has amplified the threat to Saudi Arabia</w:t>
            </w:r>
            <w:r w:rsidR="00BC269C">
              <w:rPr>
                <w:rFonts w:cs="Times New Roman"/>
                <w:color w:val="000000"/>
                <w:spacing w:val="-3"/>
                <w:sz w:val="24"/>
                <w:szCs w:val="24"/>
                <w:lang w:val="en-US"/>
              </w:rPr>
              <w:t>’</w:t>
            </w:r>
            <w:r w:rsidRPr="00890182">
              <w:rPr>
                <w:rFonts w:cs="Times New Roman"/>
                <w:color w:val="000000"/>
                <w:spacing w:val="-3"/>
                <w:sz w:val="24"/>
                <w:szCs w:val="24"/>
                <w:lang w:val="en-US"/>
              </w:rPr>
              <w:t>s oil exports through the Red Sea, which it has increasingly used as an alternative to Hormuz. In addition, Saudi Arabia</w:t>
            </w:r>
            <w:r w:rsidR="00BC269C">
              <w:rPr>
                <w:rFonts w:cs="Times New Roman"/>
                <w:color w:val="000000"/>
                <w:spacing w:val="-3"/>
                <w:sz w:val="24"/>
                <w:szCs w:val="24"/>
                <w:lang w:val="en-US"/>
              </w:rPr>
              <w:t>’</w:t>
            </w:r>
            <w:r w:rsidRPr="00890182">
              <w:rPr>
                <w:rFonts w:cs="Times New Roman"/>
                <w:color w:val="000000"/>
                <w:spacing w:val="-3"/>
                <w:sz w:val="24"/>
                <w:szCs w:val="24"/>
                <w:lang w:val="en-US"/>
              </w:rPr>
              <w:t>s east-west pipeline, which has been the country</w:t>
            </w:r>
            <w:r w:rsidR="00BC269C">
              <w:rPr>
                <w:rFonts w:cs="Times New Roman"/>
                <w:color w:val="000000"/>
                <w:spacing w:val="-3"/>
                <w:sz w:val="24"/>
                <w:szCs w:val="24"/>
                <w:lang w:val="en-US"/>
              </w:rPr>
              <w:t>’</w:t>
            </w:r>
            <w:r w:rsidRPr="00890182">
              <w:rPr>
                <w:rFonts w:cs="Times New Roman"/>
                <w:color w:val="000000"/>
                <w:spacing w:val="-3"/>
                <w:sz w:val="24"/>
                <w:szCs w:val="24"/>
                <w:lang w:val="en-US"/>
              </w:rPr>
              <w:t>s main export route past Hormuz, was shut down after drone strikes. The pipeline is expected to be largely out of service for several weeks.</w:t>
            </w:r>
          </w:p>
          <w:p w14:paraId="30560724" w14:textId="4E2137FB" w:rsidR="00890182" w:rsidRPr="00890182" w:rsidRDefault="00890182" w:rsidP="00BD424A">
            <w:pPr>
              <w:spacing w:after="160" w:line="278" w:lineRule="auto"/>
              <w:jc w:val="both"/>
              <w:textAlignment w:val="baseline"/>
              <w:rPr>
                <w:rFonts w:cs="Times New Roman"/>
                <w:color w:val="000000"/>
                <w:spacing w:val="-2"/>
                <w:sz w:val="24"/>
                <w:szCs w:val="24"/>
                <w:lang w:val="en-US"/>
              </w:rPr>
            </w:pPr>
            <w:r w:rsidRPr="00890182">
              <w:rPr>
                <w:rFonts w:cs="Times New Roman"/>
                <w:color w:val="000000"/>
                <w:sz w:val="24"/>
                <w:szCs w:val="24"/>
                <w:lang w:val="en-US"/>
              </w:rPr>
              <w:t xml:space="preserve">Since last year, OPEC and </w:t>
            </w:r>
            <w:proofErr w:type="gramStart"/>
            <w:r w:rsidRPr="00890182">
              <w:rPr>
                <w:rFonts w:cs="Times New Roman"/>
                <w:color w:val="000000"/>
                <w:sz w:val="24"/>
                <w:szCs w:val="24"/>
                <w:lang w:val="en-US"/>
              </w:rPr>
              <w:t>a number of</w:t>
            </w:r>
            <w:proofErr w:type="gramEnd"/>
            <w:r w:rsidRPr="00890182">
              <w:rPr>
                <w:rFonts w:cs="Times New Roman"/>
                <w:color w:val="000000"/>
                <w:sz w:val="24"/>
                <w:szCs w:val="24"/>
                <w:lang w:val="en-US"/>
              </w:rPr>
              <w:t xml:space="preserve"> other producer countries (OPEC+) have gradually increased production quotas after a few years of </w:t>
            </w:r>
            <w:proofErr w:type="gramStart"/>
            <w:r w:rsidRPr="00890182">
              <w:rPr>
                <w:rFonts w:cs="Times New Roman"/>
                <w:color w:val="000000"/>
                <w:sz w:val="24"/>
                <w:szCs w:val="24"/>
                <w:lang w:val="en-US"/>
              </w:rPr>
              <w:t>reduced</w:t>
            </w:r>
            <w:proofErr w:type="gramEnd"/>
            <w:r w:rsidRPr="00890182">
              <w:rPr>
                <w:rFonts w:cs="Times New Roman"/>
                <w:color w:val="000000"/>
                <w:sz w:val="24"/>
                <w:szCs w:val="24"/>
                <w:lang w:val="en-US"/>
              </w:rPr>
              <w:t xml:space="preserve"> quotas to </w:t>
            </w:r>
            <w:proofErr w:type="spellStart"/>
            <w:r w:rsidRPr="00890182">
              <w:rPr>
                <w:rFonts w:cs="Times New Roman"/>
                <w:color w:val="000000"/>
                <w:sz w:val="24"/>
                <w:szCs w:val="24"/>
                <w:lang w:val="en-US"/>
              </w:rPr>
              <w:t>stabilise</w:t>
            </w:r>
            <w:proofErr w:type="spellEnd"/>
            <w:r w:rsidRPr="00890182">
              <w:rPr>
                <w:rFonts w:cs="Times New Roman"/>
                <w:color w:val="000000"/>
                <w:sz w:val="24"/>
                <w:szCs w:val="24"/>
                <w:lang w:val="en-US"/>
              </w:rPr>
              <w:t xml:space="preserve"> the oil market. Since the outbreak of war, OPEC+ has further increased production quotas. The actual production increases have been considerably lower than implied by the quota increases, partly because the group</w:t>
            </w:r>
            <w:r w:rsidR="00BC269C">
              <w:rPr>
                <w:rFonts w:cs="Times New Roman"/>
                <w:color w:val="000000"/>
                <w:sz w:val="24"/>
                <w:szCs w:val="24"/>
                <w:lang w:val="en-US"/>
              </w:rPr>
              <w:t>’</w:t>
            </w:r>
            <w:r w:rsidRPr="00890182">
              <w:rPr>
                <w:rFonts w:cs="Times New Roman"/>
                <w:color w:val="000000"/>
                <w:sz w:val="24"/>
                <w:szCs w:val="24"/>
                <w:lang w:val="en-US"/>
              </w:rPr>
              <w:t>s spare production capacity is limited.</w:t>
            </w:r>
          </w:p>
          <w:p w14:paraId="6F5CC8DE" w14:textId="626E2E52" w:rsidR="00890182" w:rsidRPr="00890182" w:rsidRDefault="00890182" w:rsidP="00BD424A">
            <w:pPr>
              <w:spacing w:after="160" w:line="278" w:lineRule="auto"/>
              <w:jc w:val="both"/>
              <w:textAlignment w:val="baseline"/>
              <w:rPr>
                <w:rFonts w:cs="Times New Roman"/>
                <w:color w:val="000000"/>
                <w:sz w:val="24"/>
                <w:szCs w:val="24"/>
                <w:lang w:val="en-US"/>
              </w:rPr>
            </w:pPr>
            <w:r w:rsidRPr="00890182">
              <w:rPr>
                <w:rFonts w:cs="Times New Roman"/>
                <w:color w:val="000000"/>
                <w:sz w:val="24"/>
                <w:szCs w:val="24"/>
                <w:lang w:val="en-US"/>
              </w:rPr>
              <w:t xml:space="preserve">The United States has significantly increased its oil exports after the Strait of Hormuz closed. The US has released large volumes from its strategic stockpiles. Shale oil production can adapt relatively quickly, but is at the same time price-sensitive, and after a long period of expansion the sector is now in a maturing phase </w:t>
            </w:r>
            <w:proofErr w:type="spellStart"/>
            <w:r w:rsidRPr="00890182">
              <w:rPr>
                <w:rFonts w:cs="Times New Roman"/>
                <w:color w:val="000000"/>
                <w:sz w:val="24"/>
                <w:szCs w:val="24"/>
                <w:lang w:val="en-US"/>
              </w:rPr>
              <w:t>characterised</w:t>
            </w:r>
            <w:proofErr w:type="spellEnd"/>
            <w:r w:rsidRPr="00890182">
              <w:rPr>
                <w:rFonts w:cs="Times New Roman"/>
                <w:color w:val="000000"/>
                <w:sz w:val="24"/>
                <w:szCs w:val="24"/>
                <w:lang w:val="en-US"/>
              </w:rPr>
              <w:t xml:space="preserve"> by consolidation. Russia has managed to maintain high export volumes over time, but production is increasingly hit by Ukrainian drone strikes on oil infrastructure, adding to uncertainty about the country</w:t>
            </w:r>
            <w:r w:rsidR="00BC269C">
              <w:rPr>
                <w:rFonts w:cs="Times New Roman"/>
                <w:color w:val="000000"/>
                <w:sz w:val="24"/>
                <w:szCs w:val="24"/>
                <w:lang w:val="en-US"/>
              </w:rPr>
              <w:t>’</w:t>
            </w:r>
            <w:r w:rsidRPr="00890182">
              <w:rPr>
                <w:rFonts w:cs="Times New Roman"/>
                <w:color w:val="000000"/>
                <w:sz w:val="24"/>
                <w:szCs w:val="24"/>
                <w:lang w:val="en-US"/>
              </w:rPr>
              <w:t>s future export capacity.</w:t>
            </w:r>
          </w:p>
          <w:p w14:paraId="5592CFDA" w14:textId="255D5435" w:rsidR="00890182" w:rsidRPr="00890182" w:rsidRDefault="00890182" w:rsidP="00BD424A">
            <w:pPr>
              <w:spacing w:after="160" w:line="278" w:lineRule="auto"/>
              <w:jc w:val="both"/>
              <w:textAlignment w:val="baseline"/>
              <w:rPr>
                <w:rFonts w:cs="Times New Roman"/>
                <w:color w:val="000000"/>
                <w:sz w:val="24"/>
                <w:szCs w:val="24"/>
                <w:lang w:val="en-US"/>
              </w:rPr>
            </w:pPr>
            <w:r w:rsidRPr="00890182">
              <w:rPr>
                <w:rFonts w:cs="Times New Roman"/>
                <w:color w:val="000000"/>
                <w:sz w:val="24"/>
                <w:szCs w:val="24"/>
                <w:lang w:val="en-US"/>
              </w:rPr>
              <w:t xml:space="preserve">Before the conflict, the oil market was </w:t>
            </w:r>
            <w:proofErr w:type="spellStart"/>
            <w:r w:rsidRPr="00890182">
              <w:rPr>
                <w:rFonts w:cs="Times New Roman"/>
                <w:color w:val="000000"/>
                <w:sz w:val="24"/>
                <w:szCs w:val="24"/>
                <w:lang w:val="en-US"/>
              </w:rPr>
              <w:t>characterised</w:t>
            </w:r>
            <w:proofErr w:type="spellEnd"/>
            <w:r w:rsidRPr="00890182">
              <w:rPr>
                <w:rFonts w:cs="Times New Roman"/>
                <w:color w:val="000000"/>
                <w:sz w:val="24"/>
                <w:szCs w:val="24"/>
                <w:lang w:val="en-US"/>
              </w:rPr>
              <w:t xml:space="preserve"> by a supply surplus and extensive inventory build-up, including large volumes stored on tankers, mainly sanctioned oil from Russia, Iran and Venezuela. The loss of oil and oil products from the Middle East has since led to large global inventory drawdowns. In mid-March, the International Energy Agency (IEA) announced a coordinated release of 400 million barrels of crude oil and oil products from the stockpiles, the largest stockpile release it has carried out. China is estimated to have the world</w:t>
            </w:r>
            <w:r w:rsidR="00BC269C">
              <w:rPr>
                <w:rFonts w:cs="Times New Roman"/>
                <w:color w:val="000000"/>
                <w:sz w:val="24"/>
                <w:szCs w:val="24"/>
                <w:lang w:val="en-US"/>
              </w:rPr>
              <w:t>’</w:t>
            </w:r>
            <w:r w:rsidRPr="00890182">
              <w:rPr>
                <w:rFonts w:cs="Times New Roman"/>
                <w:color w:val="000000"/>
                <w:sz w:val="24"/>
                <w:szCs w:val="24"/>
                <w:lang w:val="en-US"/>
              </w:rPr>
              <w:t>s largest oil stockpile, and when the war in the Middle East broke out, it is believed to have replaced part of the loss from the Middle East with inventory drawdowns. Since summer, Chinese imports have edged up again, in pace with some increase in oil deliveries from the Middle East.</w:t>
            </w:r>
          </w:p>
          <w:p w14:paraId="7C3CCAEA" w14:textId="77777777" w:rsidR="00890182" w:rsidRPr="00890182" w:rsidRDefault="00890182" w:rsidP="00BD424A">
            <w:pPr>
              <w:spacing w:after="160" w:line="278" w:lineRule="auto"/>
              <w:jc w:val="both"/>
              <w:textAlignment w:val="baseline"/>
              <w:rPr>
                <w:rFonts w:cs="Times New Roman"/>
                <w:color w:val="000000"/>
                <w:spacing w:val="-6"/>
                <w:sz w:val="24"/>
                <w:szCs w:val="24"/>
                <w:lang w:val="en-US"/>
              </w:rPr>
            </w:pPr>
            <w:r w:rsidRPr="00890182">
              <w:rPr>
                <w:rFonts w:cs="Times New Roman"/>
                <w:color w:val="000000"/>
                <w:spacing w:val="-6"/>
                <w:sz w:val="24"/>
                <w:szCs w:val="24"/>
                <w:lang w:val="en-US"/>
              </w:rPr>
              <w:t>There is considerable uncertainty about future developments in the oil market. If the conflict continues and oil exports from the Middle East are curtailed, prices could remain high. In this report, it is technically assumed that oil prices will move in line with futures prices from mid-June. This implies an oil price of USD 85 per barrel in 2026 and USD 75 per barrel in 2027, measured at fixed 2027 prices. This corresponds to NOK 803 and NOK 703 per barrel respectively. By comparison, the average oil price in the period 2022–2025 was NOK 940 per barrel (measured at fixed 2027 prices). As a result of the assumption of a stronger krone this year than last year, the projected oil price increase in 2026 is smaller measured in NOK than in dollars.</w:t>
            </w:r>
          </w:p>
          <w:p w14:paraId="3E66ED8A" w14:textId="77777777" w:rsidR="00890182" w:rsidRPr="00D7554C" w:rsidRDefault="00890182" w:rsidP="00BD424A">
            <w:pPr>
              <w:pStyle w:val="avsnitt-undertittel"/>
              <w:jc w:val="both"/>
              <w:rPr>
                <w:lang w:val="en-US"/>
              </w:rPr>
            </w:pPr>
            <w:r w:rsidRPr="00D7554C">
              <w:rPr>
                <w:lang w:val="en-US"/>
              </w:rPr>
              <w:t>Gas prices</w:t>
            </w:r>
          </w:p>
          <w:p w14:paraId="0DB38E9E" w14:textId="77777777" w:rsidR="00890182" w:rsidRPr="00890182" w:rsidRDefault="00890182" w:rsidP="00BD424A">
            <w:pPr>
              <w:spacing w:after="160" w:line="278" w:lineRule="auto"/>
              <w:jc w:val="both"/>
              <w:textAlignment w:val="baseline"/>
              <w:rPr>
                <w:rFonts w:cs="Times New Roman"/>
                <w:color w:val="000000"/>
                <w:sz w:val="24"/>
                <w:szCs w:val="24"/>
                <w:lang w:val="en-US"/>
              </w:rPr>
            </w:pPr>
            <w:r w:rsidRPr="00890182">
              <w:rPr>
                <w:rFonts w:cs="Times New Roman"/>
                <w:color w:val="000000"/>
                <w:sz w:val="24"/>
                <w:szCs w:val="24"/>
                <w:lang w:val="en-US"/>
              </w:rPr>
              <w:t>The gas price shows a slightly different path from the oil price. Before the outbreak of the war in the Middle East, prospects for high growth in the supply of liquefied natural gas (LNG) had contributed to a decline in the European gas price through 2025 (Chart 2.5). The war in the Middle East contributed to a marked rebound in the gas price. The loss of LNG deliveries through Hormuz has kept prices high and contributed to weaker inventory build-up in Europe. The prospect of lower-than-normal inventory levels in Europe heading into winter is again contributing to a risk premium in prices. Futures prices indicate that prices are expected to continue to rise in the near term.</w:t>
            </w:r>
          </w:p>
          <w:p w14:paraId="3C7301D0" w14:textId="77777777" w:rsidR="00890182" w:rsidRPr="00890182" w:rsidRDefault="00890182" w:rsidP="00BD424A">
            <w:pPr>
              <w:spacing w:after="160" w:line="278" w:lineRule="auto"/>
              <w:jc w:val="both"/>
              <w:textAlignment w:val="baseline"/>
              <w:rPr>
                <w:rFonts w:cs="Times New Roman"/>
                <w:color w:val="000000"/>
                <w:spacing w:val="-2"/>
                <w:sz w:val="24"/>
                <w:szCs w:val="24"/>
                <w:lang w:val="en-US"/>
              </w:rPr>
            </w:pPr>
            <w:r w:rsidRPr="00890182">
              <w:rPr>
                <w:rFonts w:cs="Times New Roman"/>
                <w:color w:val="000000"/>
                <w:spacing w:val="-2"/>
                <w:sz w:val="24"/>
                <w:szCs w:val="24"/>
                <w:lang w:val="en-US"/>
              </w:rPr>
              <w:t xml:space="preserve">Trade in LNG has become increasingly important, partly </w:t>
            </w:r>
            <w:proofErr w:type="gramStart"/>
            <w:r w:rsidRPr="00890182">
              <w:rPr>
                <w:rFonts w:cs="Times New Roman"/>
                <w:color w:val="000000"/>
                <w:spacing w:val="-2"/>
                <w:sz w:val="24"/>
                <w:szCs w:val="24"/>
                <w:lang w:val="en-US"/>
              </w:rPr>
              <w:t>as a result of</w:t>
            </w:r>
            <w:proofErr w:type="gramEnd"/>
            <w:r w:rsidRPr="00890182">
              <w:rPr>
                <w:rFonts w:cs="Times New Roman"/>
                <w:color w:val="000000"/>
                <w:spacing w:val="-2"/>
                <w:sz w:val="24"/>
                <w:szCs w:val="24"/>
                <w:lang w:val="en-US"/>
              </w:rPr>
              <w:t xml:space="preserve"> the development of receiving terminals. This has made the regional gas markets more closely linked. Gas prices are now determined to a greater extent than before in a global market where importing regions compete for gas. The disruption to the LNG market </w:t>
            </w:r>
            <w:proofErr w:type="gramStart"/>
            <w:r w:rsidRPr="00890182">
              <w:rPr>
                <w:rFonts w:cs="Times New Roman"/>
                <w:color w:val="000000"/>
                <w:spacing w:val="-2"/>
                <w:sz w:val="24"/>
                <w:szCs w:val="24"/>
                <w:lang w:val="en-US"/>
              </w:rPr>
              <w:t>as a result of</w:t>
            </w:r>
            <w:proofErr w:type="gramEnd"/>
            <w:r w:rsidRPr="00890182">
              <w:rPr>
                <w:rFonts w:cs="Times New Roman"/>
                <w:color w:val="000000"/>
                <w:spacing w:val="-2"/>
                <w:sz w:val="24"/>
                <w:szCs w:val="24"/>
                <w:lang w:val="en-US"/>
              </w:rPr>
              <w:t xml:space="preserve"> the war in the Middle East is therefore affecting the price of gas in Europe. Last year, the EU covered more than 40 per cent of its gas needs with LNG, a share that has more than doubled since 2021.</w:t>
            </w:r>
          </w:p>
          <w:p w14:paraId="23196E2B" w14:textId="77777777" w:rsidR="00890182" w:rsidRPr="00890182" w:rsidRDefault="00890182" w:rsidP="00BD424A">
            <w:pPr>
              <w:spacing w:after="160" w:line="278" w:lineRule="auto"/>
              <w:jc w:val="both"/>
              <w:textAlignment w:val="baseline"/>
              <w:rPr>
                <w:rFonts w:cs="Times New Roman"/>
                <w:color w:val="000000"/>
                <w:sz w:val="24"/>
                <w:szCs w:val="24"/>
                <w:lang w:val="en-US"/>
              </w:rPr>
            </w:pPr>
            <w:r w:rsidRPr="00890182">
              <w:rPr>
                <w:rFonts w:cs="Times New Roman"/>
                <w:color w:val="000000"/>
                <w:sz w:val="24"/>
                <w:szCs w:val="24"/>
                <w:lang w:val="en-US"/>
              </w:rPr>
              <w:t xml:space="preserve">Norwegian gas is mainly exported by pipeline to </w:t>
            </w:r>
            <w:proofErr w:type="gramStart"/>
            <w:r w:rsidRPr="00890182">
              <w:rPr>
                <w:rFonts w:cs="Times New Roman"/>
                <w:color w:val="000000"/>
                <w:sz w:val="24"/>
                <w:szCs w:val="24"/>
                <w:lang w:val="en-US"/>
              </w:rPr>
              <w:t>Europe, and</w:t>
            </w:r>
            <w:proofErr w:type="gramEnd"/>
            <w:r w:rsidRPr="00890182">
              <w:rPr>
                <w:rFonts w:cs="Times New Roman"/>
                <w:color w:val="000000"/>
                <w:sz w:val="24"/>
                <w:szCs w:val="24"/>
                <w:lang w:val="en-US"/>
              </w:rPr>
              <w:t xml:space="preserve"> has in recent years accounted </w:t>
            </w:r>
            <w:proofErr w:type="spellStart"/>
            <w:r w:rsidRPr="00890182">
              <w:rPr>
                <w:rFonts w:cs="Times New Roman"/>
                <w:color w:val="000000"/>
                <w:sz w:val="24"/>
                <w:szCs w:val="24"/>
                <w:lang w:val="en-US"/>
              </w:rPr>
              <w:t>forabout</w:t>
            </w:r>
            <w:proofErr w:type="spellEnd"/>
            <w:r w:rsidRPr="00890182">
              <w:rPr>
                <w:rFonts w:cs="Times New Roman"/>
                <w:color w:val="000000"/>
                <w:sz w:val="24"/>
                <w:szCs w:val="24"/>
                <w:lang w:val="en-US"/>
              </w:rPr>
              <w:t xml:space="preserve"> 30 per cent of the total gas imports of both the EU and the UK. Norwegian gas is more important for Europe than before as EU has sharply reduced imports of Russian gas and has decided to complete the phase-out by November 2027.</w:t>
            </w:r>
          </w:p>
          <w:p w14:paraId="21A426CA" w14:textId="77777777" w:rsidR="00890182" w:rsidRPr="00890182" w:rsidRDefault="00890182" w:rsidP="00BD424A">
            <w:pPr>
              <w:spacing w:after="160" w:line="278" w:lineRule="auto"/>
              <w:jc w:val="both"/>
              <w:textAlignment w:val="baseline"/>
              <w:rPr>
                <w:rFonts w:cs="Times New Roman"/>
                <w:color w:val="000000"/>
                <w:sz w:val="24"/>
                <w:szCs w:val="24"/>
                <w:lang w:val="en-US"/>
              </w:rPr>
            </w:pPr>
            <w:r w:rsidRPr="00890182">
              <w:rPr>
                <w:rFonts w:cs="Times New Roman"/>
                <w:color w:val="000000"/>
                <w:sz w:val="24"/>
                <w:szCs w:val="24"/>
                <w:lang w:val="en-US"/>
              </w:rPr>
              <w:t>Demand for LNG in Asian countries, including China, has been weaker than previously expected, partly because higher prices have made gas less competitive compared to other energy sources. In Europe, gas demand is less price sensitive, as much of the consumption goes to heating buildings, where it is challenging to quickly switch to alternative energy sources.</w:t>
            </w:r>
          </w:p>
          <w:p w14:paraId="3170CB95" w14:textId="77777777" w:rsidR="00890182" w:rsidRPr="00890182" w:rsidRDefault="00890182" w:rsidP="00BD424A">
            <w:pPr>
              <w:spacing w:after="160" w:line="278" w:lineRule="auto"/>
              <w:jc w:val="both"/>
              <w:textAlignment w:val="baseline"/>
              <w:rPr>
                <w:rFonts w:cs="Times New Roman"/>
                <w:color w:val="000000"/>
                <w:sz w:val="24"/>
                <w:szCs w:val="24"/>
                <w:lang w:val="en-US"/>
              </w:rPr>
            </w:pPr>
            <w:r w:rsidRPr="00890182">
              <w:rPr>
                <w:rFonts w:cs="Times New Roman"/>
                <w:color w:val="000000"/>
                <w:sz w:val="24"/>
                <w:szCs w:val="24"/>
                <w:lang w:val="en-US"/>
              </w:rPr>
              <w:t>The key LNG plant in Qatar was damaged in March, and part of its export capacity is expected to be out of service for several years. At the same time, increased LNG exports from other countries, particularly the US, are helping to cushion some of the decline from the Middle East.</w:t>
            </w:r>
          </w:p>
          <w:p w14:paraId="4F3ECF72" w14:textId="77777777" w:rsidR="00890182" w:rsidRPr="00890182" w:rsidRDefault="00890182" w:rsidP="00BD424A">
            <w:pPr>
              <w:spacing w:after="160" w:line="278" w:lineRule="auto"/>
              <w:jc w:val="both"/>
              <w:textAlignment w:val="baseline"/>
              <w:rPr>
                <w:rFonts w:cs="Times New Roman"/>
                <w:color w:val="000000"/>
                <w:sz w:val="24"/>
                <w:szCs w:val="24"/>
                <w:lang w:val="en-US"/>
              </w:rPr>
            </w:pPr>
            <w:r w:rsidRPr="00890182">
              <w:rPr>
                <w:rFonts w:cs="Times New Roman"/>
                <w:color w:val="000000"/>
                <w:sz w:val="24"/>
                <w:szCs w:val="24"/>
                <w:lang w:val="en-US"/>
              </w:rPr>
              <w:t xml:space="preserve">The filling of gas stocks in the EU has been slow through the summer, and in mid-August the stocks </w:t>
            </w:r>
            <w:proofErr w:type="gramStart"/>
            <w:r w:rsidRPr="00890182">
              <w:rPr>
                <w:rFonts w:cs="Times New Roman"/>
                <w:color w:val="000000"/>
                <w:sz w:val="24"/>
                <w:szCs w:val="24"/>
                <w:lang w:val="en-US"/>
              </w:rPr>
              <w:t>were filled</w:t>
            </w:r>
            <w:proofErr w:type="gramEnd"/>
            <w:r w:rsidRPr="00890182">
              <w:rPr>
                <w:rFonts w:cs="Times New Roman"/>
                <w:color w:val="000000"/>
                <w:sz w:val="24"/>
                <w:szCs w:val="24"/>
                <w:lang w:val="en-US"/>
              </w:rPr>
              <w:t xml:space="preserve"> to about 60 per cent, the lowest level for the season in several years. Low inventories increase the need for LNG imports going forward, while uncertainty about deliveries from the Middle East remains high.</w:t>
            </w:r>
          </w:p>
          <w:p w14:paraId="37A92AB9" w14:textId="77777777" w:rsidR="00890182" w:rsidRPr="00890182" w:rsidRDefault="00890182" w:rsidP="00BD424A">
            <w:pPr>
              <w:spacing w:after="160" w:line="278" w:lineRule="auto"/>
              <w:jc w:val="both"/>
              <w:textAlignment w:val="baseline"/>
              <w:rPr>
                <w:rFonts w:cs="Times New Roman"/>
                <w:color w:val="000000"/>
                <w:sz w:val="24"/>
                <w:szCs w:val="24"/>
                <w:lang w:val="en-US"/>
              </w:rPr>
            </w:pPr>
            <w:r w:rsidRPr="00890182">
              <w:rPr>
                <w:rFonts w:cs="Times New Roman"/>
                <w:color w:val="000000"/>
                <w:sz w:val="24"/>
                <w:szCs w:val="24"/>
                <w:lang w:val="en-US"/>
              </w:rPr>
              <w:t xml:space="preserve">There is considerable uncertainty surrounding developments in the gas price in Europe. How long the war in the Middle East lasts, and how quickly the supply side </w:t>
            </w:r>
            <w:proofErr w:type="spellStart"/>
            <w:r w:rsidRPr="00890182">
              <w:rPr>
                <w:rFonts w:cs="Times New Roman"/>
                <w:color w:val="000000"/>
                <w:sz w:val="24"/>
                <w:szCs w:val="24"/>
                <w:lang w:val="en-US"/>
              </w:rPr>
              <w:t>normalises</w:t>
            </w:r>
            <w:proofErr w:type="spellEnd"/>
            <w:r w:rsidRPr="00890182">
              <w:rPr>
                <w:rFonts w:cs="Times New Roman"/>
                <w:color w:val="000000"/>
                <w:sz w:val="24"/>
                <w:szCs w:val="24"/>
                <w:lang w:val="en-US"/>
              </w:rPr>
              <w:t>, will be of great importance. This applies to transport through the Strait of Hormuz and the Bab al-Mandeb Strait, as well as the reconstruction of damaged production capacity. Gas price developments will also depend on weather conditions in Europe and demand developments in Asia.</w:t>
            </w:r>
          </w:p>
          <w:p w14:paraId="6FD8BAAB" w14:textId="10D5817C" w:rsidR="00890182" w:rsidRPr="00890182" w:rsidRDefault="00890182" w:rsidP="00BD424A">
            <w:pPr>
              <w:spacing w:after="160" w:line="278" w:lineRule="auto"/>
              <w:jc w:val="both"/>
              <w:textAlignment w:val="baseline"/>
              <w:rPr>
                <w:rFonts w:cs="Times New Roman"/>
                <w:color w:val="000000"/>
                <w:spacing w:val="-3"/>
                <w:sz w:val="24"/>
                <w:szCs w:val="24"/>
                <w:lang w:val="en-US"/>
              </w:rPr>
            </w:pPr>
            <w:r w:rsidRPr="00890182">
              <w:rPr>
                <w:rFonts w:cs="Times New Roman"/>
                <w:color w:val="000000"/>
                <w:spacing w:val="-3"/>
                <w:sz w:val="24"/>
                <w:szCs w:val="24"/>
                <w:lang w:val="en-US"/>
              </w:rPr>
              <w:t>In this report, the average price for Norwegian gas exports is technically assumed to be USD 15.0 per MMBtu this year and USD 11.5 per MMBtu next year measured in fixed 2027 prices, which corresponds to NOK 5.4 and 4.1 per Sm</w:t>
            </w:r>
            <w:r w:rsidR="00BC269C" w:rsidRPr="00BC269C">
              <w:rPr>
                <w:rStyle w:val="skrift-hevet"/>
                <w:lang w:val="en-US"/>
              </w:rPr>
              <w:t>3</w:t>
            </w:r>
            <w:r w:rsidRPr="00890182">
              <w:rPr>
                <w:rFonts w:cs="Times New Roman"/>
                <w:color w:val="000000"/>
                <w:spacing w:val="-3"/>
                <w:sz w:val="24"/>
                <w:szCs w:val="24"/>
                <w:lang w:val="en-US"/>
              </w:rPr>
              <w:t xml:space="preserve"> respectively. There is considerable uncertainty about developments in gas prices, and the futures market in mid-September indicates that prices may be higher than this.</w:t>
            </w:r>
          </w:p>
          <w:p w14:paraId="4B8015EF" w14:textId="77777777" w:rsidR="00890182" w:rsidRDefault="00890182" w:rsidP="007A6FC6">
            <w:pPr>
              <w:spacing w:line="276" w:lineRule="auto"/>
              <w:ind w:firstLine="288"/>
              <w:jc w:val="center"/>
              <w:textAlignment w:val="baseline"/>
              <w:rPr>
                <w:rFonts w:ascii="Aptos" w:hAnsi="Aptos" w:cs="Times New Roman"/>
                <w:color w:val="000000"/>
                <w:sz w:val="23"/>
              </w:rPr>
            </w:pPr>
            <w:r>
              <w:rPr>
                <w:rFonts w:ascii="Aptos" w:hAnsi="Aptos" w:cs="Times New Roman"/>
                <w:noProof/>
                <w:color w:val="000000"/>
                <w:sz w:val="23"/>
              </w:rPr>
              <w:drawing>
                <wp:inline distT="0" distB="0" distL="0" distR="0" wp14:anchorId="09DA42FA" wp14:editId="1FCA67C7">
                  <wp:extent cx="4471542" cy="3539970"/>
                  <wp:effectExtent l="0" t="0" r="5715" b="3810"/>
                  <wp:docPr id="288336699" name="Grafikk 6" descr="Chart 2.5 Oil and gas spot- and futures prices. USD per barrel. 2024–2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336699" name="Grafikk 6" descr="Chart 2.5 Oil and gas spot- and futures prices. USD per barrel. 2024–202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476075" cy="3543558"/>
                          </a:xfrm>
                          <a:prstGeom prst="rect">
                            <a:avLst/>
                          </a:prstGeom>
                        </pic:spPr>
                      </pic:pic>
                    </a:graphicData>
                  </a:graphic>
                </wp:inline>
              </w:drawing>
            </w:r>
          </w:p>
          <w:p w14:paraId="0BD63D35" w14:textId="7F12A4CD" w:rsidR="00890182" w:rsidRPr="00890182" w:rsidRDefault="00890182" w:rsidP="00D7554C">
            <w:pPr>
              <w:pStyle w:val="avsnitt-tittel"/>
              <w:rPr>
                <w:rFonts w:eastAsia="Arial"/>
                <w:lang w:val="en-US"/>
              </w:rPr>
            </w:pPr>
            <w:r w:rsidRPr="00890182">
              <w:rPr>
                <w:rFonts w:eastAsia="Tahoma"/>
                <w:lang w:val="en-US"/>
              </w:rPr>
              <w:t>Chart 2.5 Oil and gas spot- and futures prices. USD per barrel. 2024</w:t>
            </w:r>
            <w:r w:rsidR="006717D5">
              <w:rPr>
                <w:rFonts w:eastAsia="Tahoma"/>
                <w:lang w:val="en-US"/>
              </w:rPr>
              <w:t>–</w:t>
            </w:r>
            <w:r w:rsidRPr="00890182">
              <w:rPr>
                <w:rFonts w:eastAsia="Tahoma"/>
                <w:lang w:val="en-US"/>
              </w:rPr>
              <w:t>2028</w:t>
            </w:r>
            <w:r w:rsidR="00BC269C" w:rsidRPr="00BC269C">
              <w:rPr>
                <w:rStyle w:val="skrift-hevet"/>
                <w:lang w:val="en-US"/>
              </w:rPr>
              <w:t>1</w:t>
            </w:r>
          </w:p>
          <w:p w14:paraId="34F6C364" w14:textId="0A0C65D4" w:rsidR="00890182" w:rsidRPr="00890182" w:rsidRDefault="00BC269C" w:rsidP="00BD424A">
            <w:pPr>
              <w:pStyle w:val="Note"/>
              <w:jc w:val="both"/>
              <w:rPr>
                <w:lang w:val="en-US"/>
              </w:rPr>
            </w:pPr>
            <w:r w:rsidRPr="00BC269C">
              <w:rPr>
                <w:rStyle w:val="skrift-hevet"/>
                <w:lang w:val="en-US"/>
              </w:rPr>
              <w:t xml:space="preserve">1 </w:t>
            </w:r>
            <w:r w:rsidR="00890182" w:rsidRPr="00890182">
              <w:rPr>
                <w:lang w:val="en-US"/>
              </w:rPr>
              <w:t>Daily observations through September 24, 2026. Monthly observations for forward prices from October 2026.</w:t>
            </w:r>
          </w:p>
          <w:p w14:paraId="79B2A273" w14:textId="77777777" w:rsidR="00890182" w:rsidRPr="00890182" w:rsidRDefault="00890182" w:rsidP="00BD424A">
            <w:pPr>
              <w:pStyle w:val="Kilde"/>
              <w:jc w:val="both"/>
              <w:rPr>
                <w:lang w:val="en-US"/>
              </w:rPr>
            </w:pPr>
            <w:r w:rsidRPr="00890182">
              <w:rPr>
                <w:lang w:val="en-US"/>
              </w:rPr>
              <w:t xml:space="preserve">Sources: </w:t>
            </w:r>
            <w:proofErr w:type="spellStart"/>
            <w:r w:rsidRPr="00890182">
              <w:rPr>
                <w:lang w:val="en-US"/>
              </w:rPr>
              <w:t>Macrobond</w:t>
            </w:r>
            <w:proofErr w:type="spellEnd"/>
            <w:r w:rsidRPr="00890182">
              <w:rPr>
                <w:lang w:val="en-US"/>
              </w:rPr>
              <w:t xml:space="preserve"> and Ministry of Finance.</w:t>
            </w:r>
          </w:p>
          <w:p w14:paraId="3DB71C59" w14:textId="77777777" w:rsidR="00890182" w:rsidRPr="00385D5F" w:rsidRDefault="00890182" w:rsidP="00BD424A">
            <w:pPr>
              <w:pStyle w:val="avsnitt-tittel"/>
              <w:jc w:val="both"/>
              <w:rPr>
                <w:rFonts w:eastAsia="Tahoma"/>
              </w:rPr>
            </w:pPr>
            <w:proofErr w:type="spellStart"/>
            <w:r w:rsidRPr="001257A1">
              <w:rPr>
                <w:rFonts w:eastAsia="Tahoma"/>
              </w:rPr>
              <w:t>Table</w:t>
            </w:r>
            <w:proofErr w:type="spellEnd"/>
            <w:r w:rsidRPr="001257A1">
              <w:rPr>
                <w:rFonts w:eastAsia="Tahoma"/>
              </w:rPr>
              <w:t xml:space="preserve"> 2.1 Main </w:t>
            </w:r>
            <w:proofErr w:type="spellStart"/>
            <w:r w:rsidRPr="001257A1">
              <w:rPr>
                <w:rFonts w:eastAsia="Tahoma"/>
              </w:rPr>
              <w:t>figures</w:t>
            </w:r>
            <w:proofErr w:type="spellEnd"/>
            <w:r w:rsidRPr="001257A1">
              <w:rPr>
                <w:rFonts w:eastAsia="Tahoma"/>
              </w:rPr>
              <w:t xml:space="preserve"> for petroleum </w:t>
            </w:r>
            <w:proofErr w:type="spellStart"/>
            <w:r w:rsidRPr="001257A1">
              <w:rPr>
                <w:rFonts w:eastAsia="Tahoma"/>
              </w:rPr>
              <w:t>activities</w:t>
            </w:r>
            <w:proofErr w:type="spellEnd"/>
          </w:p>
          <w:tbl>
            <w:tblPr>
              <w:tblStyle w:val="StandardTabell"/>
              <w:tblW w:w="8449" w:type="dxa"/>
              <w:tblLayout w:type="fixed"/>
              <w:tblLook w:val="0000" w:firstRow="0" w:lastRow="0" w:firstColumn="0" w:lastColumn="0" w:noHBand="0" w:noVBand="0"/>
            </w:tblPr>
            <w:tblGrid>
              <w:gridCol w:w="4787"/>
              <w:gridCol w:w="964"/>
              <w:gridCol w:w="794"/>
              <w:gridCol w:w="1007"/>
              <w:gridCol w:w="897"/>
            </w:tblGrid>
            <w:tr w:rsidR="00890182" w:rsidRPr="001257A1" w14:paraId="01AC3768" w14:textId="77777777" w:rsidTr="00BD424A">
              <w:trPr>
                <w:trHeight w:hRule="exact" w:val="454"/>
              </w:trPr>
              <w:tc>
                <w:tcPr>
                  <w:tcW w:w="4787" w:type="dxa"/>
                </w:tcPr>
                <w:p w14:paraId="34C74851" w14:textId="77777777" w:rsidR="00890182" w:rsidRPr="00385D5F" w:rsidRDefault="00890182" w:rsidP="00BD424A">
                  <w:pPr>
                    <w:jc w:val="both"/>
                    <w:rPr>
                      <w:lang w:val="en-GB"/>
                    </w:rPr>
                  </w:pPr>
                </w:p>
              </w:tc>
              <w:tc>
                <w:tcPr>
                  <w:tcW w:w="964" w:type="dxa"/>
                </w:tcPr>
                <w:p w14:paraId="5C2E17ED" w14:textId="77777777" w:rsidR="00890182" w:rsidRPr="001257A1" w:rsidRDefault="00890182" w:rsidP="00BD424A">
                  <w:pPr>
                    <w:jc w:val="both"/>
                    <w:rPr>
                      <w:sz w:val="20"/>
                      <w:lang w:val="en-US"/>
                    </w:rPr>
                  </w:pPr>
                  <w:r w:rsidRPr="001257A1">
                    <w:rPr>
                      <w:sz w:val="20"/>
                    </w:rPr>
                    <w:t>2025</w:t>
                  </w:r>
                </w:p>
              </w:tc>
              <w:tc>
                <w:tcPr>
                  <w:tcW w:w="794" w:type="dxa"/>
                </w:tcPr>
                <w:p w14:paraId="6F58CA64" w14:textId="77777777" w:rsidR="00890182" w:rsidRPr="001257A1" w:rsidRDefault="00890182" w:rsidP="00BD424A">
                  <w:pPr>
                    <w:jc w:val="both"/>
                    <w:rPr>
                      <w:sz w:val="20"/>
                      <w:lang w:val="en-US"/>
                    </w:rPr>
                  </w:pPr>
                  <w:r w:rsidRPr="001257A1">
                    <w:rPr>
                      <w:sz w:val="20"/>
                    </w:rPr>
                    <w:t>2026</w:t>
                  </w:r>
                </w:p>
              </w:tc>
              <w:tc>
                <w:tcPr>
                  <w:tcW w:w="1007" w:type="dxa"/>
                </w:tcPr>
                <w:p w14:paraId="3C5962BA" w14:textId="77777777" w:rsidR="00890182" w:rsidRPr="001257A1" w:rsidRDefault="00890182" w:rsidP="00BD424A">
                  <w:pPr>
                    <w:jc w:val="both"/>
                    <w:rPr>
                      <w:sz w:val="20"/>
                      <w:lang w:val="en-US"/>
                    </w:rPr>
                  </w:pPr>
                  <w:r w:rsidRPr="001257A1">
                    <w:rPr>
                      <w:sz w:val="20"/>
                    </w:rPr>
                    <w:t>2027</w:t>
                  </w:r>
                </w:p>
              </w:tc>
              <w:tc>
                <w:tcPr>
                  <w:tcW w:w="897" w:type="dxa"/>
                </w:tcPr>
                <w:p w14:paraId="4C2D51E9" w14:textId="77777777" w:rsidR="00890182" w:rsidRPr="001257A1" w:rsidRDefault="00890182" w:rsidP="00BD424A">
                  <w:pPr>
                    <w:jc w:val="both"/>
                    <w:rPr>
                      <w:sz w:val="20"/>
                      <w:lang w:val="en-US"/>
                    </w:rPr>
                  </w:pPr>
                  <w:r w:rsidRPr="001257A1">
                    <w:rPr>
                      <w:sz w:val="20"/>
                    </w:rPr>
                    <w:t>2028</w:t>
                  </w:r>
                </w:p>
              </w:tc>
            </w:tr>
            <w:tr w:rsidR="00890182" w:rsidRPr="001257A1" w14:paraId="33302ECF" w14:textId="77777777" w:rsidTr="00BD424A">
              <w:trPr>
                <w:trHeight w:hRule="exact" w:val="480"/>
              </w:trPr>
              <w:tc>
                <w:tcPr>
                  <w:tcW w:w="4787" w:type="dxa"/>
                </w:tcPr>
                <w:p w14:paraId="46D64980" w14:textId="77777777" w:rsidR="00890182" w:rsidRPr="00BC269C" w:rsidRDefault="00890182" w:rsidP="00BD424A">
                  <w:pPr>
                    <w:jc w:val="both"/>
                    <w:rPr>
                      <w:rStyle w:val="kursiv"/>
                      <w:lang w:val="en-US"/>
                    </w:rPr>
                  </w:pPr>
                  <w:proofErr w:type="spellStart"/>
                  <w:r w:rsidRPr="00BC269C">
                    <w:rPr>
                      <w:rStyle w:val="kursiv"/>
                    </w:rPr>
                    <w:t>Prerequisites</w:t>
                  </w:r>
                  <w:proofErr w:type="spellEnd"/>
                  <w:r w:rsidRPr="00BC269C">
                    <w:rPr>
                      <w:rStyle w:val="kursiv"/>
                    </w:rPr>
                    <w:t>:</w:t>
                  </w:r>
                </w:p>
              </w:tc>
              <w:tc>
                <w:tcPr>
                  <w:tcW w:w="964" w:type="dxa"/>
                </w:tcPr>
                <w:p w14:paraId="25CEA09A" w14:textId="50C91481" w:rsidR="00890182" w:rsidRPr="001257A1" w:rsidRDefault="00890182" w:rsidP="00BD424A">
                  <w:pPr>
                    <w:jc w:val="both"/>
                    <w:rPr>
                      <w:lang w:val="en-US"/>
                    </w:rPr>
                  </w:pPr>
                </w:p>
              </w:tc>
              <w:tc>
                <w:tcPr>
                  <w:tcW w:w="794" w:type="dxa"/>
                </w:tcPr>
                <w:p w14:paraId="02F3EA0C" w14:textId="4D247254" w:rsidR="00890182" w:rsidRPr="001257A1" w:rsidRDefault="00890182" w:rsidP="00BD424A">
                  <w:pPr>
                    <w:jc w:val="both"/>
                    <w:rPr>
                      <w:lang w:val="en-US"/>
                    </w:rPr>
                  </w:pPr>
                </w:p>
              </w:tc>
              <w:tc>
                <w:tcPr>
                  <w:tcW w:w="1007" w:type="dxa"/>
                </w:tcPr>
                <w:p w14:paraId="62668761" w14:textId="0A42D5B6" w:rsidR="00890182" w:rsidRPr="001257A1" w:rsidRDefault="00890182" w:rsidP="00BD424A">
                  <w:pPr>
                    <w:jc w:val="both"/>
                    <w:rPr>
                      <w:lang w:val="en-US"/>
                    </w:rPr>
                  </w:pPr>
                </w:p>
              </w:tc>
              <w:tc>
                <w:tcPr>
                  <w:tcW w:w="897" w:type="dxa"/>
                </w:tcPr>
                <w:p w14:paraId="126476D9" w14:textId="410D6EC0" w:rsidR="00890182" w:rsidRPr="001257A1" w:rsidRDefault="00890182" w:rsidP="00BD424A">
                  <w:pPr>
                    <w:jc w:val="both"/>
                    <w:rPr>
                      <w:lang w:val="en-US"/>
                    </w:rPr>
                  </w:pPr>
                </w:p>
              </w:tc>
            </w:tr>
            <w:tr w:rsidR="00890182" w:rsidRPr="001257A1" w14:paraId="0031D879" w14:textId="77777777" w:rsidTr="00BD424A">
              <w:trPr>
                <w:trHeight w:hRule="exact" w:val="489"/>
              </w:trPr>
              <w:tc>
                <w:tcPr>
                  <w:tcW w:w="4787" w:type="dxa"/>
                </w:tcPr>
                <w:p w14:paraId="5A809C15" w14:textId="3B5E881A" w:rsidR="00890182" w:rsidRPr="001257A1" w:rsidRDefault="00890182" w:rsidP="00BD424A">
                  <w:pPr>
                    <w:jc w:val="both"/>
                    <w:rPr>
                      <w:rFonts w:ascii="Aptos" w:hAnsi="Aptos"/>
                      <w:sz w:val="23"/>
                      <w:lang w:val="en-US"/>
                    </w:rPr>
                  </w:pPr>
                  <w:r w:rsidRPr="00385D5F">
                    <w:rPr>
                      <w:rFonts w:ascii="Aptos" w:hAnsi="Aptos"/>
                      <w:sz w:val="23"/>
                      <w:lang w:val="en-GB"/>
                    </w:rPr>
                    <w:t>Crude oil price, NOK per barrel</w:t>
                  </w:r>
                </w:p>
              </w:tc>
              <w:tc>
                <w:tcPr>
                  <w:tcW w:w="964" w:type="dxa"/>
                </w:tcPr>
                <w:p w14:paraId="12F0A627" w14:textId="77777777" w:rsidR="00890182" w:rsidRPr="001257A1" w:rsidRDefault="00890182" w:rsidP="00BD424A">
                  <w:pPr>
                    <w:jc w:val="both"/>
                    <w:rPr>
                      <w:rFonts w:ascii="Aptos" w:hAnsi="Aptos"/>
                      <w:sz w:val="23"/>
                      <w:lang w:val="en-US"/>
                    </w:rPr>
                  </w:pPr>
                  <w:r w:rsidRPr="001257A1">
                    <w:rPr>
                      <w:rFonts w:ascii="Aptos" w:hAnsi="Aptos"/>
                      <w:sz w:val="23"/>
                    </w:rPr>
                    <w:t>707</w:t>
                  </w:r>
                </w:p>
              </w:tc>
              <w:tc>
                <w:tcPr>
                  <w:tcW w:w="794" w:type="dxa"/>
                </w:tcPr>
                <w:p w14:paraId="3522D573" w14:textId="77777777" w:rsidR="00890182" w:rsidRPr="001257A1" w:rsidRDefault="00890182" w:rsidP="00BD424A">
                  <w:pPr>
                    <w:jc w:val="both"/>
                    <w:rPr>
                      <w:rFonts w:ascii="Aptos" w:hAnsi="Aptos"/>
                      <w:sz w:val="23"/>
                      <w:lang w:val="en-US"/>
                    </w:rPr>
                  </w:pPr>
                  <w:r w:rsidRPr="001257A1">
                    <w:rPr>
                      <w:rFonts w:ascii="Aptos" w:hAnsi="Aptos"/>
                      <w:sz w:val="23"/>
                    </w:rPr>
                    <w:t>785</w:t>
                  </w:r>
                </w:p>
              </w:tc>
              <w:tc>
                <w:tcPr>
                  <w:tcW w:w="1007" w:type="dxa"/>
                </w:tcPr>
                <w:p w14:paraId="146367DC" w14:textId="77777777" w:rsidR="00890182" w:rsidRPr="001257A1" w:rsidRDefault="00890182" w:rsidP="00BD424A">
                  <w:pPr>
                    <w:jc w:val="both"/>
                    <w:rPr>
                      <w:rFonts w:ascii="Aptos" w:hAnsi="Aptos"/>
                      <w:sz w:val="23"/>
                      <w:lang w:val="en-US"/>
                    </w:rPr>
                  </w:pPr>
                  <w:r w:rsidRPr="001257A1">
                    <w:rPr>
                      <w:rFonts w:ascii="Aptos" w:hAnsi="Aptos"/>
                      <w:sz w:val="23"/>
                    </w:rPr>
                    <w:t>703</w:t>
                  </w:r>
                </w:p>
              </w:tc>
              <w:tc>
                <w:tcPr>
                  <w:tcW w:w="897" w:type="dxa"/>
                </w:tcPr>
                <w:p w14:paraId="4494168C" w14:textId="77777777" w:rsidR="00890182" w:rsidRPr="001257A1" w:rsidRDefault="00890182" w:rsidP="00BD424A">
                  <w:pPr>
                    <w:jc w:val="both"/>
                    <w:rPr>
                      <w:rFonts w:ascii="Aptos" w:hAnsi="Aptos"/>
                      <w:sz w:val="23"/>
                      <w:lang w:val="en-US"/>
                    </w:rPr>
                  </w:pPr>
                  <w:r w:rsidRPr="001257A1">
                    <w:rPr>
                      <w:rFonts w:ascii="Aptos" w:hAnsi="Aptos"/>
                      <w:sz w:val="23"/>
                    </w:rPr>
                    <w:t>681</w:t>
                  </w:r>
                </w:p>
              </w:tc>
            </w:tr>
            <w:tr w:rsidR="00890182" w:rsidRPr="001257A1" w14:paraId="401984F9" w14:textId="77777777" w:rsidTr="00BD424A">
              <w:trPr>
                <w:trHeight w:hRule="exact" w:val="485"/>
              </w:trPr>
              <w:tc>
                <w:tcPr>
                  <w:tcW w:w="4787" w:type="dxa"/>
                </w:tcPr>
                <w:p w14:paraId="134A44BF" w14:textId="34982ACF" w:rsidR="00890182" w:rsidRPr="001257A1" w:rsidRDefault="00890182" w:rsidP="00BD424A">
                  <w:pPr>
                    <w:jc w:val="both"/>
                    <w:rPr>
                      <w:rFonts w:ascii="Aptos" w:hAnsi="Aptos"/>
                      <w:sz w:val="23"/>
                      <w:lang w:val="en-US"/>
                    </w:rPr>
                  </w:pPr>
                  <w:r w:rsidRPr="00385D5F">
                    <w:rPr>
                      <w:rFonts w:ascii="Aptos" w:hAnsi="Aptos"/>
                      <w:sz w:val="23"/>
                      <w:lang w:val="en-GB"/>
                    </w:rPr>
                    <w:t>Crude oil price, 2027-NOK per barrel</w:t>
                  </w:r>
                </w:p>
              </w:tc>
              <w:tc>
                <w:tcPr>
                  <w:tcW w:w="964" w:type="dxa"/>
                </w:tcPr>
                <w:p w14:paraId="233BFC00" w14:textId="77777777" w:rsidR="00890182" w:rsidRPr="001257A1" w:rsidRDefault="00890182" w:rsidP="00BD424A">
                  <w:pPr>
                    <w:jc w:val="both"/>
                    <w:rPr>
                      <w:rFonts w:ascii="Aptos" w:hAnsi="Aptos"/>
                      <w:sz w:val="23"/>
                      <w:lang w:val="en-US"/>
                    </w:rPr>
                  </w:pPr>
                  <w:r w:rsidRPr="001257A1">
                    <w:rPr>
                      <w:rFonts w:ascii="Aptos" w:hAnsi="Aptos"/>
                      <w:sz w:val="23"/>
                    </w:rPr>
                    <w:t>749</w:t>
                  </w:r>
                </w:p>
              </w:tc>
              <w:tc>
                <w:tcPr>
                  <w:tcW w:w="794" w:type="dxa"/>
                </w:tcPr>
                <w:p w14:paraId="4F3F5F13" w14:textId="77777777" w:rsidR="00890182" w:rsidRPr="001257A1" w:rsidRDefault="00890182" w:rsidP="00BD424A">
                  <w:pPr>
                    <w:jc w:val="both"/>
                    <w:rPr>
                      <w:rFonts w:ascii="Aptos" w:hAnsi="Aptos"/>
                      <w:sz w:val="23"/>
                      <w:lang w:val="en-US"/>
                    </w:rPr>
                  </w:pPr>
                  <w:r w:rsidRPr="001257A1">
                    <w:rPr>
                      <w:rFonts w:ascii="Aptos" w:hAnsi="Aptos"/>
                      <w:sz w:val="23"/>
                    </w:rPr>
                    <w:t>803</w:t>
                  </w:r>
                </w:p>
              </w:tc>
              <w:tc>
                <w:tcPr>
                  <w:tcW w:w="1007" w:type="dxa"/>
                </w:tcPr>
                <w:p w14:paraId="4D2F4E78" w14:textId="77777777" w:rsidR="00890182" w:rsidRPr="001257A1" w:rsidRDefault="00890182" w:rsidP="00BD424A">
                  <w:pPr>
                    <w:jc w:val="both"/>
                    <w:rPr>
                      <w:rFonts w:ascii="Aptos" w:hAnsi="Aptos"/>
                      <w:sz w:val="23"/>
                      <w:lang w:val="en-US"/>
                    </w:rPr>
                  </w:pPr>
                  <w:r w:rsidRPr="001257A1">
                    <w:rPr>
                      <w:rFonts w:ascii="Aptos" w:hAnsi="Aptos"/>
                      <w:sz w:val="23"/>
                    </w:rPr>
                    <w:t>703</w:t>
                  </w:r>
                </w:p>
              </w:tc>
              <w:tc>
                <w:tcPr>
                  <w:tcW w:w="897" w:type="dxa"/>
                </w:tcPr>
                <w:p w14:paraId="2AE22105" w14:textId="77777777" w:rsidR="00890182" w:rsidRPr="001257A1" w:rsidRDefault="00890182" w:rsidP="00BD424A">
                  <w:pPr>
                    <w:jc w:val="both"/>
                    <w:rPr>
                      <w:rFonts w:ascii="Aptos" w:hAnsi="Aptos"/>
                      <w:sz w:val="23"/>
                      <w:lang w:val="en-US"/>
                    </w:rPr>
                  </w:pPr>
                  <w:r w:rsidRPr="001257A1">
                    <w:rPr>
                      <w:rFonts w:ascii="Aptos" w:hAnsi="Aptos"/>
                      <w:sz w:val="23"/>
                    </w:rPr>
                    <w:t>666</w:t>
                  </w:r>
                </w:p>
              </w:tc>
            </w:tr>
            <w:tr w:rsidR="00890182" w:rsidRPr="001257A1" w14:paraId="66E21A33" w14:textId="77777777" w:rsidTr="00BD424A">
              <w:trPr>
                <w:trHeight w:hRule="exact" w:val="454"/>
              </w:trPr>
              <w:tc>
                <w:tcPr>
                  <w:tcW w:w="4787" w:type="dxa"/>
                </w:tcPr>
                <w:p w14:paraId="2E0F1B3A" w14:textId="4CAF071D" w:rsidR="00890182" w:rsidRPr="001257A1" w:rsidRDefault="00890182" w:rsidP="00BD424A">
                  <w:pPr>
                    <w:jc w:val="both"/>
                    <w:rPr>
                      <w:rFonts w:ascii="Aptos" w:hAnsi="Aptos"/>
                      <w:sz w:val="23"/>
                      <w:lang w:val="en-US"/>
                    </w:rPr>
                  </w:pPr>
                  <w:r w:rsidRPr="00385D5F">
                    <w:rPr>
                      <w:rFonts w:ascii="Aptos" w:hAnsi="Aptos"/>
                      <w:sz w:val="23"/>
                      <w:lang w:val="en-GB"/>
                    </w:rPr>
                    <w:t>Crude oil price, 2027-USD per barrel</w:t>
                  </w:r>
                </w:p>
              </w:tc>
              <w:tc>
                <w:tcPr>
                  <w:tcW w:w="964" w:type="dxa"/>
                </w:tcPr>
                <w:p w14:paraId="14944096" w14:textId="77777777" w:rsidR="00890182" w:rsidRPr="001257A1" w:rsidRDefault="00890182" w:rsidP="00BD424A">
                  <w:pPr>
                    <w:jc w:val="both"/>
                    <w:rPr>
                      <w:rFonts w:ascii="Aptos" w:hAnsi="Aptos"/>
                      <w:sz w:val="23"/>
                      <w:lang w:val="en-US"/>
                    </w:rPr>
                  </w:pPr>
                  <w:r w:rsidRPr="001257A1">
                    <w:rPr>
                      <w:rFonts w:ascii="Aptos" w:hAnsi="Aptos"/>
                      <w:sz w:val="23"/>
                    </w:rPr>
                    <w:t>72</w:t>
                  </w:r>
                </w:p>
              </w:tc>
              <w:tc>
                <w:tcPr>
                  <w:tcW w:w="794" w:type="dxa"/>
                </w:tcPr>
                <w:p w14:paraId="167E7D08" w14:textId="77777777" w:rsidR="00890182" w:rsidRPr="001257A1" w:rsidRDefault="00890182" w:rsidP="00BD424A">
                  <w:pPr>
                    <w:jc w:val="both"/>
                    <w:rPr>
                      <w:rFonts w:ascii="Aptos" w:hAnsi="Aptos"/>
                      <w:sz w:val="23"/>
                      <w:lang w:val="en-US"/>
                    </w:rPr>
                  </w:pPr>
                  <w:r w:rsidRPr="001257A1">
                    <w:rPr>
                      <w:rFonts w:ascii="Aptos" w:hAnsi="Aptos"/>
                      <w:sz w:val="23"/>
                    </w:rPr>
                    <w:t>85</w:t>
                  </w:r>
                </w:p>
              </w:tc>
              <w:tc>
                <w:tcPr>
                  <w:tcW w:w="1007" w:type="dxa"/>
                </w:tcPr>
                <w:p w14:paraId="0D8F5AC6" w14:textId="77777777" w:rsidR="00890182" w:rsidRPr="001257A1" w:rsidRDefault="00890182" w:rsidP="00BD424A">
                  <w:pPr>
                    <w:jc w:val="both"/>
                    <w:rPr>
                      <w:rFonts w:ascii="Aptos" w:hAnsi="Aptos"/>
                      <w:sz w:val="23"/>
                      <w:lang w:val="en-US"/>
                    </w:rPr>
                  </w:pPr>
                  <w:r w:rsidRPr="001257A1">
                    <w:rPr>
                      <w:rFonts w:ascii="Aptos" w:hAnsi="Aptos"/>
                      <w:sz w:val="23"/>
                    </w:rPr>
                    <w:t>75</w:t>
                  </w:r>
                </w:p>
              </w:tc>
              <w:tc>
                <w:tcPr>
                  <w:tcW w:w="897" w:type="dxa"/>
                </w:tcPr>
                <w:p w14:paraId="4F9A209E" w14:textId="77777777" w:rsidR="00890182" w:rsidRPr="001257A1" w:rsidRDefault="00890182" w:rsidP="00BD424A">
                  <w:pPr>
                    <w:jc w:val="both"/>
                    <w:rPr>
                      <w:rFonts w:ascii="Aptos" w:hAnsi="Aptos"/>
                      <w:sz w:val="23"/>
                      <w:lang w:val="en-US"/>
                    </w:rPr>
                  </w:pPr>
                  <w:r w:rsidRPr="001257A1">
                    <w:rPr>
                      <w:rFonts w:ascii="Aptos" w:hAnsi="Aptos"/>
                      <w:sz w:val="23"/>
                    </w:rPr>
                    <w:t>71</w:t>
                  </w:r>
                </w:p>
              </w:tc>
            </w:tr>
            <w:tr w:rsidR="00890182" w:rsidRPr="001257A1" w14:paraId="4E63B232" w14:textId="77777777" w:rsidTr="00BD424A">
              <w:trPr>
                <w:trHeight w:hRule="exact" w:val="516"/>
              </w:trPr>
              <w:tc>
                <w:tcPr>
                  <w:tcW w:w="4787" w:type="dxa"/>
                </w:tcPr>
                <w:p w14:paraId="0B13F757" w14:textId="71B0BB0C" w:rsidR="00890182" w:rsidRPr="001257A1" w:rsidRDefault="00890182" w:rsidP="00BD424A">
                  <w:pPr>
                    <w:jc w:val="both"/>
                    <w:rPr>
                      <w:rFonts w:ascii="Aptos" w:hAnsi="Aptos"/>
                      <w:sz w:val="23"/>
                      <w:lang w:val="en-US"/>
                    </w:rPr>
                  </w:pPr>
                  <w:r w:rsidRPr="00385D5F">
                    <w:rPr>
                      <w:rFonts w:ascii="Aptos" w:hAnsi="Aptos"/>
                      <w:sz w:val="23"/>
                      <w:lang w:val="en-GB"/>
                    </w:rPr>
                    <w:t>Gas price, 2027-NOK per Sm3</w:t>
                  </w:r>
                </w:p>
              </w:tc>
              <w:tc>
                <w:tcPr>
                  <w:tcW w:w="964" w:type="dxa"/>
                </w:tcPr>
                <w:p w14:paraId="18046BCC" w14:textId="77777777" w:rsidR="00890182" w:rsidRPr="001257A1" w:rsidRDefault="00890182" w:rsidP="00BD424A">
                  <w:pPr>
                    <w:jc w:val="both"/>
                    <w:rPr>
                      <w:rFonts w:ascii="Aptos" w:hAnsi="Aptos"/>
                      <w:sz w:val="23"/>
                      <w:lang w:val="en-US"/>
                    </w:rPr>
                  </w:pPr>
                  <w:r w:rsidRPr="001257A1">
                    <w:rPr>
                      <w:rFonts w:ascii="Aptos" w:hAnsi="Aptos"/>
                      <w:sz w:val="23"/>
                    </w:rPr>
                    <w:t>4,7</w:t>
                  </w:r>
                </w:p>
              </w:tc>
              <w:tc>
                <w:tcPr>
                  <w:tcW w:w="794" w:type="dxa"/>
                </w:tcPr>
                <w:p w14:paraId="7CA82482" w14:textId="77777777" w:rsidR="00890182" w:rsidRPr="001257A1" w:rsidRDefault="00890182" w:rsidP="00BD424A">
                  <w:pPr>
                    <w:jc w:val="both"/>
                    <w:rPr>
                      <w:rFonts w:ascii="Aptos" w:hAnsi="Aptos"/>
                      <w:sz w:val="23"/>
                      <w:lang w:val="en-US"/>
                    </w:rPr>
                  </w:pPr>
                  <w:r w:rsidRPr="001257A1">
                    <w:rPr>
                      <w:rFonts w:ascii="Aptos" w:hAnsi="Aptos"/>
                      <w:sz w:val="23"/>
                    </w:rPr>
                    <w:t>5,4</w:t>
                  </w:r>
                </w:p>
              </w:tc>
              <w:tc>
                <w:tcPr>
                  <w:tcW w:w="1007" w:type="dxa"/>
                </w:tcPr>
                <w:p w14:paraId="598D804B" w14:textId="77777777" w:rsidR="00890182" w:rsidRPr="001257A1" w:rsidRDefault="00890182" w:rsidP="00BD424A">
                  <w:pPr>
                    <w:jc w:val="both"/>
                    <w:rPr>
                      <w:rFonts w:ascii="Aptos" w:hAnsi="Aptos"/>
                      <w:sz w:val="23"/>
                      <w:lang w:val="en-US"/>
                    </w:rPr>
                  </w:pPr>
                  <w:r w:rsidRPr="001257A1">
                    <w:rPr>
                      <w:rFonts w:ascii="Aptos" w:hAnsi="Aptos"/>
                      <w:sz w:val="23"/>
                    </w:rPr>
                    <w:t>4,1</w:t>
                  </w:r>
                </w:p>
              </w:tc>
              <w:tc>
                <w:tcPr>
                  <w:tcW w:w="897" w:type="dxa"/>
                </w:tcPr>
                <w:p w14:paraId="247F9AD5" w14:textId="77777777" w:rsidR="00890182" w:rsidRPr="001257A1" w:rsidRDefault="00890182" w:rsidP="00BD424A">
                  <w:pPr>
                    <w:jc w:val="both"/>
                    <w:rPr>
                      <w:rFonts w:ascii="Aptos" w:hAnsi="Aptos"/>
                      <w:sz w:val="23"/>
                      <w:lang w:val="en-US"/>
                    </w:rPr>
                  </w:pPr>
                  <w:r w:rsidRPr="001257A1">
                    <w:rPr>
                      <w:rFonts w:ascii="Aptos" w:hAnsi="Aptos"/>
                      <w:sz w:val="23"/>
                    </w:rPr>
                    <w:t>3,3</w:t>
                  </w:r>
                </w:p>
              </w:tc>
            </w:tr>
            <w:tr w:rsidR="00890182" w:rsidRPr="00B21C46" w14:paraId="605D8C41" w14:textId="77777777" w:rsidTr="00BD424A">
              <w:trPr>
                <w:trHeight w:hRule="exact" w:val="492"/>
              </w:trPr>
              <w:tc>
                <w:tcPr>
                  <w:tcW w:w="4787" w:type="dxa"/>
                </w:tcPr>
                <w:p w14:paraId="61B819AE" w14:textId="2404C18F" w:rsidR="00890182" w:rsidRPr="001257A1" w:rsidRDefault="00890182" w:rsidP="00BD424A">
                  <w:pPr>
                    <w:jc w:val="both"/>
                    <w:rPr>
                      <w:rFonts w:ascii="Aptos" w:hAnsi="Aptos"/>
                      <w:sz w:val="23"/>
                      <w:lang w:val="en-US"/>
                    </w:rPr>
                  </w:pPr>
                  <w:r w:rsidRPr="00385D5F">
                    <w:rPr>
                      <w:rFonts w:ascii="Aptos" w:hAnsi="Aptos"/>
                      <w:sz w:val="23"/>
                      <w:lang w:val="en-GB"/>
                    </w:rPr>
                    <w:t>Gas price, 2027-USD per MMBtu</w:t>
                  </w:r>
                </w:p>
              </w:tc>
              <w:tc>
                <w:tcPr>
                  <w:tcW w:w="964" w:type="dxa"/>
                </w:tcPr>
                <w:p w14:paraId="6EBE092A" w14:textId="77777777" w:rsidR="00890182" w:rsidRPr="001257A1" w:rsidRDefault="00890182" w:rsidP="00BD424A">
                  <w:pPr>
                    <w:jc w:val="both"/>
                    <w:rPr>
                      <w:rFonts w:ascii="Aptos" w:hAnsi="Aptos"/>
                      <w:sz w:val="23"/>
                      <w:lang w:val="en-US"/>
                    </w:rPr>
                  </w:pPr>
                  <w:r w:rsidRPr="00890182">
                    <w:rPr>
                      <w:rFonts w:ascii="Aptos" w:hAnsi="Aptos"/>
                      <w:sz w:val="23"/>
                      <w:lang w:val="en-US"/>
                    </w:rPr>
                    <w:t>12,0</w:t>
                  </w:r>
                </w:p>
              </w:tc>
              <w:tc>
                <w:tcPr>
                  <w:tcW w:w="794" w:type="dxa"/>
                </w:tcPr>
                <w:p w14:paraId="0B72921D" w14:textId="77777777" w:rsidR="00890182" w:rsidRPr="001257A1" w:rsidRDefault="00890182" w:rsidP="00BD424A">
                  <w:pPr>
                    <w:jc w:val="both"/>
                    <w:rPr>
                      <w:rFonts w:ascii="Aptos" w:hAnsi="Aptos"/>
                      <w:sz w:val="23"/>
                      <w:lang w:val="en-US"/>
                    </w:rPr>
                  </w:pPr>
                  <w:r w:rsidRPr="00890182">
                    <w:rPr>
                      <w:rFonts w:ascii="Aptos" w:hAnsi="Aptos"/>
                      <w:sz w:val="23"/>
                      <w:lang w:val="en-US"/>
                    </w:rPr>
                    <w:t>15,0</w:t>
                  </w:r>
                </w:p>
              </w:tc>
              <w:tc>
                <w:tcPr>
                  <w:tcW w:w="1007" w:type="dxa"/>
                </w:tcPr>
                <w:p w14:paraId="455C0DC5" w14:textId="77777777" w:rsidR="00890182" w:rsidRPr="001257A1" w:rsidRDefault="00890182" w:rsidP="00BD424A">
                  <w:pPr>
                    <w:jc w:val="both"/>
                    <w:rPr>
                      <w:rFonts w:ascii="Aptos" w:hAnsi="Aptos"/>
                      <w:sz w:val="23"/>
                      <w:lang w:val="en-US"/>
                    </w:rPr>
                  </w:pPr>
                  <w:r w:rsidRPr="00890182">
                    <w:rPr>
                      <w:rFonts w:ascii="Aptos" w:hAnsi="Aptos"/>
                      <w:sz w:val="23"/>
                      <w:lang w:val="en-US"/>
                    </w:rPr>
                    <w:t>11,5</w:t>
                  </w:r>
                </w:p>
              </w:tc>
              <w:tc>
                <w:tcPr>
                  <w:tcW w:w="897" w:type="dxa"/>
                </w:tcPr>
                <w:p w14:paraId="778910FC" w14:textId="77777777" w:rsidR="00890182" w:rsidRPr="001257A1" w:rsidRDefault="00890182" w:rsidP="00BD424A">
                  <w:pPr>
                    <w:jc w:val="both"/>
                    <w:rPr>
                      <w:rFonts w:ascii="Aptos" w:hAnsi="Aptos"/>
                      <w:sz w:val="23"/>
                      <w:lang w:val="en-US"/>
                    </w:rPr>
                  </w:pPr>
                  <w:r w:rsidRPr="00890182">
                    <w:rPr>
                      <w:rFonts w:ascii="Aptos" w:hAnsi="Aptos"/>
                      <w:sz w:val="23"/>
                      <w:lang w:val="en-US"/>
                    </w:rPr>
                    <w:t>9,2</w:t>
                  </w:r>
                </w:p>
              </w:tc>
            </w:tr>
          </w:tbl>
          <w:p w14:paraId="1AFB1945" w14:textId="69E2253E" w:rsidR="00890182" w:rsidRPr="00890182" w:rsidRDefault="00890182" w:rsidP="00BD424A">
            <w:pPr>
              <w:pStyle w:val="Kilde"/>
              <w:jc w:val="both"/>
              <w:rPr>
                <w:lang w:val="en-GB"/>
              </w:rPr>
            </w:pPr>
            <w:r w:rsidRPr="00385D5F">
              <w:rPr>
                <w:lang w:val="en-GB"/>
              </w:rPr>
              <w:t xml:space="preserve">Sources: Statistics Norway, </w:t>
            </w:r>
            <w:proofErr w:type="spellStart"/>
            <w:r w:rsidRPr="00385D5F">
              <w:rPr>
                <w:lang w:val="en-GB"/>
              </w:rPr>
              <w:t>Macrobond</w:t>
            </w:r>
            <w:proofErr w:type="spellEnd"/>
            <w:r w:rsidRPr="00385D5F">
              <w:rPr>
                <w:lang w:val="en-GB"/>
              </w:rPr>
              <w:t>, Ministry of Energy and Ministry of Finance.</w:t>
            </w:r>
          </w:p>
        </w:tc>
      </w:tr>
    </w:tbl>
    <w:p w14:paraId="7827A875" w14:textId="77777777" w:rsidR="001257A1" w:rsidRPr="00385D5F" w:rsidRDefault="001257A1" w:rsidP="00890182">
      <w:pPr>
        <w:pStyle w:val="avsnitt-undertittel"/>
        <w:rPr>
          <w:lang w:val="en-GB"/>
        </w:rPr>
      </w:pPr>
      <w:r w:rsidRPr="00385D5F">
        <w:rPr>
          <w:lang w:val="en-GB"/>
        </w:rPr>
        <w:t>Capacity utilisation is close to normal</w:t>
      </w:r>
    </w:p>
    <w:p w14:paraId="24769AF9" w14:textId="77777777" w:rsidR="001257A1" w:rsidRPr="00385D5F" w:rsidRDefault="001257A1" w:rsidP="001257A1">
      <w:pPr>
        <w:jc w:val="both"/>
        <w:textAlignment w:val="baseline"/>
        <w:rPr>
          <w:rFonts w:cs="Times New Roman"/>
          <w:color w:val="000000"/>
          <w:lang w:val="en-GB"/>
        </w:rPr>
      </w:pPr>
      <w:r w:rsidRPr="00385D5F">
        <w:rPr>
          <w:rFonts w:cs="Times New Roman"/>
          <w:color w:val="000000"/>
          <w:lang w:val="en-GB"/>
        </w:rPr>
        <w:t xml:space="preserve">Capacity utilisation can be assessed </w:t>
      </w:r>
      <w:proofErr w:type="gramStart"/>
      <w:r w:rsidRPr="00385D5F">
        <w:rPr>
          <w:rFonts w:cs="Times New Roman"/>
          <w:color w:val="000000"/>
          <w:lang w:val="en-GB"/>
        </w:rPr>
        <w:t>on the basis of</w:t>
      </w:r>
      <w:proofErr w:type="gramEnd"/>
      <w:r w:rsidRPr="00385D5F">
        <w:rPr>
          <w:rFonts w:cs="Times New Roman"/>
          <w:color w:val="000000"/>
          <w:lang w:val="en-GB"/>
        </w:rPr>
        <w:t xml:space="preserve"> various economic indicators, including labour market indicators, GDP growth and inflation, as shown in Chart 2.6. The chart illustrates that the nominal side and the real economic side of the economy are now sending slightly different signals. Some of the indicators are close to or below their historical averages, while both wage and price inflation are still higher.</w:t>
      </w:r>
    </w:p>
    <w:p w14:paraId="04E0F561" w14:textId="6F1CB3A2" w:rsidR="00BC269C" w:rsidRDefault="001257A1" w:rsidP="001257A1">
      <w:pPr>
        <w:jc w:val="both"/>
        <w:textAlignment w:val="baseline"/>
        <w:rPr>
          <w:rFonts w:cs="Times New Roman"/>
          <w:color w:val="000000"/>
          <w:spacing w:val="-2"/>
          <w:lang w:val="en-GB"/>
        </w:rPr>
      </w:pPr>
      <w:r w:rsidRPr="00385D5F">
        <w:rPr>
          <w:rFonts w:cs="Times New Roman"/>
          <w:color w:val="000000"/>
          <w:spacing w:val="-2"/>
          <w:lang w:val="en-GB"/>
        </w:rPr>
        <w:t xml:space="preserve">The share of enterprises in </w:t>
      </w:r>
      <w:proofErr w:type="spellStart"/>
      <w:r w:rsidRPr="00385D5F">
        <w:rPr>
          <w:rFonts w:cs="Times New Roman"/>
          <w:color w:val="000000"/>
          <w:spacing w:val="-2"/>
          <w:lang w:val="en-GB"/>
        </w:rPr>
        <w:t>Norges</w:t>
      </w:r>
      <w:proofErr w:type="spellEnd"/>
      <w:r w:rsidRPr="00385D5F">
        <w:rPr>
          <w:rFonts w:cs="Times New Roman"/>
          <w:color w:val="000000"/>
          <w:spacing w:val="-2"/>
          <w:lang w:val="en-GB"/>
        </w:rPr>
        <w:t xml:space="preserve"> Bank</w:t>
      </w:r>
      <w:r w:rsidR="00BC269C">
        <w:rPr>
          <w:rFonts w:cs="Times New Roman"/>
          <w:color w:val="000000"/>
          <w:spacing w:val="-2"/>
          <w:lang w:val="en-GB"/>
        </w:rPr>
        <w:t>’</w:t>
      </w:r>
      <w:r w:rsidRPr="00385D5F">
        <w:rPr>
          <w:rFonts w:cs="Times New Roman"/>
          <w:color w:val="000000"/>
          <w:spacing w:val="-2"/>
          <w:lang w:val="en-GB"/>
        </w:rPr>
        <w:t xml:space="preserve">s regional network reporting capacity problems has gradually declined over the past year. It is now at its lowest level since the beginning of 2020. </w:t>
      </w:r>
      <w:proofErr w:type="gramStart"/>
      <w:r w:rsidRPr="00385D5F">
        <w:rPr>
          <w:rFonts w:cs="Times New Roman"/>
          <w:color w:val="000000"/>
          <w:spacing w:val="-2"/>
          <w:lang w:val="en-GB"/>
        </w:rPr>
        <w:t>A number of</w:t>
      </w:r>
      <w:proofErr w:type="gramEnd"/>
      <w:r w:rsidRPr="00385D5F">
        <w:rPr>
          <w:rFonts w:cs="Times New Roman"/>
          <w:color w:val="000000"/>
          <w:spacing w:val="-2"/>
          <w:lang w:val="en-GB"/>
        </w:rPr>
        <w:t xml:space="preserve"> contacts also report that it has become somewhat easier to recruit labour, and the share of companies reporting that labour shortages are curtailing output is somewhat lower than the historical average. The decline in the number of job vacancies over the past year also indicates that labour shortages have eased. Despite the decline, the number of vacancies remains high historically. Registered unemployment is still low and well below the average for the past 20 years. Unemployment measured by the Labour Force Survey (LFS) has risen in recent years. A large part of this increase can be attributed to people seeking work alongside school or studies, and this year LFS unemployment has fallen slightly. Overall, the indicators in Chart 2.6 show that capacity utilisation is close to a normal level.</w:t>
      </w:r>
    </w:p>
    <w:p w14:paraId="0E9246C4" w14:textId="27F53437" w:rsidR="001257A1" w:rsidRPr="001257A1" w:rsidRDefault="001257A1" w:rsidP="000F1979">
      <w:pPr>
        <w:ind w:firstLine="360"/>
        <w:jc w:val="both"/>
        <w:textAlignment w:val="baseline"/>
        <w:rPr>
          <w:rFonts w:ascii="Aptos" w:hAnsi="Aptos" w:cs="Times New Roman"/>
          <w:color w:val="000000"/>
          <w:spacing w:val="-2"/>
        </w:rPr>
      </w:pPr>
      <w:r w:rsidRPr="001257A1">
        <w:rPr>
          <w:rFonts w:ascii="Times New Roman" w:eastAsia="PMingLiU" w:hAnsi="Times New Roman" w:cs="Times New Roman"/>
          <w:noProof/>
        </w:rPr>
        <w:drawing>
          <wp:inline distT="0" distB="0" distL="0" distR="0" wp14:anchorId="3183853D" wp14:editId="2AFBFA9F">
            <wp:extent cx="5589356" cy="2348865"/>
            <wp:effectExtent l="0" t="0" r="0" b="0"/>
            <wp:docPr id="2028460532" name="Bilde 1" descr="Chart 2.6 Selected indicators of capacity utilisation in the Norwegian economy. 1st quarter 2005–2nd quarter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460532" name="Bilde 1" descr="Chart 2.6 Selected indicators of capacity utilisation in the Norwegian economy. 1st quarter 2005–2nd quarter 2026"/>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589356" cy="2348865"/>
                    </a:xfrm>
                    <a:prstGeom prst="rect">
                      <a:avLst/>
                    </a:prstGeom>
                  </pic:spPr>
                </pic:pic>
              </a:graphicData>
            </a:graphic>
          </wp:inline>
        </w:drawing>
      </w:r>
    </w:p>
    <w:p w14:paraId="5FB6AF7C" w14:textId="1E5C1365" w:rsidR="001257A1" w:rsidRPr="00385D5F" w:rsidRDefault="001257A1" w:rsidP="00890182">
      <w:pPr>
        <w:pStyle w:val="avsnitt-tittel"/>
        <w:rPr>
          <w:rFonts w:eastAsia="Tahoma"/>
          <w:lang w:val="en-GB"/>
        </w:rPr>
      </w:pPr>
      <w:r w:rsidRPr="006717D5">
        <w:rPr>
          <w:rFonts w:eastAsia="Tahoma"/>
          <w:lang w:val="en-US"/>
        </w:rPr>
        <w:t xml:space="preserve">Chart 2.6 Selected indicators of capacity </w:t>
      </w:r>
      <w:proofErr w:type="spellStart"/>
      <w:r w:rsidRPr="006717D5">
        <w:rPr>
          <w:rFonts w:eastAsia="Tahoma"/>
          <w:lang w:val="en-US"/>
        </w:rPr>
        <w:t>utilisation</w:t>
      </w:r>
      <w:proofErr w:type="spellEnd"/>
      <w:r w:rsidRPr="006717D5">
        <w:rPr>
          <w:rFonts w:eastAsia="Tahoma"/>
          <w:lang w:val="en-US"/>
        </w:rPr>
        <w:t xml:space="preserve"> in the Norwegian economy.</w:t>
      </w:r>
      <w:r w:rsidR="00BC269C" w:rsidRPr="00BC269C">
        <w:rPr>
          <w:rStyle w:val="skrift-hevet"/>
          <w:lang w:val="en-GB"/>
        </w:rPr>
        <w:t>1</w:t>
      </w:r>
      <w:r w:rsidRPr="00385D5F">
        <w:rPr>
          <w:rFonts w:eastAsia="Tahoma"/>
          <w:lang w:val="en-GB"/>
        </w:rPr>
        <w:t xml:space="preserve"> 1st quarter 2005–2nd quarter 2026</w:t>
      </w:r>
    </w:p>
    <w:p w14:paraId="7E772074" w14:textId="2D68E92F" w:rsidR="001257A1" w:rsidRPr="00385D5F" w:rsidRDefault="00BC269C" w:rsidP="006717D5">
      <w:pPr>
        <w:pStyle w:val="Note"/>
        <w:rPr>
          <w:rFonts w:eastAsia="Garamond"/>
          <w:lang w:val="en-GB"/>
        </w:rPr>
      </w:pPr>
      <w:r w:rsidRPr="00BC269C">
        <w:rPr>
          <w:rStyle w:val="skrift-hevet"/>
          <w:lang w:val="en-GB"/>
        </w:rPr>
        <w:t>1</w:t>
      </w:r>
      <w:r w:rsidR="006717D5">
        <w:rPr>
          <w:rFonts w:eastAsia="Garamond"/>
          <w:lang w:val="en-GB"/>
        </w:rPr>
        <w:t xml:space="preserve"> </w:t>
      </w:r>
      <w:r w:rsidR="001257A1" w:rsidRPr="00385D5F">
        <w:rPr>
          <w:lang w:val="en-GB"/>
        </w:rPr>
        <w:t xml:space="preserve">Red </w:t>
      </w:r>
      <w:proofErr w:type="gramStart"/>
      <w:r w:rsidR="001257A1" w:rsidRPr="00385D5F">
        <w:rPr>
          <w:lang w:val="en-GB"/>
        </w:rPr>
        <w:t>colours</w:t>
      </w:r>
      <w:proofErr w:type="gramEnd"/>
      <w:r w:rsidR="001257A1" w:rsidRPr="00385D5F">
        <w:rPr>
          <w:lang w:val="en-GB"/>
        </w:rPr>
        <w:t xml:space="preserve"> are a sign of a boom with pressures in the economy, while blue colours are a sign of recession and spare capacity. The colour scale reflects how large the gap, or deviation from the average, is. The darkest colours represent the third of the observations with the largest positive and negative deviation. The indicators are measured as the deviation from the average in the period shown in the chart, with observations from the pandemic years 2020 and 2021 removed from the time series. The exceptions are inflation, which is measured as a deviation from the inflation target, and GDP, which is measured as a deviation from a simple trend. This means that they have not been adjusted for the abnormally low activity development during the pandemic. The trend is estimated using the </w:t>
      </w:r>
      <w:proofErr w:type="spellStart"/>
      <w:r w:rsidR="001257A1" w:rsidRPr="00385D5F">
        <w:rPr>
          <w:lang w:val="en-GB"/>
        </w:rPr>
        <w:t>HodrickPrescott</w:t>
      </w:r>
      <w:proofErr w:type="spellEnd"/>
      <w:r w:rsidR="001257A1" w:rsidRPr="00385D5F">
        <w:rPr>
          <w:lang w:val="en-GB"/>
        </w:rPr>
        <w:t xml:space="preserve"> filter, where the smoothing parameter is set at 40,000.</w:t>
      </w:r>
    </w:p>
    <w:p w14:paraId="3B24FE5F" w14:textId="4F536BCD" w:rsidR="001257A1" w:rsidRPr="00385D5F" w:rsidRDefault="00BC269C" w:rsidP="006717D5">
      <w:pPr>
        <w:pStyle w:val="Note"/>
        <w:rPr>
          <w:rFonts w:eastAsia="Garamond"/>
          <w:lang w:val="en-GB"/>
        </w:rPr>
      </w:pPr>
      <w:r w:rsidRPr="00BC269C">
        <w:rPr>
          <w:rStyle w:val="skrift-hevet"/>
          <w:lang w:val="en-GB"/>
        </w:rPr>
        <w:t xml:space="preserve">2 </w:t>
      </w:r>
      <w:r w:rsidR="001257A1" w:rsidRPr="00385D5F">
        <w:rPr>
          <w:lang w:val="en-GB"/>
        </w:rPr>
        <w:t xml:space="preserve">Capacity constraints refer to the share of the contact businesses in </w:t>
      </w:r>
      <w:proofErr w:type="spellStart"/>
      <w:r w:rsidR="001257A1" w:rsidRPr="00385D5F">
        <w:rPr>
          <w:lang w:val="en-GB"/>
        </w:rPr>
        <w:t>Norges</w:t>
      </w:r>
      <w:proofErr w:type="spellEnd"/>
      <w:r w:rsidR="001257A1" w:rsidRPr="00385D5F">
        <w:rPr>
          <w:lang w:val="en-GB"/>
        </w:rPr>
        <w:t xml:space="preserve"> Bank</w:t>
      </w:r>
      <w:r>
        <w:rPr>
          <w:lang w:val="en-GB"/>
        </w:rPr>
        <w:t>’</w:t>
      </w:r>
      <w:r w:rsidR="001257A1" w:rsidRPr="00385D5F">
        <w:rPr>
          <w:lang w:val="en-GB"/>
        </w:rPr>
        <w:t>s regional network that will have some or more significant problems in increasing production/sales without investing additional resources.</w:t>
      </w:r>
    </w:p>
    <w:p w14:paraId="153F62A6" w14:textId="46C271BA" w:rsidR="001257A1" w:rsidRPr="00385D5F" w:rsidRDefault="00BC269C" w:rsidP="006717D5">
      <w:pPr>
        <w:pStyle w:val="Note"/>
        <w:rPr>
          <w:rFonts w:eastAsia="Garamond"/>
          <w:lang w:val="en-GB"/>
        </w:rPr>
      </w:pPr>
      <w:r w:rsidRPr="00BC269C">
        <w:rPr>
          <w:rStyle w:val="skrift-hevet"/>
          <w:lang w:val="en-GB"/>
        </w:rPr>
        <w:t xml:space="preserve">3 </w:t>
      </w:r>
      <w:r w:rsidR="001257A1" w:rsidRPr="00385D5F">
        <w:rPr>
          <w:lang w:val="en-GB"/>
        </w:rPr>
        <w:t xml:space="preserve">Labour shortages refer to the share of the contact businesses in </w:t>
      </w:r>
      <w:proofErr w:type="spellStart"/>
      <w:r w:rsidR="001257A1" w:rsidRPr="00385D5F">
        <w:rPr>
          <w:lang w:val="en-GB"/>
        </w:rPr>
        <w:t>Norges</w:t>
      </w:r>
      <w:proofErr w:type="spellEnd"/>
      <w:r w:rsidR="001257A1" w:rsidRPr="00385D5F">
        <w:rPr>
          <w:lang w:val="en-GB"/>
        </w:rPr>
        <w:t xml:space="preserve"> Bank</w:t>
      </w:r>
      <w:r>
        <w:rPr>
          <w:lang w:val="en-GB"/>
        </w:rPr>
        <w:t>’</w:t>
      </w:r>
      <w:r w:rsidR="001257A1" w:rsidRPr="00385D5F">
        <w:rPr>
          <w:lang w:val="en-GB"/>
        </w:rPr>
        <w:t>s regional network reporting that labour shortages are curtailing production/sales.</w:t>
      </w:r>
    </w:p>
    <w:p w14:paraId="3BB82F81" w14:textId="77777777" w:rsidR="001257A1" w:rsidRPr="00385D5F" w:rsidRDefault="001257A1" w:rsidP="006717D5">
      <w:pPr>
        <w:pStyle w:val="Kilde"/>
        <w:rPr>
          <w:lang w:val="en-GB"/>
        </w:rPr>
      </w:pPr>
      <w:r w:rsidRPr="00385D5F">
        <w:rPr>
          <w:lang w:val="en-GB"/>
        </w:rPr>
        <w:t xml:space="preserve">Sources: </w:t>
      </w:r>
      <w:proofErr w:type="spellStart"/>
      <w:r w:rsidRPr="00385D5F">
        <w:rPr>
          <w:lang w:val="en-GB"/>
        </w:rPr>
        <w:t>Norges</w:t>
      </w:r>
      <w:proofErr w:type="spellEnd"/>
      <w:r w:rsidRPr="00385D5F">
        <w:rPr>
          <w:lang w:val="en-GB"/>
        </w:rPr>
        <w:t xml:space="preserve"> Bank, Statistics Norway, Norwegian Labour and Welfare Administration and the Ministry of Finance.</w:t>
      </w:r>
    </w:p>
    <w:p w14:paraId="2403405B" w14:textId="77777777" w:rsidR="001257A1" w:rsidRPr="00385D5F" w:rsidRDefault="001257A1" w:rsidP="001257A1">
      <w:pPr>
        <w:spacing w:line="276" w:lineRule="auto"/>
        <w:jc w:val="both"/>
        <w:textAlignment w:val="baseline"/>
        <w:rPr>
          <w:rFonts w:cs="Times New Roman"/>
          <w:color w:val="000000"/>
          <w:lang w:val="en-GB"/>
        </w:rPr>
      </w:pPr>
      <w:r w:rsidRPr="00385D5F">
        <w:rPr>
          <w:rFonts w:cs="Times New Roman"/>
          <w:color w:val="000000"/>
          <w:spacing w:val="-1"/>
          <w:lang w:val="en-GB"/>
        </w:rPr>
        <w:t>After growth picked up in mid-2024, growth in the Norwegian economy has slowed somewhat over the past year. Continued high inflation, somewhat higher interest rates and greater uncertainty are expected to dampen growth this year, even though households are set to experience solid purchasing power development. Household consumption is expected to push up growth somewhat again next year (Chart 2.7). In the years ahead, the contribution to growth from public demand is expected in isolation to be approximately the same as in previous years. Petroleum investment, which in recent years has contributed to sustaining growth in the Norwegian economy, is projected to fall from high levels.</w:t>
      </w:r>
    </w:p>
    <w:p w14:paraId="2BC8AA64" w14:textId="77777777" w:rsidR="001257A1" w:rsidRPr="001257A1" w:rsidRDefault="001257A1" w:rsidP="001257A1">
      <w:pPr>
        <w:spacing w:line="276" w:lineRule="auto"/>
        <w:jc w:val="both"/>
        <w:textAlignment w:val="baseline"/>
        <w:rPr>
          <w:rFonts w:cs="Times New Roman"/>
          <w:color w:val="000000"/>
          <w:lang w:val="en-US"/>
        </w:rPr>
      </w:pPr>
      <w:r w:rsidRPr="00385D5F">
        <w:rPr>
          <w:rFonts w:cs="Times New Roman"/>
          <w:color w:val="000000"/>
          <w:lang w:val="en-GB"/>
        </w:rPr>
        <w:t xml:space="preserve">After growing by 1.7 per cent last year, the mainland economy is projected to grow by 1.1 per cent this year. This is lower than projected trend growth in the economy, but growth is expected to return to near trend growth </w:t>
      </w:r>
      <w:proofErr w:type="gramStart"/>
      <w:r w:rsidRPr="00385D5F">
        <w:rPr>
          <w:rFonts w:cs="Times New Roman"/>
          <w:color w:val="000000"/>
          <w:lang w:val="en-GB"/>
        </w:rPr>
        <w:t>in the course of</w:t>
      </w:r>
      <w:proofErr w:type="gramEnd"/>
      <w:r w:rsidRPr="00385D5F">
        <w:rPr>
          <w:rFonts w:cs="Times New Roman"/>
          <w:color w:val="000000"/>
          <w:lang w:val="en-GB"/>
        </w:rPr>
        <w:t xml:space="preserve"> the year. </w:t>
      </w:r>
      <w:r w:rsidRPr="001257A1">
        <w:rPr>
          <w:rFonts w:cs="Times New Roman"/>
          <w:color w:val="000000"/>
        </w:rPr>
        <w:t xml:space="preserve">For 2027, </w:t>
      </w:r>
      <w:proofErr w:type="spellStart"/>
      <w:r w:rsidRPr="001257A1">
        <w:rPr>
          <w:rFonts w:cs="Times New Roman"/>
          <w:color w:val="000000"/>
        </w:rPr>
        <w:t>growth</w:t>
      </w:r>
      <w:proofErr w:type="spellEnd"/>
      <w:r w:rsidRPr="001257A1">
        <w:rPr>
          <w:rFonts w:cs="Times New Roman"/>
          <w:color w:val="000000"/>
        </w:rPr>
        <w:t xml:space="preserve"> is </w:t>
      </w:r>
      <w:proofErr w:type="spellStart"/>
      <w:r w:rsidRPr="001257A1">
        <w:rPr>
          <w:rFonts w:cs="Times New Roman"/>
          <w:color w:val="000000"/>
        </w:rPr>
        <w:t>estimated</w:t>
      </w:r>
      <w:proofErr w:type="spellEnd"/>
      <w:r w:rsidRPr="001257A1">
        <w:rPr>
          <w:rFonts w:cs="Times New Roman"/>
          <w:color w:val="000000"/>
        </w:rPr>
        <w:t xml:space="preserve"> at 1.7 per cent.</w:t>
      </w:r>
    </w:p>
    <w:p w14:paraId="71908077" w14:textId="7EB32823" w:rsidR="001257A1" w:rsidRPr="00BC269C" w:rsidRDefault="0019212C" w:rsidP="001257A1">
      <w:pPr>
        <w:textAlignment w:val="baseline"/>
        <w:rPr>
          <w:rStyle w:val="kursiv"/>
        </w:rPr>
      </w:pPr>
      <w:r w:rsidRPr="00BC269C">
        <w:rPr>
          <w:rStyle w:val="kursiv"/>
        </w:rPr>
        <w:drawing>
          <wp:inline distT="0" distB="0" distL="0" distR="0" wp14:anchorId="3A17C019" wp14:editId="7E87635E">
            <wp:extent cx="4417422" cy="4018626"/>
            <wp:effectExtent l="0" t="0" r="2540" b="1270"/>
            <wp:docPr id="749246070" name="Grafikk 7" descr="Chart 2.7 Development in mainland GDP by demand component. Growth in per cent. 2025–2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246070" name="Grafikk 7" descr="Chart 2.7 Development in mainland GDP by demand component. Growth in per cent. 2025–202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424396" cy="4024971"/>
                    </a:xfrm>
                    <a:prstGeom prst="rect">
                      <a:avLst/>
                    </a:prstGeom>
                  </pic:spPr>
                </pic:pic>
              </a:graphicData>
            </a:graphic>
          </wp:inline>
        </w:drawing>
      </w:r>
    </w:p>
    <w:p w14:paraId="4F9D3A02" w14:textId="77777777" w:rsidR="001257A1" w:rsidRPr="00385D5F" w:rsidRDefault="001257A1" w:rsidP="006717D5">
      <w:pPr>
        <w:pStyle w:val="avsnitt-tittel"/>
        <w:rPr>
          <w:rFonts w:eastAsia="Tahoma"/>
          <w:lang w:val="en-GB"/>
        </w:rPr>
      </w:pPr>
      <w:r w:rsidRPr="00385D5F">
        <w:rPr>
          <w:rFonts w:eastAsia="Tahoma"/>
          <w:lang w:val="en-GB"/>
        </w:rPr>
        <w:t>Chart 2.7 Development in mainland GDP by demand component. Growth in per cent. 2025–2028</w:t>
      </w:r>
    </w:p>
    <w:p w14:paraId="40980FEA" w14:textId="7DC886FF" w:rsidR="001257A1" w:rsidRPr="00385D5F" w:rsidRDefault="00BC269C" w:rsidP="006717D5">
      <w:pPr>
        <w:pStyle w:val="Note"/>
        <w:rPr>
          <w:rFonts w:eastAsia="Bookman Old Style"/>
          <w:lang w:val="en-GB"/>
        </w:rPr>
      </w:pPr>
      <w:r w:rsidRPr="00BC269C">
        <w:rPr>
          <w:rStyle w:val="skrift-hevet"/>
          <w:lang w:val="en-GB"/>
        </w:rPr>
        <w:t xml:space="preserve">1 </w:t>
      </w:r>
      <w:r w:rsidR="001257A1" w:rsidRPr="00385D5F">
        <w:rPr>
          <w:lang w:val="en-GB"/>
        </w:rPr>
        <w:t>Inventory changes and other statistical discrepancies.</w:t>
      </w:r>
    </w:p>
    <w:p w14:paraId="24A75E73" w14:textId="73630609" w:rsidR="001257A1" w:rsidRPr="00385D5F" w:rsidRDefault="00BC269C" w:rsidP="006717D5">
      <w:pPr>
        <w:pStyle w:val="Note"/>
        <w:rPr>
          <w:rFonts w:eastAsia="Bookman Old Style"/>
          <w:lang w:val="en-GB"/>
        </w:rPr>
      </w:pPr>
      <w:r w:rsidRPr="00BC269C">
        <w:rPr>
          <w:rStyle w:val="skrift-hevet"/>
          <w:lang w:val="en-GB"/>
        </w:rPr>
        <w:t xml:space="preserve">2 </w:t>
      </w:r>
      <w:r w:rsidR="001257A1" w:rsidRPr="00385D5F">
        <w:rPr>
          <w:lang w:val="en-GB"/>
        </w:rPr>
        <w:t>Petroleum activities and ocean transport describe the demand from these industries towards the mainland.</w:t>
      </w:r>
    </w:p>
    <w:p w14:paraId="43DF1E78" w14:textId="77777777" w:rsidR="001257A1" w:rsidRPr="00385D5F" w:rsidRDefault="001257A1" w:rsidP="006717D5">
      <w:pPr>
        <w:pStyle w:val="Kilde"/>
        <w:rPr>
          <w:lang w:val="en-GB"/>
        </w:rPr>
      </w:pPr>
      <w:r w:rsidRPr="00385D5F">
        <w:rPr>
          <w:lang w:val="en-GB"/>
        </w:rPr>
        <w:t>Sources: Statistics Norway and Ministry of Finance.</w:t>
      </w:r>
    </w:p>
    <w:p w14:paraId="6F011A75" w14:textId="77777777" w:rsidR="001257A1" w:rsidRPr="00385D5F" w:rsidRDefault="001257A1" w:rsidP="006717D5">
      <w:pPr>
        <w:pStyle w:val="avsnitt-undertittel"/>
        <w:rPr>
          <w:lang w:val="en-GB"/>
        </w:rPr>
      </w:pPr>
      <w:r w:rsidRPr="00385D5F">
        <w:rPr>
          <w:lang w:val="en-GB"/>
        </w:rPr>
        <w:t>Inflation is expected to remain above the inflation target</w:t>
      </w:r>
    </w:p>
    <w:p w14:paraId="1860F6D0" w14:textId="6BFBBAF8" w:rsidR="001257A1" w:rsidRPr="00385D5F" w:rsidRDefault="001257A1" w:rsidP="001257A1">
      <w:pPr>
        <w:jc w:val="both"/>
        <w:textAlignment w:val="baseline"/>
        <w:rPr>
          <w:rFonts w:cs="Times New Roman"/>
          <w:color w:val="000000"/>
          <w:lang w:val="en-GB"/>
        </w:rPr>
      </w:pPr>
      <w:r w:rsidRPr="00385D5F">
        <w:rPr>
          <w:rFonts w:cs="Times New Roman"/>
          <w:color w:val="000000"/>
          <w:spacing w:val="-2"/>
          <w:lang w:val="en-GB"/>
        </w:rPr>
        <w:t xml:space="preserve">It is expected to take time for consumer price inflation to return to target (Chart 2.9). So far this year, inflation, measured by both the change in the consumer price index (CPI) and the consumer price index adjusted for tax changes and excluding energy products (CPI-ATE), has been around 3 percent, approximately the same as in 2025. In August, the 12-month rise in the CPI was 3.3 per cent, while for the CPI-ATE it was 3.0 per cent. The rise in prices picked up from July to August </w:t>
      </w:r>
      <w:proofErr w:type="gramStart"/>
      <w:r w:rsidRPr="00385D5F">
        <w:rPr>
          <w:rFonts w:cs="Times New Roman"/>
          <w:color w:val="000000"/>
          <w:spacing w:val="-2"/>
          <w:lang w:val="en-GB"/>
        </w:rPr>
        <w:t>as a result of</w:t>
      </w:r>
      <w:proofErr w:type="gramEnd"/>
      <w:r w:rsidRPr="00385D5F">
        <w:rPr>
          <w:rFonts w:cs="Times New Roman"/>
          <w:color w:val="000000"/>
          <w:spacing w:val="-2"/>
          <w:lang w:val="en-GB"/>
        </w:rPr>
        <w:t xml:space="preserve"> last year</w:t>
      </w:r>
      <w:r w:rsidR="00BC269C">
        <w:rPr>
          <w:rFonts w:cs="Times New Roman"/>
          <w:color w:val="000000"/>
          <w:spacing w:val="-2"/>
          <w:lang w:val="en-GB"/>
        </w:rPr>
        <w:t>’</w:t>
      </w:r>
      <w:r w:rsidRPr="00385D5F">
        <w:rPr>
          <w:rFonts w:cs="Times New Roman"/>
          <w:color w:val="000000"/>
          <w:spacing w:val="-2"/>
          <w:lang w:val="en-GB"/>
        </w:rPr>
        <w:t>s reduction in child daycare prices falling out of the twelve-month change.</w:t>
      </w:r>
    </w:p>
    <w:p w14:paraId="5AE94A39" w14:textId="7C8BE18F" w:rsidR="001257A1" w:rsidRPr="00385D5F" w:rsidRDefault="001257A1" w:rsidP="001257A1">
      <w:pPr>
        <w:jc w:val="both"/>
        <w:textAlignment w:val="baseline"/>
        <w:rPr>
          <w:rFonts w:cs="Times New Roman"/>
          <w:color w:val="000000"/>
          <w:spacing w:val="-4"/>
          <w:lang w:val="en-GB"/>
        </w:rPr>
      </w:pPr>
      <w:r w:rsidRPr="00385D5F">
        <w:rPr>
          <w:rFonts w:cs="Times New Roman"/>
          <w:color w:val="000000"/>
          <w:spacing w:val="-4"/>
          <w:lang w:val="en-GB"/>
        </w:rPr>
        <w:t>Energy prices have increased, reflecting higher prices for both fuel and electricity. Without the electricity support schemes, the impact on the CPI would have been greater (see Box 2.3). The temporary reductions in fuel taxes also pulled CPI growth down slightly this year, but the development in energy prices nevertheless contributes to the CPI being projected to grow somewhat more than the CP</w:t>
      </w:r>
      <w:r w:rsidR="004E3759">
        <w:rPr>
          <w:rFonts w:cs="Times New Roman"/>
          <w:color w:val="000000"/>
          <w:spacing w:val="-4"/>
          <w:lang w:val="en-GB"/>
        </w:rPr>
        <w:t>I</w:t>
      </w:r>
      <w:r w:rsidR="00CB0ACA">
        <w:rPr>
          <w:rFonts w:cs="Times New Roman"/>
          <w:color w:val="000000"/>
          <w:spacing w:val="-4"/>
          <w:lang w:val="en-GB"/>
        </w:rPr>
        <w:t>-ATE</w:t>
      </w:r>
      <w:r w:rsidRPr="00385D5F">
        <w:rPr>
          <w:rFonts w:cs="Times New Roman"/>
          <w:color w:val="000000"/>
          <w:spacing w:val="-4"/>
          <w:lang w:val="en-GB"/>
        </w:rPr>
        <w:t xml:space="preserve"> this year. Next year, energy prices are expected to pull down consumer price inflation considerably. However, there are only minor differences between the projections for CPI growth and CPI-ATE growth for 2027. This is due to a further reduction in the </w:t>
      </w:r>
      <w:r w:rsidR="00227E26">
        <w:rPr>
          <w:rFonts w:cs="Times New Roman"/>
          <w:color w:val="000000"/>
          <w:spacing w:val="-4"/>
          <w:lang w:val="en-GB"/>
        </w:rPr>
        <w:t xml:space="preserve">threshold for the </w:t>
      </w:r>
      <w:r w:rsidRPr="00385D5F">
        <w:rPr>
          <w:rFonts w:cs="Times New Roman"/>
          <w:color w:val="000000"/>
          <w:spacing w:val="-4"/>
          <w:lang w:val="en-GB"/>
        </w:rPr>
        <w:t>VAT exemption for electric cars next year. This will not affect the CPI-</w:t>
      </w:r>
      <w:proofErr w:type="gramStart"/>
      <w:r w:rsidRPr="00385D5F">
        <w:rPr>
          <w:rFonts w:cs="Times New Roman"/>
          <w:color w:val="000000"/>
          <w:spacing w:val="-4"/>
          <w:lang w:val="en-GB"/>
        </w:rPr>
        <w:t>ATE, but</w:t>
      </w:r>
      <w:proofErr w:type="gramEnd"/>
      <w:r w:rsidRPr="00385D5F">
        <w:rPr>
          <w:rFonts w:cs="Times New Roman"/>
          <w:color w:val="000000"/>
          <w:spacing w:val="-4"/>
          <w:lang w:val="en-GB"/>
        </w:rPr>
        <w:t xml:space="preserve"> is expected to lift the 12-month </w:t>
      </w:r>
      <w:r w:rsidR="004E3759">
        <w:rPr>
          <w:rFonts w:cs="Times New Roman"/>
          <w:color w:val="000000"/>
          <w:spacing w:val="-4"/>
          <w:lang w:val="en-GB"/>
        </w:rPr>
        <w:t>change</w:t>
      </w:r>
      <w:r w:rsidR="004E3759" w:rsidRPr="00385D5F">
        <w:rPr>
          <w:rFonts w:cs="Times New Roman"/>
          <w:color w:val="000000"/>
          <w:spacing w:val="-4"/>
          <w:lang w:val="en-GB"/>
        </w:rPr>
        <w:t xml:space="preserve"> </w:t>
      </w:r>
      <w:r w:rsidRPr="00385D5F">
        <w:rPr>
          <w:rFonts w:cs="Times New Roman"/>
          <w:color w:val="000000"/>
          <w:spacing w:val="-4"/>
          <w:lang w:val="en-GB"/>
        </w:rPr>
        <w:t>in the CPI from January.</w:t>
      </w:r>
    </w:p>
    <w:p w14:paraId="42D1638B" w14:textId="6B699090" w:rsidR="001257A1" w:rsidRPr="00385D5F" w:rsidRDefault="001257A1" w:rsidP="001257A1">
      <w:pPr>
        <w:jc w:val="both"/>
        <w:textAlignment w:val="baseline"/>
        <w:rPr>
          <w:rFonts w:cs="Times New Roman"/>
          <w:color w:val="000000"/>
          <w:lang w:val="en-GB"/>
        </w:rPr>
      </w:pPr>
      <w:r w:rsidRPr="00385D5F">
        <w:rPr>
          <w:rFonts w:cs="Times New Roman"/>
          <w:color w:val="000000"/>
          <w:lang w:val="en-GB"/>
        </w:rPr>
        <w:t xml:space="preserve">Imported inflation has </w:t>
      </w:r>
      <w:r w:rsidR="002414AF">
        <w:rPr>
          <w:rFonts w:cs="Times New Roman"/>
          <w:color w:val="000000"/>
          <w:lang w:val="en-GB"/>
        </w:rPr>
        <w:t xml:space="preserve">increased somewhat </w:t>
      </w:r>
      <w:r w:rsidRPr="00385D5F">
        <w:rPr>
          <w:rFonts w:cs="Times New Roman"/>
          <w:color w:val="000000"/>
          <w:lang w:val="en-GB"/>
        </w:rPr>
        <w:t xml:space="preserve">since </w:t>
      </w:r>
      <w:r w:rsidR="002414AF">
        <w:rPr>
          <w:rFonts w:cs="Times New Roman"/>
          <w:color w:val="000000"/>
          <w:lang w:val="en-GB"/>
        </w:rPr>
        <w:t xml:space="preserve">last </w:t>
      </w:r>
      <w:r w:rsidRPr="00385D5F">
        <w:rPr>
          <w:rFonts w:cs="Times New Roman"/>
          <w:color w:val="000000"/>
          <w:lang w:val="en-GB"/>
        </w:rPr>
        <w:t xml:space="preserve">autumn, but the </w:t>
      </w:r>
      <w:r w:rsidRPr="00385D5F" w:rsidDel="002414AF">
        <w:rPr>
          <w:rFonts w:cs="Times New Roman"/>
          <w:color w:val="000000"/>
          <w:lang w:val="en-GB"/>
        </w:rPr>
        <w:t xml:space="preserve">appreciation </w:t>
      </w:r>
      <w:r w:rsidRPr="00385D5F">
        <w:rPr>
          <w:rFonts w:cs="Times New Roman"/>
          <w:color w:val="000000"/>
          <w:lang w:val="en-GB"/>
        </w:rPr>
        <w:t xml:space="preserve">of the krone is expected to </w:t>
      </w:r>
      <w:r w:rsidR="002414AF">
        <w:rPr>
          <w:rFonts w:cs="Times New Roman"/>
          <w:color w:val="000000"/>
          <w:lang w:val="en-GB"/>
        </w:rPr>
        <w:t>dampen it</w:t>
      </w:r>
      <w:r w:rsidR="004E3759">
        <w:rPr>
          <w:rFonts w:cs="Times New Roman"/>
          <w:color w:val="000000"/>
          <w:lang w:val="en-GB"/>
        </w:rPr>
        <w:t xml:space="preserve"> </w:t>
      </w:r>
      <w:r w:rsidRPr="00385D5F">
        <w:rPr>
          <w:rFonts w:cs="Times New Roman"/>
          <w:color w:val="000000"/>
          <w:lang w:val="en-GB"/>
        </w:rPr>
        <w:t>in coming years.</w:t>
      </w:r>
    </w:p>
    <w:p w14:paraId="75E4A87B" w14:textId="77777777" w:rsidR="001257A1" w:rsidRPr="00385D5F" w:rsidRDefault="001257A1" w:rsidP="001257A1">
      <w:pPr>
        <w:jc w:val="both"/>
        <w:textAlignment w:val="baseline"/>
        <w:rPr>
          <w:rFonts w:cs="Times New Roman"/>
          <w:color w:val="000000"/>
          <w:lang w:val="en-GB"/>
        </w:rPr>
      </w:pPr>
      <w:r w:rsidRPr="00385D5F">
        <w:rPr>
          <w:rFonts w:cs="Times New Roman"/>
          <w:color w:val="000000"/>
          <w:spacing w:val="-2"/>
          <w:lang w:val="en-GB"/>
        </w:rPr>
        <w:t xml:space="preserve">Inflation is projected to remain high, particularly as wage growth is expected to remain relatively high without high productivity growth. The effect of </w:t>
      </w:r>
      <w:proofErr w:type="gramStart"/>
      <w:r w:rsidRPr="00385D5F">
        <w:rPr>
          <w:rFonts w:cs="Times New Roman"/>
          <w:color w:val="000000"/>
          <w:spacing w:val="-2"/>
          <w:lang w:val="en-GB"/>
        </w:rPr>
        <w:t>high wage</w:t>
      </w:r>
      <w:proofErr w:type="gramEnd"/>
      <w:r w:rsidRPr="00385D5F">
        <w:rPr>
          <w:rFonts w:cs="Times New Roman"/>
          <w:color w:val="000000"/>
          <w:spacing w:val="-2"/>
          <w:lang w:val="en-GB"/>
        </w:rPr>
        <w:t xml:space="preserve"> growth is particularly visible in the contribution to overall inflation from services without rent (Chart 2.10). The combination of the rise in prices for new rental contracts and a continued backlog of CPI adjustment in existing leases has led to a recent rise in measured growth in rents. The rise in rents is assumed to contribute to holding up inflation also next year. Even though the rise in house rents has been higher than normal in recent years, an estimated consumer price index excluding rents has moved broadly in line with the CPI.</w:t>
      </w:r>
    </w:p>
    <w:p w14:paraId="55223ACE" w14:textId="77777777" w:rsidR="001257A1" w:rsidRPr="00385D5F" w:rsidRDefault="001257A1" w:rsidP="006717D5">
      <w:pPr>
        <w:pStyle w:val="avsnitt-tittel"/>
        <w:rPr>
          <w:rFonts w:eastAsia="Arial"/>
          <w:lang w:val="en-GB"/>
        </w:rPr>
      </w:pPr>
      <w:r w:rsidRPr="00385D5F">
        <w:rPr>
          <w:rFonts w:eastAsia="Arial"/>
          <w:lang w:val="en-GB"/>
        </w:rPr>
        <w:t>Table 2.2 Principal figures for the Norwegian economy. Percentage change from previous year, unless otherwise stated.</w:t>
      </w:r>
    </w:p>
    <w:p w14:paraId="1D36CECC" w14:textId="6D4A3367" w:rsidR="001257A1" w:rsidRPr="00385D5F" w:rsidRDefault="001257A1" w:rsidP="001257A1">
      <w:pPr>
        <w:spacing w:after="0" w:line="240" w:lineRule="auto"/>
        <w:rPr>
          <w:rFonts w:ascii="Aptos" w:eastAsia="PMingLiU" w:hAnsi="Aptos" w:cs="Times New Roman"/>
          <w:sz w:val="2"/>
          <w:lang w:val="en-GB"/>
        </w:rPr>
      </w:pPr>
    </w:p>
    <w:tbl>
      <w:tblPr>
        <w:tblStyle w:val="StandardTabell"/>
        <w:tblW w:w="9641" w:type="dxa"/>
        <w:tblLook w:val="0000" w:firstRow="0" w:lastRow="0" w:firstColumn="0" w:lastColumn="0" w:noHBand="0" w:noVBand="0"/>
      </w:tblPr>
      <w:tblGrid>
        <w:gridCol w:w="4718"/>
        <w:gridCol w:w="1523"/>
        <w:gridCol w:w="850"/>
        <w:gridCol w:w="850"/>
        <w:gridCol w:w="850"/>
        <w:gridCol w:w="850"/>
      </w:tblGrid>
      <w:tr w:rsidR="001257A1" w:rsidRPr="001257A1" w14:paraId="124953CE" w14:textId="77777777" w:rsidTr="000F1979">
        <w:trPr>
          <w:cantSplit/>
        </w:trPr>
        <w:tc>
          <w:tcPr>
            <w:tcW w:w="4717" w:type="dxa"/>
            <w:vAlign w:val="center"/>
          </w:tcPr>
          <w:p w14:paraId="5AA83968" w14:textId="5FD0C519" w:rsidR="001257A1" w:rsidRPr="00385D5F" w:rsidRDefault="001257A1" w:rsidP="000F1979">
            <w:pPr>
              <w:rPr>
                <w:lang w:val="en-GB"/>
              </w:rPr>
            </w:pPr>
          </w:p>
        </w:tc>
        <w:tc>
          <w:tcPr>
            <w:tcW w:w="0" w:type="auto"/>
            <w:vAlign w:val="bottom"/>
          </w:tcPr>
          <w:p w14:paraId="02AF27B2" w14:textId="2FCA2D5B" w:rsidR="001257A1" w:rsidRPr="001257A1" w:rsidRDefault="001257A1" w:rsidP="000F1979">
            <w:pPr>
              <w:jc w:val="right"/>
              <w:rPr>
                <w:w w:val="95"/>
                <w:lang w:val="en-US"/>
              </w:rPr>
            </w:pPr>
            <w:r w:rsidRPr="001257A1">
              <w:rPr>
                <w:w w:val="95"/>
              </w:rPr>
              <w:t>NOK billion</w:t>
            </w:r>
            <w:r w:rsidR="00BC269C" w:rsidRPr="00BC269C">
              <w:rPr>
                <w:rStyle w:val="skrift-hevet"/>
              </w:rPr>
              <w:t>1</w:t>
            </w:r>
          </w:p>
        </w:tc>
        <w:tc>
          <w:tcPr>
            <w:tcW w:w="0" w:type="auto"/>
            <w:vAlign w:val="bottom"/>
          </w:tcPr>
          <w:p w14:paraId="14929422" w14:textId="3F50F24B" w:rsidR="001257A1" w:rsidRPr="001257A1" w:rsidRDefault="001257A1" w:rsidP="000F1979">
            <w:pPr>
              <w:jc w:val="right"/>
              <w:rPr>
                <w:lang w:val="en-US"/>
              </w:rPr>
            </w:pPr>
          </w:p>
        </w:tc>
        <w:tc>
          <w:tcPr>
            <w:tcW w:w="0" w:type="auto"/>
            <w:vAlign w:val="bottom"/>
          </w:tcPr>
          <w:p w14:paraId="5649A63B" w14:textId="1F6BEDE8" w:rsidR="001257A1" w:rsidRPr="001257A1" w:rsidRDefault="001257A1" w:rsidP="000F1979">
            <w:pPr>
              <w:jc w:val="right"/>
              <w:rPr>
                <w:lang w:val="en-US"/>
              </w:rPr>
            </w:pPr>
          </w:p>
        </w:tc>
        <w:tc>
          <w:tcPr>
            <w:tcW w:w="0" w:type="auto"/>
            <w:vAlign w:val="bottom"/>
          </w:tcPr>
          <w:p w14:paraId="627B1A05" w14:textId="0A929BC6" w:rsidR="001257A1" w:rsidRPr="001257A1" w:rsidRDefault="001257A1" w:rsidP="000F1979">
            <w:pPr>
              <w:jc w:val="right"/>
              <w:rPr>
                <w:lang w:val="en-US"/>
              </w:rPr>
            </w:pPr>
          </w:p>
        </w:tc>
        <w:tc>
          <w:tcPr>
            <w:tcW w:w="0" w:type="auto"/>
            <w:vAlign w:val="bottom"/>
          </w:tcPr>
          <w:p w14:paraId="27A223EF" w14:textId="356EC123" w:rsidR="001257A1" w:rsidRPr="001257A1" w:rsidRDefault="001257A1" w:rsidP="000F1979">
            <w:pPr>
              <w:jc w:val="right"/>
              <w:rPr>
                <w:lang w:val="en-US"/>
              </w:rPr>
            </w:pPr>
          </w:p>
        </w:tc>
      </w:tr>
      <w:tr w:rsidR="001257A1" w:rsidRPr="001257A1" w14:paraId="4FC4AF94" w14:textId="77777777" w:rsidTr="000F1979">
        <w:trPr>
          <w:cantSplit/>
        </w:trPr>
        <w:tc>
          <w:tcPr>
            <w:tcW w:w="4717" w:type="dxa"/>
            <w:vAlign w:val="center"/>
          </w:tcPr>
          <w:p w14:paraId="2220C05B" w14:textId="74F43D1E" w:rsidR="001257A1" w:rsidRPr="001257A1" w:rsidRDefault="001257A1" w:rsidP="000F1979">
            <w:pPr>
              <w:rPr>
                <w:lang w:val="en-US"/>
              </w:rPr>
            </w:pPr>
          </w:p>
        </w:tc>
        <w:tc>
          <w:tcPr>
            <w:tcW w:w="0" w:type="auto"/>
            <w:vAlign w:val="bottom"/>
          </w:tcPr>
          <w:p w14:paraId="5D803794" w14:textId="77777777" w:rsidR="001257A1" w:rsidRPr="001257A1" w:rsidRDefault="001257A1" w:rsidP="000F1979">
            <w:pPr>
              <w:jc w:val="right"/>
              <w:rPr>
                <w:lang w:val="en-US"/>
              </w:rPr>
            </w:pPr>
            <w:r w:rsidRPr="001257A1">
              <w:t>2025</w:t>
            </w:r>
          </w:p>
        </w:tc>
        <w:tc>
          <w:tcPr>
            <w:tcW w:w="0" w:type="auto"/>
            <w:vAlign w:val="bottom"/>
          </w:tcPr>
          <w:p w14:paraId="1AE0FE69" w14:textId="77777777" w:rsidR="001257A1" w:rsidRPr="001257A1" w:rsidRDefault="001257A1" w:rsidP="000F1979">
            <w:pPr>
              <w:jc w:val="right"/>
              <w:rPr>
                <w:lang w:val="en-US"/>
              </w:rPr>
            </w:pPr>
            <w:r w:rsidRPr="001257A1">
              <w:t>2025</w:t>
            </w:r>
          </w:p>
        </w:tc>
        <w:tc>
          <w:tcPr>
            <w:tcW w:w="0" w:type="auto"/>
            <w:vAlign w:val="bottom"/>
          </w:tcPr>
          <w:p w14:paraId="448CCD39" w14:textId="77777777" w:rsidR="001257A1" w:rsidRPr="001257A1" w:rsidRDefault="001257A1" w:rsidP="000F1979">
            <w:pPr>
              <w:jc w:val="right"/>
              <w:rPr>
                <w:lang w:val="en-US"/>
              </w:rPr>
            </w:pPr>
            <w:r w:rsidRPr="001257A1">
              <w:t>2026</w:t>
            </w:r>
          </w:p>
        </w:tc>
        <w:tc>
          <w:tcPr>
            <w:tcW w:w="0" w:type="auto"/>
            <w:vAlign w:val="bottom"/>
          </w:tcPr>
          <w:p w14:paraId="68A9DDB2" w14:textId="77777777" w:rsidR="001257A1" w:rsidRPr="001257A1" w:rsidRDefault="001257A1" w:rsidP="000F1979">
            <w:pPr>
              <w:jc w:val="right"/>
              <w:rPr>
                <w:lang w:val="en-US"/>
              </w:rPr>
            </w:pPr>
            <w:r w:rsidRPr="001257A1">
              <w:t>2027</w:t>
            </w:r>
          </w:p>
        </w:tc>
        <w:tc>
          <w:tcPr>
            <w:tcW w:w="0" w:type="auto"/>
            <w:vAlign w:val="bottom"/>
          </w:tcPr>
          <w:p w14:paraId="57AAD545" w14:textId="77777777" w:rsidR="001257A1" w:rsidRPr="001257A1" w:rsidRDefault="001257A1" w:rsidP="000F1979">
            <w:pPr>
              <w:jc w:val="right"/>
              <w:rPr>
                <w:lang w:val="en-US"/>
              </w:rPr>
            </w:pPr>
            <w:r w:rsidRPr="001257A1">
              <w:t>2028</w:t>
            </w:r>
          </w:p>
        </w:tc>
      </w:tr>
      <w:tr w:rsidR="001257A1" w:rsidRPr="001257A1" w14:paraId="46563AFC" w14:textId="77777777" w:rsidTr="000F1979">
        <w:trPr>
          <w:cantSplit/>
        </w:trPr>
        <w:tc>
          <w:tcPr>
            <w:tcW w:w="0" w:type="auto"/>
            <w:vAlign w:val="center"/>
          </w:tcPr>
          <w:p w14:paraId="47908FBD" w14:textId="77777777" w:rsidR="001257A1" w:rsidRPr="00BC269C" w:rsidRDefault="001257A1" w:rsidP="000F1979">
            <w:pPr>
              <w:rPr>
                <w:rStyle w:val="kursiv"/>
                <w:lang w:val="en-US"/>
              </w:rPr>
            </w:pPr>
            <w:r w:rsidRPr="00BC269C">
              <w:rPr>
                <w:rStyle w:val="kursiv"/>
              </w:rPr>
              <w:t xml:space="preserve">Real </w:t>
            </w:r>
            <w:proofErr w:type="spellStart"/>
            <w:r w:rsidRPr="00BC269C">
              <w:rPr>
                <w:rStyle w:val="kursiv"/>
              </w:rPr>
              <w:t>economy</w:t>
            </w:r>
            <w:proofErr w:type="spellEnd"/>
          </w:p>
        </w:tc>
        <w:tc>
          <w:tcPr>
            <w:tcW w:w="0" w:type="auto"/>
            <w:vAlign w:val="bottom"/>
          </w:tcPr>
          <w:p w14:paraId="0FE730BC" w14:textId="58D9AD32" w:rsidR="001257A1" w:rsidRPr="001257A1" w:rsidRDefault="001257A1" w:rsidP="000F1979">
            <w:pPr>
              <w:jc w:val="right"/>
              <w:rPr>
                <w:lang w:val="en-US"/>
              </w:rPr>
            </w:pPr>
          </w:p>
        </w:tc>
        <w:tc>
          <w:tcPr>
            <w:tcW w:w="0" w:type="auto"/>
            <w:vAlign w:val="bottom"/>
          </w:tcPr>
          <w:p w14:paraId="3345656E" w14:textId="31D63666" w:rsidR="001257A1" w:rsidRPr="001257A1" w:rsidRDefault="001257A1" w:rsidP="000F1979">
            <w:pPr>
              <w:jc w:val="right"/>
              <w:rPr>
                <w:lang w:val="en-US"/>
              </w:rPr>
            </w:pPr>
          </w:p>
        </w:tc>
        <w:tc>
          <w:tcPr>
            <w:tcW w:w="0" w:type="auto"/>
            <w:vAlign w:val="bottom"/>
          </w:tcPr>
          <w:p w14:paraId="0850EB3B" w14:textId="01F1BBBA" w:rsidR="001257A1" w:rsidRPr="001257A1" w:rsidRDefault="001257A1" w:rsidP="000F1979">
            <w:pPr>
              <w:jc w:val="right"/>
              <w:rPr>
                <w:lang w:val="en-US"/>
              </w:rPr>
            </w:pPr>
          </w:p>
        </w:tc>
        <w:tc>
          <w:tcPr>
            <w:tcW w:w="0" w:type="auto"/>
            <w:vAlign w:val="bottom"/>
          </w:tcPr>
          <w:p w14:paraId="235CE7BD" w14:textId="31BB8BCA" w:rsidR="001257A1" w:rsidRPr="001257A1" w:rsidRDefault="001257A1" w:rsidP="000F1979">
            <w:pPr>
              <w:jc w:val="right"/>
              <w:rPr>
                <w:lang w:val="en-US"/>
              </w:rPr>
            </w:pPr>
          </w:p>
        </w:tc>
        <w:tc>
          <w:tcPr>
            <w:tcW w:w="0" w:type="auto"/>
            <w:vAlign w:val="bottom"/>
          </w:tcPr>
          <w:p w14:paraId="3E330511" w14:textId="02EE873A" w:rsidR="001257A1" w:rsidRPr="001257A1" w:rsidRDefault="001257A1" w:rsidP="000F1979">
            <w:pPr>
              <w:jc w:val="right"/>
              <w:rPr>
                <w:lang w:val="en-US"/>
              </w:rPr>
            </w:pPr>
          </w:p>
        </w:tc>
      </w:tr>
      <w:tr w:rsidR="001257A1" w:rsidRPr="001257A1" w14:paraId="777D6865" w14:textId="77777777" w:rsidTr="000F1979">
        <w:trPr>
          <w:cantSplit/>
        </w:trPr>
        <w:tc>
          <w:tcPr>
            <w:tcW w:w="0" w:type="auto"/>
            <w:vAlign w:val="center"/>
          </w:tcPr>
          <w:p w14:paraId="7521BF45" w14:textId="28EC0848" w:rsidR="001257A1" w:rsidRPr="001257A1" w:rsidRDefault="001257A1" w:rsidP="000F1979">
            <w:pPr>
              <w:rPr>
                <w:lang w:val="en-US"/>
              </w:rPr>
            </w:pPr>
            <w:r w:rsidRPr="001257A1">
              <w:t>Mainland GDP</w:t>
            </w:r>
            <w:r w:rsidR="00BC269C" w:rsidRPr="00BC269C">
              <w:rPr>
                <w:rStyle w:val="skrift-hevet"/>
              </w:rPr>
              <w:t>2</w:t>
            </w:r>
          </w:p>
        </w:tc>
        <w:tc>
          <w:tcPr>
            <w:tcW w:w="0" w:type="auto"/>
            <w:vAlign w:val="bottom"/>
          </w:tcPr>
          <w:p w14:paraId="2AB39F39" w14:textId="77777777" w:rsidR="001257A1" w:rsidRPr="001257A1" w:rsidRDefault="001257A1" w:rsidP="000F1979">
            <w:pPr>
              <w:jc w:val="right"/>
              <w:rPr>
                <w:lang w:val="en-US"/>
              </w:rPr>
            </w:pPr>
            <w:r w:rsidRPr="001257A1">
              <w:t>4398</w:t>
            </w:r>
          </w:p>
        </w:tc>
        <w:tc>
          <w:tcPr>
            <w:tcW w:w="0" w:type="auto"/>
            <w:vAlign w:val="bottom"/>
          </w:tcPr>
          <w:p w14:paraId="47F00993" w14:textId="77777777" w:rsidR="001257A1" w:rsidRPr="001257A1" w:rsidRDefault="001257A1" w:rsidP="000F1979">
            <w:pPr>
              <w:jc w:val="right"/>
              <w:rPr>
                <w:lang w:val="en-US"/>
              </w:rPr>
            </w:pPr>
            <w:r w:rsidRPr="001257A1">
              <w:t>1,7</w:t>
            </w:r>
          </w:p>
        </w:tc>
        <w:tc>
          <w:tcPr>
            <w:tcW w:w="0" w:type="auto"/>
            <w:vAlign w:val="bottom"/>
          </w:tcPr>
          <w:p w14:paraId="5EAC2B43" w14:textId="77777777" w:rsidR="001257A1" w:rsidRPr="001257A1" w:rsidRDefault="001257A1" w:rsidP="000F1979">
            <w:pPr>
              <w:jc w:val="right"/>
              <w:rPr>
                <w:lang w:val="en-US"/>
              </w:rPr>
            </w:pPr>
            <w:r w:rsidRPr="001257A1">
              <w:t>1,1</w:t>
            </w:r>
          </w:p>
        </w:tc>
        <w:tc>
          <w:tcPr>
            <w:tcW w:w="0" w:type="auto"/>
            <w:vAlign w:val="bottom"/>
          </w:tcPr>
          <w:p w14:paraId="0E048189" w14:textId="77777777" w:rsidR="001257A1" w:rsidRPr="001257A1" w:rsidRDefault="001257A1" w:rsidP="000F1979">
            <w:pPr>
              <w:jc w:val="right"/>
              <w:rPr>
                <w:lang w:val="en-US"/>
              </w:rPr>
            </w:pPr>
            <w:r w:rsidRPr="001257A1">
              <w:t>1,7</w:t>
            </w:r>
          </w:p>
        </w:tc>
        <w:tc>
          <w:tcPr>
            <w:tcW w:w="0" w:type="auto"/>
            <w:vAlign w:val="bottom"/>
          </w:tcPr>
          <w:p w14:paraId="5DEA103A" w14:textId="77777777" w:rsidR="001257A1" w:rsidRPr="001257A1" w:rsidRDefault="001257A1" w:rsidP="000F1979">
            <w:pPr>
              <w:jc w:val="right"/>
              <w:rPr>
                <w:lang w:val="en-US"/>
              </w:rPr>
            </w:pPr>
            <w:r w:rsidRPr="001257A1">
              <w:t>1,3</w:t>
            </w:r>
          </w:p>
        </w:tc>
      </w:tr>
      <w:tr w:rsidR="001257A1" w:rsidRPr="001257A1" w14:paraId="7398A590" w14:textId="77777777" w:rsidTr="000F1979">
        <w:trPr>
          <w:cantSplit/>
        </w:trPr>
        <w:tc>
          <w:tcPr>
            <w:tcW w:w="0" w:type="auto"/>
            <w:vAlign w:val="center"/>
          </w:tcPr>
          <w:p w14:paraId="211AD70A" w14:textId="4780CA7F" w:rsidR="001257A1" w:rsidRPr="001257A1" w:rsidRDefault="001257A1" w:rsidP="000F1979">
            <w:pPr>
              <w:rPr>
                <w:lang w:val="en-US"/>
              </w:rPr>
            </w:pPr>
            <w:proofErr w:type="spellStart"/>
            <w:r w:rsidRPr="001257A1">
              <w:t>Employment</w:t>
            </w:r>
            <w:proofErr w:type="spellEnd"/>
          </w:p>
        </w:tc>
        <w:tc>
          <w:tcPr>
            <w:tcW w:w="0" w:type="auto"/>
            <w:vAlign w:val="bottom"/>
          </w:tcPr>
          <w:p w14:paraId="1DB86749" w14:textId="32E55237" w:rsidR="001257A1" w:rsidRPr="001257A1" w:rsidRDefault="001257A1" w:rsidP="000F1979">
            <w:pPr>
              <w:jc w:val="right"/>
              <w:rPr>
                <w:lang w:val="en-US"/>
              </w:rPr>
            </w:pPr>
          </w:p>
        </w:tc>
        <w:tc>
          <w:tcPr>
            <w:tcW w:w="0" w:type="auto"/>
            <w:vAlign w:val="bottom"/>
          </w:tcPr>
          <w:p w14:paraId="465F2E64" w14:textId="77777777" w:rsidR="001257A1" w:rsidRPr="001257A1" w:rsidRDefault="001257A1" w:rsidP="000F1979">
            <w:pPr>
              <w:jc w:val="right"/>
              <w:rPr>
                <w:lang w:val="en-US"/>
              </w:rPr>
            </w:pPr>
            <w:r w:rsidRPr="001257A1">
              <w:t>0,7</w:t>
            </w:r>
          </w:p>
        </w:tc>
        <w:tc>
          <w:tcPr>
            <w:tcW w:w="0" w:type="auto"/>
            <w:vAlign w:val="bottom"/>
          </w:tcPr>
          <w:p w14:paraId="4C83881F" w14:textId="77777777" w:rsidR="001257A1" w:rsidRPr="001257A1" w:rsidRDefault="001257A1" w:rsidP="000F1979">
            <w:pPr>
              <w:jc w:val="right"/>
              <w:rPr>
                <w:lang w:val="en-US"/>
              </w:rPr>
            </w:pPr>
            <w:r w:rsidRPr="001257A1">
              <w:t>0,6</w:t>
            </w:r>
          </w:p>
        </w:tc>
        <w:tc>
          <w:tcPr>
            <w:tcW w:w="0" w:type="auto"/>
            <w:vAlign w:val="bottom"/>
          </w:tcPr>
          <w:p w14:paraId="6D09E646" w14:textId="77777777" w:rsidR="001257A1" w:rsidRPr="001257A1" w:rsidRDefault="001257A1" w:rsidP="000F1979">
            <w:pPr>
              <w:jc w:val="right"/>
              <w:rPr>
                <w:lang w:val="en-US"/>
              </w:rPr>
            </w:pPr>
            <w:r w:rsidRPr="001257A1">
              <w:t>0,4</w:t>
            </w:r>
          </w:p>
        </w:tc>
        <w:tc>
          <w:tcPr>
            <w:tcW w:w="0" w:type="auto"/>
            <w:vAlign w:val="bottom"/>
          </w:tcPr>
          <w:p w14:paraId="2FD4038B" w14:textId="77777777" w:rsidR="001257A1" w:rsidRPr="001257A1" w:rsidRDefault="001257A1" w:rsidP="000F1979">
            <w:pPr>
              <w:jc w:val="right"/>
              <w:rPr>
                <w:lang w:val="en-US"/>
              </w:rPr>
            </w:pPr>
            <w:r w:rsidRPr="001257A1">
              <w:t>0,4</w:t>
            </w:r>
          </w:p>
        </w:tc>
      </w:tr>
      <w:tr w:rsidR="001257A1" w:rsidRPr="001257A1" w14:paraId="2A3405E1" w14:textId="77777777" w:rsidTr="000F1979">
        <w:trPr>
          <w:cantSplit/>
        </w:trPr>
        <w:tc>
          <w:tcPr>
            <w:tcW w:w="0" w:type="auto"/>
            <w:vAlign w:val="center"/>
          </w:tcPr>
          <w:p w14:paraId="42147CC0" w14:textId="00CF1565" w:rsidR="001257A1" w:rsidRPr="001257A1" w:rsidRDefault="001257A1" w:rsidP="000F1979">
            <w:pPr>
              <w:rPr>
                <w:lang w:val="en-US"/>
              </w:rPr>
            </w:pPr>
            <w:proofErr w:type="spellStart"/>
            <w:r w:rsidRPr="001257A1">
              <w:t>Unemployment</w:t>
            </w:r>
            <w:proofErr w:type="spellEnd"/>
            <w:r w:rsidRPr="001257A1">
              <w:t xml:space="preserve"> rate, </w:t>
            </w:r>
            <w:proofErr w:type="spellStart"/>
            <w:r w:rsidRPr="001257A1">
              <w:t>registered</w:t>
            </w:r>
            <w:proofErr w:type="spellEnd"/>
            <w:r w:rsidRPr="001257A1">
              <w:t xml:space="preserve"> (</w:t>
            </w:r>
            <w:proofErr w:type="spellStart"/>
            <w:r w:rsidRPr="001257A1">
              <w:t>level</w:t>
            </w:r>
            <w:proofErr w:type="spellEnd"/>
            <w:r w:rsidRPr="001257A1">
              <w:t>)</w:t>
            </w:r>
          </w:p>
        </w:tc>
        <w:tc>
          <w:tcPr>
            <w:tcW w:w="0" w:type="auto"/>
            <w:vAlign w:val="bottom"/>
          </w:tcPr>
          <w:p w14:paraId="270299E8" w14:textId="23746603" w:rsidR="001257A1" w:rsidRPr="001257A1" w:rsidRDefault="001257A1" w:rsidP="000F1979">
            <w:pPr>
              <w:jc w:val="right"/>
              <w:rPr>
                <w:lang w:val="en-US"/>
              </w:rPr>
            </w:pPr>
          </w:p>
        </w:tc>
        <w:tc>
          <w:tcPr>
            <w:tcW w:w="0" w:type="auto"/>
            <w:vAlign w:val="bottom"/>
          </w:tcPr>
          <w:p w14:paraId="29D7300D" w14:textId="77777777" w:rsidR="001257A1" w:rsidRPr="001257A1" w:rsidRDefault="001257A1" w:rsidP="000F1979">
            <w:pPr>
              <w:jc w:val="right"/>
              <w:rPr>
                <w:lang w:val="en-US"/>
              </w:rPr>
            </w:pPr>
            <w:r w:rsidRPr="001257A1">
              <w:t>2,1</w:t>
            </w:r>
          </w:p>
        </w:tc>
        <w:tc>
          <w:tcPr>
            <w:tcW w:w="0" w:type="auto"/>
            <w:vAlign w:val="bottom"/>
          </w:tcPr>
          <w:p w14:paraId="3F5B233C" w14:textId="77777777" w:rsidR="001257A1" w:rsidRPr="001257A1" w:rsidRDefault="001257A1" w:rsidP="000F1979">
            <w:pPr>
              <w:jc w:val="right"/>
              <w:rPr>
                <w:lang w:val="en-US"/>
              </w:rPr>
            </w:pPr>
            <w:r w:rsidRPr="001257A1">
              <w:t>2,1</w:t>
            </w:r>
          </w:p>
        </w:tc>
        <w:tc>
          <w:tcPr>
            <w:tcW w:w="0" w:type="auto"/>
            <w:vAlign w:val="bottom"/>
          </w:tcPr>
          <w:p w14:paraId="26639DB3" w14:textId="77777777" w:rsidR="001257A1" w:rsidRPr="001257A1" w:rsidRDefault="001257A1" w:rsidP="000F1979">
            <w:pPr>
              <w:jc w:val="right"/>
              <w:rPr>
                <w:lang w:val="en-US"/>
              </w:rPr>
            </w:pPr>
            <w:r w:rsidRPr="001257A1">
              <w:t>2,1</w:t>
            </w:r>
          </w:p>
        </w:tc>
        <w:tc>
          <w:tcPr>
            <w:tcW w:w="0" w:type="auto"/>
            <w:vAlign w:val="bottom"/>
          </w:tcPr>
          <w:p w14:paraId="56A59AE4" w14:textId="77777777" w:rsidR="001257A1" w:rsidRPr="001257A1" w:rsidRDefault="001257A1" w:rsidP="000F1979">
            <w:pPr>
              <w:jc w:val="right"/>
              <w:rPr>
                <w:lang w:val="en-US"/>
              </w:rPr>
            </w:pPr>
            <w:r w:rsidRPr="001257A1">
              <w:t>2,1</w:t>
            </w:r>
          </w:p>
        </w:tc>
      </w:tr>
      <w:tr w:rsidR="001257A1" w:rsidRPr="001257A1" w14:paraId="17432DB2" w14:textId="77777777" w:rsidTr="000F1979">
        <w:trPr>
          <w:cantSplit/>
        </w:trPr>
        <w:tc>
          <w:tcPr>
            <w:tcW w:w="0" w:type="auto"/>
            <w:vAlign w:val="center"/>
          </w:tcPr>
          <w:p w14:paraId="28D2558B" w14:textId="43592F2D" w:rsidR="001257A1" w:rsidRPr="001257A1" w:rsidRDefault="001257A1" w:rsidP="000F1979">
            <w:pPr>
              <w:rPr>
                <w:lang w:val="en-US"/>
              </w:rPr>
            </w:pPr>
            <w:proofErr w:type="spellStart"/>
            <w:r w:rsidRPr="001257A1">
              <w:t>Unemployment</w:t>
            </w:r>
            <w:proofErr w:type="spellEnd"/>
            <w:r w:rsidRPr="001257A1">
              <w:t xml:space="preserve"> rate, LFS (</w:t>
            </w:r>
            <w:proofErr w:type="spellStart"/>
            <w:r w:rsidRPr="001257A1">
              <w:t>level</w:t>
            </w:r>
            <w:proofErr w:type="spellEnd"/>
            <w:r w:rsidRPr="001257A1">
              <w:t>)</w:t>
            </w:r>
          </w:p>
        </w:tc>
        <w:tc>
          <w:tcPr>
            <w:tcW w:w="0" w:type="auto"/>
            <w:vAlign w:val="bottom"/>
          </w:tcPr>
          <w:p w14:paraId="28286FF1" w14:textId="4F73A51E" w:rsidR="001257A1" w:rsidRPr="001257A1" w:rsidRDefault="001257A1" w:rsidP="000F1979">
            <w:pPr>
              <w:jc w:val="right"/>
              <w:rPr>
                <w:lang w:val="en-US"/>
              </w:rPr>
            </w:pPr>
          </w:p>
        </w:tc>
        <w:tc>
          <w:tcPr>
            <w:tcW w:w="0" w:type="auto"/>
            <w:vAlign w:val="bottom"/>
          </w:tcPr>
          <w:p w14:paraId="325B3E1A" w14:textId="77777777" w:rsidR="001257A1" w:rsidRPr="001257A1" w:rsidRDefault="001257A1" w:rsidP="000F1979">
            <w:pPr>
              <w:jc w:val="right"/>
              <w:rPr>
                <w:lang w:val="en-US"/>
              </w:rPr>
            </w:pPr>
            <w:r w:rsidRPr="001257A1">
              <w:t>4,5</w:t>
            </w:r>
          </w:p>
        </w:tc>
        <w:tc>
          <w:tcPr>
            <w:tcW w:w="0" w:type="auto"/>
            <w:vAlign w:val="bottom"/>
          </w:tcPr>
          <w:p w14:paraId="716A4535" w14:textId="77777777" w:rsidR="001257A1" w:rsidRPr="001257A1" w:rsidRDefault="001257A1" w:rsidP="000F1979">
            <w:pPr>
              <w:jc w:val="right"/>
              <w:rPr>
                <w:lang w:val="en-US"/>
              </w:rPr>
            </w:pPr>
            <w:r w:rsidRPr="001257A1">
              <w:t>4,5</w:t>
            </w:r>
          </w:p>
        </w:tc>
        <w:tc>
          <w:tcPr>
            <w:tcW w:w="0" w:type="auto"/>
            <w:vAlign w:val="bottom"/>
          </w:tcPr>
          <w:p w14:paraId="14EDF353" w14:textId="77777777" w:rsidR="001257A1" w:rsidRPr="001257A1" w:rsidRDefault="001257A1" w:rsidP="000F1979">
            <w:pPr>
              <w:jc w:val="right"/>
              <w:rPr>
                <w:lang w:val="en-US"/>
              </w:rPr>
            </w:pPr>
            <w:r w:rsidRPr="001257A1">
              <w:t>4,5</w:t>
            </w:r>
          </w:p>
        </w:tc>
        <w:tc>
          <w:tcPr>
            <w:tcW w:w="0" w:type="auto"/>
            <w:vAlign w:val="bottom"/>
          </w:tcPr>
          <w:p w14:paraId="079C6E61" w14:textId="77777777" w:rsidR="001257A1" w:rsidRPr="001257A1" w:rsidRDefault="001257A1" w:rsidP="000F1979">
            <w:pPr>
              <w:jc w:val="right"/>
              <w:rPr>
                <w:lang w:val="en-US"/>
              </w:rPr>
            </w:pPr>
            <w:r w:rsidRPr="001257A1">
              <w:t>4,5</w:t>
            </w:r>
          </w:p>
        </w:tc>
      </w:tr>
      <w:tr w:rsidR="001257A1" w:rsidRPr="001257A1" w14:paraId="2C66ED10" w14:textId="77777777" w:rsidTr="000F1979">
        <w:trPr>
          <w:cantSplit/>
        </w:trPr>
        <w:tc>
          <w:tcPr>
            <w:tcW w:w="0" w:type="auto"/>
            <w:vAlign w:val="center"/>
          </w:tcPr>
          <w:p w14:paraId="073CD0D2" w14:textId="22924C96" w:rsidR="001257A1" w:rsidRPr="00BC269C" w:rsidRDefault="001257A1" w:rsidP="000F1979">
            <w:pPr>
              <w:rPr>
                <w:rStyle w:val="kursiv"/>
                <w:lang w:val="en-GB"/>
              </w:rPr>
            </w:pPr>
            <w:r w:rsidRPr="00BC269C">
              <w:rPr>
                <w:rStyle w:val="kursiv"/>
                <w:lang w:val="en-GB"/>
              </w:rPr>
              <w:t>Demand components and GDP2</w:t>
            </w:r>
          </w:p>
          <w:p w14:paraId="4323C2E2" w14:textId="11A392B7" w:rsidR="001257A1" w:rsidRPr="00385D5F" w:rsidRDefault="001257A1" w:rsidP="000F1979">
            <w:pPr>
              <w:rPr>
                <w:lang w:val="en-GB"/>
              </w:rPr>
            </w:pPr>
            <w:r w:rsidRPr="00385D5F">
              <w:rPr>
                <w:lang w:val="en-GB"/>
              </w:rPr>
              <w:t>Demand from mainland Norway</w:t>
            </w:r>
            <w:r w:rsidR="00BC269C" w:rsidRPr="00BC269C">
              <w:rPr>
                <w:rStyle w:val="skrift-hevet"/>
                <w:lang w:val="en-GB"/>
              </w:rPr>
              <w:t>3</w:t>
            </w:r>
          </w:p>
        </w:tc>
        <w:tc>
          <w:tcPr>
            <w:tcW w:w="0" w:type="auto"/>
            <w:vAlign w:val="bottom"/>
          </w:tcPr>
          <w:p w14:paraId="4DF83397" w14:textId="77777777" w:rsidR="001257A1" w:rsidRPr="001257A1" w:rsidRDefault="001257A1" w:rsidP="000F1979">
            <w:pPr>
              <w:jc w:val="right"/>
              <w:rPr>
                <w:lang w:val="en-US"/>
              </w:rPr>
            </w:pPr>
            <w:r w:rsidRPr="001257A1">
              <w:t>4596</w:t>
            </w:r>
          </w:p>
        </w:tc>
        <w:tc>
          <w:tcPr>
            <w:tcW w:w="0" w:type="auto"/>
            <w:vAlign w:val="bottom"/>
          </w:tcPr>
          <w:p w14:paraId="45DFF961" w14:textId="77777777" w:rsidR="001257A1" w:rsidRPr="001257A1" w:rsidRDefault="001257A1" w:rsidP="000F1979">
            <w:pPr>
              <w:jc w:val="right"/>
              <w:rPr>
                <w:lang w:val="en-US"/>
              </w:rPr>
            </w:pPr>
            <w:r w:rsidRPr="001257A1">
              <w:t>1,9</w:t>
            </w:r>
          </w:p>
        </w:tc>
        <w:tc>
          <w:tcPr>
            <w:tcW w:w="0" w:type="auto"/>
            <w:vAlign w:val="bottom"/>
          </w:tcPr>
          <w:p w14:paraId="3C6EC9B1" w14:textId="77777777" w:rsidR="001257A1" w:rsidRPr="001257A1" w:rsidRDefault="001257A1" w:rsidP="000F1979">
            <w:pPr>
              <w:jc w:val="right"/>
              <w:rPr>
                <w:lang w:val="en-US"/>
              </w:rPr>
            </w:pPr>
            <w:r w:rsidRPr="001257A1">
              <w:t>1,2</w:t>
            </w:r>
          </w:p>
        </w:tc>
        <w:tc>
          <w:tcPr>
            <w:tcW w:w="0" w:type="auto"/>
            <w:vAlign w:val="bottom"/>
          </w:tcPr>
          <w:p w14:paraId="013C61C6" w14:textId="77777777" w:rsidR="001257A1" w:rsidRPr="001257A1" w:rsidRDefault="001257A1" w:rsidP="000F1979">
            <w:pPr>
              <w:jc w:val="right"/>
              <w:rPr>
                <w:lang w:val="en-US"/>
              </w:rPr>
            </w:pPr>
            <w:r w:rsidRPr="001257A1">
              <w:t>1,8</w:t>
            </w:r>
          </w:p>
        </w:tc>
        <w:tc>
          <w:tcPr>
            <w:tcW w:w="0" w:type="auto"/>
            <w:vAlign w:val="bottom"/>
          </w:tcPr>
          <w:p w14:paraId="047F8D93" w14:textId="77777777" w:rsidR="001257A1" w:rsidRPr="001257A1" w:rsidRDefault="001257A1" w:rsidP="000F1979">
            <w:pPr>
              <w:jc w:val="right"/>
              <w:rPr>
                <w:lang w:val="en-US"/>
              </w:rPr>
            </w:pPr>
            <w:r w:rsidRPr="001257A1">
              <w:t>2,1</w:t>
            </w:r>
          </w:p>
        </w:tc>
      </w:tr>
      <w:tr w:rsidR="001257A1" w:rsidRPr="001257A1" w14:paraId="77E50D1D" w14:textId="77777777" w:rsidTr="000F1979">
        <w:trPr>
          <w:cantSplit/>
        </w:trPr>
        <w:tc>
          <w:tcPr>
            <w:tcW w:w="0" w:type="auto"/>
            <w:vAlign w:val="center"/>
          </w:tcPr>
          <w:p w14:paraId="03A147AE" w14:textId="7F6D8504" w:rsidR="001257A1" w:rsidRPr="001257A1" w:rsidRDefault="001257A1" w:rsidP="000F1979">
            <w:pPr>
              <w:rPr>
                <w:lang w:val="en-US"/>
              </w:rPr>
            </w:pPr>
            <w:r w:rsidRPr="001257A1">
              <w:t xml:space="preserve">Private </w:t>
            </w:r>
            <w:proofErr w:type="spellStart"/>
            <w:r w:rsidRPr="001257A1">
              <w:t>consumption</w:t>
            </w:r>
            <w:proofErr w:type="spellEnd"/>
          </w:p>
        </w:tc>
        <w:tc>
          <w:tcPr>
            <w:tcW w:w="0" w:type="auto"/>
            <w:vAlign w:val="bottom"/>
          </w:tcPr>
          <w:p w14:paraId="5D478FA0" w14:textId="77777777" w:rsidR="001257A1" w:rsidRPr="001257A1" w:rsidRDefault="001257A1" w:rsidP="000F1979">
            <w:pPr>
              <w:jc w:val="right"/>
              <w:rPr>
                <w:lang w:val="en-US"/>
              </w:rPr>
            </w:pPr>
            <w:r w:rsidRPr="001257A1">
              <w:t>2341</w:t>
            </w:r>
          </w:p>
        </w:tc>
        <w:tc>
          <w:tcPr>
            <w:tcW w:w="0" w:type="auto"/>
            <w:vAlign w:val="bottom"/>
          </w:tcPr>
          <w:p w14:paraId="1D5DD22B" w14:textId="77777777" w:rsidR="001257A1" w:rsidRPr="001257A1" w:rsidRDefault="001257A1" w:rsidP="000F1979">
            <w:pPr>
              <w:jc w:val="right"/>
              <w:rPr>
                <w:lang w:val="en-US"/>
              </w:rPr>
            </w:pPr>
            <w:r w:rsidRPr="001257A1">
              <w:t>2,6</w:t>
            </w:r>
          </w:p>
        </w:tc>
        <w:tc>
          <w:tcPr>
            <w:tcW w:w="0" w:type="auto"/>
            <w:vAlign w:val="bottom"/>
          </w:tcPr>
          <w:p w14:paraId="3354801B" w14:textId="77777777" w:rsidR="001257A1" w:rsidRPr="001257A1" w:rsidRDefault="001257A1" w:rsidP="000F1979">
            <w:pPr>
              <w:jc w:val="right"/>
              <w:rPr>
                <w:lang w:val="en-US"/>
              </w:rPr>
            </w:pPr>
            <w:r w:rsidRPr="001257A1">
              <w:t>1,4</w:t>
            </w:r>
          </w:p>
        </w:tc>
        <w:tc>
          <w:tcPr>
            <w:tcW w:w="0" w:type="auto"/>
            <w:vAlign w:val="bottom"/>
          </w:tcPr>
          <w:p w14:paraId="4BC36666" w14:textId="77777777" w:rsidR="001257A1" w:rsidRPr="001257A1" w:rsidRDefault="001257A1" w:rsidP="000F1979">
            <w:pPr>
              <w:jc w:val="right"/>
              <w:rPr>
                <w:lang w:val="en-US"/>
              </w:rPr>
            </w:pPr>
            <w:r w:rsidRPr="001257A1">
              <w:t>1,8</w:t>
            </w:r>
          </w:p>
        </w:tc>
        <w:tc>
          <w:tcPr>
            <w:tcW w:w="0" w:type="auto"/>
            <w:vAlign w:val="bottom"/>
          </w:tcPr>
          <w:p w14:paraId="223C21AF" w14:textId="77777777" w:rsidR="001257A1" w:rsidRPr="001257A1" w:rsidRDefault="001257A1" w:rsidP="000F1979">
            <w:pPr>
              <w:jc w:val="right"/>
              <w:rPr>
                <w:lang w:val="en-US"/>
              </w:rPr>
            </w:pPr>
            <w:r w:rsidRPr="001257A1">
              <w:t>2,0</w:t>
            </w:r>
          </w:p>
        </w:tc>
      </w:tr>
      <w:tr w:rsidR="001257A1" w:rsidRPr="001257A1" w14:paraId="3F7EA9B4" w14:textId="77777777" w:rsidTr="000F1979">
        <w:trPr>
          <w:cantSplit/>
        </w:trPr>
        <w:tc>
          <w:tcPr>
            <w:tcW w:w="0" w:type="auto"/>
            <w:vAlign w:val="center"/>
          </w:tcPr>
          <w:p w14:paraId="293509DF" w14:textId="184E3185" w:rsidR="001257A1" w:rsidRPr="001257A1" w:rsidRDefault="001257A1" w:rsidP="000F1979">
            <w:pPr>
              <w:rPr>
                <w:lang w:val="en-US"/>
              </w:rPr>
            </w:pPr>
            <w:r w:rsidRPr="001257A1">
              <w:t xml:space="preserve">Business </w:t>
            </w:r>
            <w:proofErr w:type="spellStart"/>
            <w:r w:rsidRPr="001257A1">
              <w:t>investment</w:t>
            </w:r>
            <w:proofErr w:type="spellEnd"/>
          </w:p>
        </w:tc>
        <w:tc>
          <w:tcPr>
            <w:tcW w:w="0" w:type="auto"/>
            <w:vAlign w:val="bottom"/>
          </w:tcPr>
          <w:p w14:paraId="72C87F0F" w14:textId="77777777" w:rsidR="001257A1" w:rsidRPr="001257A1" w:rsidRDefault="001257A1" w:rsidP="000F1979">
            <w:pPr>
              <w:jc w:val="right"/>
              <w:rPr>
                <w:lang w:val="en-US"/>
              </w:rPr>
            </w:pPr>
            <w:r w:rsidRPr="001257A1">
              <w:t>505</w:t>
            </w:r>
          </w:p>
        </w:tc>
        <w:tc>
          <w:tcPr>
            <w:tcW w:w="0" w:type="auto"/>
            <w:vAlign w:val="bottom"/>
          </w:tcPr>
          <w:p w14:paraId="10BF547E" w14:textId="77777777" w:rsidR="001257A1" w:rsidRPr="001257A1" w:rsidRDefault="001257A1" w:rsidP="000F1979">
            <w:pPr>
              <w:jc w:val="right"/>
              <w:rPr>
                <w:lang w:val="en-US"/>
              </w:rPr>
            </w:pPr>
            <w:r w:rsidRPr="001257A1">
              <w:t>2,7</w:t>
            </w:r>
          </w:p>
        </w:tc>
        <w:tc>
          <w:tcPr>
            <w:tcW w:w="0" w:type="auto"/>
            <w:vAlign w:val="bottom"/>
          </w:tcPr>
          <w:p w14:paraId="17192AEF" w14:textId="77777777" w:rsidR="001257A1" w:rsidRPr="001257A1" w:rsidRDefault="001257A1" w:rsidP="000F1979">
            <w:pPr>
              <w:jc w:val="right"/>
              <w:rPr>
                <w:lang w:val="en-US"/>
              </w:rPr>
            </w:pPr>
            <w:r w:rsidRPr="001257A1">
              <w:t>1,2</w:t>
            </w:r>
          </w:p>
        </w:tc>
        <w:tc>
          <w:tcPr>
            <w:tcW w:w="0" w:type="auto"/>
            <w:vAlign w:val="bottom"/>
          </w:tcPr>
          <w:p w14:paraId="3B90DF67" w14:textId="77777777" w:rsidR="001257A1" w:rsidRPr="001257A1" w:rsidRDefault="001257A1" w:rsidP="000F1979">
            <w:pPr>
              <w:jc w:val="right"/>
              <w:rPr>
                <w:lang w:val="en-US"/>
              </w:rPr>
            </w:pPr>
            <w:r w:rsidRPr="001257A1">
              <w:t>1,3</w:t>
            </w:r>
          </w:p>
        </w:tc>
        <w:tc>
          <w:tcPr>
            <w:tcW w:w="0" w:type="auto"/>
            <w:vAlign w:val="bottom"/>
          </w:tcPr>
          <w:p w14:paraId="3FD73E52" w14:textId="77777777" w:rsidR="001257A1" w:rsidRPr="001257A1" w:rsidRDefault="001257A1" w:rsidP="000F1979">
            <w:pPr>
              <w:jc w:val="right"/>
              <w:rPr>
                <w:lang w:val="en-US"/>
              </w:rPr>
            </w:pPr>
            <w:r w:rsidRPr="001257A1">
              <w:t>3,0</w:t>
            </w:r>
          </w:p>
        </w:tc>
      </w:tr>
      <w:tr w:rsidR="001257A1" w:rsidRPr="001257A1" w14:paraId="177E2247" w14:textId="77777777" w:rsidTr="000F1979">
        <w:trPr>
          <w:cantSplit/>
        </w:trPr>
        <w:tc>
          <w:tcPr>
            <w:tcW w:w="0" w:type="auto"/>
            <w:vAlign w:val="center"/>
          </w:tcPr>
          <w:p w14:paraId="79413707" w14:textId="2F5472B3" w:rsidR="001257A1" w:rsidRPr="001257A1" w:rsidRDefault="001257A1" w:rsidP="000F1979">
            <w:pPr>
              <w:rPr>
                <w:lang w:val="en-US"/>
              </w:rPr>
            </w:pPr>
            <w:proofErr w:type="spellStart"/>
            <w:r w:rsidRPr="001257A1">
              <w:t>Housing</w:t>
            </w:r>
            <w:proofErr w:type="spellEnd"/>
            <w:r w:rsidRPr="001257A1">
              <w:t xml:space="preserve"> </w:t>
            </w:r>
            <w:proofErr w:type="spellStart"/>
            <w:r w:rsidRPr="001257A1">
              <w:t>investment</w:t>
            </w:r>
            <w:proofErr w:type="spellEnd"/>
          </w:p>
        </w:tc>
        <w:tc>
          <w:tcPr>
            <w:tcW w:w="0" w:type="auto"/>
            <w:vAlign w:val="bottom"/>
          </w:tcPr>
          <w:p w14:paraId="55E9032C" w14:textId="77777777" w:rsidR="001257A1" w:rsidRPr="001257A1" w:rsidRDefault="001257A1" w:rsidP="000F1979">
            <w:pPr>
              <w:jc w:val="right"/>
              <w:rPr>
                <w:lang w:val="en-US"/>
              </w:rPr>
            </w:pPr>
            <w:r w:rsidRPr="001257A1">
              <w:t>209</w:t>
            </w:r>
          </w:p>
        </w:tc>
        <w:tc>
          <w:tcPr>
            <w:tcW w:w="0" w:type="auto"/>
            <w:vAlign w:val="bottom"/>
          </w:tcPr>
          <w:p w14:paraId="672BA418" w14:textId="77777777" w:rsidR="001257A1" w:rsidRPr="001257A1" w:rsidRDefault="001257A1" w:rsidP="000F1979">
            <w:pPr>
              <w:jc w:val="right"/>
              <w:rPr>
                <w:lang w:val="en-US"/>
              </w:rPr>
            </w:pPr>
            <w:r w:rsidRPr="001257A1">
              <w:t>-3,6</w:t>
            </w:r>
          </w:p>
        </w:tc>
        <w:tc>
          <w:tcPr>
            <w:tcW w:w="0" w:type="auto"/>
            <w:vAlign w:val="bottom"/>
          </w:tcPr>
          <w:p w14:paraId="10432941" w14:textId="77777777" w:rsidR="001257A1" w:rsidRPr="001257A1" w:rsidRDefault="001257A1" w:rsidP="000F1979">
            <w:pPr>
              <w:jc w:val="right"/>
              <w:rPr>
                <w:lang w:val="en-US"/>
              </w:rPr>
            </w:pPr>
            <w:r w:rsidRPr="001257A1">
              <w:t>-0,4</w:t>
            </w:r>
          </w:p>
        </w:tc>
        <w:tc>
          <w:tcPr>
            <w:tcW w:w="0" w:type="auto"/>
            <w:vAlign w:val="bottom"/>
          </w:tcPr>
          <w:p w14:paraId="7B9251BD" w14:textId="77777777" w:rsidR="001257A1" w:rsidRPr="001257A1" w:rsidRDefault="001257A1" w:rsidP="000F1979">
            <w:pPr>
              <w:jc w:val="right"/>
              <w:rPr>
                <w:lang w:val="en-US"/>
              </w:rPr>
            </w:pPr>
            <w:r w:rsidRPr="001257A1">
              <w:t>3,2</w:t>
            </w:r>
          </w:p>
        </w:tc>
        <w:tc>
          <w:tcPr>
            <w:tcW w:w="0" w:type="auto"/>
            <w:vAlign w:val="bottom"/>
          </w:tcPr>
          <w:p w14:paraId="3756C987" w14:textId="77777777" w:rsidR="001257A1" w:rsidRPr="001257A1" w:rsidRDefault="001257A1" w:rsidP="000F1979">
            <w:pPr>
              <w:jc w:val="right"/>
              <w:rPr>
                <w:lang w:val="en-US"/>
              </w:rPr>
            </w:pPr>
            <w:r w:rsidRPr="001257A1">
              <w:t>3,8</w:t>
            </w:r>
          </w:p>
        </w:tc>
      </w:tr>
      <w:tr w:rsidR="001257A1" w:rsidRPr="001257A1" w14:paraId="2B20B256" w14:textId="77777777" w:rsidTr="000F1979">
        <w:trPr>
          <w:cantSplit/>
        </w:trPr>
        <w:tc>
          <w:tcPr>
            <w:tcW w:w="0" w:type="auto"/>
            <w:vAlign w:val="center"/>
          </w:tcPr>
          <w:p w14:paraId="5CF5B64A" w14:textId="6A8040DD" w:rsidR="001257A1" w:rsidRPr="001257A1" w:rsidRDefault="001257A1" w:rsidP="000F1979">
            <w:pPr>
              <w:rPr>
                <w:lang w:val="en-US"/>
              </w:rPr>
            </w:pPr>
            <w:r w:rsidRPr="001257A1">
              <w:t xml:space="preserve">Public </w:t>
            </w:r>
            <w:proofErr w:type="spellStart"/>
            <w:r w:rsidRPr="001257A1">
              <w:t>sector</w:t>
            </w:r>
            <w:proofErr w:type="spellEnd"/>
            <w:r w:rsidRPr="001257A1">
              <w:t xml:space="preserve"> </w:t>
            </w:r>
            <w:proofErr w:type="spellStart"/>
            <w:r w:rsidRPr="001257A1">
              <w:t>demand</w:t>
            </w:r>
            <w:proofErr w:type="spellEnd"/>
          </w:p>
        </w:tc>
        <w:tc>
          <w:tcPr>
            <w:tcW w:w="0" w:type="auto"/>
            <w:vAlign w:val="bottom"/>
          </w:tcPr>
          <w:p w14:paraId="595F0D12" w14:textId="77777777" w:rsidR="001257A1" w:rsidRPr="001257A1" w:rsidRDefault="001257A1" w:rsidP="000F1979">
            <w:pPr>
              <w:jc w:val="right"/>
              <w:rPr>
                <w:lang w:val="en-US"/>
              </w:rPr>
            </w:pPr>
            <w:r w:rsidRPr="001257A1">
              <w:t>1539</w:t>
            </w:r>
          </w:p>
        </w:tc>
        <w:tc>
          <w:tcPr>
            <w:tcW w:w="0" w:type="auto"/>
            <w:vAlign w:val="bottom"/>
          </w:tcPr>
          <w:p w14:paraId="2E8563BA" w14:textId="77777777" w:rsidR="001257A1" w:rsidRPr="001257A1" w:rsidRDefault="001257A1" w:rsidP="000F1979">
            <w:pPr>
              <w:jc w:val="right"/>
              <w:rPr>
                <w:lang w:val="en-US"/>
              </w:rPr>
            </w:pPr>
            <w:r w:rsidRPr="001257A1">
              <w:t>1,4</w:t>
            </w:r>
          </w:p>
        </w:tc>
        <w:tc>
          <w:tcPr>
            <w:tcW w:w="0" w:type="auto"/>
            <w:vAlign w:val="bottom"/>
          </w:tcPr>
          <w:p w14:paraId="4E4F9788" w14:textId="77777777" w:rsidR="001257A1" w:rsidRPr="001257A1" w:rsidRDefault="001257A1" w:rsidP="000F1979">
            <w:pPr>
              <w:jc w:val="right"/>
              <w:rPr>
                <w:lang w:val="en-US"/>
              </w:rPr>
            </w:pPr>
            <w:r w:rsidRPr="001257A1">
              <w:t>1,1</w:t>
            </w:r>
          </w:p>
        </w:tc>
        <w:tc>
          <w:tcPr>
            <w:tcW w:w="0" w:type="auto"/>
            <w:vAlign w:val="bottom"/>
          </w:tcPr>
          <w:p w14:paraId="5E7528C0" w14:textId="77777777" w:rsidR="001257A1" w:rsidRPr="001257A1" w:rsidRDefault="001257A1" w:rsidP="000F1979">
            <w:pPr>
              <w:jc w:val="right"/>
              <w:rPr>
                <w:lang w:val="en-US"/>
              </w:rPr>
            </w:pPr>
            <w:r w:rsidRPr="001257A1">
              <w:t>1,7</w:t>
            </w:r>
          </w:p>
        </w:tc>
        <w:tc>
          <w:tcPr>
            <w:tcW w:w="0" w:type="auto"/>
            <w:vAlign w:val="bottom"/>
          </w:tcPr>
          <w:p w14:paraId="4FA9409D" w14:textId="77777777" w:rsidR="001257A1" w:rsidRPr="001257A1" w:rsidRDefault="001257A1" w:rsidP="000F1979">
            <w:pPr>
              <w:jc w:val="right"/>
              <w:rPr>
                <w:lang w:val="en-US"/>
              </w:rPr>
            </w:pPr>
            <w:r w:rsidRPr="001257A1">
              <w:t>1,7</w:t>
            </w:r>
          </w:p>
        </w:tc>
      </w:tr>
      <w:tr w:rsidR="001257A1" w:rsidRPr="001257A1" w14:paraId="1686E2DE" w14:textId="77777777" w:rsidTr="000F1979">
        <w:trPr>
          <w:cantSplit/>
        </w:trPr>
        <w:tc>
          <w:tcPr>
            <w:tcW w:w="0" w:type="auto"/>
            <w:vAlign w:val="center"/>
          </w:tcPr>
          <w:p w14:paraId="206644EB" w14:textId="5DDFBA44" w:rsidR="001257A1" w:rsidRPr="001257A1" w:rsidRDefault="001257A1" w:rsidP="000F1979">
            <w:pPr>
              <w:rPr>
                <w:lang w:val="en-US"/>
              </w:rPr>
            </w:pPr>
            <w:r w:rsidRPr="001257A1">
              <w:t xml:space="preserve">Petroleum </w:t>
            </w:r>
            <w:proofErr w:type="spellStart"/>
            <w:r w:rsidRPr="001257A1">
              <w:t>investment</w:t>
            </w:r>
            <w:proofErr w:type="spellEnd"/>
          </w:p>
        </w:tc>
        <w:tc>
          <w:tcPr>
            <w:tcW w:w="0" w:type="auto"/>
            <w:vAlign w:val="bottom"/>
          </w:tcPr>
          <w:p w14:paraId="0E6E9D47" w14:textId="77777777" w:rsidR="001257A1" w:rsidRPr="001257A1" w:rsidRDefault="001257A1" w:rsidP="000F1979">
            <w:pPr>
              <w:jc w:val="right"/>
              <w:rPr>
                <w:lang w:val="en-US"/>
              </w:rPr>
            </w:pPr>
            <w:r w:rsidRPr="001257A1">
              <w:t>281</w:t>
            </w:r>
          </w:p>
        </w:tc>
        <w:tc>
          <w:tcPr>
            <w:tcW w:w="0" w:type="auto"/>
            <w:vAlign w:val="bottom"/>
          </w:tcPr>
          <w:p w14:paraId="44945F38" w14:textId="77777777" w:rsidR="001257A1" w:rsidRPr="001257A1" w:rsidRDefault="001257A1" w:rsidP="000F1979">
            <w:pPr>
              <w:jc w:val="right"/>
              <w:rPr>
                <w:lang w:val="en-US"/>
              </w:rPr>
            </w:pPr>
            <w:r w:rsidRPr="001257A1">
              <w:t>7,2</w:t>
            </w:r>
          </w:p>
        </w:tc>
        <w:tc>
          <w:tcPr>
            <w:tcW w:w="0" w:type="auto"/>
            <w:vAlign w:val="bottom"/>
          </w:tcPr>
          <w:p w14:paraId="0B15CA8D" w14:textId="77777777" w:rsidR="001257A1" w:rsidRPr="001257A1" w:rsidRDefault="001257A1" w:rsidP="000F1979">
            <w:pPr>
              <w:jc w:val="right"/>
              <w:rPr>
                <w:lang w:val="en-US"/>
              </w:rPr>
            </w:pPr>
            <w:r w:rsidRPr="001257A1">
              <w:t>-2,0</w:t>
            </w:r>
          </w:p>
        </w:tc>
        <w:tc>
          <w:tcPr>
            <w:tcW w:w="0" w:type="auto"/>
            <w:vAlign w:val="bottom"/>
          </w:tcPr>
          <w:p w14:paraId="5E084994" w14:textId="77777777" w:rsidR="001257A1" w:rsidRPr="001257A1" w:rsidRDefault="001257A1" w:rsidP="000F1979">
            <w:pPr>
              <w:jc w:val="right"/>
              <w:rPr>
                <w:lang w:val="en-US"/>
              </w:rPr>
            </w:pPr>
            <w:r w:rsidRPr="001257A1">
              <w:t>-4,0</w:t>
            </w:r>
          </w:p>
        </w:tc>
        <w:tc>
          <w:tcPr>
            <w:tcW w:w="0" w:type="auto"/>
            <w:vAlign w:val="bottom"/>
          </w:tcPr>
          <w:p w14:paraId="7EFBA21B" w14:textId="77777777" w:rsidR="001257A1" w:rsidRPr="001257A1" w:rsidRDefault="001257A1" w:rsidP="000F1979">
            <w:pPr>
              <w:jc w:val="right"/>
              <w:rPr>
                <w:lang w:val="en-US"/>
              </w:rPr>
            </w:pPr>
            <w:r w:rsidRPr="001257A1">
              <w:t>-7,7</w:t>
            </w:r>
          </w:p>
        </w:tc>
      </w:tr>
      <w:tr w:rsidR="001257A1" w:rsidRPr="001257A1" w14:paraId="7AFE5A08" w14:textId="77777777" w:rsidTr="000F1979">
        <w:trPr>
          <w:cantSplit/>
        </w:trPr>
        <w:tc>
          <w:tcPr>
            <w:tcW w:w="0" w:type="auto"/>
            <w:vAlign w:val="center"/>
          </w:tcPr>
          <w:p w14:paraId="4FBA1845" w14:textId="080DCE9B" w:rsidR="001257A1" w:rsidRPr="001257A1" w:rsidRDefault="001257A1" w:rsidP="000F1979">
            <w:pPr>
              <w:rPr>
                <w:lang w:val="en-US"/>
              </w:rPr>
            </w:pPr>
            <w:proofErr w:type="spellStart"/>
            <w:r w:rsidRPr="001257A1">
              <w:t>Export</w:t>
            </w:r>
            <w:proofErr w:type="spellEnd"/>
          </w:p>
        </w:tc>
        <w:tc>
          <w:tcPr>
            <w:tcW w:w="0" w:type="auto"/>
            <w:vAlign w:val="bottom"/>
          </w:tcPr>
          <w:p w14:paraId="3141DCB1" w14:textId="77777777" w:rsidR="001257A1" w:rsidRPr="001257A1" w:rsidRDefault="001257A1" w:rsidP="000F1979">
            <w:pPr>
              <w:jc w:val="right"/>
              <w:rPr>
                <w:lang w:val="en-US"/>
              </w:rPr>
            </w:pPr>
            <w:r w:rsidRPr="001257A1">
              <w:t>2504</w:t>
            </w:r>
          </w:p>
        </w:tc>
        <w:tc>
          <w:tcPr>
            <w:tcW w:w="0" w:type="auto"/>
            <w:vAlign w:val="bottom"/>
          </w:tcPr>
          <w:p w14:paraId="46BC5308" w14:textId="77777777" w:rsidR="001257A1" w:rsidRPr="001257A1" w:rsidRDefault="001257A1" w:rsidP="000F1979">
            <w:pPr>
              <w:jc w:val="right"/>
              <w:rPr>
                <w:lang w:val="en-US"/>
              </w:rPr>
            </w:pPr>
            <w:r w:rsidRPr="001257A1">
              <w:t>2,7</w:t>
            </w:r>
          </w:p>
        </w:tc>
        <w:tc>
          <w:tcPr>
            <w:tcW w:w="0" w:type="auto"/>
            <w:vAlign w:val="bottom"/>
          </w:tcPr>
          <w:p w14:paraId="41CA46DA" w14:textId="77777777" w:rsidR="001257A1" w:rsidRPr="001257A1" w:rsidRDefault="001257A1" w:rsidP="000F1979">
            <w:pPr>
              <w:jc w:val="right"/>
              <w:rPr>
                <w:lang w:val="en-US"/>
              </w:rPr>
            </w:pPr>
            <w:r w:rsidRPr="001257A1">
              <w:t>2,9</w:t>
            </w:r>
          </w:p>
        </w:tc>
        <w:tc>
          <w:tcPr>
            <w:tcW w:w="0" w:type="auto"/>
            <w:vAlign w:val="bottom"/>
          </w:tcPr>
          <w:p w14:paraId="080CF716" w14:textId="77777777" w:rsidR="001257A1" w:rsidRPr="001257A1" w:rsidRDefault="001257A1" w:rsidP="000F1979">
            <w:pPr>
              <w:jc w:val="right"/>
              <w:rPr>
                <w:lang w:val="en-US"/>
              </w:rPr>
            </w:pPr>
            <w:r w:rsidRPr="001257A1">
              <w:t>-0,3</w:t>
            </w:r>
          </w:p>
        </w:tc>
        <w:tc>
          <w:tcPr>
            <w:tcW w:w="0" w:type="auto"/>
            <w:vAlign w:val="bottom"/>
          </w:tcPr>
          <w:p w14:paraId="746FAAF4" w14:textId="77777777" w:rsidR="001257A1" w:rsidRPr="001257A1" w:rsidRDefault="001257A1" w:rsidP="000F1979">
            <w:pPr>
              <w:jc w:val="right"/>
              <w:rPr>
                <w:lang w:val="en-US"/>
              </w:rPr>
            </w:pPr>
            <w:r w:rsidRPr="001257A1">
              <w:t>-0,3</w:t>
            </w:r>
          </w:p>
        </w:tc>
      </w:tr>
      <w:tr w:rsidR="001257A1" w:rsidRPr="001257A1" w14:paraId="5B714904" w14:textId="77777777" w:rsidTr="000F1979">
        <w:trPr>
          <w:cantSplit/>
        </w:trPr>
        <w:tc>
          <w:tcPr>
            <w:tcW w:w="0" w:type="auto"/>
            <w:vAlign w:val="center"/>
          </w:tcPr>
          <w:p w14:paraId="0AD0EDCE" w14:textId="04E7E9F3" w:rsidR="001257A1" w:rsidRPr="001257A1" w:rsidRDefault="001257A1" w:rsidP="000F1979">
            <w:pPr>
              <w:rPr>
                <w:lang w:val="en-US"/>
              </w:rPr>
            </w:pPr>
            <w:r w:rsidRPr="00385D5F">
              <w:rPr>
                <w:lang w:val="en-GB"/>
              </w:rPr>
              <w:t>Crude oil and natural gas</w:t>
            </w:r>
          </w:p>
        </w:tc>
        <w:tc>
          <w:tcPr>
            <w:tcW w:w="0" w:type="auto"/>
            <w:vAlign w:val="bottom"/>
          </w:tcPr>
          <w:p w14:paraId="0C3FA5EC" w14:textId="77777777" w:rsidR="001257A1" w:rsidRPr="001257A1" w:rsidRDefault="001257A1" w:rsidP="000F1979">
            <w:pPr>
              <w:jc w:val="right"/>
              <w:rPr>
                <w:lang w:val="en-US"/>
              </w:rPr>
            </w:pPr>
            <w:r w:rsidRPr="001257A1">
              <w:t>1100</w:t>
            </w:r>
          </w:p>
        </w:tc>
        <w:tc>
          <w:tcPr>
            <w:tcW w:w="0" w:type="auto"/>
            <w:vAlign w:val="bottom"/>
          </w:tcPr>
          <w:p w14:paraId="00CCF70D" w14:textId="77777777" w:rsidR="001257A1" w:rsidRPr="001257A1" w:rsidRDefault="001257A1" w:rsidP="000F1979">
            <w:pPr>
              <w:jc w:val="right"/>
              <w:rPr>
                <w:lang w:val="en-US"/>
              </w:rPr>
            </w:pPr>
            <w:r w:rsidRPr="001257A1">
              <w:t>0,8</w:t>
            </w:r>
          </w:p>
        </w:tc>
        <w:tc>
          <w:tcPr>
            <w:tcW w:w="0" w:type="auto"/>
            <w:vAlign w:val="bottom"/>
          </w:tcPr>
          <w:p w14:paraId="522E568F" w14:textId="77777777" w:rsidR="001257A1" w:rsidRPr="001257A1" w:rsidRDefault="001257A1" w:rsidP="000F1979">
            <w:pPr>
              <w:jc w:val="right"/>
              <w:rPr>
                <w:lang w:val="en-US"/>
              </w:rPr>
            </w:pPr>
            <w:r w:rsidRPr="001257A1">
              <w:t>4,5</w:t>
            </w:r>
          </w:p>
        </w:tc>
        <w:tc>
          <w:tcPr>
            <w:tcW w:w="0" w:type="auto"/>
            <w:vAlign w:val="bottom"/>
          </w:tcPr>
          <w:p w14:paraId="56BB8590" w14:textId="77777777" w:rsidR="001257A1" w:rsidRPr="001257A1" w:rsidRDefault="001257A1" w:rsidP="000F1979">
            <w:pPr>
              <w:jc w:val="right"/>
              <w:rPr>
                <w:lang w:val="en-US"/>
              </w:rPr>
            </w:pPr>
            <w:r w:rsidRPr="001257A1">
              <w:t>-2,9</w:t>
            </w:r>
          </w:p>
        </w:tc>
        <w:tc>
          <w:tcPr>
            <w:tcW w:w="0" w:type="auto"/>
            <w:vAlign w:val="bottom"/>
          </w:tcPr>
          <w:p w14:paraId="72FFD3E7" w14:textId="77777777" w:rsidR="001257A1" w:rsidRPr="001257A1" w:rsidRDefault="001257A1" w:rsidP="000F1979">
            <w:pPr>
              <w:jc w:val="right"/>
              <w:rPr>
                <w:lang w:val="en-US"/>
              </w:rPr>
            </w:pPr>
            <w:r w:rsidRPr="001257A1">
              <w:t>-3,0</w:t>
            </w:r>
          </w:p>
        </w:tc>
      </w:tr>
      <w:tr w:rsidR="001257A1" w:rsidRPr="001257A1" w14:paraId="0F534A1C" w14:textId="77777777" w:rsidTr="000F1979">
        <w:trPr>
          <w:cantSplit/>
        </w:trPr>
        <w:tc>
          <w:tcPr>
            <w:tcW w:w="0" w:type="auto"/>
            <w:vAlign w:val="center"/>
          </w:tcPr>
          <w:p w14:paraId="240B0149" w14:textId="3008252A" w:rsidR="001257A1" w:rsidRPr="001257A1" w:rsidRDefault="001257A1" w:rsidP="000F1979">
            <w:pPr>
              <w:rPr>
                <w:lang w:val="en-US"/>
              </w:rPr>
            </w:pPr>
            <w:r w:rsidRPr="001257A1">
              <w:t>Mainland Norway</w:t>
            </w:r>
          </w:p>
        </w:tc>
        <w:tc>
          <w:tcPr>
            <w:tcW w:w="0" w:type="auto"/>
            <w:vAlign w:val="bottom"/>
          </w:tcPr>
          <w:p w14:paraId="553D1766" w14:textId="77777777" w:rsidR="001257A1" w:rsidRPr="001257A1" w:rsidRDefault="001257A1" w:rsidP="000F1979">
            <w:pPr>
              <w:jc w:val="right"/>
              <w:rPr>
                <w:lang w:val="en-US"/>
              </w:rPr>
            </w:pPr>
            <w:r w:rsidRPr="001257A1">
              <w:t>1216</w:t>
            </w:r>
          </w:p>
        </w:tc>
        <w:tc>
          <w:tcPr>
            <w:tcW w:w="0" w:type="auto"/>
            <w:vAlign w:val="bottom"/>
          </w:tcPr>
          <w:p w14:paraId="23B781A4" w14:textId="77777777" w:rsidR="001257A1" w:rsidRPr="001257A1" w:rsidRDefault="001257A1" w:rsidP="000F1979">
            <w:pPr>
              <w:jc w:val="right"/>
              <w:rPr>
                <w:lang w:val="en-US"/>
              </w:rPr>
            </w:pPr>
            <w:r w:rsidRPr="001257A1">
              <w:t>5,9</w:t>
            </w:r>
          </w:p>
        </w:tc>
        <w:tc>
          <w:tcPr>
            <w:tcW w:w="0" w:type="auto"/>
            <w:vAlign w:val="bottom"/>
          </w:tcPr>
          <w:p w14:paraId="51F54565" w14:textId="77777777" w:rsidR="001257A1" w:rsidRPr="001257A1" w:rsidRDefault="001257A1" w:rsidP="000F1979">
            <w:pPr>
              <w:jc w:val="right"/>
              <w:rPr>
                <w:lang w:val="en-US"/>
              </w:rPr>
            </w:pPr>
            <w:r w:rsidRPr="001257A1">
              <w:t>1,2</w:t>
            </w:r>
          </w:p>
        </w:tc>
        <w:tc>
          <w:tcPr>
            <w:tcW w:w="0" w:type="auto"/>
            <w:vAlign w:val="bottom"/>
          </w:tcPr>
          <w:p w14:paraId="49742535" w14:textId="77777777" w:rsidR="001257A1" w:rsidRPr="001257A1" w:rsidRDefault="001257A1" w:rsidP="000F1979">
            <w:pPr>
              <w:jc w:val="right"/>
              <w:rPr>
                <w:lang w:val="en-US"/>
              </w:rPr>
            </w:pPr>
            <w:r w:rsidRPr="001257A1">
              <w:t>2,1</w:t>
            </w:r>
          </w:p>
        </w:tc>
        <w:tc>
          <w:tcPr>
            <w:tcW w:w="0" w:type="auto"/>
            <w:vAlign w:val="bottom"/>
          </w:tcPr>
          <w:p w14:paraId="07C44337" w14:textId="77777777" w:rsidR="001257A1" w:rsidRPr="001257A1" w:rsidRDefault="001257A1" w:rsidP="000F1979">
            <w:pPr>
              <w:jc w:val="right"/>
              <w:rPr>
                <w:lang w:val="en-US"/>
              </w:rPr>
            </w:pPr>
            <w:r w:rsidRPr="001257A1">
              <w:t>1,9</w:t>
            </w:r>
          </w:p>
        </w:tc>
      </w:tr>
      <w:tr w:rsidR="001257A1" w:rsidRPr="001257A1" w14:paraId="39FA1650" w14:textId="77777777" w:rsidTr="000F1979">
        <w:trPr>
          <w:cantSplit/>
        </w:trPr>
        <w:tc>
          <w:tcPr>
            <w:tcW w:w="0" w:type="auto"/>
            <w:vAlign w:val="center"/>
          </w:tcPr>
          <w:p w14:paraId="094EBF56" w14:textId="1A75EE92" w:rsidR="001257A1" w:rsidRPr="001257A1" w:rsidRDefault="001257A1" w:rsidP="000F1979">
            <w:pPr>
              <w:rPr>
                <w:lang w:val="en-US"/>
              </w:rPr>
            </w:pPr>
            <w:r w:rsidRPr="001257A1">
              <w:t>Import</w:t>
            </w:r>
          </w:p>
        </w:tc>
        <w:tc>
          <w:tcPr>
            <w:tcW w:w="0" w:type="auto"/>
            <w:vAlign w:val="bottom"/>
          </w:tcPr>
          <w:p w14:paraId="2D0EEB55" w14:textId="77777777" w:rsidR="001257A1" w:rsidRPr="001257A1" w:rsidRDefault="001257A1" w:rsidP="000F1979">
            <w:pPr>
              <w:jc w:val="right"/>
              <w:rPr>
                <w:lang w:val="en-US"/>
              </w:rPr>
            </w:pPr>
            <w:r w:rsidRPr="001257A1">
              <w:t>1858</w:t>
            </w:r>
          </w:p>
        </w:tc>
        <w:tc>
          <w:tcPr>
            <w:tcW w:w="0" w:type="auto"/>
            <w:vAlign w:val="bottom"/>
          </w:tcPr>
          <w:p w14:paraId="3066F259" w14:textId="77777777" w:rsidR="001257A1" w:rsidRPr="001257A1" w:rsidRDefault="001257A1" w:rsidP="000F1979">
            <w:pPr>
              <w:jc w:val="right"/>
              <w:rPr>
                <w:lang w:val="en-US"/>
              </w:rPr>
            </w:pPr>
            <w:r w:rsidRPr="001257A1">
              <w:t>2,6</w:t>
            </w:r>
          </w:p>
        </w:tc>
        <w:tc>
          <w:tcPr>
            <w:tcW w:w="0" w:type="auto"/>
            <w:vAlign w:val="bottom"/>
          </w:tcPr>
          <w:p w14:paraId="786C0B55" w14:textId="77777777" w:rsidR="001257A1" w:rsidRPr="001257A1" w:rsidRDefault="001257A1" w:rsidP="000F1979">
            <w:pPr>
              <w:jc w:val="right"/>
              <w:rPr>
                <w:lang w:val="en-US"/>
              </w:rPr>
            </w:pPr>
            <w:r w:rsidRPr="001257A1">
              <w:t>1,4</w:t>
            </w:r>
          </w:p>
        </w:tc>
        <w:tc>
          <w:tcPr>
            <w:tcW w:w="0" w:type="auto"/>
            <w:vAlign w:val="bottom"/>
          </w:tcPr>
          <w:p w14:paraId="63FBB543" w14:textId="77777777" w:rsidR="001257A1" w:rsidRPr="001257A1" w:rsidRDefault="001257A1" w:rsidP="000F1979">
            <w:pPr>
              <w:jc w:val="right"/>
              <w:rPr>
                <w:lang w:val="en-US"/>
              </w:rPr>
            </w:pPr>
            <w:r w:rsidRPr="001257A1">
              <w:t>1,2</w:t>
            </w:r>
          </w:p>
        </w:tc>
        <w:tc>
          <w:tcPr>
            <w:tcW w:w="0" w:type="auto"/>
            <w:vAlign w:val="bottom"/>
          </w:tcPr>
          <w:p w14:paraId="4A65AF12" w14:textId="77777777" w:rsidR="001257A1" w:rsidRPr="001257A1" w:rsidRDefault="001257A1" w:rsidP="000F1979">
            <w:pPr>
              <w:jc w:val="right"/>
              <w:rPr>
                <w:lang w:val="en-US"/>
              </w:rPr>
            </w:pPr>
            <w:r w:rsidRPr="001257A1">
              <w:t>2,2</w:t>
            </w:r>
          </w:p>
        </w:tc>
      </w:tr>
      <w:tr w:rsidR="001257A1" w:rsidRPr="001257A1" w14:paraId="0A3AF3AC" w14:textId="77777777" w:rsidTr="000F1979">
        <w:trPr>
          <w:cantSplit/>
        </w:trPr>
        <w:tc>
          <w:tcPr>
            <w:tcW w:w="0" w:type="auto"/>
            <w:vAlign w:val="center"/>
          </w:tcPr>
          <w:p w14:paraId="4A36CD8F" w14:textId="0457A036" w:rsidR="001257A1" w:rsidRPr="001257A1" w:rsidRDefault="001257A1" w:rsidP="000F1979">
            <w:pPr>
              <w:rPr>
                <w:lang w:val="en-US"/>
              </w:rPr>
            </w:pPr>
            <w:r w:rsidRPr="001257A1">
              <w:t xml:space="preserve">Gross </w:t>
            </w:r>
            <w:proofErr w:type="spellStart"/>
            <w:r w:rsidRPr="001257A1">
              <w:t>domestic</w:t>
            </w:r>
            <w:proofErr w:type="spellEnd"/>
            <w:r w:rsidRPr="001257A1">
              <w:t xml:space="preserve"> </w:t>
            </w:r>
            <w:proofErr w:type="spellStart"/>
            <w:r w:rsidRPr="001257A1">
              <w:t>product</w:t>
            </w:r>
            <w:proofErr w:type="spellEnd"/>
            <w:r w:rsidRPr="001257A1">
              <w:t xml:space="preserve"> (GDP)</w:t>
            </w:r>
          </w:p>
        </w:tc>
        <w:tc>
          <w:tcPr>
            <w:tcW w:w="0" w:type="auto"/>
            <w:vAlign w:val="bottom"/>
          </w:tcPr>
          <w:p w14:paraId="3378C044" w14:textId="77777777" w:rsidR="001257A1" w:rsidRPr="001257A1" w:rsidRDefault="001257A1" w:rsidP="000F1979">
            <w:pPr>
              <w:jc w:val="right"/>
              <w:rPr>
                <w:lang w:val="en-US"/>
              </w:rPr>
            </w:pPr>
            <w:r w:rsidRPr="001257A1">
              <w:t>5511</w:t>
            </w:r>
          </w:p>
        </w:tc>
        <w:tc>
          <w:tcPr>
            <w:tcW w:w="0" w:type="auto"/>
            <w:vAlign w:val="bottom"/>
          </w:tcPr>
          <w:p w14:paraId="3A74B7F6" w14:textId="77777777" w:rsidR="001257A1" w:rsidRPr="001257A1" w:rsidRDefault="001257A1" w:rsidP="000F1979">
            <w:pPr>
              <w:jc w:val="right"/>
              <w:rPr>
                <w:lang w:val="en-US"/>
              </w:rPr>
            </w:pPr>
            <w:r w:rsidRPr="001257A1">
              <w:t>1,1</w:t>
            </w:r>
          </w:p>
        </w:tc>
        <w:tc>
          <w:tcPr>
            <w:tcW w:w="0" w:type="auto"/>
            <w:vAlign w:val="bottom"/>
          </w:tcPr>
          <w:p w14:paraId="2AC2283E" w14:textId="77777777" w:rsidR="001257A1" w:rsidRPr="001257A1" w:rsidRDefault="001257A1" w:rsidP="000F1979">
            <w:pPr>
              <w:jc w:val="right"/>
              <w:rPr>
                <w:lang w:val="en-US"/>
              </w:rPr>
            </w:pPr>
            <w:r w:rsidRPr="001257A1">
              <w:t>1,3</w:t>
            </w:r>
          </w:p>
        </w:tc>
        <w:tc>
          <w:tcPr>
            <w:tcW w:w="0" w:type="auto"/>
            <w:vAlign w:val="bottom"/>
          </w:tcPr>
          <w:p w14:paraId="758E9E20" w14:textId="77777777" w:rsidR="001257A1" w:rsidRPr="001257A1" w:rsidRDefault="001257A1" w:rsidP="000F1979">
            <w:pPr>
              <w:jc w:val="right"/>
              <w:rPr>
                <w:lang w:val="en-US"/>
              </w:rPr>
            </w:pPr>
            <w:r w:rsidRPr="001257A1">
              <w:t>0,7</w:t>
            </w:r>
          </w:p>
        </w:tc>
        <w:tc>
          <w:tcPr>
            <w:tcW w:w="0" w:type="auto"/>
            <w:vAlign w:val="bottom"/>
          </w:tcPr>
          <w:p w14:paraId="7B551607" w14:textId="77777777" w:rsidR="001257A1" w:rsidRPr="001257A1" w:rsidRDefault="001257A1" w:rsidP="000F1979">
            <w:pPr>
              <w:jc w:val="right"/>
              <w:rPr>
                <w:lang w:val="en-US"/>
              </w:rPr>
            </w:pPr>
            <w:r w:rsidRPr="001257A1">
              <w:t>0,4</w:t>
            </w:r>
          </w:p>
        </w:tc>
      </w:tr>
      <w:tr w:rsidR="001257A1" w:rsidRPr="001257A1" w14:paraId="0BD1B3EA" w14:textId="77777777" w:rsidTr="000F1979">
        <w:trPr>
          <w:cantSplit/>
        </w:trPr>
        <w:tc>
          <w:tcPr>
            <w:tcW w:w="0" w:type="auto"/>
            <w:vAlign w:val="center"/>
          </w:tcPr>
          <w:p w14:paraId="12A2BAF8" w14:textId="0972A41B" w:rsidR="001257A1" w:rsidRPr="00BC269C" w:rsidRDefault="00AA4C2A" w:rsidP="000F1979">
            <w:pPr>
              <w:rPr>
                <w:rStyle w:val="kursiv"/>
                <w:lang w:val="en-US"/>
              </w:rPr>
            </w:pPr>
            <w:r w:rsidRPr="00BC269C">
              <w:rPr>
                <w:rStyle w:val="kursiv"/>
              </w:rPr>
              <w:t>Prices</w:t>
            </w:r>
          </w:p>
        </w:tc>
        <w:tc>
          <w:tcPr>
            <w:tcW w:w="0" w:type="auto"/>
            <w:vAlign w:val="bottom"/>
          </w:tcPr>
          <w:p w14:paraId="07EB7964" w14:textId="30A9F356" w:rsidR="001257A1" w:rsidRPr="001257A1" w:rsidRDefault="001257A1" w:rsidP="000F1979">
            <w:pPr>
              <w:jc w:val="right"/>
              <w:rPr>
                <w:lang w:val="en-US"/>
              </w:rPr>
            </w:pPr>
          </w:p>
        </w:tc>
        <w:tc>
          <w:tcPr>
            <w:tcW w:w="0" w:type="auto"/>
            <w:vAlign w:val="bottom"/>
          </w:tcPr>
          <w:p w14:paraId="6F9C94C4" w14:textId="02E8FB2B" w:rsidR="001257A1" w:rsidRPr="001257A1" w:rsidRDefault="001257A1" w:rsidP="000F1979">
            <w:pPr>
              <w:jc w:val="right"/>
              <w:rPr>
                <w:lang w:val="en-US"/>
              </w:rPr>
            </w:pPr>
          </w:p>
        </w:tc>
        <w:tc>
          <w:tcPr>
            <w:tcW w:w="0" w:type="auto"/>
            <w:vAlign w:val="bottom"/>
          </w:tcPr>
          <w:p w14:paraId="6504202E" w14:textId="3EF85AB1" w:rsidR="001257A1" w:rsidRPr="001257A1" w:rsidRDefault="001257A1" w:rsidP="000F1979">
            <w:pPr>
              <w:jc w:val="right"/>
              <w:rPr>
                <w:lang w:val="en-US"/>
              </w:rPr>
            </w:pPr>
          </w:p>
        </w:tc>
        <w:tc>
          <w:tcPr>
            <w:tcW w:w="0" w:type="auto"/>
            <w:vAlign w:val="bottom"/>
          </w:tcPr>
          <w:p w14:paraId="6A538403" w14:textId="58BC0960" w:rsidR="001257A1" w:rsidRPr="001257A1" w:rsidRDefault="001257A1" w:rsidP="000F1979">
            <w:pPr>
              <w:jc w:val="right"/>
              <w:rPr>
                <w:lang w:val="en-US"/>
              </w:rPr>
            </w:pPr>
          </w:p>
        </w:tc>
        <w:tc>
          <w:tcPr>
            <w:tcW w:w="0" w:type="auto"/>
            <w:vAlign w:val="bottom"/>
          </w:tcPr>
          <w:p w14:paraId="20FC583C" w14:textId="40C086E2" w:rsidR="001257A1" w:rsidRPr="001257A1" w:rsidRDefault="001257A1" w:rsidP="000F1979">
            <w:pPr>
              <w:jc w:val="right"/>
              <w:rPr>
                <w:lang w:val="en-US"/>
              </w:rPr>
            </w:pPr>
          </w:p>
        </w:tc>
      </w:tr>
      <w:tr w:rsidR="001257A1" w:rsidRPr="001257A1" w14:paraId="6F57FF1E" w14:textId="77777777" w:rsidTr="000F1979">
        <w:trPr>
          <w:cantSplit/>
        </w:trPr>
        <w:tc>
          <w:tcPr>
            <w:tcW w:w="0" w:type="auto"/>
            <w:vAlign w:val="center"/>
          </w:tcPr>
          <w:p w14:paraId="06EFE1BE" w14:textId="60420B03" w:rsidR="001257A1" w:rsidRPr="001257A1" w:rsidRDefault="001257A1" w:rsidP="000F1979">
            <w:pPr>
              <w:rPr>
                <w:lang w:val="en-US"/>
              </w:rPr>
            </w:pPr>
            <w:proofErr w:type="spellStart"/>
            <w:r w:rsidRPr="001257A1">
              <w:t>Annual</w:t>
            </w:r>
            <w:proofErr w:type="spellEnd"/>
            <w:r w:rsidRPr="001257A1">
              <w:t xml:space="preserve"> </w:t>
            </w:r>
            <w:proofErr w:type="spellStart"/>
            <w:r w:rsidRPr="001257A1">
              <w:t>salary</w:t>
            </w:r>
            <w:proofErr w:type="spellEnd"/>
          </w:p>
        </w:tc>
        <w:tc>
          <w:tcPr>
            <w:tcW w:w="0" w:type="auto"/>
            <w:vAlign w:val="bottom"/>
          </w:tcPr>
          <w:p w14:paraId="3BB3DF4F" w14:textId="60AD5A2A" w:rsidR="001257A1" w:rsidRPr="001257A1" w:rsidRDefault="001257A1" w:rsidP="000F1979">
            <w:pPr>
              <w:jc w:val="right"/>
              <w:rPr>
                <w:lang w:val="en-US"/>
              </w:rPr>
            </w:pPr>
          </w:p>
        </w:tc>
        <w:tc>
          <w:tcPr>
            <w:tcW w:w="0" w:type="auto"/>
            <w:vAlign w:val="bottom"/>
          </w:tcPr>
          <w:p w14:paraId="7E8AB6C2" w14:textId="77777777" w:rsidR="001257A1" w:rsidRPr="001257A1" w:rsidRDefault="001257A1" w:rsidP="000F1979">
            <w:pPr>
              <w:jc w:val="right"/>
              <w:rPr>
                <w:lang w:val="en-US"/>
              </w:rPr>
            </w:pPr>
            <w:r w:rsidRPr="001257A1">
              <w:t>4,9</w:t>
            </w:r>
          </w:p>
        </w:tc>
        <w:tc>
          <w:tcPr>
            <w:tcW w:w="0" w:type="auto"/>
            <w:vAlign w:val="bottom"/>
          </w:tcPr>
          <w:p w14:paraId="2A92213F" w14:textId="77777777" w:rsidR="001257A1" w:rsidRPr="001257A1" w:rsidRDefault="001257A1" w:rsidP="000F1979">
            <w:pPr>
              <w:jc w:val="right"/>
              <w:rPr>
                <w:lang w:val="en-US"/>
              </w:rPr>
            </w:pPr>
            <w:r w:rsidRPr="001257A1">
              <w:t>4,6</w:t>
            </w:r>
          </w:p>
        </w:tc>
        <w:tc>
          <w:tcPr>
            <w:tcW w:w="0" w:type="auto"/>
            <w:vAlign w:val="bottom"/>
          </w:tcPr>
          <w:p w14:paraId="43122F99" w14:textId="77777777" w:rsidR="001257A1" w:rsidRPr="001257A1" w:rsidRDefault="001257A1" w:rsidP="000F1979">
            <w:pPr>
              <w:jc w:val="right"/>
              <w:rPr>
                <w:lang w:val="en-US"/>
              </w:rPr>
            </w:pPr>
            <w:r w:rsidRPr="001257A1">
              <w:t>4,0</w:t>
            </w:r>
          </w:p>
        </w:tc>
        <w:tc>
          <w:tcPr>
            <w:tcW w:w="0" w:type="auto"/>
            <w:vAlign w:val="bottom"/>
          </w:tcPr>
          <w:p w14:paraId="2BB8E5E3" w14:textId="77777777" w:rsidR="001257A1" w:rsidRPr="001257A1" w:rsidRDefault="001257A1" w:rsidP="000F1979">
            <w:pPr>
              <w:jc w:val="right"/>
              <w:rPr>
                <w:lang w:val="en-US"/>
              </w:rPr>
            </w:pPr>
            <w:r w:rsidRPr="001257A1">
              <w:t>3,5</w:t>
            </w:r>
          </w:p>
        </w:tc>
      </w:tr>
      <w:tr w:rsidR="001257A1" w:rsidRPr="001257A1" w14:paraId="09751F3B" w14:textId="77777777" w:rsidTr="000F1979">
        <w:trPr>
          <w:cantSplit/>
        </w:trPr>
        <w:tc>
          <w:tcPr>
            <w:tcW w:w="0" w:type="auto"/>
            <w:vAlign w:val="center"/>
          </w:tcPr>
          <w:p w14:paraId="1DE310F2" w14:textId="53C877F7" w:rsidR="001257A1" w:rsidRPr="001257A1" w:rsidRDefault="001257A1" w:rsidP="000F1979">
            <w:pPr>
              <w:rPr>
                <w:lang w:val="en-US"/>
              </w:rPr>
            </w:pPr>
            <w:r w:rsidRPr="001257A1">
              <w:t>CPI</w:t>
            </w:r>
          </w:p>
        </w:tc>
        <w:tc>
          <w:tcPr>
            <w:tcW w:w="0" w:type="auto"/>
            <w:vAlign w:val="bottom"/>
          </w:tcPr>
          <w:p w14:paraId="2B0DCEE2" w14:textId="4CAF2DD9" w:rsidR="001257A1" w:rsidRPr="001257A1" w:rsidRDefault="001257A1" w:rsidP="000F1979">
            <w:pPr>
              <w:jc w:val="right"/>
              <w:rPr>
                <w:lang w:val="en-US"/>
              </w:rPr>
            </w:pPr>
          </w:p>
        </w:tc>
        <w:tc>
          <w:tcPr>
            <w:tcW w:w="0" w:type="auto"/>
            <w:vAlign w:val="bottom"/>
          </w:tcPr>
          <w:p w14:paraId="4BC68C11" w14:textId="77777777" w:rsidR="001257A1" w:rsidRPr="001257A1" w:rsidRDefault="001257A1" w:rsidP="000F1979">
            <w:pPr>
              <w:jc w:val="right"/>
              <w:rPr>
                <w:lang w:val="en-US"/>
              </w:rPr>
            </w:pPr>
            <w:r w:rsidRPr="001257A1">
              <w:t>3,1</w:t>
            </w:r>
          </w:p>
        </w:tc>
        <w:tc>
          <w:tcPr>
            <w:tcW w:w="0" w:type="auto"/>
            <w:vAlign w:val="bottom"/>
          </w:tcPr>
          <w:p w14:paraId="1AF84B75" w14:textId="77777777" w:rsidR="001257A1" w:rsidRPr="001257A1" w:rsidRDefault="001257A1" w:rsidP="000F1979">
            <w:pPr>
              <w:jc w:val="right"/>
              <w:rPr>
                <w:lang w:val="en-US"/>
              </w:rPr>
            </w:pPr>
            <w:r w:rsidRPr="001257A1">
              <w:t>3,3</w:t>
            </w:r>
          </w:p>
        </w:tc>
        <w:tc>
          <w:tcPr>
            <w:tcW w:w="0" w:type="auto"/>
            <w:vAlign w:val="bottom"/>
          </w:tcPr>
          <w:p w14:paraId="427394D5" w14:textId="77777777" w:rsidR="001257A1" w:rsidRPr="001257A1" w:rsidRDefault="001257A1" w:rsidP="000F1979">
            <w:pPr>
              <w:jc w:val="right"/>
              <w:rPr>
                <w:lang w:val="en-US"/>
              </w:rPr>
            </w:pPr>
            <w:r w:rsidRPr="001257A1">
              <w:t>2,7</w:t>
            </w:r>
          </w:p>
        </w:tc>
        <w:tc>
          <w:tcPr>
            <w:tcW w:w="0" w:type="auto"/>
            <w:vAlign w:val="bottom"/>
          </w:tcPr>
          <w:p w14:paraId="6721743C" w14:textId="77777777" w:rsidR="001257A1" w:rsidRPr="001257A1" w:rsidRDefault="001257A1" w:rsidP="000F1979">
            <w:pPr>
              <w:jc w:val="right"/>
              <w:rPr>
                <w:lang w:val="en-US"/>
              </w:rPr>
            </w:pPr>
            <w:r w:rsidRPr="001257A1">
              <w:t>2,4</w:t>
            </w:r>
          </w:p>
        </w:tc>
      </w:tr>
      <w:tr w:rsidR="001257A1" w:rsidRPr="001257A1" w14:paraId="6CC5F940" w14:textId="77777777" w:rsidTr="000F1979">
        <w:trPr>
          <w:cantSplit/>
        </w:trPr>
        <w:tc>
          <w:tcPr>
            <w:tcW w:w="0" w:type="auto"/>
            <w:vAlign w:val="center"/>
          </w:tcPr>
          <w:p w14:paraId="6D3BD074" w14:textId="557E1A74" w:rsidR="001257A1" w:rsidRPr="001257A1" w:rsidRDefault="001257A1" w:rsidP="000F1979">
            <w:pPr>
              <w:rPr>
                <w:lang w:val="en-US"/>
              </w:rPr>
            </w:pPr>
            <w:r w:rsidRPr="001257A1">
              <w:t>CPI-ATE</w:t>
            </w:r>
          </w:p>
        </w:tc>
        <w:tc>
          <w:tcPr>
            <w:tcW w:w="0" w:type="auto"/>
            <w:vAlign w:val="bottom"/>
          </w:tcPr>
          <w:p w14:paraId="2AB8F0EC" w14:textId="61C9C01C" w:rsidR="001257A1" w:rsidRPr="001257A1" w:rsidRDefault="001257A1" w:rsidP="000F1979">
            <w:pPr>
              <w:jc w:val="right"/>
              <w:rPr>
                <w:lang w:val="en-US"/>
              </w:rPr>
            </w:pPr>
          </w:p>
        </w:tc>
        <w:tc>
          <w:tcPr>
            <w:tcW w:w="0" w:type="auto"/>
            <w:vAlign w:val="bottom"/>
          </w:tcPr>
          <w:p w14:paraId="13FF4E1A" w14:textId="77777777" w:rsidR="001257A1" w:rsidRPr="001257A1" w:rsidRDefault="001257A1" w:rsidP="000F1979">
            <w:pPr>
              <w:jc w:val="right"/>
              <w:rPr>
                <w:lang w:val="en-US"/>
              </w:rPr>
            </w:pPr>
            <w:r w:rsidRPr="001257A1">
              <w:t>3,1</w:t>
            </w:r>
          </w:p>
        </w:tc>
        <w:tc>
          <w:tcPr>
            <w:tcW w:w="0" w:type="auto"/>
            <w:vAlign w:val="bottom"/>
          </w:tcPr>
          <w:p w14:paraId="4463F00C" w14:textId="77777777" w:rsidR="001257A1" w:rsidRPr="001257A1" w:rsidRDefault="001257A1" w:rsidP="000F1979">
            <w:pPr>
              <w:jc w:val="right"/>
              <w:rPr>
                <w:lang w:val="en-US"/>
              </w:rPr>
            </w:pPr>
            <w:r w:rsidRPr="001257A1">
              <w:t>3,1</w:t>
            </w:r>
          </w:p>
        </w:tc>
        <w:tc>
          <w:tcPr>
            <w:tcW w:w="0" w:type="auto"/>
            <w:vAlign w:val="bottom"/>
          </w:tcPr>
          <w:p w14:paraId="48FCC377" w14:textId="77777777" w:rsidR="001257A1" w:rsidRPr="001257A1" w:rsidRDefault="001257A1" w:rsidP="000F1979">
            <w:pPr>
              <w:jc w:val="right"/>
              <w:rPr>
                <w:lang w:val="en-US"/>
              </w:rPr>
            </w:pPr>
            <w:r w:rsidRPr="001257A1">
              <w:t>2,8</w:t>
            </w:r>
          </w:p>
        </w:tc>
        <w:tc>
          <w:tcPr>
            <w:tcW w:w="0" w:type="auto"/>
            <w:vAlign w:val="bottom"/>
          </w:tcPr>
          <w:p w14:paraId="23E39488" w14:textId="77777777" w:rsidR="001257A1" w:rsidRPr="001257A1" w:rsidRDefault="001257A1" w:rsidP="000F1979">
            <w:pPr>
              <w:jc w:val="right"/>
              <w:rPr>
                <w:lang w:val="en-US"/>
              </w:rPr>
            </w:pPr>
            <w:r w:rsidRPr="001257A1">
              <w:t>2,4</w:t>
            </w:r>
          </w:p>
        </w:tc>
      </w:tr>
      <w:tr w:rsidR="001257A1" w:rsidRPr="001257A1" w14:paraId="26DD38CA" w14:textId="77777777" w:rsidTr="000F1979">
        <w:trPr>
          <w:cantSplit/>
        </w:trPr>
        <w:tc>
          <w:tcPr>
            <w:tcW w:w="0" w:type="auto"/>
            <w:vAlign w:val="center"/>
          </w:tcPr>
          <w:p w14:paraId="01F7EFE9" w14:textId="76758F7C" w:rsidR="001257A1" w:rsidRPr="001257A1" w:rsidRDefault="001257A1" w:rsidP="000F1979">
            <w:pPr>
              <w:rPr>
                <w:lang w:val="en-US"/>
              </w:rPr>
            </w:pPr>
            <w:r w:rsidRPr="00385D5F">
              <w:rPr>
                <w:lang w:val="en-GB"/>
              </w:rPr>
              <w:t>Crude oil price, USD per barrel (level)</w:t>
            </w:r>
          </w:p>
        </w:tc>
        <w:tc>
          <w:tcPr>
            <w:tcW w:w="0" w:type="auto"/>
            <w:vAlign w:val="bottom"/>
          </w:tcPr>
          <w:p w14:paraId="1FBB613D" w14:textId="170E8A93" w:rsidR="001257A1" w:rsidRPr="001257A1" w:rsidRDefault="001257A1" w:rsidP="000F1979">
            <w:pPr>
              <w:jc w:val="right"/>
              <w:rPr>
                <w:lang w:val="en-US"/>
              </w:rPr>
            </w:pPr>
          </w:p>
        </w:tc>
        <w:tc>
          <w:tcPr>
            <w:tcW w:w="0" w:type="auto"/>
            <w:vAlign w:val="bottom"/>
          </w:tcPr>
          <w:p w14:paraId="728E1F5A" w14:textId="23E6ED11" w:rsidR="001257A1" w:rsidRPr="001257A1" w:rsidRDefault="001257A1" w:rsidP="000F1979">
            <w:pPr>
              <w:jc w:val="right"/>
              <w:rPr>
                <w:lang w:val="en-US"/>
              </w:rPr>
            </w:pPr>
            <w:r w:rsidRPr="001257A1">
              <w:t>68</w:t>
            </w:r>
          </w:p>
        </w:tc>
        <w:tc>
          <w:tcPr>
            <w:tcW w:w="0" w:type="auto"/>
            <w:vAlign w:val="bottom"/>
          </w:tcPr>
          <w:p w14:paraId="5155A765" w14:textId="6D215979" w:rsidR="001257A1" w:rsidRPr="001257A1" w:rsidRDefault="001257A1" w:rsidP="000F1979">
            <w:pPr>
              <w:jc w:val="right"/>
              <w:rPr>
                <w:lang w:val="en-US"/>
              </w:rPr>
            </w:pPr>
            <w:r w:rsidRPr="001257A1">
              <w:t>83</w:t>
            </w:r>
          </w:p>
        </w:tc>
        <w:tc>
          <w:tcPr>
            <w:tcW w:w="0" w:type="auto"/>
            <w:vAlign w:val="bottom"/>
          </w:tcPr>
          <w:p w14:paraId="5E03B684" w14:textId="33726EEB" w:rsidR="001257A1" w:rsidRPr="001257A1" w:rsidRDefault="001257A1" w:rsidP="000F1979">
            <w:pPr>
              <w:jc w:val="right"/>
              <w:rPr>
                <w:lang w:val="en-US"/>
              </w:rPr>
            </w:pPr>
            <w:r w:rsidRPr="001257A1">
              <w:t>75</w:t>
            </w:r>
          </w:p>
        </w:tc>
        <w:tc>
          <w:tcPr>
            <w:tcW w:w="0" w:type="auto"/>
            <w:vAlign w:val="bottom"/>
          </w:tcPr>
          <w:p w14:paraId="4F7DC436" w14:textId="77777777" w:rsidR="001257A1" w:rsidRPr="001257A1" w:rsidRDefault="001257A1" w:rsidP="000F1979">
            <w:pPr>
              <w:jc w:val="right"/>
              <w:rPr>
                <w:lang w:val="en-US"/>
              </w:rPr>
            </w:pPr>
            <w:r w:rsidRPr="001257A1">
              <w:t>72</w:t>
            </w:r>
          </w:p>
        </w:tc>
      </w:tr>
      <w:tr w:rsidR="001257A1" w:rsidRPr="001257A1" w14:paraId="6C884191" w14:textId="77777777" w:rsidTr="000F1979">
        <w:trPr>
          <w:cantSplit/>
        </w:trPr>
        <w:tc>
          <w:tcPr>
            <w:tcW w:w="0" w:type="auto"/>
            <w:vAlign w:val="center"/>
          </w:tcPr>
          <w:p w14:paraId="0FD869D0" w14:textId="1A5BBE6C" w:rsidR="001257A1" w:rsidRPr="001257A1" w:rsidRDefault="001257A1" w:rsidP="000F1979">
            <w:pPr>
              <w:rPr>
                <w:lang w:val="en-US"/>
              </w:rPr>
            </w:pPr>
            <w:r w:rsidRPr="00385D5F">
              <w:rPr>
                <w:lang w:val="en-GB"/>
              </w:rPr>
              <w:t>Three-month money market rate (level)</w:t>
            </w:r>
            <w:r w:rsidR="00BC269C" w:rsidRPr="00BC269C">
              <w:rPr>
                <w:rStyle w:val="skrift-hevet"/>
                <w:lang w:val="en-GB"/>
              </w:rPr>
              <w:t>4</w:t>
            </w:r>
          </w:p>
        </w:tc>
        <w:tc>
          <w:tcPr>
            <w:tcW w:w="0" w:type="auto"/>
            <w:vAlign w:val="bottom"/>
          </w:tcPr>
          <w:p w14:paraId="7C600E86" w14:textId="6AC88AFC" w:rsidR="001257A1" w:rsidRPr="001257A1" w:rsidRDefault="001257A1" w:rsidP="000F1979">
            <w:pPr>
              <w:jc w:val="right"/>
              <w:rPr>
                <w:lang w:val="en-US"/>
              </w:rPr>
            </w:pPr>
          </w:p>
        </w:tc>
        <w:tc>
          <w:tcPr>
            <w:tcW w:w="0" w:type="auto"/>
            <w:vAlign w:val="bottom"/>
          </w:tcPr>
          <w:p w14:paraId="0C1A3334" w14:textId="77777777" w:rsidR="001257A1" w:rsidRPr="001257A1" w:rsidRDefault="001257A1" w:rsidP="000F1979">
            <w:pPr>
              <w:jc w:val="right"/>
              <w:rPr>
                <w:lang w:val="en-US"/>
              </w:rPr>
            </w:pPr>
            <w:r w:rsidRPr="001257A1">
              <w:t>4,4</w:t>
            </w:r>
          </w:p>
        </w:tc>
        <w:tc>
          <w:tcPr>
            <w:tcW w:w="0" w:type="auto"/>
            <w:vAlign w:val="bottom"/>
          </w:tcPr>
          <w:p w14:paraId="642B0391" w14:textId="77777777" w:rsidR="001257A1" w:rsidRPr="001257A1" w:rsidRDefault="001257A1" w:rsidP="000F1979">
            <w:pPr>
              <w:jc w:val="right"/>
              <w:rPr>
                <w:lang w:val="en-US"/>
              </w:rPr>
            </w:pPr>
            <w:r w:rsidRPr="001257A1">
              <w:t>4,5</w:t>
            </w:r>
          </w:p>
        </w:tc>
        <w:tc>
          <w:tcPr>
            <w:tcW w:w="0" w:type="auto"/>
            <w:vAlign w:val="bottom"/>
          </w:tcPr>
          <w:p w14:paraId="6134BBEC" w14:textId="77777777" w:rsidR="001257A1" w:rsidRPr="001257A1" w:rsidRDefault="001257A1" w:rsidP="000F1979">
            <w:pPr>
              <w:jc w:val="right"/>
              <w:rPr>
                <w:lang w:val="en-US"/>
              </w:rPr>
            </w:pPr>
            <w:r w:rsidRPr="001257A1">
              <w:t>4,6</w:t>
            </w:r>
          </w:p>
        </w:tc>
        <w:tc>
          <w:tcPr>
            <w:tcW w:w="0" w:type="auto"/>
            <w:vAlign w:val="bottom"/>
          </w:tcPr>
          <w:p w14:paraId="3F1A3C4E" w14:textId="77777777" w:rsidR="001257A1" w:rsidRPr="001257A1" w:rsidRDefault="001257A1" w:rsidP="000F1979">
            <w:pPr>
              <w:jc w:val="right"/>
              <w:rPr>
                <w:lang w:val="en-US"/>
              </w:rPr>
            </w:pPr>
            <w:r w:rsidRPr="001257A1">
              <w:t>4,0</w:t>
            </w:r>
          </w:p>
        </w:tc>
      </w:tr>
      <w:tr w:rsidR="001257A1" w:rsidRPr="001257A1" w14:paraId="4C65034C" w14:textId="77777777" w:rsidTr="000F1979">
        <w:trPr>
          <w:cantSplit/>
        </w:trPr>
        <w:tc>
          <w:tcPr>
            <w:tcW w:w="0" w:type="auto"/>
            <w:vAlign w:val="center"/>
          </w:tcPr>
          <w:p w14:paraId="42485196" w14:textId="5F6479C5" w:rsidR="001257A1" w:rsidRPr="001257A1" w:rsidRDefault="001257A1" w:rsidP="000F1979">
            <w:pPr>
              <w:rPr>
                <w:lang w:val="en-US"/>
              </w:rPr>
            </w:pPr>
            <w:r w:rsidRPr="00385D5F">
              <w:rPr>
                <w:lang w:val="en-GB"/>
              </w:rPr>
              <w:t>Import-weighted exchange rate (I-44 level)</w:t>
            </w:r>
          </w:p>
        </w:tc>
        <w:tc>
          <w:tcPr>
            <w:tcW w:w="0" w:type="auto"/>
            <w:vAlign w:val="bottom"/>
          </w:tcPr>
          <w:p w14:paraId="6B6EAF59" w14:textId="2CA06CE9" w:rsidR="001257A1" w:rsidRPr="001257A1" w:rsidRDefault="001257A1" w:rsidP="000F1979">
            <w:pPr>
              <w:jc w:val="right"/>
              <w:rPr>
                <w:lang w:val="en-US"/>
              </w:rPr>
            </w:pPr>
          </w:p>
        </w:tc>
        <w:tc>
          <w:tcPr>
            <w:tcW w:w="0" w:type="auto"/>
            <w:vAlign w:val="bottom"/>
          </w:tcPr>
          <w:p w14:paraId="1049CA98" w14:textId="77777777" w:rsidR="001257A1" w:rsidRPr="001257A1" w:rsidRDefault="001257A1" w:rsidP="000F1979">
            <w:pPr>
              <w:jc w:val="right"/>
              <w:rPr>
                <w:lang w:val="en-US"/>
              </w:rPr>
            </w:pPr>
            <w:r w:rsidRPr="001257A1">
              <w:t>119,6</w:t>
            </w:r>
          </w:p>
        </w:tc>
        <w:tc>
          <w:tcPr>
            <w:tcW w:w="0" w:type="auto"/>
            <w:vAlign w:val="bottom"/>
          </w:tcPr>
          <w:p w14:paraId="79EDD400" w14:textId="77777777" w:rsidR="001257A1" w:rsidRPr="001257A1" w:rsidRDefault="001257A1" w:rsidP="000F1979">
            <w:pPr>
              <w:jc w:val="right"/>
              <w:rPr>
                <w:lang w:val="en-US"/>
              </w:rPr>
            </w:pPr>
            <w:r w:rsidRPr="001257A1">
              <w:t>113,4</w:t>
            </w:r>
          </w:p>
        </w:tc>
        <w:tc>
          <w:tcPr>
            <w:tcW w:w="0" w:type="auto"/>
            <w:vAlign w:val="bottom"/>
          </w:tcPr>
          <w:p w14:paraId="33EAF957" w14:textId="77777777" w:rsidR="001257A1" w:rsidRPr="001257A1" w:rsidRDefault="001257A1" w:rsidP="000F1979">
            <w:pPr>
              <w:jc w:val="right"/>
              <w:rPr>
                <w:lang w:val="en-US"/>
              </w:rPr>
            </w:pPr>
            <w:r w:rsidRPr="001257A1">
              <w:t>112,9</w:t>
            </w:r>
          </w:p>
        </w:tc>
        <w:tc>
          <w:tcPr>
            <w:tcW w:w="0" w:type="auto"/>
            <w:vAlign w:val="bottom"/>
          </w:tcPr>
          <w:p w14:paraId="586C4377" w14:textId="77777777" w:rsidR="001257A1" w:rsidRPr="001257A1" w:rsidRDefault="001257A1" w:rsidP="000F1979">
            <w:pPr>
              <w:jc w:val="right"/>
              <w:rPr>
                <w:lang w:val="en-US"/>
              </w:rPr>
            </w:pPr>
            <w:r w:rsidRPr="001257A1">
              <w:t>112,9</w:t>
            </w:r>
          </w:p>
        </w:tc>
      </w:tr>
      <w:tr w:rsidR="001257A1" w:rsidRPr="001257A1" w14:paraId="5CD53CBA" w14:textId="77777777" w:rsidTr="000F1979">
        <w:trPr>
          <w:cantSplit/>
        </w:trPr>
        <w:tc>
          <w:tcPr>
            <w:tcW w:w="0" w:type="auto"/>
            <w:vAlign w:val="center"/>
          </w:tcPr>
          <w:p w14:paraId="5A3C56FF" w14:textId="4BA58357" w:rsidR="001257A1" w:rsidRPr="001257A1" w:rsidRDefault="001257A1" w:rsidP="000F1979">
            <w:pPr>
              <w:rPr>
                <w:lang w:val="en-US"/>
              </w:rPr>
            </w:pPr>
            <w:r w:rsidRPr="001257A1">
              <w:t xml:space="preserve">Krone </w:t>
            </w:r>
            <w:proofErr w:type="spellStart"/>
            <w:r w:rsidRPr="001257A1">
              <w:t>exchange</w:t>
            </w:r>
            <w:proofErr w:type="spellEnd"/>
            <w:r w:rsidRPr="001257A1">
              <w:t xml:space="preserve"> rate</w:t>
            </w:r>
            <w:r w:rsidR="00BC269C" w:rsidRPr="00BC269C">
              <w:rPr>
                <w:rStyle w:val="skrift-hevet"/>
              </w:rPr>
              <w:t>5</w:t>
            </w:r>
          </w:p>
        </w:tc>
        <w:tc>
          <w:tcPr>
            <w:tcW w:w="0" w:type="auto"/>
            <w:vAlign w:val="bottom"/>
          </w:tcPr>
          <w:p w14:paraId="57E24D0D" w14:textId="1F7293F0" w:rsidR="001257A1" w:rsidRPr="001257A1" w:rsidRDefault="001257A1" w:rsidP="000F1979">
            <w:pPr>
              <w:jc w:val="right"/>
              <w:rPr>
                <w:lang w:val="en-US"/>
              </w:rPr>
            </w:pPr>
          </w:p>
        </w:tc>
        <w:tc>
          <w:tcPr>
            <w:tcW w:w="0" w:type="auto"/>
            <w:vAlign w:val="bottom"/>
          </w:tcPr>
          <w:p w14:paraId="1FB2D274" w14:textId="77777777" w:rsidR="001257A1" w:rsidRPr="001257A1" w:rsidRDefault="001257A1" w:rsidP="000F1979">
            <w:pPr>
              <w:jc w:val="right"/>
              <w:rPr>
                <w:lang w:val="en-US"/>
              </w:rPr>
            </w:pPr>
            <w:r w:rsidRPr="001257A1">
              <w:t>0,6</w:t>
            </w:r>
          </w:p>
        </w:tc>
        <w:tc>
          <w:tcPr>
            <w:tcW w:w="0" w:type="auto"/>
            <w:vAlign w:val="bottom"/>
          </w:tcPr>
          <w:p w14:paraId="2A4060BE" w14:textId="77777777" w:rsidR="001257A1" w:rsidRPr="001257A1" w:rsidRDefault="001257A1" w:rsidP="000F1979">
            <w:pPr>
              <w:jc w:val="right"/>
              <w:rPr>
                <w:lang w:val="en-US"/>
              </w:rPr>
            </w:pPr>
            <w:r w:rsidRPr="001257A1">
              <w:t>5,4</w:t>
            </w:r>
          </w:p>
        </w:tc>
        <w:tc>
          <w:tcPr>
            <w:tcW w:w="0" w:type="auto"/>
            <w:vAlign w:val="bottom"/>
          </w:tcPr>
          <w:p w14:paraId="02CC2022" w14:textId="77777777" w:rsidR="001257A1" w:rsidRPr="001257A1" w:rsidRDefault="001257A1" w:rsidP="000F1979">
            <w:pPr>
              <w:jc w:val="right"/>
              <w:rPr>
                <w:lang w:val="en-US"/>
              </w:rPr>
            </w:pPr>
            <w:r w:rsidRPr="001257A1">
              <w:t>0,5</w:t>
            </w:r>
          </w:p>
        </w:tc>
        <w:tc>
          <w:tcPr>
            <w:tcW w:w="0" w:type="auto"/>
            <w:vAlign w:val="bottom"/>
          </w:tcPr>
          <w:p w14:paraId="6BF97A49" w14:textId="77777777" w:rsidR="001257A1" w:rsidRPr="001257A1" w:rsidRDefault="001257A1" w:rsidP="000F1979">
            <w:pPr>
              <w:jc w:val="right"/>
              <w:rPr>
                <w:lang w:val="en-US"/>
              </w:rPr>
            </w:pPr>
            <w:r w:rsidRPr="001257A1">
              <w:t>0,0</w:t>
            </w:r>
          </w:p>
        </w:tc>
      </w:tr>
      <w:tr w:rsidR="001257A1" w:rsidRPr="001257A1" w14:paraId="69822326" w14:textId="77777777" w:rsidTr="000F1979">
        <w:trPr>
          <w:cantSplit/>
        </w:trPr>
        <w:tc>
          <w:tcPr>
            <w:tcW w:w="0" w:type="auto"/>
            <w:vAlign w:val="center"/>
          </w:tcPr>
          <w:p w14:paraId="7B87A63A" w14:textId="49CA52A6" w:rsidR="001257A1" w:rsidRPr="00BC269C" w:rsidRDefault="001257A1" w:rsidP="000F1979">
            <w:pPr>
              <w:rPr>
                <w:rStyle w:val="kursiv"/>
                <w:lang w:val="en-US"/>
              </w:rPr>
            </w:pPr>
            <w:r w:rsidRPr="00BC269C">
              <w:rPr>
                <w:rStyle w:val="kursiv"/>
              </w:rPr>
              <w:t>International economy</w:t>
            </w:r>
            <w:r w:rsidR="00BC269C" w:rsidRPr="00BC269C">
              <w:rPr>
                <w:rStyle w:val="skrift-hevet"/>
              </w:rPr>
              <w:t>6</w:t>
            </w:r>
          </w:p>
        </w:tc>
        <w:tc>
          <w:tcPr>
            <w:tcW w:w="0" w:type="auto"/>
            <w:vAlign w:val="bottom"/>
          </w:tcPr>
          <w:p w14:paraId="1E00E62D" w14:textId="2D15EFB2" w:rsidR="001257A1" w:rsidRPr="001257A1" w:rsidRDefault="001257A1" w:rsidP="000F1979">
            <w:pPr>
              <w:jc w:val="right"/>
              <w:rPr>
                <w:lang w:val="en-US"/>
              </w:rPr>
            </w:pPr>
          </w:p>
        </w:tc>
        <w:tc>
          <w:tcPr>
            <w:tcW w:w="0" w:type="auto"/>
            <w:vAlign w:val="bottom"/>
          </w:tcPr>
          <w:p w14:paraId="238AFD6E" w14:textId="3D9938E9" w:rsidR="001257A1" w:rsidRPr="001257A1" w:rsidRDefault="001257A1" w:rsidP="000F1979">
            <w:pPr>
              <w:jc w:val="right"/>
              <w:rPr>
                <w:lang w:val="en-US"/>
              </w:rPr>
            </w:pPr>
          </w:p>
        </w:tc>
        <w:tc>
          <w:tcPr>
            <w:tcW w:w="0" w:type="auto"/>
            <w:vAlign w:val="bottom"/>
          </w:tcPr>
          <w:p w14:paraId="26291777" w14:textId="3A2913CB" w:rsidR="001257A1" w:rsidRPr="001257A1" w:rsidRDefault="001257A1" w:rsidP="000F1979">
            <w:pPr>
              <w:jc w:val="right"/>
              <w:rPr>
                <w:lang w:val="en-US"/>
              </w:rPr>
            </w:pPr>
          </w:p>
        </w:tc>
        <w:tc>
          <w:tcPr>
            <w:tcW w:w="0" w:type="auto"/>
            <w:vAlign w:val="bottom"/>
          </w:tcPr>
          <w:p w14:paraId="1175F40B" w14:textId="54E921B8" w:rsidR="001257A1" w:rsidRPr="001257A1" w:rsidRDefault="001257A1" w:rsidP="000F1979">
            <w:pPr>
              <w:jc w:val="right"/>
              <w:rPr>
                <w:lang w:val="en-US"/>
              </w:rPr>
            </w:pPr>
          </w:p>
        </w:tc>
        <w:tc>
          <w:tcPr>
            <w:tcW w:w="0" w:type="auto"/>
            <w:vAlign w:val="bottom"/>
          </w:tcPr>
          <w:p w14:paraId="75200C3B" w14:textId="0EBF7AEB" w:rsidR="001257A1" w:rsidRPr="001257A1" w:rsidRDefault="001257A1" w:rsidP="000F1979">
            <w:pPr>
              <w:jc w:val="right"/>
              <w:rPr>
                <w:lang w:val="en-US"/>
              </w:rPr>
            </w:pPr>
          </w:p>
        </w:tc>
      </w:tr>
      <w:tr w:rsidR="001257A1" w:rsidRPr="001257A1" w14:paraId="15A9DC00" w14:textId="77777777" w:rsidTr="000F1979">
        <w:trPr>
          <w:cantSplit/>
        </w:trPr>
        <w:tc>
          <w:tcPr>
            <w:tcW w:w="0" w:type="auto"/>
            <w:vAlign w:val="center"/>
          </w:tcPr>
          <w:p w14:paraId="408B626A" w14:textId="12F8DD22" w:rsidR="001257A1" w:rsidRPr="001257A1" w:rsidRDefault="001257A1" w:rsidP="000F1979">
            <w:pPr>
              <w:rPr>
                <w:lang w:val="en-US"/>
              </w:rPr>
            </w:pPr>
            <w:r w:rsidRPr="001257A1">
              <w:t>GDP trading partners</w:t>
            </w:r>
          </w:p>
        </w:tc>
        <w:tc>
          <w:tcPr>
            <w:tcW w:w="0" w:type="auto"/>
            <w:vAlign w:val="bottom"/>
          </w:tcPr>
          <w:p w14:paraId="3E4B4EC8" w14:textId="704812A7" w:rsidR="001257A1" w:rsidRPr="001257A1" w:rsidRDefault="001257A1" w:rsidP="000F1979">
            <w:pPr>
              <w:jc w:val="right"/>
              <w:rPr>
                <w:lang w:val="en-US"/>
              </w:rPr>
            </w:pPr>
          </w:p>
        </w:tc>
        <w:tc>
          <w:tcPr>
            <w:tcW w:w="0" w:type="auto"/>
            <w:vAlign w:val="bottom"/>
          </w:tcPr>
          <w:p w14:paraId="6A1A1310" w14:textId="77777777" w:rsidR="001257A1" w:rsidRPr="001257A1" w:rsidRDefault="001257A1" w:rsidP="000F1979">
            <w:pPr>
              <w:jc w:val="right"/>
              <w:rPr>
                <w:lang w:val="en-US"/>
              </w:rPr>
            </w:pPr>
            <w:r w:rsidRPr="001257A1">
              <w:t>2,0</w:t>
            </w:r>
          </w:p>
        </w:tc>
        <w:tc>
          <w:tcPr>
            <w:tcW w:w="0" w:type="auto"/>
            <w:vAlign w:val="bottom"/>
          </w:tcPr>
          <w:p w14:paraId="055A46CD" w14:textId="77777777" w:rsidR="001257A1" w:rsidRPr="001257A1" w:rsidRDefault="001257A1" w:rsidP="000F1979">
            <w:pPr>
              <w:jc w:val="right"/>
              <w:rPr>
                <w:lang w:val="en-US"/>
              </w:rPr>
            </w:pPr>
            <w:r w:rsidRPr="001257A1">
              <w:t>1,7</w:t>
            </w:r>
          </w:p>
        </w:tc>
        <w:tc>
          <w:tcPr>
            <w:tcW w:w="0" w:type="auto"/>
            <w:vAlign w:val="bottom"/>
          </w:tcPr>
          <w:p w14:paraId="735ACEDB" w14:textId="77777777" w:rsidR="001257A1" w:rsidRPr="001257A1" w:rsidRDefault="001257A1" w:rsidP="000F1979">
            <w:pPr>
              <w:jc w:val="right"/>
              <w:rPr>
                <w:lang w:val="en-US"/>
              </w:rPr>
            </w:pPr>
            <w:r w:rsidRPr="001257A1">
              <w:t>1,8</w:t>
            </w:r>
          </w:p>
        </w:tc>
        <w:tc>
          <w:tcPr>
            <w:tcW w:w="0" w:type="auto"/>
            <w:vAlign w:val="bottom"/>
          </w:tcPr>
          <w:p w14:paraId="7DBEA416" w14:textId="77777777" w:rsidR="001257A1" w:rsidRPr="001257A1" w:rsidRDefault="001257A1" w:rsidP="000F1979">
            <w:pPr>
              <w:jc w:val="right"/>
              <w:rPr>
                <w:lang w:val="en-US"/>
              </w:rPr>
            </w:pPr>
            <w:r w:rsidRPr="001257A1">
              <w:t>1,8</w:t>
            </w:r>
          </w:p>
        </w:tc>
      </w:tr>
      <w:tr w:rsidR="001257A1" w:rsidRPr="001257A1" w14:paraId="37B5EC1E" w14:textId="77777777" w:rsidTr="000F1979">
        <w:trPr>
          <w:cantSplit/>
        </w:trPr>
        <w:tc>
          <w:tcPr>
            <w:tcW w:w="0" w:type="auto"/>
            <w:vAlign w:val="center"/>
          </w:tcPr>
          <w:p w14:paraId="3069B728" w14:textId="65FF6C92" w:rsidR="001257A1" w:rsidRPr="001257A1" w:rsidRDefault="001257A1" w:rsidP="000F1979">
            <w:pPr>
              <w:rPr>
                <w:lang w:val="en-US"/>
              </w:rPr>
            </w:pPr>
            <w:r w:rsidRPr="001257A1">
              <w:t>CPI trading partners</w:t>
            </w:r>
          </w:p>
        </w:tc>
        <w:tc>
          <w:tcPr>
            <w:tcW w:w="0" w:type="auto"/>
            <w:vAlign w:val="bottom"/>
          </w:tcPr>
          <w:p w14:paraId="62A43420" w14:textId="12F50DBC" w:rsidR="001257A1" w:rsidRPr="001257A1" w:rsidRDefault="001257A1" w:rsidP="000F1979">
            <w:pPr>
              <w:jc w:val="right"/>
              <w:rPr>
                <w:lang w:val="en-US"/>
              </w:rPr>
            </w:pPr>
          </w:p>
        </w:tc>
        <w:tc>
          <w:tcPr>
            <w:tcW w:w="0" w:type="auto"/>
            <w:vAlign w:val="bottom"/>
          </w:tcPr>
          <w:p w14:paraId="50708B1D" w14:textId="77777777" w:rsidR="001257A1" w:rsidRPr="001257A1" w:rsidRDefault="001257A1" w:rsidP="000F1979">
            <w:pPr>
              <w:jc w:val="right"/>
              <w:rPr>
                <w:lang w:val="en-US"/>
              </w:rPr>
            </w:pPr>
            <w:r w:rsidRPr="001257A1">
              <w:t>2,1</w:t>
            </w:r>
          </w:p>
        </w:tc>
        <w:tc>
          <w:tcPr>
            <w:tcW w:w="0" w:type="auto"/>
            <w:vAlign w:val="bottom"/>
          </w:tcPr>
          <w:p w14:paraId="0895A910" w14:textId="77777777" w:rsidR="001257A1" w:rsidRPr="001257A1" w:rsidRDefault="001257A1" w:rsidP="000F1979">
            <w:pPr>
              <w:jc w:val="right"/>
              <w:rPr>
                <w:lang w:val="en-US"/>
              </w:rPr>
            </w:pPr>
            <w:r w:rsidRPr="001257A1">
              <w:t>2,5</w:t>
            </w:r>
          </w:p>
        </w:tc>
        <w:tc>
          <w:tcPr>
            <w:tcW w:w="0" w:type="auto"/>
            <w:vAlign w:val="bottom"/>
          </w:tcPr>
          <w:p w14:paraId="70836FE6" w14:textId="77777777" w:rsidR="001257A1" w:rsidRPr="001257A1" w:rsidRDefault="001257A1" w:rsidP="000F1979">
            <w:pPr>
              <w:jc w:val="right"/>
              <w:rPr>
                <w:lang w:val="en-US"/>
              </w:rPr>
            </w:pPr>
            <w:r w:rsidRPr="001257A1">
              <w:t>2,3</w:t>
            </w:r>
          </w:p>
        </w:tc>
        <w:tc>
          <w:tcPr>
            <w:tcW w:w="0" w:type="auto"/>
            <w:vAlign w:val="bottom"/>
          </w:tcPr>
          <w:p w14:paraId="7D68C762" w14:textId="77777777" w:rsidR="001257A1" w:rsidRPr="001257A1" w:rsidRDefault="001257A1" w:rsidP="000F1979">
            <w:pPr>
              <w:jc w:val="right"/>
              <w:rPr>
                <w:lang w:val="en-US"/>
              </w:rPr>
            </w:pPr>
            <w:r w:rsidRPr="001257A1">
              <w:t>2,2</w:t>
            </w:r>
          </w:p>
        </w:tc>
      </w:tr>
    </w:tbl>
    <w:p w14:paraId="59301BEE" w14:textId="77777777" w:rsidR="001257A1" w:rsidRPr="001257A1" w:rsidRDefault="001257A1" w:rsidP="001257A1">
      <w:pPr>
        <w:spacing w:after="29" w:line="20" w:lineRule="exact"/>
        <w:rPr>
          <w:rFonts w:ascii="Aptos" w:eastAsia="PMingLiU" w:hAnsi="Aptos" w:cs="Times New Roman"/>
          <w:lang w:val="en-US"/>
        </w:rPr>
      </w:pPr>
    </w:p>
    <w:p w14:paraId="25AC5BEB" w14:textId="0440391D" w:rsidR="001257A1" w:rsidRPr="00385D5F" w:rsidRDefault="00BC269C" w:rsidP="006717D5">
      <w:pPr>
        <w:pStyle w:val="Note"/>
        <w:rPr>
          <w:rFonts w:eastAsia="Garamond"/>
          <w:lang w:val="en-GB"/>
        </w:rPr>
      </w:pPr>
      <w:r w:rsidRPr="00BC269C">
        <w:rPr>
          <w:rStyle w:val="skrift-hevet"/>
          <w:lang w:val="en-GB"/>
        </w:rPr>
        <w:t xml:space="preserve">1 </w:t>
      </w:r>
      <w:r w:rsidR="001257A1" w:rsidRPr="00385D5F">
        <w:rPr>
          <w:lang w:val="en-GB"/>
        </w:rPr>
        <w:t xml:space="preserve">Preliminary national </w:t>
      </w:r>
      <w:proofErr w:type="gramStart"/>
      <w:r w:rsidR="001257A1" w:rsidRPr="00385D5F">
        <w:rPr>
          <w:lang w:val="en-GB"/>
        </w:rPr>
        <w:t>accounts</w:t>
      </w:r>
      <w:proofErr w:type="gramEnd"/>
      <w:r w:rsidR="001257A1" w:rsidRPr="00385D5F">
        <w:rPr>
          <w:lang w:val="en-GB"/>
        </w:rPr>
        <w:t xml:space="preserve"> figures in current prices.</w:t>
      </w:r>
    </w:p>
    <w:p w14:paraId="604F13C5" w14:textId="09F7C0E5" w:rsidR="001257A1" w:rsidRPr="00385D5F" w:rsidRDefault="00BC269C" w:rsidP="006717D5">
      <w:pPr>
        <w:pStyle w:val="Note"/>
        <w:rPr>
          <w:rFonts w:eastAsia="Garamond"/>
          <w:lang w:val="en-GB"/>
        </w:rPr>
      </w:pPr>
      <w:r w:rsidRPr="00BC269C">
        <w:rPr>
          <w:rStyle w:val="skrift-hevet"/>
          <w:lang w:val="en-GB"/>
        </w:rPr>
        <w:t xml:space="preserve">2 </w:t>
      </w:r>
      <w:r w:rsidR="00607061">
        <w:rPr>
          <w:lang w:val="en-GB"/>
        </w:rPr>
        <w:t xml:space="preserve">Growth </w:t>
      </w:r>
      <w:r w:rsidR="001257A1" w:rsidRPr="00385D5F">
        <w:rPr>
          <w:lang w:val="en-GB"/>
        </w:rPr>
        <w:t>rates from 2025 onwards stated in volume</w:t>
      </w:r>
      <w:r w:rsidR="0075677A">
        <w:rPr>
          <w:lang w:val="en-GB"/>
        </w:rPr>
        <w:t xml:space="preserve"> </w:t>
      </w:r>
      <w:proofErr w:type="spellStart"/>
      <w:r w:rsidR="0075677A">
        <w:rPr>
          <w:lang w:val="en-GB"/>
        </w:rPr>
        <w:t>terme</w:t>
      </w:r>
      <w:r w:rsidR="001257A1" w:rsidRPr="00385D5F">
        <w:rPr>
          <w:lang w:val="en-GB"/>
        </w:rPr>
        <w:t>s</w:t>
      </w:r>
      <w:proofErr w:type="spellEnd"/>
      <w:r w:rsidR="001257A1" w:rsidRPr="00385D5F">
        <w:rPr>
          <w:lang w:val="en-GB"/>
        </w:rPr>
        <w:t>.</w:t>
      </w:r>
    </w:p>
    <w:p w14:paraId="54B65EC2" w14:textId="69EE15B3" w:rsidR="001257A1" w:rsidRPr="00385D5F" w:rsidRDefault="00BC269C" w:rsidP="006717D5">
      <w:pPr>
        <w:pStyle w:val="Note"/>
        <w:rPr>
          <w:rFonts w:eastAsia="Garamond"/>
          <w:spacing w:val="6"/>
          <w:lang w:val="en-GB"/>
        </w:rPr>
      </w:pPr>
      <w:r w:rsidRPr="00BC269C">
        <w:rPr>
          <w:rStyle w:val="skrift-hevet"/>
          <w:lang w:val="en-GB"/>
        </w:rPr>
        <w:t xml:space="preserve">3 </w:t>
      </w:r>
      <w:r w:rsidR="001257A1" w:rsidRPr="00385D5F">
        <w:rPr>
          <w:spacing w:val="6"/>
          <w:lang w:val="en-GB"/>
        </w:rPr>
        <w:t>Excluding inventory changes.</w:t>
      </w:r>
    </w:p>
    <w:p w14:paraId="735E0B6B" w14:textId="08995027" w:rsidR="001257A1" w:rsidRPr="00385D5F" w:rsidRDefault="00BC269C" w:rsidP="006717D5">
      <w:pPr>
        <w:pStyle w:val="Note"/>
        <w:rPr>
          <w:rFonts w:eastAsia="Garamond"/>
          <w:lang w:val="en-GB"/>
        </w:rPr>
      </w:pPr>
      <w:r w:rsidRPr="00BC269C">
        <w:rPr>
          <w:rStyle w:val="skrift-hevet"/>
          <w:lang w:val="en-GB"/>
        </w:rPr>
        <w:t xml:space="preserve">4 </w:t>
      </w:r>
      <w:r w:rsidR="001257A1" w:rsidRPr="00385D5F">
        <w:rPr>
          <w:lang w:val="en-GB"/>
        </w:rPr>
        <w:t xml:space="preserve">Corresponds to the money market rate forecast in </w:t>
      </w:r>
      <w:proofErr w:type="spellStart"/>
      <w:r w:rsidR="001257A1" w:rsidRPr="00385D5F">
        <w:rPr>
          <w:lang w:val="en-GB"/>
        </w:rPr>
        <w:t>Norges</w:t>
      </w:r>
      <w:proofErr w:type="spellEnd"/>
      <w:r w:rsidR="001257A1" w:rsidRPr="00385D5F">
        <w:rPr>
          <w:lang w:val="en-GB"/>
        </w:rPr>
        <w:t xml:space="preserve"> Bank</w:t>
      </w:r>
      <w:r>
        <w:rPr>
          <w:lang w:val="en-GB"/>
        </w:rPr>
        <w:t>’</w:t>
      </w:r>
      <w:r w:rsidR="001257A1" w:rsidRPr="00385D5F">
        <w:rPr>
          <w:lang w:val="en-GB"/>
        </w:rPr>
        <w:t>s Monetary Policy Report 2/26.</w:t>
      </w:r>
    </w:p>
    <w:p w14:paraId="79E90AFE" w14:textId="0EA0A537" w:rsidR="001257A1" w:rsidRPr="00385D5F" w:rsidRDefault="00BC269C" w:rsidP="006717D5">
      <w:pPr>
        <w:pStyle w:val="Note"/>
        <w:rPr>
          <w:rFonts w:eastAsia="Garamond"/>
          <w:spacing w:val="2"/>
          <w:lang w:val="en-GB"/>
        </w:rPr>
      </w:pPr>
      <w:r w:rsidRPr="00BC269C">
        <w:rPr>
          <w:rStyle w:val="skrift-hevet"/>
          <w:lang w:val="en-GB"/>
        </w:rPr>
        <w:t xml:space="preserve">5 </w:t>
      </w:r>
      <w:r w:rsidR="001257A1" w:rsidRPr="00385D5F">
        <w:rPr>
          <w:spacing w:val="2"/>
          <w:lang w:val="en-GB"/>
        </w:rPr>
        <w:t>Percentage change inverse of the I-44 exchange rate index. A positive number indicates a stronger krone.</w:t>
      </w:r>
    </w:p>
    <w:p w14:paraId="7C57ADAD" w14:textId="568413E0" w:rsidR="001257A1" w:rsidRPr="00385D5F" w:rsidRDefault="00BC269C" w:rsidP="006717D5">
      <w:pPr>
        <w:pStyle w:val="Note"/>
        <w:rPr>
          <w:rFonts w:eastAsia="Garamond"/>
          <w:lang w:val="en-GB"/>
        </w:rPr>
      </w:pPr>
      <w:r w:rsidRPr="00BC269C">
        <w:rPr>
          <w:rStyle w:val="skrift-hevet"/>
          <w:lang w:val="en-GB"/>
        </w:rPr>
        <w:t xml:space="preserve">6 </w:t>
      </w:r>
      <w:r w:rsidR="001257A1" w:rsidRPr="00385D5F">
        <w:rPr>
          <w:lang w:val="en-GB"/>
        </w:rPr>
        <w:t>Norway</w:t>
      </w:r>
      <w:r>
        <w:rPr>
          <w:lang w:val="en-GB"/>
        </w:rPr>
        <w:t>’</w:t>
      </w:r>
      <w:r w:rsidR="001257A1" w:rsidRPr="00385D5F">
        <w:rPr>
          <w:lang w:val="en-GB"/>
        </w:rPr>
        <w:t>s 10 most important trading partners weighted together with their respective shares of Norwegian exports of goods</w:t>
      </w:r>
      <w:r w:rsidR="00D10CB3">
        <w:rPr>
          <w:lang w:val="en-GB"/>
        </w:rPr>
        <w:t xml:space="preserve"> excluding</w:t>
      </w:r>
      <w:r w:rsidR="001257A1" w:rsidRPr="00385D5F">
        <w:rPr>
          <w:lang w:val="en-GB"/>
        </w:rPr>
        <w:t xml:space="preserve"> oil and gas and Norwegian imports of goods</w:t>
      </w:r>
      <w:r w:rsidR="00467C9A">
        <w:rPr>
          <w:lang w:val="en-GB"/>
        </w:rPr>
        <w:t xml:space="preserve"> excluding</w:t>
      </w:r>
      <w:r w:rsidR="001257A1" w:rsidRPr="00385D5F">
        <w:rPr>
          <w:lang w:val="en-GB"/>
        </w:rPr>
        <w:t xml:space="preserve"> ships, oil platforms and crude oil.</w:t>
      </w:r>
    </w:p>
    <w:p w14:paraId="4AAECC58" w14:textId="77777777" w:rsidR="001257A1" w:rsidRPr="00385D5F" w:rsidRDefault="001257A1" w:rsidP="006717D5">
      <w:pPr>
        <w:pStyle w:val="Kilde"/>
        <w:rPr>
          <w:lang w:val="en-GB"/>
        </w:rPr>
      </w:pPr>
      <w:r w:rsidRPr="00385D5F">
        <w:rPr>
          <w:lang w:val="en-GB"/>
        </w:rPr>
        <w:t xml:space="preserve">Sources: Statistics Norway, IMF, Eurostat, </w:t>
      </w:r>
      <w:proofErr w:type="spellStart"/>
      <w:r w:rsidRPr="00385D5F">
        <w:rPr>
          <w:lang w:val="en-GB"/>
        </w:rPr>
        <w:t>Norges</w:t>
      </w:r>
      <w:proofErr w:type="spellEnd"/>
      <w:r w:rsidRPr="00385D5F">
        <w:rPr>
          <w:lang w:val="en-GB"/>
        </w:rPr>
        <w:t xml:space="preserve"> Bank, Norwegian Labour and Welfare Administration, Reuters, </w:t>
      </w:r>
      <w:proofErr w:type="spellStart"/>
      <w:r w:rsidRPr="00385D5F">
        <w:rPr>
          <w:lang w:val="en-GB"/>
        </w:rPr>
        <w:t>Macrobond</w:t>
      </w:r>
      <w:proofErr w:type="spellEnd"/>
      <w:r w:rsidRPr="00385D5F">
        <w:rPr>
          <w:lang w:val="en-GB"/>
        </w:rPr>
        <w:t xml:space="preserve"> and the Ministry of Finance.</w:t>
      </w:r>
    </w:p>
    <w:p w14:paraId="1AE63583" w14:textId="77777777" w:rsidR="001257A1" w:rsidRPr="00385D5F" w:rsidRDefault="001257A1" w:rsidP="006717D5">
      <w:pPr>
        <w:pStyle w:val="avsnitt-undertittel"/>
        <w:rPr>
          <w:lang w:val="en-GB"/>
        </w:rPr>
      </w:pPr>
      <w:r w:rsidRPr="00385D5F">
        <w:rPr>
          <w:lang w:val="en-GB"/>
        </w:rPr>
        <w:t>Registered unemployment still low</w:t>
      </w:r>
    </w:p>
    <w:p w14:paraId="63C53F65" w14:textId="146E1574" w:rsidR="001257A1" w:rsidRPr="00385D5F" w:rsidRDefault="001257A1" w:rsidP="001257A1">
      <w:pPr>
        <w:jc w:val="both"/>
        <w:textAlignment w:val="baseline"/>
        <w:rPr>
          <w:rFonts w:cs="Times New Roman"/>
          <w:color w:val="000000"/>
          <w:lang w:val="en-GB"/>
        </w:rPr>
      </w:pPr>
      <w:r w:rsidRPr="00385D5F">
        <w:rPr>
          <w:rFonts w:cs="Times New Roman"/>
          <w:color w:val="000000"/>
          <w:lang w:val="en-GB"/>
        </w:rPr>
        <w:t>In several of the years following the pandemic, there has been a shortage of labour. As a result, employment growth has been more dependent on the supply side than on the labour market</w:t>
      </w:r>
      <w:r w:rsidR="00BC269C">
        <w:rPr>
          <w:rFonts w:cs="Times New Roman"/>
          <w:color w:val="000000"/>
          <w:lang w:val="en-GB"/>
        </w:rPr>
        <w:t>’</w:t>
      </w:r>
      <w:r w:rsidRPr="00385D5F">
        <w:rPr>
          <w:rFonts w:cs="Times New Roman"/>
          <w:color w:val="000000"/>
          <w:lang w:val="en-GB"/>
        </w:rPr>
        <w:t>s demand-side.</w:t>
      </w:r>
    </w:p>
    <w:p w14:paraId="211DED2B" w14:textId="04DCD9E8" w:rsidR="001257A1" w:rsidRPr="00385D5F" w:rsidRDefault="001257A1" w:rsidP="001257A1">
      <w:pPr>
        <w:jc w:val="both"/>
        <w:textAlignment w:val="baseline"/>
        <w:rPr>
          <w:rFonts w:cs="Times New Roman"/>
          <w:color w:val="000000"/>
          <w:spacing w:val="-1"/>
          <w:lang w:val="en-GB"/>
        </w:rPr>
      </w:pPr>
      <w:r w:rsidRPr="00385D5F">
        <w:rPr>
          <w:rFonts w:cs="Times New Roman"/>
          <w:color w:val="000000"/>
          <w:lang w:val="en-GB"/>
        </w:rPr>
        <w:t xml:space="preserve">Labour shortages have </w:t>
      </w:r>
      <w:r w:rsidR="00F60AA5">
        <w:rPr>
          <w:rFonts w:cs="Times New Roman"/>
          <w:color w:val="000000"/>
          <w:lang w:val="en-GB"/>
        </w:rPr>
        <w:t xml:space="preserve">eased somewhat </w:t>
      </w:r>
      <w:r w:rsidRPr="00385D5F">
        <w:rPr>
          <w:rFonts w:cs="Times New Roman"/>
          <w:color w:val="000000"/>
          <w:lang w:val="en-GB"/>
        </w:rPr>
        <w:t>recently, but employment has continued to increase over the past six months at about the same pace as in the two preceding years. There has been an increase in both private industries and public administration. In the second quarter of this year, about 2</w:t>
      </w:r>
      <w:r w:rsidR="00BC269C" w:rsidRPr="00385D5F">
        <w:rPr>
          <w:rFonts w:cs="Times New Roman"/>
          <w:color w:val="000000"/>
          <w:lang w:val="en-GB"/>
        </w:rPr>
        <w:t>0</w:t>
      </w:r>
      <w:r w:rsidR="00BC269C">
        <w:rPr>
          <w:rFonts w:cs="Times New Roman"/>
          <w:color w:val="000000"/>
          <w:lang w:val="en-GB"/>
        </w:rPr>
        <w:t> </w:t>
      </w:r>
      <w:r w:rsidR="00BC269C" w:rsidRPr="00385D5F">
        <w:rPr>
          <w:rFonts w:cs="Times New Roman"/>
          <w:color w:val="000000"/>
          <w:lang w:val="en-GB"/>
        </w:rPr>
        <w:t>000</w:t>
      </w:r>
      <w:r w:rsidRPr="00385D5F">
        <w:rPr>
          <w:rFonts w:cs="Times New Roman"/>
          <w:color w:val="000000"/>
          <w:lang w:val="en-GB"/>
        </w:rPr>
        <w:t xml:space="preserve"> more people were employed than at the same time last year. More than 70 per cent of the increase occurred in private industries. Employment is expected to increase further ahead, with growth of 0.6 per cent </w:t>
      </w:r>
      <w:r w:rsidR="00632B2A">
        <w:rPr>
          <w:rFonts w:cs="Times New Roman"/>
          <w:color w:val="000000"/>
          <w:lang w:val="en-GB"/>
        </w:rPr>
        <w:t>this year</w:t>
      </w:r>
      <w:r w:rsidRPr="00385D5F">
        <w:rPr>
          <w:rFonts w:cs="Times New Roman"/>
          <w:color w:val="000000"/>
          <w:lang w:val="en-GB"/>
        </w:rPr>
        <w:t xml:space="preserve"> and somewhat more subdued growth next year.</w:t>
      </w:r>
    </w:p>
    <w:p w14:paraId="14205E8B" w14:textId="77777777" w:rsidR="001257A1" w:rsidRPr="00385D5F" w:rsidRDefault="001257A1" w:rsidP="001257A1">
      <w:pPr>
        <w:jc w:val="both"/>
        <w:textAlignment w:val="baseline"/>
        <w:rPr>
          <w:rFonts w:cs="Times New Roman"/>
          <w:color w:val="000000"/>
          <w:lang w:val="en-GB"/>
        </w:rPr>
      </w:pPr>
      <w:r w:rsidRPr="00385D5F">
        <w:rPr>
          <w:rFonts w:cs="Times New Roman"/>
          <w:color w:val="000000"/>
          <w:lang w:val="en-GB"/>
        </w:rPr>
        <w:t>Registered unemployment has remained low for several years. At end-August, 2.1 per cent were registered as fully unemployed (Chart 2.11). This is the same level as the average for last year. Unemployment measured by the Labour Force Survey has declined somewhat this year and corresponded to 4.5 per cent trend-adjusted in August this year. Overall, unemployment is projected to show little change ahead. The labour market is discussed in more detail in Section 2.4.</w:t>
      </w:r>
    </w:p>
    <w:p w14:paraId="47BDDE29" w14:textId="77777777" w:rsidR="001257A1" w:rsidRPr="00385D5F" w:rsidRDefault="001257A1" w:rsidP="006717D5">
      <w:pPr>
        <w:pStyle w:val="avsnitt-undertittel"/>
        <w:rPr>
          <w:lang w:val="en-GB"/>
        </w:rPr>
      </w:pPr>
      <w:r w:rsidRPr="00385D5F">
        <w:rPr>
          <w:lang w:val="en-GB"/>
        </w:rPr>
        <w:t>Real wage growth this year and next</w:t>
      </w:r>
    </w:p>
    <w:p w14:paraId="5A00A1E3" w14:textId="6664C579" w:rsidR="001257A1" w:rsidRPr="00385D5F" w:rsidRDefault="001257A1" w:rsidP="001257A1">
      <w:pPr>
        <w:jc w:val="both"/>
        <w:textAlignment w:val="baseline"/>
        <w:rPr>
          <w:rFonts w:cs="Times New Roman"/>
          <w:color w:val="000000"/>
          <w:lang w:val="en-GB"/>
        </w:rPr>
      </w:pPr>
      <w:r w:rsidRPr="00385D5F">
        <w:rPr>
          <w:rFonts w:cs="Times New Roman"/>
          <w:color w:val="000000"/>
          <w:lang w:val="en-GB"/>
        </w:rPr>
        <w:t xml:space="preserve">Solid profitability in manufacturing, high </w:t>
      </w:r>
      <w:r w:rsidR="005463F4">
        <w:rPr>
          <w:rFonts w:cs="Times New Roman"/>
          <w:color w:val="000000"/>
          <w:lang w:val="en-GB"/>
        </w:rPr>
        <w:t>price growth</w:t>
      </w:r>
      <w:r w:rsidRPr="00385D5F">
        <w:rPr>
          <w:rFonts w:cs="Times New Roman"/>
          <w:color w:val="000000"/>
          <w:lang w:val="en-GB"/>
        </w:rPr>
        <w:t xml:space="preserve"> and </w:t>
      </w:r>
      <w:r w:rsidR="005D7D4B">
        <w:rPr>
          <w:rFonts w:cs="Times New Roman"/>
          <w:color w:val="000000"/>
          <w:lang w:val="en-GB"/>
        </w:rPr>
        <w:t xml:space="preserve">low </w:t>
      </w:r>
      <w:r w:rsidRPr="00385D5F">
        <w:rPr>
          <w:rFonts w:cs="Times New Roman"/>
          <w:color w:val="000000"/>
          <w:lang w:val="en-GB"/>
        </w:rPr>
        <w:t xml:space="preserve">registered unemployment have contributed to </w:t>
      </w:r>
      <w:proofErr w:type="gramStart"/>
      <w:r w:rsidRPr="00385D5F">
        <w:rPr>
          <w:rFonts w:cs="Times New Roman"/>
          <w:color w:val="000000"/>
          <w:lang w:val="en-GB"/>
        </w:rPr>
        <w:t>high wage</w:t>
      </w:r>
      <w:proofErr w:type="gramEnd"/>
      <w:r w:rsidRPr="00385D5F">
        <w:rPr>
          <w:rFonts w:cs="Times New Roman"/>
          <w:color w:val="000000"/>
          <w:lang w:val="en-GB"/>
        </w:rPr>
        <w:t xml:space="preserve"> growth in recent years. Annual wage growth last year was 4.9 per cent, five tenths higher than the </w:t>
      </w:r>
      <w:r w:rsidR="004E3759">
        <w:rPr>
          <w:rFonts w:cs="Times New Roman"/>
          <w:color w:val="000000"/>
          <w:lang w:val="en-GB"/>
        </w:rPr>
        <w:t>norm negotiated in last year</w:t>
      </w:r>
      <w:r w:rsidR="00BC269C">
        <w:rPr>
          <w:rFonts w:cs="Times New Roman"/>
          <w:color w:val="000000"/>
          <w:lang w:val="en-GB"/>
        </w:rPr>
        <w:t>’</w:t>
      </w:r>
      <w:r w:rsidR="004E3759">
        <w:rPr>
          <w:rFonts w:cs="Times New Roman"/>
          <w:color w:val="000000"/>
          <w:lang w:val="en-GB"/>
        </w:rPr>
        <w:t>s wage settlements</w:t>
      </w:r>
      <w:r w:rsidRPr="00385D5F">
        <w:rPr>
          <w:rFonts w:cs="Times New Roman"/>
          <w:color w:val="000000"/>
          <w:lang w:val="en-GB"/>
        </w:rPr>
        <w:t>. This resulted in substantial real wage growth.</w:t>
      </w:r>
    </w:p>
    <w:p w14:paraId="654F56E2" w14:textId="78266EEF" w:rsidR="001257A1" w:rsidRPr="00385D5F" w:rsidRDefault="001257A1" w:rsidP="001257A1">
      <w:pPr>
        <w:jc w:val="both"/>
        <w:textAlignment w:val="baseline"/>
        <w:rPr>
          <w:rFonts w:cs="Times New Roman"/>
          <w:color w:val="000000"/>
          <w:lang w:val="en-GB"/>
        </w:rPr>
      </w:pPr>
      <w:r w:rsidRPr="00385D5F">
        <w:rPr>
          <w:rFonts w:cs="Times New Roman"/>
          <w:color w:val="000000"/>
          <w:lang w:val="en-GB"/>
        </w:rPr>
        <w:t xml:space="preserve">Wage formation in Norway is based on the </w:t>
      </w:r>
      <w:proofErr w:type="spellStart"/>
      <w:r w:rsidR="00734F1D">
        <w:rPr>
          <w:rFonts w:cs="Times New Roman"/>
          <w:color w:val="000000"/>
          <w:lang w:val="en-GB"/>
        </w:rPr>
        <w:t>frontfag</w:t>
      </w:r>
      <w:proofErr w:type="spellEnd"/>
      <w:r w:rsidRPr="00385D5F">
        <w:rPr>
          <w:rFonts w:cs="Times New Roman"/>
          <w:color w:val="000000"/>
          <w:lang w:val="en-GB"/>
        </w:rPr>
        <w:t xml:space="preserve"> model, where key tariff areas in the </w:t>
      </w:r>
      <w:r w:rsidR="00734F1D">
        <w:rPr>
          <w:rFonts w:cs="Times New Roman"/>
          <w:color w:val="000000"/>
          <w:lang w:val="en-GB"/>
        </w:rPr>
        <w:t xml:space="preserve">internationally </w:t>
      </w:r>
      <w:r w:rsidRPr="00385D5F">
        <w:rPr>
          <w:rFonts w:cs="Times New Roman"/>
          <w:color w:val="000000"/>
          <w:lang w:val="en-GB"/>
        </w:rPr>
        <w:t>exposed sector (</w:t>
      </w:r>
      <w:r w:rsidR="00734F1D">
        <w:rPr>
          <w:rFonts w:cs="Times New Roman"/>
          <w:color w:val="000000"/>
          <w:lang w:val="en-GB"/>
        </w:rPr>
        <w:t xml:space="preserve">the </w:t>
      </w:r>
      <w:proofErr w:type="spellStart"/>
      <w:r w:rsidR="00734F1D">
        <w:rPr>
          <w:rFonts w:cs="Times New Roman"/>
          <w:color w:val="000000"/>
          <w:lang w:val="en-GB"/>
        </w:rPr>
        <w:t>frontfag</w:t>
      </w:r>
      <w:proofErr w:type="spellEnd"/>
      <w:r w:rsidRPr="00385D5F">
        <w:rPr>
          <w:rFonts w:cs="Times New Roman"/>
          <w:color w:val="000000"/>
          <w:lang w:val="en-GB"/>
        </w:rPr>
        <w:t xml:space="preserve">) negotiate first and set the norm for the other areas. In agreement with </w:t>
      </w:r>
      <w:r w:rsidRPr="00385D5F" w:rsidDel="00734F1D">
        <w:rPr>
          <w:rFonts w:cs="Times New Roman"/>
          <w:color w:val="000000"/>
          <w:lang w:val="en-GB"/>
        </w:rPr>
        <w:t>the Norwegian Confederation of Trade Unions</w:t>
      </w:r>
      <w:r w:rsidR="00692FCE">
        <w:rPr>
          <w:rFonts w:cs="Times New Roman"/>
          <w:color w:val="000000"/>
          <w:lang w:val="en-GB"/>
        </w:rPr>
        <w:t xml:space="preserve"> (LO)</w:t>
      </w:r>
      <w:r w:rsidRPr="00385D5F">
        <w:rPr>
          <w:rFonts w:cs="Times New Roman"/>
          <w:color w:val="000000"/>
          <w:lang w:val="en-GB"/>
        </w:rPr>
        <w:t xml:space="preserve">, </w:t>
      </w:r>
      <w:r w:rsidR="00692FCE">
        <w:rPr>
          <w:rFonts w:cs="Times New Roman"/>
          <w:color w:val="000000"/>
          <w:lang w:val="en-GB"/>
        </w:rPr>
        <w:t>the Confederation of Norwegian Enterprises (</w:t>
      </w:r>
      <w:r w:rsidRPr="00385D5F">
        <w:rPr>
          <w:rFonts w:cs="Times New Roman"/>
          <w:color w:val="000000"/>
          <w:lang w:val="en-GB"/>
        </w:rPr>
        <w:t>NHO</w:t>
      </w:r>
      <w:r w:rsidR="00692FCE">
        <w:rPr>
          <w:rFonts w:cs="Times New Roman"/>
          <w:color w:val="000000"/>
          <w:lang w:val="en-GB"/>
        </w:rPr>
        <w:t>)</w:t>
      </w:r>
      <w:r w:rsidRPr="00385D5F">
        <w:rPr>
          <w:rFonts w:cs="Times New Roman"/>
          <w:color w:val="000000"/>
          <w:lang w:val="en-GB"/>
        </w:rPr>
        <w:t xml:space="preserve"> estimates annual wage growth in manufacturing </w:t>
      </w:r>
      <w:proofErr w:type="gramStart"/>
      <w:r w:rsidRPr="00385D5F">
        <w:rPr>
          <w:rFonts w:cs="Times New Roman"/>
          <w:color w:val="000000"/>
          <w:lang w:val="en-GB"/>
        </w:rPr>
        <w:t>as a whole in</w:t>
      </w:r>
      <w:proofErr w:type="gramEnd"/>
      <w:r w:rsidRPr="00385D5F">
        <w:rPr>
          <w:rFonts w:cs="Times New Roman"/>
          <w:color w:val="000000"/>
          <w:lang w:val="en-GB"/>
        </w:rPr>
        <w:t xml:space="preserve"> the NHO area at 4.4 per cent this year.</w:t>
      </w:r>
    </w:p>
    <w:p w14:paraId="2FC4F8A4" w14:textId="757AB018" w:rsidR="001257A1" w:rsidRPr="00385D5F" w:rsidRDefault="001257A1" w:rsidP="001257A1">
      <w:pPr>
        <w:jc w:val="both"/>
        <w:textAlignment w:val="baseline"/>
        <w:rPr>
          <w:rFonts w:cs="Times New Roman"/>
          <w:color w:val="000000"/>
          <w:spacing w:val="1"/>
          <w:lang w:val="en-GB"/>
        </w:rPr>
      </w:pPr>
      <w:r w:rsidRPr="00385D5F">
        <w:rPr>
          <w:rFonts w:cs="Times New Roman"/>
          <w:color w:val="000000"/>
          <w:spacing w:val="1"/>
          <w:lang w:val="en-GB"/>
        </w:rPr>
        <w:t xml:space="preserve">The labour cost share for manufacturing is a key indicator for monitoring the competitiveness of the </w:t>
      </w:r>
      <w:proofErr w:type="spellStart"/>
      <w:r w:rsidR="007002F9">
        <w:rPr>
          <w:rFonts w:cs="Times New Roman"/>
          <w:color w:val="000000"/>
          <w:spacing w:val="1"/>
          <w:lang w:val="en-GB"/>
        </w:rPr>
        <w:t>frontfag</w:t>
      </w:r>
      <w:proofErr w:type="spellEnd"/>
      <w:r w:rsidRPr="00385D5F">
        <w:rPr>
          <w:rFonts w:cs="Times New Roman"/>
          <w:color w:val="000000"/>
          <w:spacing w:val="1"/>
          <w:lang w:val="en-GB"/>
        </w:rPr>
        <w:t xml:space="preserve">. The labour cost share overall in 2025 was below the average for the past 20 years. Nevertheless, there are considerable differences between branches of manufacturing. In engineering and shipbuilding, the share of labour costs has declined for several years. In commodity-based manufacturing, the labour cost share fell by more than 30 per cent from 2020 to 2022, partly </w:t>
      </w:r>
      <w:proofErr w:type="gramStart"/>
      <w:r w:rsidRPr="00385D5F">
        <w:rPr>
          <w:rFonts w:cs="Times New Roman"/>
          <w:color w:val="000000"/>
          <w:spacing w:val="1"/>
          <w:lang w:val="en-GB"/>
        </w:rPr>
        <w:t>as a result of</w:t>
      </w:r>
      <w:proofErr w:type="gramEnd"/>
      <w:r w:rsidRPr="00385D5F">
        <w:rPr>
          <w:rFonts w:cs="Times New Roman"/>
          <w:color w:val="000000"/>
          <w:spacing w:val="1"/>
          <w:lang w:val="en-GB"/>
        </w:rPr>
        <w:t xml:space="preserve"> a significant increase in commodity prices. In isolation, the reduced share of labour costs for manufacturing </w:t>
      </w:r>
      <w:proofErr w:type="gramStart"/>
      <w:r w:rsidRPr="00385D5F">
        <w:rPr>
          <w:rFonts w:cs="Times New Roman"/>
          <w:color w:val="000000"/>
          <w:spacing w:val="1"/>
          <w:lang w:val="en-GB"/>
        </w:rPr>
        <w:t>as a whole in</w:t>
      </w:r>
      <w:proofErr w:type="gramEnd"/>
      <w:r w:rsidRPr="00385D5F">
        <w:rPr>
          <w:rFonts w:cs="Times New Roman"/>
          <w:color w:val="000000"/>
          <w:spacing w:val="1"/>
          <w:lang w:val="en-GB"/>
        </w:rPr>
        <w:t xml:space="preserve"> recent years provides room for wage growth to remain higher than the rise in prices ahead. There is uncertainty associated with developments in both commodity prices and energy prices. If these were to be reduced, profitability in manufacturing would be dampened. This could then affect wage growth. Changes in the exchange rate will also affect profitability in manufacturing.</w:t>
      </w:r>
    </w:p>
    <w:p w14:paraId="32836B91" w14:textId="77777777" w:rsidR="001257A1" w:rsidRPr="00385D5F" w:rsidRDefault="001257A1" w:rsidP="001257A1">
      <w:pPr>
        <w:jc w:val="both"/>
        <w:textAlignment w:val="baseline"/>
        <w:rPr>
          <w:rFonts w:cs="Times New Roman"/>
          <w:color w:val="000000"/>
          <w:lang w:val="en-GB"/>
        </w:rPr>
      </w:pPr>
      <w:r w:rsidRPr="00385D5F">
        <w:rPr>
          <w:rFonts w:cs="Times New Roman"/>
          <w:color w:val="000000"/>
          <w:lang w:val="en-GB"/>
        </w:rPr>
        <w:t>Unemployment is low in several parts of the labour market, and many employers still face challenges recruiting labour. This report assumes overall annual wage growth of 4.6 per cent this year. Next year, annual wages are projected to increase by 4 per cent. This implies solid real wage growth both this year and next year.</w:t>
      </w:r>
    </w:p>
    <w:p w14:paraId="1D88989C" w14:textId="0428DA29" w:rsidR="001257A1" w:rsidRPr="001257A1" w:rsidRDefault="005F0CC8" w:rsidP="009417BD">
      <w:pPr>
        <w:rPr>
          <w:rFonts w:eastAsia="Tahoma"/>
        </w:rPr>
      </w:pPr>
      <w:r>
        <w:rPr>
          <w:rFonts w:eastAsia="Tahoma"/>
          <w:noProof/>
        </w:rPr>
        <w:drawing>
          <wp:inline distT="0" distB="0" distL="0" distR="0" wp14:anchorId="720B166A" wp14:editId="176E5389">
            <wp:extent cx="3709994" cy="2937078"/>
            <wp:effectExtent l="0" t="0" r="5080" b="0"/>
            <wp:docPr id="1369114323" name="Grafikk 8" descr="Chart 2.8 Norges Bank's key policy rate. Percent. 1st quarter 2022–2nd quarter 2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114323" name="Grafikk 8" descr="Chart 2.8 Norges Bank's key policy rate. Percent. 1st quarter 2022–2nd quarter 203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717602" cy="2943101"/>
                    </a:xfrm>
                    <a:prstGeom prst="rect">
                      <a:avLst/>
                    </a:prstGeom>
                  </pic:spPr>
                </pic:pic>
              </a:graphicData>
            </a:graphic>
          </wp:inline>
        </w:drawing>
      </w:r>
    </w:p>
    <w:p w14:paraId="4347FF00" w14:textId="77777777" w:rsidR="00BC269C" w:rsidRPr="00BC269C" w:rsidRDefault="001257A1" w:rsidP="006717D5">
      <w:pPr>
        <w:pStyle w:val="avsnitt-tittel"/>
        <w:rPr>
          <w:rStyle w:val="skrift-hevet"/>
          <w:lang w:val="en-GB"/>
        </w:rPr>
      </w:pPr>
      <w:r w:rsidRPr="00385D5F">
        <w:rPr>
          <w:rFonts w:eastAsia="Tahoma"/>
          <w:lang w:val="en-GB"/>
        </w:rPr>
        <w:t xml:space="preserve">Chart 2.8 </w:t>
      </w:r>
      <w:proofErr w:type="spellStart"/>
      <w:r w:rsidRPr="00385D5F">
        <w:rPr>
          <w:rFonts w:eastAsia="Tahoma"/>
          <w:lang w:val="en-GB"/>
        </w:rPr>
        <w:t>Norges</w:t>
      </w:r>
      <w:proofErr w:type="spellEnd"/>
      <w:r w:rsidRPr="00385D5F">
        <w:rPr>
          <w:rFonts w:eastAsia="Tahoma"/>
          <w:lang w:val="en-GB"/>
        </w:rPr>
        <w:t xml:space="preserve"> Bank</w:t>
      </w:r>
      <w:r w:rsidR="00BC269C">
        <w:rPr>
          <w:rFonts w:eastAsia="Tahoma"/>
          <w:lang w:val="en-GB"/>
        </w:rPr>
        <w:t>’</w:t>
      </w:r>
      <w:r w:rsidRPr="00385D5F">
        <w:rPr>
          <w:rFonts w:eastAsia="Tahoma"/>
          <w:lang w:val="en-GB"/>
        </w:rPr>
        <w:t>s key policy rate. Percent. 1st quarter 2022–2nd quarter 2030</w:t>
      </w:r>
      <w:r w:rsidR="00BC269C" w:rsidRPr="00BC269C">
        <w:rPr>
          <w:rStyle w:val="skrift-hevet"/>
          <w:lang w:val="en-GB"/>
        </w:rPr>
        <w:t>1</w:t>
      </w:r>
    </w:p>
    <w:p w14:paraId="448009C0" w14:textId="361C7262" w:rsidR="001257A1" w:rsidRPr="00385D5F" w:rsidRDefault="00BC269C" w:rsidP="006717D5">
      <w:pPr>
        <w:pStyle w:val="Note"/>
        <w:rPr>
          <w:lang w:val="en-GB"/>
        </w:rPr>
      </w:pPr>
      <w:r w:rsidRPr="00BC269C">
        <w:rPr>
          <w:rStyle w:val="skrift-hevet"/>
          <w:lang w:val="en-GB"/>
        </w:rPr>
        <w:t>1</w:t>
      </w:r>
      <w:r w:rsidR="001257A1" w:rsidRPr="00385D5F">
        <w:rPr>
          <w:lang w:val="en-GB"/>
        </w:rPr>
        <w:t xml:space="preserve"> </w:t>
      </w:r>
      <w:proofErr w:type="spellStart"/>
      <w:r w:rsidR="001257A1" w:rsidRPr="00385D5F">
        <w:rPr>
          <w:lang w:val="en-GB"/>
        </w:rPr>
        <w:t>Norges</w:t>
      </w:r>
      <w:proofErr w:type="spellEnd"/>
      <w:r w:rsidR="001257A1" w:rsidRPr="00385D5F">
        <w:rPr>
          <w:lang w:val="en-GB"/>
        </w:rPr>
        <w:t xml:space="preserve"> Bank</w:t>
      </w:r>
      <w:r>
        <w:rPr>
          <w:lang w:val="en-GB"/>
        </w:rPr>
        <w:t>’</w:t>
      </w:r>
      <w:r w:rsidR="001257A1" w:rsidRPr="00385D5F">
        <w:rPr>
          <w:lang w:val="en-GB"/>
        </w:rPr>
        <w:t>s projections for the key policy rate at different times. Monetary Policy Report (</w:t>
      </w:r>
      <w:r w:rsidR="00BC6904">
        <w:rPr>
          <w:lang w:val="en-GB"/>
        </w:rPr>
        <w:t>M</w:t>
      </w:r>
      <w:r w:rsidR="001257A1" w:rsidRPr="00385D5F">
        <w:rPr>
          <w:lang w:val="en-GB"/>
        </w:rPr>
        <w:t>PR) 4/25 was published on 18 December 2025, MPR 1/26 on 26 March 2026, MPR 2/2026 on 18 June 2026 and MPR 3/2026 on 24 September 2026.</w:t>
      </w:r>
    </w:p>
    <w:p w14:paraId="7F02E256" w14:textId="77777777" w:rsidR="001257A1" w:rsidRPr="00BC269C" w:rsidRDefault="001257A1" w:rsidP="006717D5">
      <w:pPr>
        <w:pStyle w:val="Kilde"/>
        <w:rPr>
          <w:rStyle w:val="kursiv"/>
        </w:rPr>
      </w:pPr>
      <w:r w:rsidRPr="001E0DD9">
        <w:t>Source: Norges Bank.</w:t>
      </w:r>
    </w:p>
    <w:p w14:paraId="2D554478" w14:textId="4FDAB241" w:rsidR="001257A1" w:rsidRPr="001257A1" w:rsidRDefault="00CB49DF" w:rsidP="006717D5">
      <w:pPr>
        <w:rPr>
          <w:rFonts w:eastAsia="Tahoma"/>
        </w:rPr>
      </w:pPr>
      <w:r>
        <w:rPr>
          <w:rFonts w:eastAsia="Tahoma"/>
          <w:noProof/>
        </w:rPr>
        <w:drawing>
          <wp:inline distT="0" distB="0" distL="0" distR="0" wp14:anchorId="138415CC" wp14:editId="0F38F727">
            <wp:extent cx="4190348" cy="3317358"/>
            <wp:effectExtent l="0" t="0" r="1270" b="0"/>
            <wp:docPr id="322073068" name="Grafikk 9" descr="Chart 2.9 Twelve-month growth in the CPI and CPI-ATE. Percent. 2020–2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73068" name="Grafikk 9" descr="Chart 2.9 Twelve-month growth in the CPI and CPI-ATE. Percent. 2020–202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197651" cy="3323140"/>
                    </a:xfrm>
                    <a:prstGeom prst="rect">
                      <a:avLst/>
                    </a:prstGeom>
                  </pic:spPr>
                </pic:pic>
              </a:graphicData>
            </a:graphic>
          </wp:inline>
        </w:drawing>
      </w:r>
    </w:p>
    <w:p w14:paraId="3B3071E8" w14:textId="77777777" w:rsidR="001257A1" w:rsidRPr="00385D5F" w:rsidRDefault="001257A1" w:rsidP="006717D5">
      <w:pPr>
        <w:pStyle w:val="avsnitt-tittel"/>
        <w:rPr>
          <w:rFonts w:eastAsia="Tahoma"/>
          <w:lang w:val="en-GB"/>
        </w:rPr>
      </w:pPr>
      <w:r w:rsidRPr="00385D5F">
        <w:rPr>
          <w:rFonts w:eastAsia="Tahoma"/>
          <w:lang w:val="en-GB"/>
        </w:rPr>
        <w:t>Chart 2.9 Twelve-month growth in the CPI and CPI-ATE. Percent. 2020–2028</w:t>
      </w:r>
    </w:p>
    <w:p w14:paraId="4C8EA19B" w14:textId="77777777" w:rsidR="001257A1" w:rsidRPr="00BC269C" w:rsidRDefault="001257A1" w:rsidP="006717D5">
      <w:pPr>
        <w:pStyle w:val="Kilde"/>
        <w:rPr>
          <w:rStyle w:val="kursiv"/>
          <w:lang w:val="en-GB"/>
        </w:rPr>
      </w:pPr>
      <w:r w:rsidRPr="00385D5F">
        <w:rPr>
          <w:lang w:val="en-GB"/>
        </w:rPr>
        <w:t>Sources: Statistics Norway and Ministry of Finance.</w:t>
      </w:r>
    </w:p>
    <w:p w14:paraId="58614319" w14:textId="13F53637" w:rsidR="001257A1" w:rsidRPr="001257A1" w:rsidRDefault="00CB49DF" w:rsidP="009417BD">
      <w:pPr>
        <w:rPr>
          <w:rFonts w:eastAsia="Tahoma"/>
        </w:rPr>
      </w:pPr>
      <w:r>
        <w:rPr>
          <w:rFonts w:eastAsia="Tahoma"/>
          <w:noProof/>
        </w:rPr>
        <w:drawing>
          <wp:inline distT="0" distB="0" distL="0" distR="0" wp14:anchorId="7CA1EE87" wp14:editId="3BFDB5EC">
            <wp:extent cx="4244832" cy="3360492"/>
            <wp:effectExtent l="0" t="0" r="3810" b="0"/>
            <wp:docPr id="15917864" name="Grafikk 10" descr="Chart 2.10 CPI growth and contribution to growth. Percent. 2025–2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7864" name="Grafikk 10" descr="Chart 2.10 CPI growth and contribution to growth. Percent. 2025–202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253992" cy="3367744"/>
                    </a:xfrm>
                    <a:prstGeom prst="rect">
                      <a:avLst/>
                    </a:prstGeom>
                  </pic:spPr>
                </pic:pic>
              </a:graphicData>
            </a:graphic>
          </wp:inline>
        </w:drawing>
      </w:r>
    </w:p>
    <w:p w14:paraId="26580175" w14:textId="77777777" w:rsidR="001257A1" w:rsidRPr="00385D5F" w:rsidRDefault="001257A1" w:rsidP="006717D5">
      <w:pPr>
        <w:pStyle w:val="avsnitt-tittel"/>
        <w:rPr>
          <w:rFonts w:eastAsia="Tahoma"/>
          <w:lang w:val="en-GB"/>
        </w:rPr>
      </w:pPr>
      <w:r w:rsidRPr="00385D5F">
        <w:rPr>
          <w:rFonts w:eastAsia="Tahoma"/>
          <w:lang w:val="en-GB"/>
        </w:rPr>
        <w:t>Chart 2.10 CPI growth and contribution to growth. Percent. 2025–2028</w:t>
      </w:r>
    </w:p>
    <w:p w14:paraId="193CA426" w14:textId="77777777" w:rsidR="001257A1" w:rsidRPr="00385D5F" w:rsidRDefault="001257A1" w:rsidP="006717D5">
      <w:pPr>
        <w:pStyle w:val="Kilde"/>
        <w:rPr>
          <w:lang w:val="en-GB"/>
        </w:rPr>
      </w:pPr>
      <w:r w:rsidRPr="00385D5F">
        <w:rPr>
          <w:lang w:val="en-GB"/>
        </w:rPr>
        <w:t>Sources: Statistics Norway and Ministry of Finance.</w:t>
      </w:r>
    </w:p>
    <w:p w14:paraId="7D65F425" w14:textId="695585C1" w:rsidR="0009485D" w:rsidRDefault="00194910" w:rsidP="006717D5">
      <w:pPr>
        <w:rPr>
          <w:rFonts w:eastAsia="Tahoma"/>
        </w:rPr>
      </w:pPr>
      <w:r>
        <w:rPr>
          <w:rFonts w:eastAsia="Tahoma"/>
          <w:noProof/>
        </w:rPr>
        <w:drawing>
          <wp:inline distT="0" distB="0" distL="0" distR="0" wp14:anchorId="11D5D78F" wp14:editId="0EB4751E">
            <wp:extent cx="4059590" cy="3213842"/>
            <wp:effectExtent l="0" t="0" r="0" b="5715"/>
            <wp:docPr id="36052188" name="Grafikk 11" descr="Chart 2.11 Registered unemployed and LFS unemployed as a percentage of the labour force. Seasonally adjusted. 2022–2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52188" name="Grafikk 11" descr="Chart 2.11 Registered unemployed and LFS unemployed as a percentage of the labour force. Seasonally adjusted. 2022–2028"/>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067246" cy="3219903"/>
                    </a:xfrm>
                    <a:prstGeom prst="rect">
                      <a:avLst/>
                    </a:prstGeom>
                  </pic:spPr>
                </pic:pic>
              </a:graphicData>
            </a:graphic>
          </wp:inline>
        </w:drawing>
      </w:r>
    </w:p>
    <w:p w14:paraId="7127766F" w14:textId="77777777" w:rsidR="00BC269C" w:rsidRPr="00BC269C" w:rsidRDefault="001257A1" w:rsidP="001257A1">
      <w:pPr>
        <w:textAlignment w:val="baseline"/>
        <w:rPr>
          <w:rStyle w:val="skrift-hevet"/>
          <w:lang w:val="en-GB"/>
        </w:rPr>
      </w:pPr>
      <w:r w:rsidRPr="00385D5F">
        <w:rPr>
          <w:rFonts w:eastAsia="Tahoma" w:cs="Times New Roman"/>
          <w:color w:val="000000"/>
          <w:sz w:val="26"/>
          <w:szCs w:val="26"/>
          <w:lang w:val="en-GB"/>
        </w:rPr>
        <w:t>Chart 2.11 Registered unemployed and LFS unemployed as a percentage of the labour force. Seasonally adjusted. 2022</w:t>
      </w:r>
      <w:r w:rsidR="00D7554C">
        <w:rPr>
          <w:rFonts w:eastAsia="Tahoma" w:cs="Times New Roman"/>
          <w:color w:val="000000"/>
          <w:sz w:val="26"/>
          <w:szCs w:val="26"/>
          <w:lang w:val="en-GB"/>
        </w:rPr>
        <w:t>–</w:t>
      </w:r>
      <w:r w:rsidRPr="00385D5F">
        <w:rPr>
          <w:rFonts w:eastAsia="Tahoma" w:cs="Times New Roman"/>
          <w:color w:val="000000"/>
          <w:sz w:val="26"/>
          <w:szCs w:val="26"/>
          <w:lang w:val="en-GB"/>
        </w:rPr>
        <w:t>2028</w:t>
      </w:r>
      <w:r w:rsidR="00BC269C" w:rsidRPr="00BC269C">
        <w:rPr>
          <w:rStyle w:val="skrift-hevet"/>
          <w:lang w:val="en-GB"/>
        </w:rPr>
        <w:t>1</w:t>
      </w:r>
    </w:p>
    <w:p w14:paraId="13ECDA70" w14:textId="5E8BABA0" w:rsidR="001257A1" w:rsidRPr="00385D5F" w:rsidRDefault="00BC269C" w:rsidP="006717D5">
      <w:pPr>
        <w:pStyle w:val="Note"/>
        <w:rPr>
          <w:lang w:val="en-GB"/>
        </w:rPr>
      </w:pPr>
      <w:r w:rsidRPr="00BC269C">
        <w:rPr>
          <w:rStyle w:val="skrift-hevet"/>
          <w:lang w:val="en-GB"/>
        </w:rPr>
        <w:t>1</w:t>
      </w:r>
      <w:r w:rsidRPr="00BC269C">
        <w:rPr>
          <w:rStyle w:val="skrift-hevet"/>
          <w:lang w:val="en-GB"/>
        </w:rPr>
        <w:t xml:space="preserve"> </w:t>
      </w:r>
      <w:r w:rsidR="001257A1" w:rsidRPr="00385D5F">
        <w:rPr>
          <w:lang w:val="en-GB"/>
        </w:rPr>
        <w:t>Historical unemployment averages are the averages for the period 2006–2019 and 2022–2025.</w:t>
      </w:r>
    </w:p>
    <w:p w14:paraId="0084BFC7" w14:textId="77777777" w:rsidR="001257A1" w:rsidRPr="00BC269C" w:rsidRDefault="001257A1" w:rsidP="006717D5">
      <w:pPr>
        <w:pStyle w:val="Kilde"/>
        <w:rPr>
          <w:rStyle w:val="kursiv"/>
          <w:lang w:val="en-GB"/>
        </w:rPr>
      </w:pPr>
      <w:r w:rsidRPr="00385D5F">
        <w:rPr>
          <w:lang w:val="en-GB"/>
        </w:rPr>
        <w:t>Sources: Statistics Norway, Norwegian Labour and Welfare Administration and the Ministry of Finance.</w:t>
      </w:r>
    </w:p>
    <w:p w14:paraId="308F8229" w14:textId="77777777" w:rsidR="001257A1" w:rsidRPr="00385D5F" w:rsidRDefault="001257A1" w:rsidP="006717D5">
      <w:pPr>
        <w:pStyle w:val="avsnitt-undertittel"/>
        <w:rPr>
          <w:lang w:val="en-GB"/>
        </w:rPr>
      </w:pPr>
      <w:r w:rsidRPr="00385D5F">
        <w:rPr>
          <w:lang w:val="en-GB"/>
        </w:rPr>
        <w:t>Households are pulling the brakes slightly this year</w:t>
      </w:r>
    </w:p>
    <w:p w14:paraId="0C811D9D" w14:textId="68E70286" w:rsidR="001257A1" w:rsidRPr="00385D5F" w:rsidRDefault="001257A1" w:rsidP="001257A1">
      <w:pPr>
        <w:jc w:val="both"/>
        <w:textAlignment w:val="baseline"/>
        <w:rPr>
          <w:rFonts w:cs="Times New Roman"/>
          <w:color w:val="000000"/>
          <w:spacing w:val="-1"/>
          <w:lang w:val="en-GB"/>
        </w:rPr>
      </w:pPr>
      <w:r w:rsidRPr="00385D5F">
        <w:rPr>
          <w:rFonts w:cs="Times New Roman"/>
          <w:color w:val="000000"/>
          <w:spacing w:val="-1"/>
          <w:lang w:val="en-GB"/>
        </w:rPr>
        <w:t xml:space="preserve">After solid growth in consumption last year, growth slowed in the first half of this year. Some of the development is due to strong growth in car purchases in the fourth quarter last year, which was followed by a marked fall in the first quarter of this year. Consumption was approximately unchanged from the first to the second quarter, and current statistics indicate that growth this year will be </w:t>
      </w:r>
      <w:proofErr w:type="gramStart"/>
      <w:r w:rsidRPr="00385D5F">
        <w:rPr>
          <w:rFonts w:cs="Times New Roman"/>
          <w:color w:val="000000"/>
          <w:spacing w:val="-1"/>
          <w:lang w:val="en-GB"/>
        </w:rPr>
        <w:t>fairly sober</w:t>
      </w:r>
      <w:proofErr w:type="gramEnd"/>
      <w:r w:rsidRPr="00385D5F">
        <w:rPr>
          <w:rFonts w:cs="Times New Roman"/>
          <w:color w:val="000000"/>
          <w:spacing w:val="-1"/>
          <w:lang w:val="en-GB"/>
        </w:rPr>
        <w:t>. Weaker developments may indicate that heightened uncertainty and somewhat higher interest rates have made households more hesitant and that they are saving a higher share of their income than previously.</w:t>
      </w:r>
    </w:p>
    <w:p w14:paraId="5059C4C9" w14:textId="77777777" w:rsidR="001257A1" w:rsidRPr="00385D5F" w:rsidRDefault="001257A1" w:rsidP="001257A1">
      <w:pPr>
        <w:jc w:val="both"/>
        <w:textAlignment w:val="baseline"/>
        <w:rPr>
          <w:rFonts w:cs="Times New Roman"/>
          <w:color w:val="000000"/>
          <w:spacing w:val="-1"/>
          <w:lang w:val="en-GB"/>
        </w:rPr>
      </w:pPr>
      <w:r w:rsidRPr="00385D5F">
        <w:rPr>
          <w:rFonts w:cs="Times New Roman"/>
          <w:color w:val="000000"/>
          <w:spacing w:val="-1"/>
          <w:lang w:val="en-GB"/>
        </w:rPr>
        <w:t>Solid income growth is underpinning household consumption. Real wage growth has been solid in recent years and is projected to remain high. Nor do the interest rates assumed ahead prevent further growth in household real disposable income. Consumption growth is expected to pick up somewhat from next year.</w:t>
      </w:r>
    </w:p>
    <w:p w14:paraId="7210CDDE" w14:textId="77777777" w:rsidR="001257A1" w:rsidRPr="00385D5F" w:rsidRDefault="001257A1" w:rsidP="006717D5">
      <w:pPr>
        <w:pStyle w:val="avsnitt-undertittel"/>
        <w:rPr>
          <w:lang w:val="en-GB"/>
        </w:rPr>
      </w:pPr>
      <w:r w:rsidRPr="00385D5F">
        <w:rPr>
          <w:lang w:val="en-GB"/>
        </w:rPr>
        <w:t>Postponed housing investment upturn</w:t>
      </w:r>
    </w:p>
    <w:p w14:paraId="09B6B89C" w14:textId="14AEE326" w:rsidR="001257A1" w:rsidRPr="00385D5F" w:rsidRDefault="001257A1" w:rsidP="001257A1">
      <w:pPr>
        <w:jc w:val="both"/>
        <w:textAlignment w:val="baseline"/>
        <w:rPr>
          <w:rFonts w:cs="Times New Roman"/>
          <w:color w:val="000000"/>
          <w:spacing w:val="-2"/>
          <w:lang w:val="en-GB"/>
        </w:rPr>
      </w:pPr>
      <w:r w:rsidRPr="00385D5F">
        <w:rPr>
          <w:rFonts w:cs="Times New Roman"/>
          <w:color w:val="000000"/>
          <w:lang w:val="en-GB"/>
        </w:rPr>
        <w:t xml:space="preserve">Housing investment has remained broadly unchanged over the past year and a half, after falling sharply in 2023 and 2024. This year there was a marked fall in housing investment in the first quarter and growth in the second quarter. An upturn in housing investment has long been expected, but in the updated projections the upturn has been further deferred (see </w:t>
      </w:r>
      <w:r w:rsidR="003A22BA">
        <w:rPr>
          <w:rFonts w:cs="Times New Roman"/>
          <w:color w:val="000000"/>
          <w:lang w:val="en-GB"/>
        </w:rPr>
        <w:t>Chart</w:t>
      </w:r>
      <w:r w:rsidRPr="00385D5F">
        <w:rPr>
          <w:rFonts w:cs="Times New Roman"/>
          <w:color w:val="000000"/>
          <w:lang w:val="en-GB"/>
        </w:rPr>
        <w:t xml:space="preserve"> 2.12). </w:t>
      </w:r>
      <w:proofErr w:type="gramStart"/>
      <w:r w:rsidRPr="00385D5F">
        <w:rPr>
          <w:rFonts w:cs="Times New Roman"/>
          <w:color w:val="000000"/>
          <w:lang w:val="en-GB"/>
        </w:rPr>
        <w:t>A number of</w:t>
      </w:r>
      <w:proofErr w:type="gramEnd"/>
      <w:r w:rsidRPr="00385D5F">
        <w:rPr>
          <w:rFonts w:cs="Times New Roman"/>
          <w:color w:val="000000"/>
          <w:lang w:val="en-GB"/>
        </w:rPr>
        <w:t xml:space="preserve"> factors dampen the upturn. Higher interest rates and higher construction costs have pushed down activity in the construction industry. New home sales have developed weakly this year and are lower than at the same time last year. At the same time, the rise in second-hand house prices has been relatively weak so far this year (Chart 2.13), and lower than the rise in prices for new homes. It helps maintain the large price difference between new and resale homes, which makes new homes less attractive. The level of housing investment is projected to remain broadly unchanged this year. Higher real income is expected to push up household demand for new homes further out. Housing investment growth is expected to pick up gradually from next year.</w:t>
      </w:r>
    </w:p>
    <w:p w14:paraId="41D4EEFF" w14:textId="42C3199A" w:rsidR="000F1979" w:rsidRDefault="001257A1" w:rsidP="001257A1">
      <w:pPr>
        <w:jc w:val="both"/>
        <w:textAlignment w:val="baseline"/>
        <w:rPr>
          <w:rFonts w:cs="Times New Roman"/>
          <w:color w:val="000000"/>
          <w:spacing w:val="-1"/>
          <w:lang w:val="en-GB"/>
        </w:rPr>
      </w:pPr>
      <w:r w:rsidRPr="00385D5F">
        <w:rPr>
          <w:rFonts w:cs="Times New Roman"/>
          <w:color w:val="000000"/>
          <w:spacing w:val="-1"/>
          <w:lang w:val="en-GB"/>
        </w:rPr>
        <w:t xml:space="preserve">Low housing investment in recent years also means that the number of completed homes has declined. It may be interesting to compare the annual increase in the number of households, as it can be a simple guideline for how much housing construction is needed over time. In recent years, the number of completed dwellings </w:t>
      </w:r>
      <w:proofErr w:type="gramStart"/>
      <w:r w:rsidRPr="00385D5F">
        <w:rPr>
          <w:rFonts w:cs="Times New Roman"/>
          <w:color w:val="000000"/>
          <w:spacing w:val="-1"/>
          <w:lang w:val="en-GB"/>
        </w:rPr>
        <w:t>less</w:t>
      </w:r>
      <w:proofErr w:type="gramEnd"/>
      <w:r w:rsidRPr="00385D5F">
        <w:rPr>
          <w:rFonts w:cs="Times New Roman"/>
          <w:color w:val="000000"/>
          <w:spacing w:val="-1"/>
          <w:lang w:val="en-GB"/>
        </w:rPr>
        <w:t xml:space="preserve"> departed dwellings </w:t>
      </w:r>
      <w:proofErr w:type="gramStart"/>
      <w:r w:rsidRPr="00385D5F">
        <w:rPr>
          <w:rFonts w:cs="Times New Roman"/>
          <w:color w:val="000000"/>
          <w:spacing w:val="-1"/>
          <w:lang w:val="en-GB"/>
        </w:rPr>
        <w:t>has</w:t>
      </w:r>
      <w:proofErr w:type="gramEnd"/>
      <w:r w:rsidRPr="00385D5F">
        <w:rPr>
          <w:rFonts w:cs="Times New Roman"/>
          <w:color w:val="000000"/>
          <w:spacing w:val="-1"/>
          <w:lang w:val="en-GB"/>
        </w:rPr>
        <w:t xml:space="preserve"> been below the increase in the number of households (Chart 2.14). This may indicate pent-up demand for new homes, which may support the projection of an increase in residential construction in the coming years. At the same time, it is difficult to capture the amount of spare capacity in the unused portion of existing housing stock. Moreover, in the longer term it is reasonable to assume that the increase in the number of households will decline </w:t>
      </w:r>
      <w:r w:rsidR="0035031C" w:rsidRPr="00385D5F">
        <w:rPr>
          <w:rFonts w:cs="Times New Roman"/>
          <w:color w:val="000000"/>
          <w:spacing w:val="-1"/>
          <w:lang w:val="en-GB"/>
        </w:rPr>
        <w:t>because of</w:t>
      </w:r>
      <w:r w:rsidRPr="00385D5F">
        <w:rPr>
          <w:rFonts w:cs="Times New Roman"/>
          <w:color w:val="000000"/>
          <w:spacing w:val="-1"/>
          <w:lang w:val="en-GB"/>
        </w:rPr>
        <w:t xml:space="preserve"> lower population growth. This may reduce the need for residential construction further ahead.</w:t>
      </w:r>
    </w:p>
    <w:p w14:paraId="6079700C" w14:textId="40F7C909" w:rsidR="001257A1" w:rsidRPr="001257A1" w:rsidRDefault="00194910" w:rsidP="006717D5">
      <w:pPr>
        <w:rPr>
          <w:rFonts w:eastAsia="Tahoma"/>
        </w:rPr>
      </w:pPr>
      <w:r>
        <w:rPr>
          <w:rFonts w:eastAsia="Tahoma"/>
          <w:noProof/>
        </w:rPr>
        <w:drawing>
          <wp:inline distT="0" distB="0" distL="0" distR="0" wp14:anchorId="0574BB51" wp14:editId="2F669D7C">
            <wp:extent cx="3758484" cy="2975466"/>
            <wp:effectExtent l="0" t="0" r="0" b="0"/>
            <wp:docPr id="1758229841" name="Grafikk 12" descr="Chart 2.12 Projections for housing investment at different points in time. NOK billion at 2023 prices. 2020–2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229841" name="Grafikk 12" descr="Chart 2.12 Projections for housing investment at different points in time. NOK billion at 2023 prices. 2020–2028"/>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789052" cy="2999666"/>
                    </a:xfrm>
                    <a:prstGeom prst="rect">
                      <a:avLst/>
                    </a:prstGeom>
                  </pic:spPr>
                </pic:pic>
              </a:graphicData>
            </a:graphic>
          </wp:inline>
        </w:drawing>
      </w:r>
    </w:p>
    <w:p w14:paraId="2DCC5BBF" w14:textId="77777777" w:rsidR="001257A1" w:rsidRPr="00385D5F" w:rsidRDefault="001257A1" w:rsidP="006717D5">
      <w:pPr>
        <w:pStyle w:val="avsnitt-tittel"/>
        <w:rPr>
          <w:rFonts w:eastAsia="Tahoma"/>
          <w:lang w:val="en-GB"/>
        </w:rPr>
      </w:pPr>
      <w:r w:rsidRPr="00385D5F">
        <w:rPr>
          <w:rFonts w:eastAsia="Tahoma"/>
          <w:lang w:val="en-GB"/>
        </w:rPr>
        <w:t>Chart 2.12 Projections for housing investment at different points in time. NOK billion at 2023 prices. 2020–2028</w:t>
      </w:r>
    </w:p>
    <w:p w14:paraId="13E86AA2" w14:textId="77777777" w:rsidR="001257A1" w:rsidRPr="00BC269C" w:rsidRDefault="001257A1" w:rsidP="006717D5">
      <w:pPr>
        <w:pStyle w:val="Kilde"/>
        <w:rPr>
          <w:rStyle w:val="kursiv"/>
          <w:lang w:val="en-GB"/>
        </w:rPr>
      </w:pPr>
      <w:r w:rsidRPr="00385D5F">
        <w:rPr>
          <w:lang w:val="en-GB"/>
        </w:rPr>
        <w:t>Sources: Statistics Norway and Ministry of Finance.</w:t>
      </w:r>
    </w:p>
    <w:p w14:paraId="4D3374A4" w14:textId="71BDB2DC" w:rsidR="001257A1" w:rsidRPr="001257A1" w:rsidRDefault="00194910" w:rsidP="006717D5">
      <w:pPr>
        <w:rPr>
          <w:rFonts w:eastAsia="Tahoma"/>
        </w:rPr>
      </w:pPr>
      <w:r>
        <w:rPr>
          <w:rFonts w:eastAsia="Tahoma"/>
          <w:noProof/>
        </w:rPr>
        <w:drawing>
          <wp:inline distT="0" distB="0" distL="0" distR="0" wp14:anchorId="6AB84A3C" wp14:editId="4E9E711F">
            <wp:extent cx="3744644" cy="2964508"/>
            <wp:effectExtent l="0" t="0" r="8255" b="7620"/>
            <wp:docPr id="1923609769" name="Grafikk 13" descr="Chart 2.13 Second-hand housing prices. Index. Jan. 2020=100. Seasonally adjusted. Jan. 2020-Aug.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609769" name="Grafikk 13" descr="Chart 2.13 Second-hand housing prices. Index. Jan. 2020=100. Seasonally adjusted. Jan. 2020-Aug. 2026"/>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770730" cy="2985159"/>
                    </a:xfrm>
                    <a:prstGeom prst="rect">
                      <a:avLst/>
                    </a:prstGeom>
                  </pic:spPr>
                </pic:pic>
              </a:graphicData>
            </a:graphic>
          </wp:inline>
        </w:drawing>
      </w:r>
    </w:p>
    <w:p w14:paraId="4A0E8D4C" w14:textId="35C002A6" w:rsidR="001257A1" w:rsidRPr="00385D5F" w:rsidRDefault="001257A1" w:rsidP="006717D5">
      <w:pPr>
        <w:pStyle w:val="avsnitt-tittel"/>
        <w:rPr>
          <w:rFonts w:eastAsia="Tahoma"/>
          <w:lang w:val="en-GB"/>
        </w:rPr>
      </w:pPr>
      <w:r w:rsidRPr="00385D5F">
        <w:rPr>
          <w:rFonts w:eastAsia="Tahoma"/>
          <w:lang w:val="en-GB"/>
        </w:rPr>
        <w:t>Chart 2.13 Second-hand housing prices.</w:t>
      </w:r>
      <w:r w:rsidR="00BC269C" w:rsidRPr="00BC269C">
        <w:rPr>
          <w:rStyle w:val="skrift-hevet"/>
          <w:lang w:val="en-GB"/>
        </w:rPr>
        <w:t>1</w:t>
      </w:r>
      <w:r w:rsidRPr="00385D5F">
        <w:rPr>
          <w:rFonts w:eastAsia="Tahoma"/>
          <w:lang w:val="en-GB"/>
        </w:rPr>
        <w:t xml:space="preserve"> Index. Jan. 2020=100. Seasonally adjusted. Jan. 2020-Aug. 2026</w:t>
      </w:r>
    </w:p>
    <w:p w14:paraId="2B4F6EA8" w14:textId="3C82CDB3" w:rsidR="001257A1" w:rsidRPr="00385D5F" w:rsidRDefault="00BC269C" w:rsidP="006717D5">
      <w:pPr>
        <w:pStyle w:val="Note"/>
        <w:rPr>
          <w:lang w:val="en-GB"/>
        </w:rPr>
      </w:pPr>
      <w:r w:rsidRPr="00BC269C">
        <w:rPr>
          <w:rStyle w:val="skrift-hevet"/>
          <w:lang w:val="en-GB"/>
        </w:rPr>
        <w:t>1</w:t>
      </w:r>
      <w:r w:rsidRPr="00BC269C">
        <w:rPr>
          <w:rStyle w:val="skrift-hevet"/>
          <w:lang w:val="en-GB"/>
        </w:rPr>
        <w:t xml:space="preserve"> </w:t>
      </w:r>
      <w:r w:rsidR="001257A1" w:rsidRPr="00385D5F">
        <w:rPr>
          <w:lang w:val="en-GB"/>
        </w:rPr>
        <w:t>Real house prices are calculated by deflating Real Estate Norway</w:t>
      </w:r>
      <w:r>
        <w:rPr>
          <w:lang w:val="en-GB"/>
        </w:rPr>
        <w:t>’</w:t>
      </w:r>
      <w:r w:rsidR="001257A1" w:rsidRPr="00385D5F">
        <w:rPr>
          <w:lang w:val="en-GB"/>
        </w:rPr>
        <w:t>s seasonally adjusted second-hand housing price series by the seasonally adjusted consumer price index (CPI).</w:t>
      </w:r>
    </w:p>
    <w:p w14:paraId="2154F8E7" w14:textId="77777777" w:rsidR="001257A1" w:rsidRPr="00BC269C" w:rsidRDefault="001257A1" w:rsidP="006717D5">
      <w:pPr>
        <w:pStyle w:val="Kilde"/>
        <w:rPr>
          <w:rStyle w:val="kursiv"/>
          <w:lang w:val="en-GB"/>
        </w:rPr>
      </w:pPr>
      <w:r w:rsidRPr="00385D5F">
        <w:rPr>
          <w:lang w:val="en-GB"/>
        </w:rPr>
        <w:t>Sources: Real Estate Norway, Property Value, Finn.no, Statistics Norway and Ministry of Finance.</w:t>
      </w:r>
    </w:p>
    <w:p w14:paraId="1364C936" w14:textId="76907020" w:rsidR="001257A1" w:rsidRPr="001257A1" w:rsidRDefault="00194910" w:rsidP="006717D5">
      <w:pPr>
        <w:rPr>
          <w:rFonts w:eastAsia="Tahoma"/>
        </w:rPr>
      </w:pPr>
      <w:r>
        <w:rPr>
          <w:rFonts w:eastAsia="Tahoma"/>
          <w:noProof/>
        </w:rPr>
        <w:drawing>
          <wp:inline distT="0" distB="0" distL="0" distR="0" wp14:anchorId="4771B34F" wp14:editId="2F14DE3C">
            <wp:extent cx="4025822" cy="3187110"/>
            <wp:effectExtent l="0" t="0" r="0" b="0"/>
            <wp:docPr id="579445163" name="Grafikk 14" descr="Chart 2.14 Change in the number of private households and the number of completed dwellings (including conversions) less the number of departed dwellings. 2015–202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445163" name="Grafikk 14" descr="Chart 2.14 Change in the number of private households and the number of completed dwellings (including conversions) less the number of departed dwellings. 2015–2025 "/>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044045" cy="3201536"/>
                    </a:xfrm>
                    <a:prstGeom prst="rect">
                      <a:avLst/>
                    </a:prstGeom>
                  </pic:spPr>
                </pic:pic>
              </a:graphicData>
            </a:graphic>
          </wp:inline>
        </w:drawing>
      </w:r>
    </w:p>
    <w:p w14:paraId="1061DAFA" w14:textId="77777777" w:rsidR="00BC269C" w:rsidRDefault="00D8633C" w:rsidP="006717D5">
      <w:pPr>
        <w:pStyle w:val="avsnitt-tittel"/>
        <w:rPr>
          <w:rFonts w:eastAsia="Tahoma"/>
          <w:lang w:val="en-GB"/>
        </w:rPr>
      </w:pPr>
      <w:r w:rsidRPr="006773F6">
        <w:rPr>
          <w:rFonts w:eastAsia="Tahoma"/>
          <w:lang w:val="en-GB"/>
        </w:rPr>
        <w:t>Cha</w:t>
      </w:r>
      <w:r>
        <w:rPr>
          <w:rFonts w:eastAsia="Tahoma"/>
          <w:lang w:val="en-GB"/>
        </w:rPr>
        <w:t>rt</w:t>
      </w:r>
      <w:r w:rsidR="001257A1" w:rsidRPr="00385D5F">
        <w:rPr>
          <w:rFonts w:eastAsia="Tahoma"/>
          <w:lang w:val="en-GB"/>
        </w:rPr>
        <w:t xml:space="preserve"> 2.14 Change in the number of private households and the number of completed dwellings (including conversions) less the number of departed dwellings. </w:t>
      </w:r>
      <w:r w:rsidR="001257A1" w:rsidRPr="006773F6">
        <w:rPr>
          <w:rFonts w:eastAsia="Tahoma"/>
          <w:lang w:val="en-GB"/>
        </w:rPr>
        <w:t>2015–2025</w:t>
      </w:r>
    </w:p>
    <w:p w14:paraId="2426D949" w14:textId="701FD601" w:rsidR="001257A1" w:rsidRPr="006773F6" w:rsidRDefault="001257A1" w:rsidP="006717D5">
      <w:pPr>
        <w:pStyle w:val="Kilde"/>
        <w:rPr>
          <w:rFonts w:eastAsia="Tahoma"/>
          <w:lang w:val="en-GB"/>
        </w:rPr>
      </w:pPr>
      <w:r w:rsidRPr="006773F6">
        <w:rPr>
          <w:lang w:val="en-GB"/>
        </w:rPr>
        <w:t>Source: Statistics Norway.</w:t>
      </w:r>
    </w:p>
    <w:p w14:paraId="6F7F3FF9" w14:textId="5FC05B9E" w:rsidR="001257A1" w:rsidRPr="001257A1" w:rsidRDefault="00194910" w:rsidP="006717D5">
      <w:pPr>
        <w:rPr>
          <w:rFonts w:eastAsia="Tahoma"/>
        </w:rPr>
      </w:pPr>
      <w:r>
        <w:rPr>
          <w:rFonts w:eastAsia="Tahoma"/>
          <w:noProof/>
        </w:rPr>
        <w:drawing>
          <wp:inline distT="0" distB="0" distL="0" distR="0" wp14:anchorId="0ACF5872" wp14:editId="3BBBCF84">
            <wp:extent cx="3951534" cy="3128298"/>
            <wp:effectExtent l="0" t="0" r="0" b="0"/>
            <wp:docPr id="870761099" name="Grafikk 15" descr="Chart 2.15 Gross fixed capital formation. Housing, mainland industries and petroleum. NOK billion at 2023 prices. 2000–2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761099" name="Grafikk 15" descr="Chart 2.15 Gross fixed capital formation. Housing, mainland industries and petroleum. NOK billion at 2023 prices. 2000–2028"/>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961723" cy="3136365"/>
                    </a:xfrm>
                    <a:prstGeom prst="rect">
                      <a:avLst/>
                    </a:prstGeom>
                  </pic:spPr>
                </pic:pic>
              </a:graphicData>
            </a:graphic>
          </wp:inline>
        </w:drawing>
      </w:r>
    </w:p>
    <w:p w14:paraId="7FC638C1" w14:textId="77777777" w:rsidR="001257A1" w:rsidRPr="00385D5F" w:rsidRDefault="001257A1" w:rsidP="006717D5">
      <w:pPr>
        <w:pStyle w:val="avsnitt-tittel"/>
        <w:rPr>
          <w:rFonts w:eastAsia="Tahoma"/>
          <w:lang w:val="en-GB"/>
        </w:rPr>
      </w:pPr>
      <w:r w:rsidRPr="00385D5F">
        <w:rPr>
          <w:rFonts w:eastAsia="Tahoma"/>
          <w:lang w:val="en-GB"/>
        </w:rPr>
        <w:t>Chart 2.15 Gross fixed capital formation. Housing, mainland industries and petroleum. NOK billion at 2023 prices. 2000–2028</w:t>
      </w:r>
    </w:p>
    <w:p w14:paraId="727C2EE2" w14:textId="77777777" w:rsidR="001257A1" w:rsidRPr="00385D5F" w:rsidRDefault="001257A1" w:rsidP="006717D5">
      <w:pPr>
        <w:pStyle w:val="Kilde"/>
        <w:rPr>
          <w:lang w:val="en-GB"/>
        </w:rPr>
      </w:pPr>
      <w:r w:rsidRPr="00385D5F">
        <w:rPr>
          <w:lang w:val="en-GB"/>
        </w:rPr>
        <w:t>Sources: Statistics Norway and Ministry of Finance.</w:t>
      </w:r>
    </w:p>
    <w:p w14:paraId="01C488F5" w14:textId="77777777" w:rsidR="001257A1" w:rsidRPr="00385D5F" w:rsidRDefault="001257A1" w:rsidP="006717D5">
      <w:pPr>
        <w:pStyle w:val="avsnitt-undertittel"/>
        <w:rPr>
          <w:lang w:val="en-GB"/>
        </w:rPr>
      </w:pPr>
      <w:r w:rsidRPr="00385D5F">
        <w:rPr>
          <w:lang w:val="en-GB"/>
        </w:rPr>
        <w:t>Higher interest rates dampen growth in business investment</w:t>
      </w:r>
    </w:p>
    <w:p w14:paraId="6BC6CA63" w14:textId="57356512" w:rsidR="001257A1" w:rsidRPr="00385D5F" w:rsidRDefault="001257A1" w:rsidP="001257A1">
      <w:pPr>
        <w:jc w:val="both"/>
        <w:textAlignment w:val="baseline"/>
        <w:rPr>
          <w:rFonts w:cs="Times New Roman"/>
          <w:color w:val="000000"/>
          <w:spacing w:val="-3"/>
          <w:lang w:val="en-GB"/>
        </w:rPr>
      </w:pPr>
      <w:r w:rsidRPr="00385D5F">
        <w:rPr>
          <w:rFonts w:cs="Times New Roman"/>
          <w:color w:val="000000"/>
          <w:spacing w:val="-3"/>
          <w:lang w:val="en-GB"/>
        </w:rPr>
        <w:t xml:space="preserve">Mainland business investment has shown modest developments in recent years (Chart 2.15). The enterprises in </w:t>
      </w:r>
      <w:proofErr w:type="spellStart"/>
      <w:r w:rsidRPr="00385D5F">
        <w:rPr>
          <w:rFonts w:cs="Times New Roman"/>
          <w:color w:val="000000"/>
          <w:spacing w:val="-3"/>
          <w:lang w:val="en-GB"/>
        </w:rPr>
        <w:t>Norges</w:t>
      </w:r>
      <w:proofErr w:type="spellEnd"/>
      <w:r w:rsidRPr="00385D5F">
        <w:rPr>
          <w:rFonts w:cs="Times New Roman"/>
          <w:color w:val="000000"/>
          <w:spacing w:val="-3"/>
          <w:lang w:val="en-GB"/>
        </w:rPr>
        <w:t xml:space="preserve"> Bank</w:t>
      </w:r>
      <w:r w:rsidR="00BC269C">
        <w:rPr>
          <w:rFonts w:cs="Times New Roman"/>
          <w:color w:val="000000"/>
          <w:spacing w:val="-3"/>
          <w:lang w:val="en-GB"/>
        </w:rPr>
        <w:t>’</w:t>
      </w:r>
      <w:r w:rsidRPr="00385D5F">
        <w:rPr>
          <w:rFonts w:cs="Times New Roman"/>
          <w:color w:val="000000"/>
          <w:spacing w:val="-3"/>
          <w:lang w:val="en-GB"/>
        </w:rPr>
        <w:t xml:space="preserve">s regional network expect moderate growth in output ahead. The outlook is weakest for oil services, </w:t>
      </w:r>
      <w:r w:rsidR="00934F35">
        <w:rPr>
          <w:rFonts w:cs="Times New Roman"/>
          <w:color w:val="000000"/>
          <w:spacing w:val="-3"/>
          <w:lang w:val="en-GB"/>
        </w:rPr>
        <w:t>while it is</w:t>
      </w:r>
      <w:r w:rsidRPr="00385D5F">
        <w:rPr>
          <w:rFonts w:cs="Times New Roman"/>
          <w:color w:val="000000"/>
          <w:spacing w:val="-3"/>
          <w:lang w:val="en-GB"/>
        </w:rPr>
        <w:t xml:space="preserve"> strongest for household services. Excluding investment in electricity supply, which is expected to increase markedly, the projections in this report imply a decline in business investment this year. Investments in power supply are expected to boost growth</w:t>
      </w:r>
      <w:r w:rsidR="004916D0">
        <w:rPr>
          <w:rFonts w:cs="Times New Roman"/>
          <w:color w:val="000000"/>
          <w:spacing w:val="-3"/>
          <w:lang w:val="en-GB"/>
        </w:rPr>
        <w:t xml:space="preserve"> also in </w:t>
      </w:r>
      <w:r w:rsidRPr="00385D5F">
        <w:rPr>
          <w:rFonts w:cs="Times New Roman"/>
          <w:color w:val="000000"/>
          <w:spacing w:val="-3"/>
          <w:lang w:val="en-GB"/>
        </w:rPr>
        <w:t>2027 and 2028. Lower interest rates are then expected to contribute to some growth in non-power investment.</w:t>
      </w:r>
    </w:p>
    <w:p w14:paraId="29650956" w14:textId="77777777" w:rsidR="001257A1" w:rsidRPr="00385D5F" w:rsidRDefault="001257A1" w:rsidP="006717D5">
      <w:pPr>
        <w:pStyle w:val="avsnitt-undertittel"/>
        <w:rPr>
          <w:lang w:val="en-GB"/>
        </w:rPr>
      </w:pPr>
      <w:r w:rsidRPr="00385D5F">
        <w:rPr>
          <w:lang w:val="en-GB"/>
        </w:rPr>
        <w:t>Lower growth impulses from petroleum investment</w:t>
      </w:r>
    </w:p>
    <w:p w14:paraId="2423F246" w14:textId="011D005A" w:rsidR="001257A1" w:rsidRPr="00385D5F" w:rsidRDefault="001257A1" w:rsidP="001257A1">
      <w:pPr>
        <w:jc w:val="both"/>
        <w:textAlignment w:val="baseline"/>
        <w:rPr>
          <w:rFonts w:cs="Times New Roman"/>
          <w:color w:val="000000"/>
          <w:spacing w:val="-3"/>
          <w:lang w:val="en-GB"/>
        </w:rPr>
      </w:pPr>
      <w:r w:rsidRPr="00385D5F">
        <w:rPr>
          <w:rFonts w:cs="Times New Roman"/>
          <w:color w:val="000000"/>
          <w:lang w:val="en-GB"/>
        </w:rPr>
        <w:t xml:space="preserve">Petroleum investment has increased sharply over the past three years, primarily </w:t>
      </w:r>
      <w:r w:rsidR="0035031C" w:rsidRPr="00385D5F">
        <w:rPr>
          <w:rFonts w:cs="Times New Roman"/>
          <w:color w:val="000000"/>
          <w:lang w:val="en-GB"/>
        </w:rPr>
        <w:t>because of</w:t>
      </w:r>
      <w:r w:rsidRPr="00385D5F">
        <w:rPr>
          <w:rFonts w:cs="Times New Roman"/>
          <w:color w:val="000000"/>
          <w:lang w:val="en-GB"/>
        </w:rPr>
        <w:t xml:space="preserve"> field development (Chart 2.15). The increase must be seen in the context of the temporary tax rules adopted by the </w:t>
      </w:r>
      <w:proofErr w:type="spellStart"/>
      <w:r w:rsidRPr="00385D5F">
        <w:rPr>
          <w:rFonts w:cs="Times New Roman"/>
          <w:color w:val="000000"/>
          <w:lang w:val="en-GB"/>
        </w:rPr>
        <w:t>Storting</w:t>
      </w:r>
      <w:proofErr w:type="spellEnd"/>
      <w:r w:rsidRPr="00385D5F">
        <w:rPr>
          <w:rFonts w:cs="Times New Roman"/>
          <w:color w:val="000000"/>
          <w:lang w:val="en-GB"/>
        </w:rPr>
        <w:t xml:space="preserve"> in spring 2020, which provided more favourable tax terms for developments where the plan for development and operation (PDO) was submitted by the end of 2022. The scheme contributed to an unusually high number of PDOs being submitted in 2022. The level of petroleum investment has long been expected to decline as these developments are completed. This picture is supported by reporting from the oil companies to the Norwegian Offshore Directorate and by Statistics Norway</w:t>
      </w:r>
      <w:r w:rsidR="00BC269C">
        <w:rPr>
          <w:rFonts w:cs="Times New Roman"/>
          <w:color w:val="000000"/>
          <w:lang w:val="en-GB"/>
        </w:rPr>
        <w:t>’</w:t>
      </w:r>
      <w:r w:rsidRPr="00385D5F">
        <w:rPr>
          <w:rFonts w:cs="Times New Roman"/>
          <w:color w:val="000000"/>
          <w:lang w:val="en-GB"/>
        </w:rPr>
        <w:t>s investment intentions survey. In this report, it is assumed that petroleum investment will decline gradually from this year.</w:t>
      </w:r>
    </w:p>
    <w:p w14:paraId="5E45696E" w14:textId="77777777" w:rsidR="001257A1" w:rsidRPr="00385D5F" w:rsidRDefault="001257A1" w:rsidP="006717D5">
      <w:pPr>
        <w:pStyle w:val="avsnitt-undertittel"/>
        <w:rPr>
          <w:lang w:val="en-GB"/>
        </w:rPr>
      </w:pPr>
      <w:r w:rsidRPr="00385D5F">
        <w:rPr>
          <w:lang w:val="en-GB"/>
        </w:rPr>
        <w:t>The krone has appreciated</w:t>
      </w:r>
    </w:p>
    <w:p w14:paraId="27EA933A" w14:textId="77777777" w:rsidR="001257A1" w:rsidRPr="00385D5F" w:rsidRDefault="001257A1" w:rsidP="001257A1">
      <w:pPr>
        <w:jc w:val="both"/>
        <w:textAlignment w:val="baseline"/>
        <w:rPr>
          <w:rFonts w:cs="Times New Roman"/>
          <w:color w:val="000000"/>
          <w:spacing w:val="-1"/>
          <w:lang w:val="en-GB"/>
        </w:rPr>
      </w:pPr>
      <w:r w:rsidRPr="00385D5F">
        <w:rPr>
          <w:rFonts w:cs="Times New Roman"/>
          <w:color w:val="000000"/>
          <w:spacing w:val="-1"/>
          <w:lang w:val="en-GB"/>
        </w:rPr>
        <w:t>The krone, as measured by the import-weighted exchange rate index I-44, has appreciated markedly this year (Chart 2.16). Compared with the beginning of the year, the krone is now about 8 per cent stronger. The appreciation must be seen in the context of the rise in petroleum prices and a wider interest rate differential against other countries. The upward exchange rate has reversed most of the krone depreciation that occurred through 2023. A stronger krone in isolation contributes to curbing inflationary pressures in the Norwegian economy.</w:t>
      </w:r>
    </w:p>
    <w:p w14:paraId="6D1EF1FB" w14:textId="4E267907" w:rsidR="001257A1" w:rsidRPr="00385D5F" w:rsidRDefault="001257A1" w:rsidP="001257A1">
      <w:pPr>
        <w:jc w:val="both"/>
        <w:textAlignment w:val="baseline"/>
        <w:rPr>
          <w:rFonts w:cs="Times New Roman"/>
          <w:color w:val="000000"/>
          <w:lang w:val="en-GB"/>
        </w:rPr>
      </w:pPr>
      <w:r w:rsidRPr="00385D5F">
        <w:rPr>
          <w:rFonts w:cs="Times New Roman"/>
          <w:color w:val="000000"/>
          <w:lang w:val="en-GB"/>
        </w:rPr>
        <w:t>The projections for the Norwegian economy are based on the technical assumption that the krone exchange rate will remain unchanged, based on the level prevailing in mid-July.</w:t>
      </w:r>
    </w:p>
    <w:p w14:paraId="53D6EBC8" w14:textId="7187B76E" w:rsidR="001257A1" w:rsidRPr="001257A1" w:rsidRDefault="001F25E7" w:rsidP="006717D5">
      <w:pPr>
        <w:rPr>
          <w:rFonts w:eastAsia="Arial"/>
        </w:rPr>
      </w:pPr>
      <w:r>
        <w:rPr>
          <w:rFonts w:eastAsia="Arial"/>
          <w:noProof/>
        </w:rPr>
        <w:drawing>
          <wp:inline distT="0" distB="0" distL="0" distR="0" wp14:anchorId="6BB30771" wp14:editId="79EAB201">
            <wp:extent cx="4072304" cy="3223908"/>
            <wp:effectExtent l="0" t="0" r="4445" b="0"/>
            <wp:docPr id="1840701312" name="Grafikk 16" descr="Chart 2.16 Import-weighted exchange rate index (I-44). 1 Jan. 2019–24 Sep.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01312" name="Grafikk 16" descr="Chart 2.16 Import-weighted exchange rate index (I-44). 1 Jan. 2019–24 Sep. 2026"/>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081566" cy="3231241"/>
                    </a:xfrm>
                    <a:prstGeom prst="rect">
                      <a:avLst/>
                    </a:prstGeom>
                  </pic:spPr>
                </pic:pic>
              </a:graphicData>
            </a:graphic>
          </wp:inline>
        </w:drawing>
      </w:r>
    </w:p>
    <w:p w14:paraId="77202D39" w14:textId="39131190" w:rsidR="001257A1" w:rsidRPr="00385D5F" w:rsidRDefault="001257A1" w:rsidP="006717D5">
      <w:pPr>
        <w:pStyle w:val="avsnitt-tittel"/>
        <w:rPr>
          <w:rFonts w:eastAsia="Arial"/>
          <w:lang w:val="en-GB"/>
        </w:rPr>
      </w:pPr>
      <w:r w:rsidRPr="00385D5F">
        <w:rPr>
          <w:rFonts w:eastAsia="Arial"/>
          <w:lang w:val="en-GB"/>
        </w:rPr>
        <w:t>Chart 2.16 Import-weighted exchange rate index (I-44).</w:t>
      </w:r>
      <w:r w:rsidR="00BC269C" w:rsidRPr="00BC269C">
        <w:rPr>
          <w:rStyle w:val="skrift-hevet"/>
          <w:lang w:val="en-GB"/>
        </w:rPr>
        <w:t>1</w:t>
      </w:r>
      <w:r w:rsidRPr="00385D5F">
        <w:rPr>
          <w:rFonts w:eastAsia="Arial"/>
          <w:lang w:val="en-GB"/>
        </w:rPr>
        <w:t xml:space="preserve"> 1 Jan. 2019–24 Sep. 2026</w:t>
      </w:r>
    </w:p>
    <w:p w14:paraId="2873CE2F" w14:textId="5B0A0D26" w:rsidR="001257A1" w:rsidRPr="00385D5F" w:rsidRDefault="00BC269C" w:rsidP="006717D5">
      <w:pPr>
        <w:pStyle w:val="Note"/>
        <w:rPr>
          <w:lang w:val="en-GB"/>
        </w:rPr>
      </w:pPr>
      <w:r w:rsidRPr="00BC269C">
        <w:rPr>
          <w:rStyle w:val="skrift-hevet"/>
          <w:lang w:val="en-GB"/>
        </w:rPr>
        <w:t>1</w:t>
      </w:r>
      <w:r w:rsidR="001257A1" w:rsidRPr="00385D5F">
        <w:rPr>
          <w:lang w:val="en-GB"/>
        </w:rPr>
        <w:t xml:space="preserve"> I-44 is a calculated exchange rate index based on exchange rates between NOK and the currencies of Norway</w:t>
      </w:r>
      <w:r>
        <w:rPr>
          <w:lang w:val="en-GB"/>
        </w:rPr>
        <w:t>’</w:t>
      </w:r>
      <w:r w:rsidR="001257A1" w:rsidRPr="00385D5F">
        <w:rPr>
          <w:lang w:val="en-GB"/>
        </w:rPr>
        <w:t>s 44 most important trading partners measured by import value. A higher index value indicates a weaker krone, and the axes have therefore been inverted to show developments in the value of the krone measured in foreign currency.</w:t>
      </w:r>
    </w:p>
    <w:p w14:paraId="7DB998E4" w14:textId="77777777" w:rsidR="001257A1" w:rsidRPr="00385D5F" w:rsidRDefault="001257A1" w:rsidP="006717D5">
      <w:pPr>
        <w:pStyle w:val="Kilde"/>
        <w:rPr>
          <w:lang w:val="en-GB"/>
        </w:rPr>
      </w:pPr>
      <w:r w:rsidRPr="00385D5F">
        <w:rPr>
          <w:lang w:val="en-GB"/>
        </w:rPr>
        <w:t>Sources: Statistics Norway and Ministry of Finance.</w:t>
      </w:r>
    </w:p>
    <w:p w14:paraId="215D463E" w14:textId="77777777" w:rsidR="001257A1" w:rsidRPr="00385D5F" w:rsidRDefault="001257A1" w:rsidP="006717D5">
      <w:pPr>
        <w:pStyle w:val="avsnitt-undertittel"/>
        <w:rPr>
          <w:lang w:val="en-GB"/>
        </w:rPr>
      </w:pPr>
      <w:r w:rsidRPr="00385D5F">
        <w:rPr>
          <w:lang w:val="en-GB"/>
        </w:rPr>
        <w:t>Defence focus characterises public demand</w:t>
      </w:r>
    </w:p>
    <w:p w14:paraId="125C761E" w14:textId="651A0324" w:rsidR="007A6FC6" w:rsidRDefault="001257A1" w:rsidP="001257A1">
      <w:pPr>
        <w:jc w:val="both"/>
        <w:textAlignment w:val="baseline"/>
        <w:rPr>
          <w:rFonts w:cs="Times New Roman"/>
          <w:color w:val="000000"/>
          <w:spacing w:val="-1"/>
          <w:lang w:val="en-GB"/>
        </w:rPr>
      </w:pPr>
      <w:r w:rsidRPr="00385D5F">
        <w:rPr>
          <w:rFonts w:cs="Times New Roman"/>
          <w:color w:val="000000"/>
          <w:spacing w:val="-1"/>
          <w:lang w:val="en-GB"/>
        </w:rPr>
        <w:t xml:space="preserve">After several years of </w:t>
      </w:r>
      <w:proofErr w:type="gramStart"/>
      <w:r w:rsidRPr="00385D5F">
        <w:rPr>
          <w:rFonts w:cs="Times New Roman"/>
          <w:color w:val="000000"/>
          <w:spacing w:val="-1"/>
          <w:lang w:val="en-GB"/>
        </w:rPr>
        <w:t>fairly high</w:t>
      </w:r>
      <w:proofErr w:type="gramEnd"/>
      <w:r w:rsidRPr="00385D5F">
        <w:rPr>
          <w:rFonts w:cs="Times New Roman"/>
          <w:color w:val="000000"/>
          <w:spacing w:val="-1"/>
          <w:lang w:val="en-GB"/>
        </w:rPr>
        <w:t xml:space="preserve"> growth in public demand for goods and services, growth last year was somewhat lower than the historical average and lower than growth in the mainland economy. Growth in public demand is also expected to be lower than the historical average this year, and the projection has been revised down compared with the revised national budget. This is due to lower-than-expected growth in defence spending. Next year, public demand is projected to grow in pace with the mainland economy. Growth is being driven by high demand in defence, while low investment growth in the state-owned civil sector is expected to dampen growth somewhat.</w:t>
      </w:r>
    </w:p>
    <w:p w14:paraId="3743301D" w14:textId="77777777" w:rsidR="001257A1" w:rsidRPr="00385D5F" w:rsidRDefault="001257A1" w:rsidP="00AE4A57">
      <w:pPr>
        <w:pStyle w:val="UnOverskrift1"/>
        <w:rPr>
          <w:rFonts w:eastAsia="Verdana"/>
          <w:lang w:val="en-GB"/>
        </w:rPr>
      </w:pPr>
      <w:r w:rsidRPr="00385D5F">
        <w:rPr>
          <w:rFonts w:eastAsia="Verdana"/>
          <w:lang w:val="en-GB"/>
        </w:rPr>
        <w:t>2.3</w:t>
      </w:r>
      <w:r w:rsidRPr="00385D5F">
        <w:rPr>
          <w:rFonts w:eastAsia="Verdana"/>
          <w:lang w:val="en-GB"/>
        </w:rPr>
        <w:tab/>
        <w:t>The balance of risks</w:t>
      </w:r>
    </w:p>
    <w:p w14:paraId="2799A2FA" w14:textId="77777777" w:rsidR="001257A1" w:rsidRDefault="001257A1" w:rsidP="001E0DD9">
      <w:pPr>
        <w:jc w:val="both"/>
        <w:textAlignment w:val="baseline"/>
        <w:rPr>
          <w:rFonts w:cs="Times New Roman"/>
          <w:color w:val="000000"/>
          <w:spacing w:val="-1"/>
        </w:rPr>
      </w:pPr>
      <w:r w:rsidRPr="00385D5F">
        <w:rPr>
          <w:rFonts w:cs="Times New Roman"/>
          <w:color w:val="000000"/>
          <w:spacing w:val="-1"/>
          <w:lang w:val="en-GB"/>
        </w:rPr>
        <w:t xml:space="preserve">The backdrop for the projections is a troubled world. So far, the war in the Middle East has not had the same consequences for the world economy as feared this spring. The risk of persistently high inflation, on the other hand, appears to be as great as earlier this year. </w:t>
      </w:r>
      <w:r w:rsidRPr="001E0DD9">
        <w:rPr>
          <w:rFonts w:cs="Times New Roman"/>
          <w:color w:val="000000"/>
          <w:spacing w:val="-1"/>
        </w:rPr>
        <w:t xml:space="preserve">The </w:t>
      </w:r>
      <w:proofErr w:type="spellStart"/>
      <w:r w:rsidRPr="001E0DD9">
        <w:rPr>
          <w:rFonts w:cs="Times New Roman"/>
          <w:color w:val="000000"/>
          <w:spacing w:val="-1"/>
        </w:rPr>
        <w:t>main</w:t>
      </w:r>
      <w:proofErr w:type="spellEnd"/>
      <w:r w:rsidRPr="001E0DD9">
        <w:rPr>
          <w:rFonts w:cs="Times New Roman"/>
          <w:color w:val="000000"/>
          <w:spacing w:val="-1"/>
        </w:rPr>
        <w:t xml:space="preserve"> risk </w:t>
      </w:r>
      <w:proofErr w:type="spellStart"/>
      <w:r w:rsidRPr="001E0DD9">
        <w:rPr>
          <w:rFonts w:cs="Times New Roman"/>
          <w:color w:val="000000"/>
          <w:spacing w:val="-1"/>
        </w:rPr>
        <w:t>factors</w:t>
      </w:r>
      <w:proofErr w:type="spellEnd"/>
      <w:r w:rsidRPr="001E0DD9">
        <w:rPr>
          <w:rFonts w:cs="Times New Roman"/>
          <w:color w:val="000000"/>
          <w:spacing w:val="-1"/>
        </w:rPr>
        <w:t xml:space="preserve"> </w:t>
      </w:r>
      <w:proofErr w:type="spellStart"/>
      <w:r w:rsidRPr="001E0DD9">
        <w:rPr>
          <w:rFonts w:cs="Times New Roman"/>
          <w:color w:val="000000"/>
          <w:spacing w:val="-1"/>
        </w:rPr>
        <w:t>are</w:t>
      </w:r>
      <w:proofErr w:type="spellEnd"/>
      <w:r w:rsidRPr="001E0DD9">
        <w:rPr>
          <w:rFonts w:cs="Times New Roman"/>
          <w:color w:val="000000"/>
          <w:spacing w:val="-1"/>
        </w:rPr>
        <w:t xml:space="preserve"> </w:t>
      </w:r>
      <w:proofErr w:type="spellStart"/>
      <w:r w:rsidRPr="001E0DD9">
        <w:rPr>
          <w:rFonts w:cs="Times New Roman"/>
          <w:color w:val="000000"/>
          <w:spacing w:val="-1"/>
        </w:rPr>
        <w:t>related</w:t>
      </w:r>
      <w:proofErr w:type="spellEnd"/>
      <w:r w:rsidRPr="001E0DD9">
        <w:rPr>
          <w:rFonts w:cs="Times New Roman"/>
          <w:color w:val="000000"/>
          <w:spacing w:val="-1"/>
        </w:rPr>
        <w:t xml:space="preserve"> to:</w:t>
      </w:r>
    </w:p>
    <w:p w14:paraId="4B07A46E" w14:textId="77777777" w:rsidR="001E0DD9" w:rsidRPr="00385D5F" w:rsidRDefault="001257A1" w:rsidP="00AE4A57">
      <w:pPr>
        <w:pStyle w:val="Liste"/>
        <w:rPr>
          <w:lang w:val="en-GB"/>
        </w:rPr>
      </w:pPr>
      <w:r w:rsidRPr="00BC269C">
        <w:rPr>
          <w:rStyle w:val="kursiv"/>
          <w:lang w:val="en-GB"/>
        </w:rPr>
        <w:t xml:space="preserve">The economic effects of the war in the Middle East. </w:t>
      </w:r>
      <w:r w:rsidRPr="00385D5F">
        <w:rPr>
          <w:lang w:val="en-GB"/>
        </w:rPr>
        <w:t>The war has contributed to higher inflation expectations and lower growth prospects for the world economy. Although the IMF points out that the world economy has so far fared better than feared, it points out that continued turbulence may lead to large movements in energy prices, bottlenecks in the production and delivery of goods and services, higher inflation prospects and higher interest rates. However, the risk goes both ways. If the level of conflict is reduced and the oil and gas market normalises rapidly, this could boost the global economy.</w:t>
      </w:r>
    </w:p>
    <w:p w14:paraId="583548AA" w14:textId="34FDEE91" w:rsidR="001E0DD9" w:rsidRPr="00385D5F" w:rsidRDefault="001257A1" w:rsidP="00AE4A57">
      <w:pPr>
        <w:pStyle w:val="Liste"/>
        <w:rPr>
          <w:lang w:val="en-GB"/>
        </w:rPr>
      </w:pPr>
      <w:r w:rsidRPr="00BC269C">
        <w:rPr>
          <w:rStyle w:val="kursiv"/>
          <w:lang w:val="en-GB"/>
        </w:rPr>
        <w:t xml:space="preserve">Trade policy. </w:t>
      </w:r>
      <w:r w:rsidRPr="00385D5F">
        <w:rPr>
          <w:lang w:val="en-GB"/>
        </w:rPr>
        <w:t>There is persistent uncertainty related to US trade policy. The US has increased tariffs on a substantial share of its imports from Norway. There is a risk that customs duties may increase further and be higher than those imposed by the US on other countries. The overall effect on the Norwegian economy of higher tariffs on exports to the US is considered moderate in the short term, but for some businesses the consequences may be considerable.</w:t>
      </w:r>
    </w:p>
    <w:p w14:paraId="72C1D0FF" w14:textId="77777777" w:rsidR="001E0DD9" w:rsidRPr="00385D5F" w:rsidRDefault="001257A1" w:rsidP="00AE4A57">
      <w:pPr>
        <w:pStyle w:val="Liste"/>
        <w:rPr>
          <w:lang w:val="en-GB"/>
        </w:rPr>
      </w:pPr>
      <w:r w:rsidRPr="00BC269C">
        <w:rPr>
          <w:rStyle w:val="kursiv"/>
          <w:lang w:val="en-GB"/>
        </w:rPr>
        <w:t xml:space="preserve">Persistently high inflation in Norway. </w:t>
      </w:r>
      <w:r w:rsidRPr="00385D5F">
        <w:rPr>
          <w:spacing w:val="-5"/>
          <w:lang w:val="en-GB"/>
        </w:rPr>
        <w:t xml:space="preserve">Consumer price inflation has been above target for several years, and wage growth last year was higher than expected. International inflation is expected to be higher </w:t>
      </w:r>
      <w:proofErr w:type="gramStart"/>
      <w:r w:rsidRPr="00385D5F">
        <w:rPr>
          <w:spacing w:val="-5"/>
          <w:lang w:val="en-GB"/>
        </w:rPr>
        <w:t>as a result of</w:t>
      </w:r>
      <w:proofErr w:type="gramEnd"/>
      <w:r w:rsidRPr="00385D5F">
        <w:rPr>
          <w:spacing w:val="-5"/>
          <w:lang w:val="en-GB"/>
        </w:rPr>
        <w:t xml:space="preserve"> the turbulence in the Middle East. High inflation over time may prompt businesses and households to start planning for inflation to remain high. In that case, </w:t>
      </w:r>
      <w:proofErr w:type="spellStart"/>
      <w:r w:rsidRPr="00385D5F">
        <w:rPr>
          <w:spacing w:val="-5"/>
          <w:lang w:val="en-GB"/>
        </w:rPr>
        <w:t>Norges</w:t>
      </w:r>
      <w:proofErr w:type="spellEnd"/>
      <w:r w:rsidRPr="00385D5F">
        <w:rPr>
          <w:spacing w:val="-5"/>
          <w:lang w:val="en-GB"/>
        </w:rPr>
        <w:t xml:space="preserve"> Bank may have to raise the policy rate more than assumed. This may result in weaker and more unbalanced economic developments. Conversely, a faster-than-expected fall in inflation may provide a basis for earlier interest rate reductions and stronger and more balanced growth in activity.</w:t>
      </w:r>
    </w:p>
    <w:p w14:paraId="3AB96410" w14:textId="0CB5EF2B" w:rsidR="001257A1" w:rsidRPr="007A6FC6" w:rsidRDefault="001257A1" w:rsidP="00AE4A57">
      <w:pPr>
        <w:pStyle w:val="Liste"/>
        <w:rPr>
          <w:lang w:val="en-GB"/>
        </w:rPr>
      </w:pPr>
      <w:r w:rsidRPr="00BC269C">
        <w:rPr>
          <w:rStyle w:val="kursiv"/>
          <w:lang w:val="en-GB"/>
        </w:rPr>
        <w:t xml:space="preserve">Rise in long-term interest rates. </w:t>
      </w:r>
      <w:r w:rsidRPr="00385D5F">
        <w:rPr>
          <w:spacing w:val="-2"/>
          <w:lang w:val="en-GB"/>
        </w:rPr>
        <w:t xml:space="preserve">The increase in long-term interest rates, combined with high public debt, has increased the vulnerability of government finances in </w:t>
      </w:r>
      <w:proofErr w:type="gramStart"/>
      <w:r w:rsidRPr="00385D5F">
        <w:rPr>
          <w:spacing w:val="-2"/>
          <w:lang w:val="en-GB"/>
        </w:rPr>
        <w:t>a number of</w:t>
      </w:r>
      <w:proofErr w:type="gramEnd"/>
      <w:r w:rsidRPr="00385D5F">
        <w:rPr>
          <w:spacing w:val="-2"/>
          <w:lang w:val="en-GB"/>
        </w:rPr>
        <w:t xml:space="preserve"> </w:t>
      </w:r>
      <w:r w:rsidR="00F97E42">
        <w:rPr>
          <w:spacing w:val="-2"/>
          <w:lang w:val="en-GB"/>
        </w:rPr>
        <w:t>countries</w:t>
      </w:r>
      <w:r w:rsidRPr="00385D5F">
        <w:rPr>
          <w:spacing w:val="-2"/>
          <w:lang w:val="en-GB"/>
        </w:rPr>
        <w:t xml:space="preserve"> (see discussion in Section 2.1). Higher interest rates make it more expensive to refinance debt and finance new budget deficits. Over time, this may limit fiscal space, particularly in countries with high debt and weak budget balances. If investor confidence in the sustainability of government finances weakens, higher risk premiums may amplify the rise in interest rates and further increase debt burdens. This may result in abrupt tightening of government budgets and weaker economic activity. At the same time, optimism related to artificial intelligence (AI) has stimulated investment and activity, and fuelled a rise in equity prices, particularly in the US. Expectations of higher productivity and earnings have probably helped counteract some of the negative effect that a rise in long-term interest rates normally has on equity prices. If expectations concerning the gains from AI are revised down substantially, both investment and equity prices may fall abruptly. In combination with high long-term interest rates, this may amplify the turbulence in financial markets and weaken growth prospects internationally and in Norway.</w:t>
      </w:r>
    </w:p>
    <w:tbl>
      <w:tblPr>
        <w:tblStyle w:val="StandardBoks"/>
        <w:tblW w:w="0" w:type="auto"/>
        <w:tblLook w:val="04A0" w:firstRow="1" w:lastRow="0" w:firstColumn="1" w:lastColumn="0" w:noHBand="0" w:noVBand="1"/>
      </w:tblPr>
      <w:tblGrid>
        <w:gridCol w:w="9062"/>
      </w:tblGrid>
      <w:tr w:rsidR="00AE4A57" w:rsidRPr="00B21C46" w14:paraId="51CE5793" w14:textId="77777777" w:rsidTr="00BC269C">
        <w:tc>
          <w:tcPr>
            <w:tcW w:w="9062" w:type="dxa"/>
          </w:tcPr>
          <w:p w14:paraId="7072E66E" w14:textId="77777777" w:rsidR="00AE4A57" w:rsidRPr="00592CFE" w:rsidRDefault="00AE4A57" w:rsidP="00AE4A57">
            <w:pPr>
              <w:spacing w:after="160" w:line="278" w:lineRule="auto"/>
              <w:jc w:val="center"/>
              <w:rPr>
                <w:rStyle w:val="halvfet"/>
                <w:lang w:val="en-US"/>
              </w:rPr>
            </w:pPr>
            <w:r w:rsidRPr="00592CFE">
              <w:rPr>
                <w:rStyle w:val="halvfet"/>
                <w:lang w:val="en-US"/>
              </w:rPr>
              <w:t xml:space="preserve">Box 2.3 Effect of electricity support and </w:t>
            </w:r>
            <w:proofErr w:type="spellStart"/>
            <w:r w:rsidRPr="00592CFE">
              <w:rPr>
                <w:rStyle w:val="halvfet"/>
                <w:lang w:val="en-US"/>
              </w:rPr>
              <w:t>Norgespris</w:t>
            </w:r>
            <w:proofErr w:type="spellEnd"/>
            <w:r w:rsidRPr="00592CFE">
              <w:rPr>
                <w:rStyle w:val="halvfet"/>
                <w:lang w:val="en-US"/>
              </w:rPr>
              <w:t xml:space="preserve"> on the CPI</w:t>
            </w:r>
          </w:p>
          <w:p w14:paraId="02FEFC88" w14:textId="77777777" w:rsidR="00AE4A57" w:rsidRPr="00AE4A57" w:rsidRDefault="00AE4A57" w:rsidP="00AE4A57">
            <w:pPr>
              <w:spacing w:after="160" w:line="278" w:lineRule="auto"/>
              <w:jc w:val="both"/>
              <w:textAlignment w:val="baseline"/>
              <w:rPr>
                <w:rFonts w:cs="Times New Roman"/>
                <w:color w:val="000000"/>
                <w:sz w:val="24"/>
                <w:szCs w:val="24"/>
                <w:lang w:val="en-US"/>
              </w:rPr>
            </w:pPr>
            <w:r w:rsidRPr="00AE4A57">
              <w:rPr>
                <w:rFonts w:cs="Times New Roman"/>
                <w:color w:val="000000"/>
                <w:sz w:val="24"/>
                <w:szCs w:val="24"/>
                <w:lang w:val="en-US"/>
              </w:rPr>
              <w:t xml:space="preserve">The government introduced the electricity support scheme in December 2021 to help households deal with extraordinarily high electricity prices. In October 2025, the Government introduced </w:t>
            </w:r>
            <w:proofErr w:type="spellStart"/>
            <w:r w:rsidRPr="00AE4A57">
              <w:rPr>
                <w:rFonts w:cs="Times New Roman"/>
                <w:color w:val="000000"/>
                <w:sz w:val="24"/>
                <w:szCs w:val="24"/>
                <w:lang w:val="en-US"/>
              </w:rPr>
              <w:t>Norgespris</w:t>
            </w:r>
            <w:proofErr w:type="spellEnd"/>
            <w:r w:rsidRPr="00AE4A57">
              <w:rPr>
                <w:rFonts w:cs="Times New Roman"/>
                <w:color w:val="000000"/>
                <w:sz w:val="24"/>
                <w:szCs w:val="24"/>
                <w:lang w:val="en-US"/>
              </w:rPr>
              <w:t xml:space="preserve"> as an alternative to the ordinary electricity support scheme.</w:t>
            </w:r>
          </w:p>
          <w:p w14:paraId="0B2A968C" w14:textId="77777777" w:rsidR="00AE4A57" w:rsidRPr="00AE4A57" w:rsidRDefault="00AE4A57" w:rsidP="00AE4A57">
            <w:pPr>
              <w:spacing w:after="160" w:line="278" w:lineRule="auto"/>
              <w:textAlignment w:val="baseline"/>
              <w:rPr>
                <w:rFonts w:cs="Times New Roman"/>
                <w:color w:val="000000"/>
                <w:sz w:val="24"/>
                <w:szCs w:val="24"/>
                <w:lang w:val="en-US"/>
              </w:rPr>
            </w:pPr>
            <w:r w:rsidRPr="00AE4A57">
              <w:rPr>
                <w:rFonts w:cs="Times New Roman"/>
                <w:color w:val="000000"/>
                <w:spacing w:val="-2"/>
                <w:sz w:val="24"/>
                <w:szCs w:val="24"/>
                <w:lang w:val="en-US"/>
              </w:rPr>
              <w:t xml:space="preserve">To illustrate the effect of the electricity support and </w:t>
            </w:r>
            <w:proofErr w:type="spellStart"/>
            <w:r w:rsidRPr="00AE4A57">
              <w:rPr>
                <w:rFonts w:cs="Times New Roman"/>
                <w:color w:val="000000"/>
                <w:spacing w:val="-2"/>
                <w:sz w:val="24"/>
                <w:szCs w:val="24"/>
                <w:lang w:val="en-US"/>
              </w:rPr>
              <w:t>Norgespris</w:t>
            </w:r>
            <w:proofErr w:type="spellEnd"/>
            <w:r w:rsidRPr="00AE4A57">
              <w:rPr>
                <w:rFonts w:cs="Times New Roman"/>
                <w:color w:val="000000"/>
                <w:spacing w:val="-2"/>
                <w:sz w:val="24"/>
                <w:szCs w:val="24"/>
                <w:lang w:val="en-US"/>
              </w:rPr>
              <w:t xml:space="preserve"> on the CPI from 2021 to 2025, Statistics Norway has, on request, calculated an index where the support schemes have been removed. In this index, power is measured at market prices, while the network tariff is at the same level as before the schemes were introduced. The series is called </w:t>
            </w:r>
            <w:proofErr w:type="spellStart"/>
            <w:r w:rsidRPr="00AE4A57">
              <w:rPr>
                <w:rFonts w:cs="Times New Roman"/>
                <w:color w:val="000000"/>
                <w:spacing w:val="-2"/>
                <w:sz w:val="24"/>
                <w:szCs w:val="24"/>
                <w:lang w:val="en-US"/>
              </w:rPr>
              <w:t>electricitysupport</w:t>
            </w:r>
            <w:proofErr w:type="spellEnd"/>
            <w:r w:rsidRPr="00AE4A57">
              <w:rPr>
                <w:rFonts w:cs="Times New Roman"/>
                <w:color w:val="000000"/>
                <w:spacing w:val="-2"/>
                <w:sz w:val="24"/>
                <w:szCs w:val="24"/>
                <w:lang w:val="en-US"/>
              </w:rPr>
              <w:t xml:space="preserve">. The CPI, on the other hand, captures the actual electricity prices faced by households, including the electricity support scheme, </w:t>
            </w:r>
            <w:proofErr w:type="spellStart"/>
            <w:r w:rsidRPr="00AE4A57">
              <w:rPr>
                <w:rFonts w:cs="Times New Roman"/>
                <w:color w:val="000000"/>
                <w:spacing w:val="-2"/>
                <w:sz w:val="24"/>
                <w:szCs w:val="24"/>
                <w:lang w:val="en-US"/>
              </w:rPr>
              <w:t>Norgespris</w:t>
            </w:r>
            <w:proofErr w:type="spellEnd"/>
            <w:r w:rsidRPr="00AE4A57">
              <w:rPr>
                <w:rFonts w:cs="Times New Roman"/>
                <w:color w:val="000000"/>
                <w:spacing w:val="-2"/>
                <w:sz w:val="24"/>
                <w:szCs w:val="24"/>
                <w:lang w:val="en-US"/>
              </w:rPr>
              <w:t xml:space="preserve"> and reduced electricity tax. When the spot price increases, the gap between the CPI without electricity support and the CPI will increase (Chart 2.17). In August, the 12-month rise in the CPI without electricity support was 4.9 per cent, while the rise in the CPI was 3.3 per cent. The calculations based on observed market prices may overestimate the significance of the support schemes in curbing inflation somewhat if the schemes themselves have affected electricity prices through higher demand.</w:t>
            </w:r>
          </w:p>
          <w:p w14:paraId="7BDE219F" w14:textId="77777777" w:rsidR="00AE4A57" w:rsidRPr="00AE4A57" w:rsidRDefault="00AE4A57" w:rsidP="00AE4A57">
            <w:pPr>
              <w:spacing w:after="160" w:line="278" w:lineRule="auto"/>
              <w:jc w:val="both"/>
              <w:textAlignment w:val="baseline"/>
              <w:rPr>
                <w:rFonts w:cs="Times New Roman"/>
                <w:color w:val="000000"/>
                <w:spacing w:val="-5"/>
                <w:sz w:val="24"/>
                <w:szCs w:val="24"/>
                <w:lang w:val="en-US"/>
              </w:rPr>
            </w:pPr>
            <w:r w:rsidRPr="00AE4A57">
              <w:rPr>
                <w:rFonts w:cs="Times New Roman"/>
                <w:color w:val="000000"/>
                <w:spacing w:val="-5"/>
                <w:sz w:val="24"/>
                <w:szCs w:val="24"/>
                <w:lang w:val="en-US"/>
              </w:rPr>
              <w:t xml:space="preserve">The consumer price index adjusted for tax changes (CPI-AT) shows a similar development to the CPI without electricity support. The CPI-AT is an index that measures the price development of goods and services adjusted for changes in indirect taxes, such as value added tax and excise duties. Statistics Norway considers the electricity support scheme and </w:t>
            </w:r>
            <w:proofErr w:type="spellStart"/>
            <w:r w:rsidRPr="00AE4A57">
              <w:rPr>
                <w:rFonts w:cs="Times New Roman"/>
                <w:color w:val="000000"/>
                <w:spacing w:val="-5"/>
                <w:sz w:val="24"/>
                <w:szCs w:val="24"/>
                <w:lang w:val="en-US"/>
              </w:rPr>
              <w:t>Norgespris</w:t>
            </w:r>
            <w:proofErr w:type="spellEnd"/>
            <w:r w:rsidRPr="00AE4A57">
              <w:rPr>
                <w:rFonts w:cs="Times New Roman"/>
                <w:color w:val="000000"/>
                <w:spacing w:val="-5"/>
                <w:sz w:val="24"/>
                <w:szCs w:val="24"/>
                <w:lang w:val="en-US"/>
              </w:rPr>
              <w:t xml:space="preserve"> to be subsidies, and the CPI-AT therefore measures electricity prices by the market price of electricity. Historically, the gap between the CPI and CPI-AT has been very close to zero, but since 2022 there has been a persistent deviation that correlates with the level of electricity prices (Chart 2.17).</w:t>
            </w:r>
          </w:p>
          <w:p w14:paraId="13BCBA67" w14:textId="77777777" w:rsidR="00AE4A57" w:rsidRPr="00AE4A57" w:rsidRDefault="00AE4A57" w:rsidP="00AE4A57">
            <w:pPr>
              <w:spacing w:after="160" w:line="278" w:lineRule="auto"/>
              <w:jc w:val="both"/>
              <w:textAlignment w:val="baseline"/>
              <w:rPr>
                <w:rFonts w:cs="Times New Roman"/>
                <w:color w:val="000000"/>
                <w:spacing w:val="-1"/>
                <w:sz w:val="24"/>
                <w:szCs w:val="24"/>
                <w:lang w:val="en-US"/>
              </w:rPr>
            </w:pPr>
            <w:r w:rsidRPr="00AE4A57">
              <w:rPr>
                <w:rFonts w:cs="Times New Roman"/>
                <w:color w:val="000000"/>
                <w:spacing w:val="-1"/>
                <w:sz w:val="24"/>
                <w:szCs w:val="24"/>
                <w:lang w:val="en-US"/>
              </w:rPr>
              <w:t xml:space="preserve">In preparing the projections for the CPI, futures prices from financial markets for electricity are used. Futures prices are then adjusted to </w:t>
            </w:r>
            <w:proofErr w:type="gramStart"/>
            <w:r w:rsidRPr="00AE4A57">
              <w:rPr>
                <w:rFonts w:cs="Times New Roman"/>
                <w:color w:val="000000"/>
                <w:spacing w:val="-1"/>
                <w:sz w:val="24"/>
                <w:szCs w:val="24"/>
                <w:lang w:val="en-US"/>
              </w:rPr>
              <w:t>take into account</w:t>
            </w:r>
            <w:proofErr w:type="gramEnd"/>
            <w:r w:rsidRPr="00AE4A57">
              <w:rPr>
                <w:rFonts w:cs="Times New Roman"/>
                <w:color w:val="000000"/>
                <w:spacing w:val="-1"/>
                <w:sz w:val="24"/>
                <w:szCs w:val="24"/>
                <w:lang w:val="en-US"/>
              </w:rPr>
              <w:t xml:space="preserve"> how the electricity support scheme and </w:t>
            </w:r>
            <w:proofErr w:type="spellStart"/>
            <w:r w:rsidRPr="00AE4A57">
              <w:rPr>
                <w:rFonts w:cs="Times New Roman"/>
                <w:color w:val="000000"/>
                <w:spacing w:val="-1"/>
                <w:sz w:val="24"/>
                <w:szCs w:val="24"/>
                <w:lang w:val="en-US"/>
              </w:rPr>
              <w:t>Norgespris</w:t>
            </w:r>
            <w:proofErr w:type="spellEnd"/>
            <w:r w:rsidRPr="00AE4A57">
              <w:rPr>
                <w:rFonts w:cs="Times New Roman"/>
                <w:color w:val="000000"/>
                <w:spacing w:val="-1"/>
                <w:sz w:val="24"/>
                <w:szCs w:val="24"/>
                <w:lang w:val="en-US"/>
              </w:rPr>
              <w:t xml:space="preserve"> affect the prices faced by households. In the projections, it is assumed that the share using </w:t>
            </w:r>
            <w:proofErr w:type="spellStart"/>
            <w:r w:rsidRPr="00AE4A57">
              <w:rPr>
                <w:rFonts w:cs="Times New Roman"/>
                <w:color w:val="000000"/>
                <w:spacing w:val="-1"/>
                <w:sz w:val="24"/>
                <w:szCs w:val="24"/>
                <w:lang w:val="en-US"/>
              </w:rPr>
              <w:t>Norgespris</w:t>
            </w:r>
            <w:proofErr w:type="spellEnd"/>
            <w:r w:rsidRPr="00AE4A57">
              <w:rPr>
                <w:rFonts w:cs="Times New Roman"/>
                <w:color w:val="000000"/>
                <w:spacing w:val="-1"/>
                <w:sz w:val="24"/>
                <w:szCs w:val="24"/>
                <w:lang w:val="en-US"/>
              </w:rPr>
              <w:t xml:space="preserve"> will increase somewhat. In the projections for the CPI without electricity support, futures prices are used as a basis without such adjustments. For 2026, higher power prices are assumed than the previous year. This means that the CPI without electricity support is projected to grow by 4.3 per cent in 2026, while the projection for CPI growth for the same year is 1.0 percentage points lower (Table 2.3). For 2027 and 2028, futures prices indicate a decline in electricity prices from the previous year. This pulls the CPI projection without electricity support markedly down. The projection for CPI is less affected as the support schemes also dampen the effect of falling electricity prices.</w:t>
            </w:r>
          </w:p>
          <w:p w14:paraId="4A47D078" w14:textId="77777777" w:rsidR="00AE4A57" w:rsidRPr="001257A1" w:rsidRDefault="00AE4A57" w:rsidP="007A6FC6">
            <w:pPr>
              <w:jc w:val="center"/>
              <w:textAlignment w:val="baseline"/>
              <w:rPr>
                <w:rFonts w:ascii="Aptos" w:hAnsi="Aptos" w:cs="Times New Roman"/>
                <w:color w:val="000000"/>
                <w:spacing w:val="-5"/>
                <w:sz w:val="23"/>
              </w:rPr>
            </w:pPr>
            <w:r>
              <w:rPr>
                <w:rFonts w:ascii="Aptos" w:hAnsi="Aptos" w:cs="Times New Roman"/>
                <w:noProof/>
                <w:color w:val="000000"/>
                <w:spacing w:val="-5"/>
                <w:sz w:val="23"/>
              </w:rPr>
              <w:drawing>
                <wp:inline distT="0" distB="0" distL="0" distR="0" wp14:anchorId="2D4A1E10" wp14:editId="494868D6">
                  <wp:extent cx="4210326" cy="3333174"/>
                  <wp:effectExtent l="0" t="0" r="0" b="635"/>
                  <wp:docPr id="612015443" name="Grafikk 17" descr="Chart 2.17 Electricity price and the gap between the CPI andrespectively, the CPI withoutelectricity support and CPI-AT. 2012–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015443" name="Grafikk 17" descr="Chart 2.17 Electricity price and the gap between the CPI andrespectively, the CPI withoutelectricity support and CPI-AT. 2012–2026"/>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221050" cy="3341664"/>
                          </a:xfrm>
                          <a:prstGeom prst="rect">
                            <a:avLst/>
                          </a:prstGeom>
                        </pic:spPr>
                      </pic:pic>
                    </a:graphicData>
                  </a:graphic>
                </wp:inline>
              </w:drawing>
            </w:r>
          </w:p>
          <w:p w14:paraId="6B1420B6" w14:textId="77777777" w:rsidR="00BC269C" w:rsidRPr="00BC269C" w:rsidRDefault="00AE4A57" w:rsidP="00AE4A57">
            <w:pPr>
              <w:pStyle w:val="avsnitt-tittel"/>
              <w:rPr>
                <w:rStyle w:val="skrift-hevet"/>
                <w:lang w:val="en-US"/>
              </w:rPr>
            </w:pPr>
            <w:r w:rsidRPr="00AE4A57">
              <w:rPr>
                <w:rFonts w:eastAsia="Tahoma"/>
                <w:lang w:val="en-US"/>
              </w:rPr>
              <w:t xml:space="preserve">Chart 2.17 Electricity price and the gap between the CPI </w:t>
            </w:r>
            <w:proofErr w:type="spellStart"/>
            <w:r w:rsidRPr="00AE4A57">
              <w:rPr>
                <w:rFonts w:eastAsia="Tahoma"/>
                <w:lang w:val="en-US"/>
              </w:rPr>
              <w:t>andrespectively</w:t>
            </w:r>
            <w:proofErr w:type="spellEnd"/>
            <w:r w:rsidRPr="00AE4A57">
              <w:rPr>
                <w:rFonts w:eastAsia="Tahoma"/>
                <w:lang w:val="en-US"/>
              </w:rPr>
              <w:t xml:space="preserve">, the CPI </w:t>
            </w:r>
            <w:proofErr w:type="spellStart"/>
            <w:proofErr w:type="gramStart"/>
            <w:r w:rsidRPr="00AE4A57">
              <w:rPr>
                <w:rFonts w:eastAsia="Tahoma"/>
                <w:lang w:val="en-US"/>
              </w:rPr>
              <w:t>withoutelectricity</w:t>
            </w:r>
            <w:proofErr w:type="spellEnd"/>
            <w:proofErr w:type="gramEnd"/>
            <w:r w:rsidRPr="00AE4A57">
              <w:rPr>
                <w:rFonts w:eastAsia="Tahoma"/>
                <w:lang w:val="en-US"/>
              </w:rPr>
              <w:t xml:space="preserve"> support and CPI-AT. 2012–2026</w:t>
            </w:r>
            <w:r w:rsidR="00BC269C" w:rsidRPr="00BC269C">
              <w:rPr>
                <w:rStyle w:val="skrift-hevet"/>
                <w:lang w:val="en-US"/>
              </w:rPr>
              <w:t>1</w:t>
            </w:r>
          </w:p>
          <w:p w14:paraId="6158F6B0" w14:textId="17A68F81" w:rsidR="00AE4A57" w:rsidRPr="00AE4A57" w:rsidRDefault="00BC269C" w:rsidP="00AE4A57">
            <w:pPr>
              <w:pStyle w:val="Note"/>
              <w:rPr>
                <w:rFonts w:eastAsia="Bookman Old Style"/>
                <w:lang w:val="en-US"/>
              </w:rPr>
            </w:pPr>
            <w:r w:rsidRPr="00BC269C">
              <w:rPr>
                <w:rStyle w:val="skrift-hevet"/>
                <w:lang w:val="en-US"/>
              </w:rPr>
              <w:t>1</w:t>
            </w:r>
            <w:r w:rsidRPr="00BC269C">
              <w:rPr>
                <w:rStyle w:val="skrift-hevet"/>
                <w:lang w:val="en-US"/>
              </w:rPr>
              <w:t xml:space="preserve"> </w:t>
            </w:r>
            <w:r w:rsidR="00AE4A57" w:rsidRPr="00AE4A57">
              <w:rPr>
                <w:lang w:val="en-US"/>
              </w:rPr>
              <w:t xml:space="preserve">The left and right axes are </w:t>
            </w:r>
            <w:proofErr w:type="spellStart"/>
            <w:r w:rsidR="00AE4A57" w:rsidRPr="00AE4A57">
              <w:rPr>
                <w:lang w:val="en-US"/>
              </w:rPr>
              <w:t>øre</w:t>
            </w:r>
            <w:proofErr w:type="spellEnd"/>
            <w:r w:rsidR="00AE4A57" w:rsidRPr="00AE4A57">
              <w:rPr>
                <w:lang w:val="en-US"/>
              </w:rPr>
              <w:t>/kWh and twelve-month change in per cent, respectively. Vertical lines indicate December 2021 (when the government introduced the electricity subsidy scheme) and October 2025 (when the government introduced Norway</w:t>
            </w:r>
            <w:r>
              <w:rPr>
                <w:lang w:val="en-US"/>
              </w:rPr>
              <w:t>’</w:t>
            </w:r>
            <w:r w:rsidR="00AE4A57" w:rsidRPr="00AE4A57">
              <w:rPr>
                <w:lang w:val="en-US"/>
              </w:rPr>
              <w:t>s price).</w:t>
            </w:r>
          </w:p>
          <w:p w14:paraId="2CFCB872" w14:textId="77777777" w:rsidR="00AE4A57" w:rsidRPr="00AE4A57" w:rsidRDefault="00AE4A57" w:rsidP="00AE4A57">
            <w:pPr>
              <w:pStyle w:val="Kilde"/>
              <w:rPr>
                <w:lang w:val="en-US"/>
              </w:rPr>
            </w:pPr>
            <w:r w:rsidRPr="00AE4A57">
              <w:rPr>
                <w:lang w:val="en-US"/>
              </w:rPr>
              <w:t>Sources: Statistics Norway and Ministry of Finance.</w:t>
            </w:r>
          </w:p>
          <w:p w14:paraId="149AFB74" w14:textId="5CA1E6FC" w:rsidR="00AE4A57" w:rsidRPr="00AE4A57" w:rsidRDefault="00AE4A57" w:rsidP="00AE4A57">
            <w:pPr>
              <w:pStyle w:val="avsnitt-tittel"/>
              <w:rPr>
                <w:rFonts w:eastAsia="Tahoma"/>
                <w:lang w:val="en-US"/>
              </w:rPr>
            </w:pPr>
            <w:r w:rsidRPr="00AE4A57">
              <w:rPr>
                <w:rFonts w:eastAsia="Tahoma"/>
                <w:lang w:val="en-US"/>
              </w:rPr>
              <w:t>Table 2.3 CPI and CPI excluding electricity support. Percent.</w:t>
            </w:r>
            <w:r w:rsidR="00BC269C" w:rsidRPr="00BC269C">
              <w:rPr>
                <w:rStyle w:val="skrift-hevet"/>
                <w:lang w:val="en-US"/>
              </w:rPr>
              <w:t>1</w:t>
            </w:r>
            <w:r w:rsidR="00BC269C" w:rsidRPr="00BC269C">
              <w:rPr>
                <w:rStyle w:val="skrift-hevet"/>
                <w:lang w:val="en-US"/>
              </w:rPr>
              <w:t> </w:t>
            </w:r>
            <w:r w:rsidR="00BC269C" w:rsidRPr="00AE4A57">
              <w:rPr>
                <w:rFonts w:eastAsia="Tahoma"/>
                <w:lang w:val="en-US"/>
              </w:rPr>
              <w:t>202</w:t>
            </w:r>
            <w:r w:rsidRPr="00AE4A57">
              <w:rPr>
                <w:rFonts w:eastAsia="Tahoma"/>
                <w:lang w:val="en-US"/>
              </w:rPr>
              <w:t>1–2028</w:t>
            </w:r>
          </w:p>
          <w:tbl>
            <w:tblPr>
              <w:tblStyle w:val="StandardTabell"/>
              <w:tblW w:w="0" w:type="auto"/>
              <w:tblLayout w:type="fixed"/>
              <w:tblLook w:val="0000" w:firstRow="0" w:lastRow="0" w:firstColumn="0" w:lastColumn="0" w:noHBand="0" w:noVBand="0"/>
            </w:tblPr>
            <w:tblGrid>
              <w:gridCol w:w="2952"/>
              <w:gridCol w:w="720"/>
              <w:gridCol w:w="720"/>
              <w:gridCol w:w="720"/>
              <w:gridCol w:w="720"/>
              <w:gridCol w:w="720"/>
              <w:gridCol w:w="720"/>
              <w:gridCol w:w="720"/>
              <w:gridCol w:w="720"/>
            </w:tblGrid>
            <w:tr w:rsidR="00AE4A57" w:rsidRPr="00B21C46" w14:paraId="1CF00312" w14:textId="77777777" w:rsidTr="00AE4A57">
              <w:trPr>
                <w:trHeight w:hRule="exact" w:val="510"/>
              </w:trPr>
              <w:tc>
                <w:tcPr>
                  <w:tcW w:w="0" w:type="auto"/>
                </w:tcPr>
                <w:p w14:paraId="18AD42F8" w14:textId="77777777" w:rsidR="00AE4A57" w:rsidRPr="00385D5F" w:rsidRDefault="00AE4A57" w:rsidP="00AE4A57">
                  <w:pPr>
                    <w:spacing w:line="240" w:lineRule="auto"/>
                    <w:textAlignment w:val="baseline"/>
                    <w:rPr>
                      <w:rFonts w:ascii="Times New Roman" w:hAnsi="Times New Roman" w:cs="Times New Roman"/>
                      <w:color w:val="000000"/>
                      <w:lang w:val="en-GB"/>
                    </w:rPr>
                  </w:pPr>
                </w:p>
              </w:tc>
              <w:tc>
                <w:tcPr>
                  <w:tcW w:w="0" w:type="auto"/>
                  <w:vAlign w:val="bottom"/>
                </w:tcPr>
                <w:p w14:paraId="49EEF5EA" w14:textId="77777777" w:rsidR="00AE4A57" w:rsidRPr="00385D5F" w:rsidRDefault="00AE4A57" w:rsidP="00AE4A57">
                  <w:pPr>
                    <w:jc w:val="right"/>
                    <w:rPr>
                      <w:lang w:val="en-GB"/>
                    </w:rPr>
                  </w:pPr>
                  <w:r w:rsidRPr="00385D5F">
                    <w:rPr>
                      <w:lang w:val="en-GB"/>
                    </w:rPr>
                    <w:t>2021</w:t>
                  </w:r>
                </w:p>
              </w:tc>
              <w:tc>
                <w:tcPr>
                  <w:tcW w:w="0" w:type="auto"/>
                  <w:vAlign w:val="bottom"/>
                </w:tcPr>
                <w:p w14:paraId="6F5CF955" w14:textId="77777777" w:rsidR="00AE4A57" w:rsidRPr="00385D5F" w:rsidRDefault="00AE4A57" w:rsidP="00AE4A57">
                  <w:pPr>
                    <w:jc w:val="right"/>
                    <w:rPr>
                      <w:lang w:val="en-GB"/>
                    </w:rPr>
                  </w:pPr>
                  <w:r w:rsidRPr="00385D5F">
                    <w:rPr>
                      <w:lang w:val="en-GB"/>
                    </w:rPr>
                    <w:t>2022</w:t>
                  </w:r>
                </w:p>
              </w:tc>
              <w:tc>
                <w:tcPr>
                  <w:tcW w:w="0" w:type="auto"/>
                  <w:vAlign w:val="bottom"/>
                </w:tcPr>
                <w:p w14:paraId="5CD61E39" w14:textId="77777777" w:rsidR="00AE4A57" w:rsidRPr="00385D5F" w:rsidRDefault="00AE4A57" w:rsidP="00AE4A57">
                  <w:pPr>
                    <w:jc w:val="right"/>
                    <w:rPr>
                      <w:lang w:val="en-GB"/>
                    </w:rPr>
                  </w:pPr>
                  <w:r w:rsidRPr="00385D5F">
                    <w:rPr>
                      <w:lang w:val="en-GB"/>
                    </w:rPr>
                    <w:t>2023</w:t>
                  </w:r>
                </w:p>
              </w:tc>
              <w:tc>
                <w:tcPr>
                  <w:tcW w:w="0" w:type="auto"/>
                  <w:vAlign w:val="bottom"/>
                </w:tcPr>
                <w:p w14:paraId="1D5263B9" w14:textId="77777777" w:rsidR="00AE4A57" w:rsidRPr="00385D5F" w:rsidRDefault="00AE4A57" w:rsidP="00AE4A57">
                  <w:pPr>
                    <w:jc w:val="right"/>
                    <w:rPr>
                      <w:lang w:val="en-GB"/>
                    </w:rPr>
                  </w:pPr>
                  <w:r w:rsidRPr="00385D5F">
                    <w:rPr>
                      <w:lang w:val="en-GB"/>
                    </w:rPr>
                    <w:t>2024</w:t>
                  </w:r>
                </w:p>
              </w:tc>
              <w:tc>
                <w:tcPr>
                  <w:tcW w:w="0" w:type="auto"/>
                  <w:vAlign w:val="bottom"/>
                </w:tcPr>
                <w:p w14:paraId="7CC88313" w14:textId="77777777" w:rsidR="00AE4A57" w:rsidRPr="00385D5F" w:rsidRDefault="00AE4A57" w:rsidP="00AE4A57">
                  <w:pPr>
                    <w:jc w:val="right"/>
                    <w:rPr>
                      <w:lang w:val="en-GB"/>
                    </w:rPr>
                  </w:pPr>
                  <w:r w:rsidRPr="00385D5F">
                    <w:rPr>
                      <w:lang w:val="en-GB"/>
                    </w:rPr>
                    <w:t>2025</w:t>
                  </w:r>
                </w:p>
              </w:tc>
              <w:tc>
                <w:tcPr>
                  <w:tcW w:w="0" w:type="auto"/>
                  <w:vAlign w:val="bottom"/>
                </w:tcPr>
                <w:p w14:paraId="33596C0F" w14:textId="77777777" w:rsidR="00AE4A57" w:rsidRPr="00385D5F" w:rsidRDefault="00AE4A57" w:rsidP="00AE4A57">
                  <w:pPr>
                    <w:jc w:val="right"/>
                    <w:rPr>
                      <w:lang w:val="en-GB"/>
                    </w:rPr>
                  </w:pPr>
                  <w:r w:rsidRPr="00385D5F">
                    <w:rPr>
                      <w:lang w:val="en-GB"/>
                    </w:rPr>
                    <w:t>2026</w:t>
                  </w:r>
                </w:p>
              </w:tc>
              <w:tc>
                <w:tcPr>
                  <w:tcW w:w="0" w:type="auto"/>
                  <w:vAlign w:val="bottom"/>
                </w:tcPr>
                <w:p w14:paraId="0893548B" w14:textId="77777777" w:rsidR="00AE4A57" w:rsidRPr="00385D5F" w:rsidRDefault="00AE4A57" w:rsidP="00AE4A57">
                  <w:pPr>
                    <w:jc w:val="right"/>
                    <w:rPr>
                      <w:lang w:val="en-GB"/>
                    </w:rPr>
                  </w:pPr>
                  <w:r w:rsidRPr="00385D5F">
                    <w:rPr>
                      <w:lang w:val="en-GB"/>
                    </w:rPr>
                    <w:t>2027</w:t>
                  </w:r>
                </w:p>
              </w:tc>
              <w:tc>
                <w:tcPr>
                  <w:tcW w:w="0" w:type="auto"/>
                  <w:vAlign w:val="bottom"/>
                </w:tcPr>
                <w:p w14:paraId="171F0ADA" w14:textId="77777777" w:rsidR="00AE4A57" w:rsidRPr="00385D5F" w:rsidRDefault="00AE4A57" w:rsidP="00AE4A57">
                  <w:pPr>
                    <w:jc w:val="right"/>
                    <w:rPr>
                      <w:lang w:val="en-GB"/>
                    </w:rPr>
                  </w:pPr>
                  <w:r w:rsidRPr="00385D5F">
                    <w:rPr>
                      <w:lang w:val="en-GB"/>
                    </w:rPr>
                    <w:t>2028</w:t>
                  </w:r>
                </w:p>
              </w:tc>
            </w:tr>
            <w:tr w:rsidR="00AE4A57" w:rsidRPr="00B21C46" w14:paraId="14A8387D" w14:textId="77777777" w:rsidTr="00AE4A57">
              <w:trPr>
                <w:trHeight w:hRule="exact" w:val="454"/>
              </w:trPr>
              <w:tc>
                <w:tcPr>
                  <w:tcW w:w="0" w:type="auto"/>
                </w:tcPr>
                <w:p w14:paraId="3EB29405" w14:textId="0E1A6ACA" w:rsidR="00AE4A57" w:rsidRPr="00385D5F" w:rsidRDefault="00AE4A57" w:rsidP="00AE4A57">
                  <w:pPr>
                    <w:rPr>
                      <w:sz w:val="23"/>
                      <w:lang w:val="en-GB"/>
                    </w:rPr>
                  </w:pPr>
                  <w:r w:rsidRPr="00385D5F">
                    <w:rPr>
                      <w:sz w:val="23"/>
                      <w:lang w:val="en-GB"/>
                    </w:rPr>
                    <w:t>CPI2</w:t>
                  </w:r>
                  <w:r w:rsidR="00BC269C">
                    <w:rPr>
                      <w:sz w:val="23"/>
                      <w:lang w:val="en-GB"/>
                    </w:rPr>
                    <w:t xml:space="preserve"> </w:t>
                  </w:r>
                </w:p>
              </w:tc>
              <w:tc>
                <w:tcPr>
                  <w:tcW w:w="0" w:type="auto"/>
                  <w:vAlign w:val="bottom"/>
                </w:tcPr>
                <w:p w14:paraId="63E54C6C" w14:textId="77777777" w:rsidR="00AE4A57" w:rsidRPr="00385D5F" w:rsidRDefault="00AE4A57" w:rsidP="00AE4A57">
                  <w:pPr>
                    <w:jc w:val="right"/>
                    <w:rPr>
                      <w:sz w:val="23"/>
                      <w:lang w:val="en-GB"/>
                    </w:rPr>
                  </w:pPr>
                  <w:r w:rsidRPr="00385D5F">
                    <w:rPr>
                      <w:sz w:val="23"/>
                      <w:lang w:val="en-GB"/>
                    </w:rPr>
                    <w:t>3,5</w:t>
                  </w:r>
                </w:p>
              </w:tc>
              <w:tc>
                <w:tcPr>
                  <w:tcW w:w="0" w:type="auto"/>
                  <w:vAlign w:val="bottom"/>
                </w:tcPr>
                <w:p w14:paraId="6EB1A572" w14:textId="77777777" w:rsidR="00AE4A57" w:rsidRPr="00385D5F" w:rsidRDefault="00AE4A57" w:rsidP="00AE4A57">
                  <w:pPr>
                    <w:jc w:val="right"/>
                    <w:rPr>
                      <w:sz w:val="23"/>
                      <w:lang w:val="en-GB"/>
                    </w:rPr>
                  </w:pPr>
                  <w:r w:rsidRPr="00385D5F">
                    <w:rPr>
                      <w:sz w:val="23"/>
                      <w:lang w:val="en-GB"/>
                    </w:rPr>
                    <w:t>5,8</w:t>
                  </w:r>
                </w:p>
              </w:tc>
              <w:tc>
                <w:tcPr>
                  <w:tcW w:w="0" w:type="auto"/>
                  <w:vAlign w:val="bottom"/>
                </w:tcPr>
                <w:p w14:paraId="3024FAEE" w14:textId="77777777" w:rsidR="00AE4A57" w:rsidRPr="00385D5F" w:rsidRDefault="00AE4A57" w:rsidP="00AE4A57">
                  <w:pPr>
                    <w:jc w:val="right"/>
                    <w:rPr>
                      <w:sz w:val="23"/>
                      <w:lang w:val="en-GB"/>
                    </w:rPr>
                  </w:pPr>
                  <w:r w:rsidRPr="00385D5F">
                    <w:rPr>
                      <w:sz w:val="23"/>
                      <w:lang w:val="en-GB"/>
                    </w:rPr>
                    <w:t>5,5</w:t>
                  </w:r>
                </w:p>
              </w:tc>
              <w:tc>
                <w:tcPr>
                  <w:tcW w:w="0" w:type="auto"/>
                  <w:vAlign w:val="bottom"/>
                </w:tcPr>
                <w:p w14:paraId="15BB4153" w14:textId="77777777" w:rsidR="00AE4A57" w:rsidRPr="00385D5F" w:rsidRDefault="00AE4A57" w:rsidP="00AE4A57">
                  <w:pPr>
                    <w:jc w:val="right"/>
                    <w:rPr>
                      <w:sz w:val="23"/>
                      <w:lang w:val="en-GB"/>
                    </w:rPr>
                  </w:pPr>
                  <w:r w:rsidRPr="00385D5F">
                    <w:rPr>
                      <w:sz w:val="23"/>
                      <w:lang w:val="en-GB"/>
                    </w:rPr>
                    <w:t>3,1</w:t>
                  </w:r>
                </w:p>
              </w:tc>
              <w:tc>
                <w:tcPr>
                  <w:tcW w:w="0" w:type="auto"/>
                  <w:vAlign w:val="bottom"/>
                </w:tcPr>
                <w:p w14:paraId="4BC5BDDB" w14:textId="77777777" w:rsidR="00AE4A57" w:rsidRPr="00385D5F" w:rsidRDefault="00AE4A57" w:rsidP="00AE4A57">
                  <w:pPr>
                    <w:jc w:val="right"/>
                    <w:rPr>
                      <w:sz w:val="23"/>
                      <w:lang w:val="en-GB"/>
                    </w:rPr>
                  </w:pPr>
                  <w:r w:rsidRPr="00385D5F">
                    <w:rPr>
                      <w:sz w:val="23"/>
                      <w:lang w:val="en-GB"/>
                    </w:rPr>
                    <w:t>3,1</w:t>
                  </w:r>
                </w:p>
              </w:tc>
              <w:tc>
                <w:tcPr>
                  <w:tcW w:w="0" w:type="auto"/>
                  <w:vAlign w:val="bottom"/>
                </w:tcPr>
                <w:p w14:paraId="7C1156F1" w14:textId="77777777" w:rsidR="00AE4A57" w:rsidRPr="00385D5F" w:rsidRDefault="00AE4A57" w:rsidP="00AE4A57">
                  <w:pPr>
                    <w:jc w:val="right"/>
                    <w:rPr>
                      <w:sz w:val="23"/>
                      <w:lang w:val="en-GB"/>
                    </w:rPr>
                  </w:pPr>
                  <w:r w:rsidRPr="00385D5F">
                    <w:rPr>
                      <w:sz w:val="23"/>
                      <w:lang w:val="en-GB"/>
                    </w:rPr>
                    <w:t>3,3</w:t>
                  </w:r>
                </w:p>
              </w:tc>
              <w:tc>
                <w:tcPr>
                  <w:tcW w:w="0" w:type="auto"/>
                  <w:vAlign w:val="bottom"/>
                </w:tcPr>
                <w:p w14:paraId="40415A54" w14:textId="77777777" w:rsidR="00AE4A57" w:rsidRPr="00385D5F" w:rsidRDefault="00AE4A57" w:rsidP="00AE4A57">
                  <w:pPr>
                    <w:jc w:val="right"/>
                    <w:rPr>
                      <w:sz w:val="23"/>
                      <w:lang w:val="en-GB"/>
                    </w:rPr>
                  </w:pPr>
                  <w:r w:rsidRPr="00385D5F">
                    <w:rPr>
                      <w:sz w:val="23"/>
                      <w:lang w:val="en-GB"/>
                    </w:rPr>
                    <w:t>2,7</w:t>
                  </w:r>
                </w:p>
              </w:tc>
              <w:tc>
                <w:tcPr>
                  <w:tcW w:w="0" w:type="auto"/>
                  <w:vAlign w:val="bottom"/>
                </w:tcPr>
                <w:p w14:paraId="26332F3F" w14:textId="77777777" w:rsidR="00AE4A57" w:rsidRPr="00385D5F" w:rsidRDefault="00AE4A57" w:rsidP="00AE4A57">
                  <w:pPr>
                    <w:jc w:val="right"/>
                    <w:rPr>
                      <w:sz w:val="23"/>
                      <w:lang w:val="en-GB"/>
                    </w:rPr>
                  </w:pPr>
                  <w:r w:rsidRPr="00385D5F">
                    <w:rPr>
                      <w:sz w:val="23"/>
                      <w:lang w:val="en-GB"/>
                    </w:rPr>
                    <w:t>2,4</w:t>
                  </w:r>
                </w:p>
              </w:tc>
            </w:tr>
            <w:tr w:rsidR="00AE4A57" w:rsidRPr="00B21C46" w14:paraId="66DD5A60" w14:textId="77777777" w:rsidTr="00AE4A57">
              <w:trPr>
                <w:trHeight w:hRule="exact" w:val="850"/>
              </w:trPr>
              <w:tc>
                <w:tcPr>
                  <w:tcW w:w="0" w:type="auto"/>
                </w:tcPr>
                <w:p w14:paraId="148BDA85" w14:textId="3DF39AC9" w:rsidR="00AE4A57" w:rsidRPr="00385D5F" w:rsidRDefault="00AE4A57" w:rsidP="00AE4A57">
                  <w:pPr>
                    <w:rPr>
                      <w:sz w:val="23"/>
                      <w:lang w:val="en-GB"/>
                    </w:rPr>
                  </w:pPr>
                  <w:r w:rsidRPr="00385D5F">
                    <w:rPr>
                      <w:sz w:val="23"/>
                      <w:lang w:val="en-GB"/>
                    </w:rPr>
                    <w:t>CPI without electricity support</w:t>
                  </w:r>
                  <w:r w:rsidR="00BC269C" w:rsidRPr="00BC269C">
                    <w:rPr>
                      <w:rStyle w:val="skrift-hevet"/>
                      <w:lang w:val="en-GB"/>
                    </w:rPr>
                    <w:t>3</w:t>
                  </w:r>
                </w:p>
              </w:tc>
              <w:tc>
                <w:tcPr>
                  <w:tcW w:w="0" w:type="auto"/>
                  <w:vAlign w:val="bottom"/>
                </w:tcPr>
                <w:p w14:paraId="544AE241" w14:textId="77777777" w:rsidR="00AE4A57" w:rsidRPr="00385D5F" w:rsidRDefault="00AE4A57" w:rsidP="00AE4A57">
                  <w:pPr>
                    <w:jc w:val="right"/>
                    <w:rPr>
                      <w:sz w:val="23"/>
                      <w:lang w:val="en-GB"/>
                    </w:rPr>
                  </w:pPr>
                  <w:r w:rsidRPr="00385D5F">
                    <w:rPr>
                      <w:sz w:val="23"/>
                      <w:lang w:val="en-GB"/>
                    </w:rPr>
                    <w:t>3,6</w:t>
                  </w:r>
                </w:p>
              </w:tc>
              <w:tc>
                <w:tcPr>
                  <w:tcW w:w="0" w:type="auto"/>
                  <w:vAlign w:val="bottom"/>
                </w:tcPr>
                <w:p w14:paraId="57D6AB75" w14:textId="77777777" w:rsidR="00AE4A57" w:rsidRPr="00385D5F" w:rsidRDefault="00AE4A57" w:rsidP="00AE4A57">
                  <w:pPr>
                    <w:jc w:val="right"/>
                    <w:rPr>
                      <w:sz w:val="23"/>
                      <w:lang w:val="en-GB"/>
                    </w:rPr>
                  </w:pPr>
                  <w:r w:rsidRPr="00385D5F">
                    <w:rPr>
                      <w:sz w:val="23"/>
                      <w:lang w:val="en-GB"/>
                    </w:rPr>
                    <w:t>7,7</w:t>
                  </w:r>
                </w:p>
              </w:tc>
              <w:tc>
                <w:tcPr>
                  <w:tcW w:w="0" w:type="auto"/>
                  <w:vAlign w:val="bottom"/>
                </w:tcPr>
                <w:p w14:paraId="617C8B28" w14:textId="77777777" w:rsidR="00AE4A57" w:rsidRPr="00385D5F" w:rsidRDefault="00AE4A57" w:rsidP="00AE4A57">
                  <w:pPr>
                    <w:jc w:val="right"/>
                    <w:rPr>
                      <w:sz w:val="23"/>
                      <w:lang w:val="en-GB"/>
                    </w:rPr>
                  </w:pPr>
                  <w:r w:rsidRPr="00385D5F">
                    <w:rPr>
                      <w:sz w:val="23"/>
                      <w:lang w:val="en-GB"/>
                    </w:rPr>
                    <w:t>5,4</w:t>
                  </w:r>
                </w:p>
              </w:tc>
              <w:tc>
                <w:tcPr>
                  <w:tcW w:w="0" w:type="auto"/>
                  <w:vAlign w:val="bottom"/>
                </w:tcPr>
                <w:p w14:paraId="01F36DB4" w14:textId="77777777" w:rsidR="00AE4A57" w:rsidRPr="00385D5F" w:rsidRDefault="00AE4A57" w:rsidP="00AE4A57">
                  <w:pPr>
                    <w:jc w:val="right"/>
                    <w:rPr>
                      <w:sz w:val="23"/>
                      <w:lang w:val="en-GB"/>
                    </w:rPr>
                  </w:pPr>
                  <w:r w:rsidRPr="00385D5F">
                    <w:rPr>
                      <w:sz w:val="23"/>
                      <w:lang w:val="en-GB"/>
                    </w:rPr>
                    <w:t>3,0</w:t>
                  </w:r>
                </w:p>
              </w:tc>
              <w:tc>
                <w:tcPr>
                  <w:tcW w:w="0" w:type="auto"/>
                  <w:vAlign w:val="bottom"/>
                </w:tcPr>
                <w:p w14:paraId="72C442A4" w14:textId="77777777" w:rsidR="00AE4A57" w:rsidRPr="00385D5F" w:rsidRDefault="00AE4A57" w:rsidP="00AE4A57">
                  <w:pPr>
                    <w:jc w:val="right"/>
                    <w:rPr>
                      <w:sz w:val="23"/>
                      <w:lang w:val="en-GB"/>
                    </w:rPr>
                  </w:pPr>
                  <w:r w:rsidRPr="00385D5F">
                    <w:rPr>
                      <w:sz w:val="23"/>
                      <w:lang w:val="en-GB"/>
                    </w:rPr>
                    <w:t>3,2</w:t>
                  </w:r>
                </w:p>
              </w:tc>
              <w:tc>
                <w:tcPr>
                  <w:tcW w:w="0" w:type="auto"/>
                  <w:vAlign w:val="bottom"/>
                </w:tcPr>
                <w:p w14:paraId="6E3D8CE2" w14:textId="77777777" w:rsidR="00AE4A57" w:rsidRPr="00385D5F" w:rsidRDefault="00AE4A57" w:rsidP="00AE4A57">
                  <w:pPr>
                    <w:jc w:val="right"/>
                    <w:rPr>
                      <w:sz w:val="23"/>
                      <w:lang w:val="en-GB"/>
                    </w:rPr>
                  </w:pPr>
                  <w:r w:rsidRPr="00385D5F">
                    <w:rPr>
                      <w:sz w:val="23"/>
                      <w:lang w:val="en-GB"/>
                    </w:rPr>
                    <w:t>4,3</w:t>
                  </w:r>
                </w:p>
              </w:tc>
              <w:tc>
                <w:tcPr>
                  <w:tcW w:w="0" w:type="auto"/>
                  <w:vAlign w:val="bottom"/>
                </w:tcPr>
                <w:p w14:paraId="4A529BE2" w14:textId="77777777" w:rsidR="00AE4A57" w:rsidRPr="00385D5F" w:rsidRDefault="00AE4A57" w:rsidP="00AE4A57">
                  <w:pPr>
                    <w:jc w:val="right"/>
                    <w:rPr>
                      <w:sz w:val="23"/>
                      <w:lang w:val="en-GB"/>
                    </w:rPr>
                  </w:pPr>
                  <w:r w:rsidRPr="00385D5F">
                    <w:rPr>
                      <w:sz w:val="23"/>
                      <w:lang w:val="en-GB"/>
                    </w:rPr>
                    <w:t>2,4</w:t>
                  </w:r>
                </w:p>
              </w:tc>
              <w:tc>
                <w:tcPr>
                  <w:tcW w:w="0" w:type="auto"/>
                  <w:vAlign w:val="bottom"/>
                </w:tcPr>
                <w:p w14:paraId="5E330896" w14:textId="77777777" w:rsidR="00AE4A57" w:rsidRPr="00385D5F" w:rsidRDefault="00AE4A57" w:rsidP="00AE4A57">
                  <w:pPr>
                    <w:jc w:val="right"/>
                    <w:rPr>
                      <w:sz w:val="23"/>
                      <w:lang w:val="en-GB"/>
                    </w:rPr>
                  </w:pPr>
                  <w:r w:rsidRPr="00385D5F">
                    <w:rPr>
                      <w:sz w:val="23"/>
                      <w:lang w:val="en-GB"/>
                    </w:rPr>
                    <w:t>2,1</w:t>
                  </w:r>
                </w:p>
              </w:tc>
            </w:tr>
          </w:tbl>
          <w:p w14:paraId="54E106B1" w14:textId="27318610" w:rsidR="00AE4A57" w:rsidRPr="00AE4A57" w:rsidRDefault="00BC269C" w:rsidP="00AE4A57">
            <w:pPr>
              <w:pStyle w:val="Note"/>
              <w:rPr>
                <w:lang w:val="en-US"/>
              </w:rPr>
            </w:pPr>
            <w:r w:rsidRPr="00BC269C">
              <w:rPr>
                <w:rStyle w:val="skrift-hevet"/>
                <w:lang w:val="en-US"/>
              </w:rPr>
              <w:t xml:space="preserve">1 </w:t>
            </w:r>
            <w:r w:rsidR="00AE4A57" w:rsidRPr="00AE4A57">
              <w:rPr>
                <w:lang w:val="en-US"/>
              </w:rPr>
              <w:t>Annual change.</w:t>
            </w:r>
          </w:p>
          <w:p w14:paraId="57CA8AC4" w14:textId="79143E7D" w:rsidR="00AE4A57" w:rsidRPr="00AE4A57" w:rsidRDefault="00BC269C" w:rsidP="00AE4A57">
            <w:pPr>
              <w:pStyle w:val="Note"/>
              <w:rPr>
                <w:rFonts w:eastAsia="Bookman Old Style"/>
                <w:lang w:val="en-US"/>
              </w:rPr>
            </w:pPr>
            <w:r w:rsidRPr="00BC269C">
              <w:rPr>
                <w:rStyle w:val="skrift-hevet"/>
                <w:lang w:val="en-US"/>
              </w:rPr>
              <w:t>2</w:t>
            </w:r>
            <w:r w:rsidRPr="00BC269C">
              <w:rPr>
                <w:rStyle w:val="skrift-hevet"/>
                <w:lang w:val="en-US"/>
              </w:rPr>
              <w:t> </w:t>
            </w:r>
            <w:r w:rsidRPr="00AE4A57">
              <w:rPr>
                <w:lang w:val="en-US"/>
              </w:rPr>
              <w:t>202</w:t>
            </w:r>
            <w:r w:rsidR="00AE4A57" w:rsidRPr="00AE4A57">
              <w:rPr>
                <w:lang w:val="en-US"/>
              </w:rPr>
              <w:t>1–2025 is historical CPI from Statistics Norway table 03014. 2026–2028 are estimates prepared by the Ministry of Finance.</w:t>
            </w:r>
          </w:p>
          <w:p w14:paraId="0598CBC7" w14:textId="0082E4D5" w:rsidR="00AE4A57" w:rsidRDefault="00BC269C" w:rsidP="00AE4A57">
            <w:pPr>
              <w:pStyle w:val="Note"/>
              <w:rPr>
                <w:lang w:val="en-GB"/>
              </w:rPr>
            </w:pPr>
            <w:r w:rsidRPr="00BC269C">
              <w:rPr>
                <w:rStyle w:val="skrift-hevet"/>
                <w:lang w:val="en-US"/>
              </w:rPr>
              <w:t xml:space="preserve">3 </w:t>
            </w:r>
            <w:r w:rsidR="00AE4A57" w:rsidRPr="00AE4A57">
              <w:rPr>
                <w:lang w:val="en-US"/>
              </w:rPr>
              <w:t xml:space="preserve">Electricity support includes the electricity subsidy scheme for electricity and grid tariffs, as well as </w:t>
            </w:r>
            <w:proofErr w:type="spellStart"/>
            <w:r w:rsidR="00AE4A57" w:rsidRPr="00AE4A57">
              <w:rPr>
                <w:lang w:val="en-US"/>
              </w:rPr>
              <w:t>Norgespris</w:t>
            </w:r>
            <w:proofErr w:type="spellEnd"/>
            <w:r w:rsidR="00AE4A57" w:rsidRPr="00AE4A57">
              <w:rPr>
                <w:lang w:val="en-US"/>
              </w:rPr>
              <w:t>. 2021–2025 are historical figures compiled by Statistics Norway. Figures for 2026–2028 have been prepared by the Ministry of Finance.</w:t>
            </w:r>
          </w:p>
        </w:tc>
      </w:tr>
    </w:tbl>
    <w:p w14:paraId="3CE94C19" w14:textId="184E0DD3" w:rsidR="00DE3EE5" w:rsidRPr="00D7554C" w:rsidRDefault="00DE3EE5" w:rsidP="00AE4A57">
      <w:pPr>
        <w:pStyle w:val="UnOverskrift1"/>
        <w:rPr>
          <w:lang w:val="en-US"/>
        </w:rPr>
      </w:pPr>
      <w:r w:rsidRPr="00D7554C">
        <w:rPr>
          <w:lang w:val="en-US"/>
        </w:rPr>
        <w:t xml:space="preserve">3.1 Fiscal policy </w:t>
      </w:r>
      <w:r w:rsidR="00402077" w:rsidRPr="00D7554C">
        <w:rPr>
          <w:lang w:val="en-US"/>
        </w:rPr>
        <w:t xml:space="preserve">in </w:t>
      </w:r>
      <w:r w:rsidRPr="00D7554C">
        <w:rPr>
          <w:lang w:val="en-US"/>
        </w:rPr>
        <w:t>2027</w:t>
      </w:r>
    </w:p>
    <w:p w14:paraId="05181293" w14:textId="0A29B8CC" w:rsidR="00DE3EE5" w:rsidRPr="00D7554C" w:rsidRDefault="00DE3EE5" w:rsidP="00AE4A57">
      <w:pPr>
        <w:pStyle w:val="avsnitt-undertittel"/>
        <w:rPr>
          <w:lang w:val="en-US"/>
        </w:rPr>
      </w:pPr>
      <w:r w:rsidRPr="00D7554C">
        <w:rPr>
          <w:lang w:val="en-US"/>
        </w:rPr>
        <w:t>Fiscal policy stance</w:t>
      </w:r>
    </w:p>
    <w:p w14:paraId="08B6E10D" w14:textId="77777777" w:rsidR="00BC269C" w:rsidRPr="00E868FF" w:rsidRDefault="00B52710" w:rsidP="00E868FF">
      <w:r w:rsidRPr="00E868FF">
        <w:t xml:space="preserve">In the fiscal budget for 2027, the Government proposes a use of fund resources, measured by the </w:t>
      </w:r>
      <w:r w:rsidRPr="00E868FF">
        <w:rPr>
          <w:rStyle w:val="kursiv"/>
        </w:rPr>
        <w:t>structural non-oil budget deficit</w:t>
      </w:r>
      <w:r w:rsidRPr="00E868FF">
        <w:t xml:space="preserve">, of NOK 608.4 billion, equivalent to 12.6 per cent of mainland Norway trend GDP (Table 3.1). Measured as a share of the economy, this is approximately unchanged from this year. Fund spending is expected to correspond to withdrawals from the GPFG of 2.7 per cent of the </w:t>
      </w:r>
      <w:r w:rsidR="00ED1814" w:rsidRPr="00E868FF">
        <w:t xml:space="preserve">fund </w:t>
      </w:r>
      <w:r w:rsidRPr="00E868FF">
        <w:t>value and 26.6 per cent of fiscal budget expenditure.</w:t>
      </w:r>
    </w:p>
    <w:p w14:paraId="4C05C8EA" w14:textId="1A494A5F" w:rsidR="00DE3EE5" w:rsidRPr="00E868FF" w:rsidRDefault="00DE3EE5" w:rsidP="00E868FF">
      <w:r w:rsidRPr="00E868FF">
        <w:t>The fiscal policy stance aims to balance cyclical considerations with the long-term goals of sustainable public finances and to safeguard the growth potential of the economy.</w:t>
      </w:r>
    </w:p>
    <w:p w14:paraId="149D23E2" w14:textId="191C161B" w:rsidR="00DE3EE5" w:rsidRPr="00E868FF" w:rsidRDefault="00DE3EE5" w:rsidP="00E868FF">
      <w:r w:rsidRPr="00E868FF">
        <w:t xml:space="preserve">The Norwegian economy continues to grow, although the pace of growth has slowed somewhat over the past year. Inflation is above the inflation target, and since winter, </w:t>
      </w:r>
      <w:proofErr w:type="spellStart"/>
      <w:r w:rsidRPr="00E868FF">
        <w:t>Norges</w:t>
      </w:r>
      <w:proofErr w:type="spellEnd"/>
      <w:r w:rsidRPr="00E868FF">
        <w:t xml:space="preserve"> Bank has adjusted its course from planning for further interest rate cuts to raising the interest rate and signalling that more interest rate increases may be forthcoming. Cyclical considerations and the need not to overburden </w:t>
      </w:r>
      <w:r w:rsidR="00385D5F" w:rsidRPr="00E868FF">
        <w:t xml:space="preserve">the </w:t>
      </w:r>
      <w:r w:rsidRPr="00E868FF">
        <w:t>monetary policy imply a cyclically neutral fiscal policy stance.</w:t>
      </w:r>
    </w:p>
    <w:p w14:paraId="56FE3CA1" w14:textId="580C90A2" w:rsidR="00C76B3D" w:rsidRPr="00E868FF" w:rsidRDefault="00C76B3D" w:rsidP="00E868FF">
      <w:r w:rsidRPr="00E868FF">
        <w:t xml:space="preserve">In the interest of sustainable development in government finances, government finances used in the event of major changes in the value of the </w:t>
      </w:r>
      <w:r w:rsidR="00ED1814" w:rsidRPr="00E868FF">
        <w:t>f</w:t>
      </w:r>
      <w:r w:rsidRPr="00E868FF">
        <w:t xml:space="preserve">und should be adjusted gradually over several years. This contributes to stable welfare services and framework conditions and reduces the risk that fiscal policy </w:t>
      </w:r>
      <w:proofErr w:type="gramStart"/>
      <w:r w:rsidRPr="00E868FF">
        <w:t>in itself contributes</w:t>
      </w:r>
      <w:proofErr w:type="gramEnd"/>
      <w:r w:rsidRPr="00E868FF">
        <w:t xml:space="preserve"> to instability in the economy.</w:t>
      </w:r>
    </w:p>
    <w:p w14:paraId="7268D89B" w14:textId="6E12FF9A" w:rsidR="00C76B3D" w:rsidRPr="00E868FF" w:rsidRDefault="00C76B3D" w:rsidP="00E868FF">
      <w:r w:rsidRPr="00E868FF">
        <w:t xml:space="preserve">The </w:t>
      </w:r>
      <w:r w:rsidR="00ED1814" w:rsidRPr="00E868FF">
        <w:t>f</w:t>
      </w:r>
      <w:r w:rsidRPr="00E868FF">
        <w:t xml:space="preserve">und now finances just over one in four </w:t>
      </w:r>
      <w:proofErr w:type="spellStart"/>
      <w:r w:rsidRPr="00E868FF">
        <w:t>krones</w:t>
      </w:r>
      <w:proofErr w:type="spellEnd"/>
      <w:r w:rsidRPr="00E868FF">
        <w:t xml:space="preserve"> of expenditure in the fiscal budget (Chart 3.4). The </w:t>
      </w:r>
      <w:r w:rsidR="00ED1814" w:rsidRPr="00E868FF">
        <w:t>f</w:t>
      </w:r>
      <w:r w:rsidRPr="00E868FF">
        <w:t xml:space="preserve">und capital has contributed to a strengthened public service offering. At the same time, they have made the welfare state more vulnerable to a fall in financial markets and fluctuations in the krone exchange rate. The value of the </w:t>
      </w:r>
      <w:r w:rsidR="00ED1814" w:rsidRPr="00E868FF">
        <w:t>f</w:t>
      </w:r>
      <w:r w:rsidRPr="00E868FF">
        <w:t xml:space="preserve">und has increased sharply in recent </w:t>
      </w:r>
      <w:proofErr w:type="gramStart"/>
      <w:r w:rsidRPr="00E868FF">
        <w:t>years, but</w:t>
      </w:r>
      <w:proofErr w:type="gramEnd"/>
      <w:r w:rsidRPr="00E868FF">
        <w:t xml:space="preserve"> has fluctuated considerably since the New Year (Charts 3.5 and 3.6). There is considerable uncertainty surrounding developments ahead. In the fiscal policy stance in each year, </w:t>
      </w:r>
      <w:r w:rsidR="00E2405F" w:rsidRPr="00E868FF">
        <w:t>it</w:t>
      </w:r>
      <w:r w:rsidRPr="00E868FF">
        <w:t xml:space="preserve"> must be </w:t>
      </w:r>
      <w:proofErr w:type="gramStart"/>
      <w:r w:rsidRPr="00E868FF">
        <w:t>taken into account</w:t>
      </w:r>
      <w:proofErr w:type="gramEnd"/>
      <w:r w:rsidRPr="00E868FF">
        <w:t xml:space="preserve"> that the value of the </w:t>
      </w:r>
      <w:r w:rsidR="00ED1814" w:rsidRPr="00E868FF">
        <w:t>f</w:t>
      </w:r>
      <w:r w:rsidRPr="00E868FF">
        <w:t xml:space="preserve">und is uncertain and that the </w:t>
      </w:r>
      <w:r w:rsidR="00ED1814" w:rsidRPr="00E868FF">
        <w:t>f</w:t>
      </w:r>
      <w:r w:rsidRPr="00E868FF">
        <w:t>und may fall abruptly.</w:t>
      </w:r>
    </w:p>
    <w:p w14:paraId="43E034A7" w14:textId="3547D63E" w:rsidR="00C76B3D" w:rsidRPr="00E868FF" w:rsidRDefault="00C76B3D" w:rsidP="00E868FF">
      <w:r w:rsidRPr="00E868FF">
        <w:t xml:space="preserve">Fiscal policy must also </w:t>
      </w:r>
      <w:proofErr w:type="gramStart"/>
      <w:r w:rsidRPr="00E868FF">
        <w:t>take into account</w:t>
      </w:r>
      <w:proofErr w:type="gramEnd"/>
      <w:r w:rsidRPr="00E868FF">
        <w:t xml:space="preserve"> that unforeseen events may occur that require a strong fiscal response, such as during the pandemic and </w:t>
      </w:r>
      <w:proofErr w:type="gramStart"/>
      <w:r w:rsidRPr="00E868FF">
        <w:t>as a result of</w:t>
      </w:r>
      <w:proofErr w:type="gramEnd"/>
      <w:r w:rsidRPr="00E868FF">
        <w:t xml:space="preserve"> Russia</w:t>
      </w:r>
      <w:r w:rsidR="00BC269C" w:rsidRPr="00E868FF">
        <w:t>’</w:t>
      </w:r>
      <w:r w:rsidRPr="00E868FF">
        <w:t xml:space="preserve">s war of aggression in Ukraine. Increased spending in the event of economic downturns and gradual adjustment of spending in the event of a fall in </w:t>
      </w:r>
      <w:r w:rsidR="00ED1814" w:rsidRPr="00E868FF">
        <w:t>f</w:t>
      </w:r>
      <w:r w:rsidRPr="00E868FF">
        <w:t xml:space="preserve">und value suggest that </w:t>
      </w:r>
      <w:r w:rsidR="00ED1814" w:rsidRPr="00E868FF">
        <w:t>f</w:t>
      </w:r>
      <w:r w:rsidRPr="00E868FF">
        <w:t xml:space="preserve">und spending should be below 3 per cent in normal times, so that </w:t>
      </w:r>
      <w:r w:rsidR="00ED1814" w:rsidRPr="00E868FF">
        <w:t>f</w:t>
      </w:r>
      <w:r w:rsidRPr="00E868FF">
        <w:t>und spending over time corresponds to the expected real return of 3 per cent. In previous analyses</w:t>
      </w:r>
      <w:r w:rsidR="00BC269C" w:rsidRPr="00E868FF">
        <w:footnoteReference w:id="1"/>
      </w:r>
      <w:r w:rsidRPr="00E868FF">
        <w:t xml:space="preserve"> by the Ministry of Finance, it has been estimated that </w:t>
      </w:r>
      <w:r w:rsidR="00ED1814" w:rsidRPr="00E868FF">
        <w:t>f</w:t>
      </w:r>
      <w:r w:rsidRPr="00E868FF">
        <w:t xml:space="preserve">und spending </w:t>
      </w:r>
      <w:r w:rsidR="00722D72" w:rsidRPr="00E868FF">
        <w:t xml:space="preserve">of </w:t>
      </w:r>
      <w:r w:rsidRPr="00E868FF">
        <w:t xml:space="preserve">2.7 percent of the </w:t>
      </w:r>
      <w:r w:rsidR="00ED1814" w:rsidRPr="00E868FF">
        <w:t>f</w:t>
      </w:r>
      <w:r w:rsidRPr="00E868FF">
        <w:t xml:space="preserve">und in normal times results in </w:t>
      </w:r>
      <w:r w:rsidR="00ED1814" w:rsidRPr="00E868FF">
        <w:t>f</w:t>
      </w:r>
      <w:r w:rsidRPr="00E868FF">
        <w:t>und withdrawals that over time correspond to the expected real return of 3 percent.</w:t>
      </w:r>
    </w:p>
    <w:p w14:paraId="0B50C5B6" w14:textId="04A421B4" w:rsidR="00C76B3D" w:rsidRPr="00E868FF" w:rsidRDefault="00C76B3D" w:rsidP="00E868FF">
      <w:r w:rsidRPr="00E868FF">
        <w:t xml:space="preserve">The budget proposal assumes a </w:t>
      </w:r>
      <w:r w:rsidR="00ED1814" w:rsidRPr="00E868FF">
        <w:t>f</w:t>
      </w:r>
      <w:r w:rsidRPr="00E868FF">
        <w:t>und value of NOK 2</w:t>
      </w:r>
      <w:r w:rsidR="00BC269C" w:rsidRPr="00E868FF">
        <w:t>2 400</w:t>
      </w:r>
      <w:r w:rsidRPr="00E868FF">
        <w:t xml:space="preserve"> billion at the beginning of 2027. This is NOK </w:t>
      </w:r>
      <w:r w:rsidR="00BC269C" w:rsidRPr="00E868FF">
        <w:t>1 100</w:t>
      </w:r>
      <w:r w:rsidRPr="00E868FF">
        <w:t xml:space="preserve"> billion more than at the beginning of 2026.</w:t>
      </w:r>
    </w:p>
    <w:p w14:paraId="3B4AB6A2" w14:textId="3FFA8876" w:rsidR="007A6FC6" w:rsidRDefault="00C76B3D" w:rsidP="00E868FF">
      <w:pPr>
        <w:rPr>
          <w:lang w:val="en-GB"/>
        </w:rPr>
      </w:pPr>
      <w:r w:rsidRPr="00E868FF">
        <w:t xml:space="preserve">The sustainability of government finances is influenced not only by the level of </w:t>
      </w:r>
      <w:r w:rsidR="00ED1814" w:rsidRPr="00E868FF">
        <w:t>f</w:t>
      </w:r>
      <w:r w:rsidRPr="00E868FF">
        <w:t>und spending, but also by how that capital is spent. International experience shows that substantial revenues from oil and gas extraction or other non-renewable natural resources are no guarantee of sustained high prosperity. Revenues from natural resources can become a cushion that contributes to delaying necessary measures or reforms to utilise society</w:t>
      </w:r>
      <w:r w:rsidR="00BC269C" w:rsidRPr="00E868FF">
        <w:t>’</w:t>
      </w:r>
      <w:r w:rsidRPr="00E868FF">
        <w:t xml:space="preserve">s resources more efficiently. In the longer run, this may result in weaker productivity growth and lower labour force participation. Measures on the expenditure side or the tax side that strengthen incentives to work, increase productivity or otherwise improve the growth potential of the economy are beneficial for both welfare and the fiscal balance over time. See </w:t>
      </w:r>
      <w:r w:rsidR="00BC269C" w:rsidRPr="00E868FF">
        <w:t>Meld. St. 3</w:t>
      </w:r>
      <w:r w:rsidRPr="00E868FF">
        <w:t>1 (2023–2024)</w:t>
      </w:r>
      <w:r w:rsidRPr="00E868FF" w:rsidDel="002B36F2">
        <w:t xml:space="preserve"> </w:t>
      </w:r>
      <w:r w:rsidRPr="00E868FF">
        <w:rPr>
          <w:rStyle w:val="kursiv"/>
        </w:rPr>
        <w:t>the white paper on Long-term Perspectives on the Norwegian Economy 2024</w:t>
      </w:r>
      <w:r w:rsidRPr="00E868FF">
        <w:t xml:space="preserve"> and chapter 5 of this white paper for a more detailed discussion of the importance of increased productivity and efficient use of resources.</w:t>
      </w:r>
    </w:p>
    <w:p w14:paraId="7BC5B7B3" w14:textId="723AF14E" w:rsidR="000226B8" w:rsidRPr="00485B24" w:rsidRDefault="000226B8" w:rsidP="00AE4A57">
      <w:pPr>
        <w:pStyle w:val="avsnitt-tittel"/>
        <w:rPr>
          <w:lang w:val="en-GB"/>
        </w:rPr>
      </w:pPr>
      <w:r w:rsidRPr="00385D5F">
        <w:rPr>
          <w:lang w:val="en-GB"/>
        </w:rPr>
        <w:t xml:space="preserve">Table 3.1 Key figures in the </w:t>
      </w:r>
      <w:r w:rsidR="00096046">
        <w:rPr>
          <w:lang w:val="en-GB"/>
        </w:rPr>
        <w:t>national</w:t>
      </w:r>
      <w:r w:rsidRPr="00385D5F">
        <w:rPr>
          <w:lang w:val="en-GB"/>
        </w:rPr>
        <w:t xml:space="preserve"> budget. </w:t>
      </w:r>
      <w:r w:rsidRPr="00485B24">
        <w:rPr>
          <w:lang w:val="en-GB"/>
        </w:rPr>
        <w:t>NOK billion and per cent</w:t>
      </w:r>
    </w:p>
    <w:tbl>
      <w:tblPr>
        <w:tblStyle w:val="StandardTabell"/>
        <w:tblW w:w="8790" w:type="dxa"/>
        <w:tblLayout w:type="fixed"/>
        <w:tblLook w:val="04A0" w:firstRow="1" w:lastRow="0" w:firstColumn="1" w:lastColumn="0" w:noHBand="0" w:noVBand="1"/>
      </w:tblPr>
      <w:tblGrid>
        <w:gridCol w:w="5670"/>
        <w:gridCol w:w="1040"/>
        <w:gridCol w:w="1040"/>
        <w:gridCol w:w="1040"/>
      </w:tblGrid>
      <w:tr w:rsidR="000226B8" w:rsidRPr="00EA36E2" w14:paraId="5731ACAB" w14:textId="77777777" w:rsidTr="00AE4A57">
        <w:tc>
          <w:tcPr>
            <w:tcW w:w="5670" w:type="dxa"/>
          </w:tcPr>
          <w:p w14:paraId="0AB9CCE0" w14:textId="77777777" w:rsidR="000226B8" w:rsidRPr="00485B24" w:rsidRDefault="000226B8" w:rsidP="00EF6D4D">
            <w:pPr>
              <w:rPr>
                <w:lang w:val="en-GB"/>
              </w:rPr>
            </w:pPr>
          </w:p>
        </w:tc>
        <w:tc>
          <w:tcPr>
            <w:tcW w:w="1040" w:type="dxa"/>
            <w:hideMark/>
          </w:tcPr>
          <w:p w14:paraId="14F5716A" w14:textId="77777777" w:rsidR="000226B8" w:rsidRPr="00EA36E2" w:rsidRDefault="000226B8" w:rsidP="00EF6D4D">
            <w:r w:rsidRPr="00EA36E2">
              <w:t>2025</w:t>
            </w:r>
          </w:p>
        </w:tc>
        <w:tc>
          <w:tcPr>
            <w:tcW w:w="1040" w:type="dxa"/>
            <w:hideMark/>
          </w:tcPr>
          <w:p w14:paraId="270CA04A" w14:textId="77777777" w:rsidR="000226B8" w:rsidRPr="00EA36E2" w:rsidRDefault="000226B8" w:rsidP="00EF6D4D">
            <w:r w:rsidRPr="00EA36E2">
              <w:t>2026</w:t>
            </w:r>
          </w:p>
        </w:tc>
        <w:tc>
          <w:tcPr>
            <w:tcW w:w="1040" w:type="dxa"/>
          </w:tcPr>
          <w:p w14:paraId="2A6DF3E0" w14:textId="77777777" w:rsidR="000226B8" w:rsidRPr="00EA36E2" w:rsidRDefault="000226B8" w:rsidP="00EF6D4D">
            <w:r w:rsidRPr="00EA36E2">
              <w:t>2027</w:t>
            </w:r>
          </w:p>
        </w:tc>
      </w:tr>
      <w:tr w:rsidR="000226B8" w:rsidRPr="00EA36E2" w14:paraId="4010FED9" w14:textId="77777777" w:rsidTr="00AE4A57">
        <w:tc>
          <w:tcPr>
            <w:tcW w:w="5670" w:type="dxa"/>
            <w:hideMark/>
          </w:tcPr>
          <w:p w14:paraId="27BA0339" w14:textId="77777777" w:rsidR="000226B8" w:rsidRPr="00385D5F" w:rsidRDefault="000226B8" w:rsidP="00EF6D4D">
            <w:pPr>
              <w:rPr>
                <w:lang w:val="en-GB"/>
              </w:rPr>
            </w:pPr>
            <w:r w:rsidRPr="00385D5F">
              <w:rPr>
                <w:lang w:val="en-GB"/>
              </w:rPr>
              <w:t>Structural non-oil fiscal deficit</w:t>
            </w:r>
            <w:r w:rsidRPr="00385D5F">
              <w:rPr>
                <w:lang w:val="en-GB"/>
              </w:rPr>
              <w:tab/>
            </w:r>
          </w:p>
        </w:tc>
        <w:tc>
          <w:tcPr>
            <w:tcW w:w="1040" w:type="dxa"/>
            <w:hideMark/>
          </w:tcPr>
          <w:p w14:paraId="261A7926" w14:textId="77777777" w:rsidR="000226B8" w:rsidRPr="00EA36E2" w:rsidRDefault="000226B8" w:rsidP="00EF6D4D">
            <w:r w:rsidRPr="00EA36E2">
              <w:t>507,4</w:t>
            </w:r>
          </w:p>
        </w:tc>
        <w:tc>
          <w:tcPr>
            <w:tcW w:w="1040" w:type="dxa"/>
            <w:hideMark/>
          </w:tcPr>
          <w:p w14:paraId="60A67FAB" w14:textId="77777777" w:rsidR="000226B8" w:rsidRPr="00EA36E2" w:rsidRDefault="000226B8" w:rsidP="00EF6D4D">
            <w:r w:rsidRPr="00EA36E2">
              <w:t>583,4</w:t>
            </w:r>
          </w:p>
        </w:tc>
        <w:tc>
          <w:tcPr>
            <w:tcW w:w="1040" w:type="dxa"/>
          </w:tcPr>
          <w:p w14:paraId="6E7CAD4B" w14:textId="77777777" w:rsidR="000226B8" w:rsidRPr="00EA36E2" w:rsidRDefault="000226B8" w:rsidP="00EF6D4D">
            <w:r w:rsidRPr="00EA36E2">
              <w:t>608,4</w:t>
            </w:r>
          </w:p>
        </w:tc>
      </w:tr>
      <w:tr w:rsidR="000226B8" w:rsidRPr="00EA36E2" w14:paraId="18FFDDF2" w14:textId="77777777" w:rsidTr="00AE4A57">
        <w:tc>
          <w:tcPr>
            <w:tcW w:w="5670" w:type="dxa"/>
            <w:hideMark/>
          </w:tcPr>
          <w:p w14:paraId="670D942F" w14:textId="4AFA1994" w:rsidR="000226B8" w:rsidRPr="00385D5F" w:rsidRDefault="000226B8" w:rsidP="00EF6D4D">
            <w:pPr>
              <w:rPr>
                <w:lang w:val="en-GB"/>
              </w:rPr>
            </w:pPr>
            <w:r w:rsidRPr="00385D5F">
              <w:rPr>
                <w:lang w:val="en-GB"/>
              </w:rPr>
              <w:t xml:space="preserve">Measured </w:t>
            </w:r>
            <w:r w:rsidR="00096046">
              <w:rPr>
                <w:lang w:val="en-GB"/>
              </w:rPr>
              <w:t>in per cent</w:t>
            </w:r>
            <w:r w:rsidRPr="00385D5F">
              <w:rPr>
                <w:lang w:val="en-GB"/>
              </w:rPr>
              <w:t xml:space="preserve"> of mainland Norway trend GDP</w:t>
            </w:r>
            <w:r w:rsidRPr="00385D5F">
              <w:rPr>
                <w:lang w:val="en-GB"/>
              </w:rPr>
              <w:tab/>
            </w:r>
          </w:p>
        </w:tc>
        <w:tc>
          <w:tcPr>
            <w:tcW w:w="1040" w:type="dxa"/>
            <w:hideMark/>
          </w:tcPr>
          <w:p w14:paraId="0EFAC89C" w14:textId="77777777" w:rsidR="000226B8" w:rsidRPr="00EA36E2" w:rsidRDefault="000226B8" w:rsidP="00EF6D4D">
            <w:r w:rsidRPr="00EA36E2">
              <w:t>11,6</w:t>
            </w:r>
          </w:p>
        </w:tc>
        <w:tc>
          <w:tcPr>
            <w:tcW w:w="1040" w:type="dxa"/>
            <w:hideMark/>
          </w:tcPr>
          <w:p w14:paraId="45EED3FA" w14:textId="77777777" w:rsidR="000226B8" w:rsidRPr="00EA36E2" w:rsidRDefault="000226B8" w:rsidP="00EF6D4D">
            <w:r w:rsidRPr="00EA36E2">
              <w:t>12,7</w:t>
            </w:r>
          </w:p>
        </w:tc>
        <w:tc>
          <w:tcPr>
            <w:tcW w:w="1040" w:type="dxa"/>
          </w:tcPr>
          <w:p w14:paraId="7646E659" w14:textId="77777777" w:rsidR="000226B8" w:rsidRPr="00EA36E2" w:rsidRDefault="000226B8" w:rsidP="00EF6D4D">
            <w:r w:rsidRPr="00EA36E2">
              <w:t>12,6</w:t>
            </w:r>
          </w:p>
        </w:tc>
      </w:tr>
      <w:tr w:rsidR="000226B8" w:rsidRPr="00EA36E2" w14:paraId="2FAEFB71" w14:textId="77777777" w:rsidTr="00AE4A57">
        <w:tc>
          <w:tcPr>
            <w:tcW w:w="5670" w:type="dxa"/>
          </w:tcPr>
          <w:p w14:paraId="2AF238E6" w14:textId="11A28655" w:rsidR="000226B8" w:rsidRPr="00385D5F" w:rsidRDefault="00096046" w:rsidP="00EF6D4D">
            <w:pPr>
              <w:rPr>
                <w:lang w:val="en-GB"/>
              </w:rPr>
            </w:pPr>
            <w:r>
              <w:rPr>
                <w:lang w:val="en-GB"/>
              </w:rPr>
              <w:t>C</w:t>
            </w:r>
            <w:r w:rsidR="000226B8" w:rsidRPr="00385D5F">
              <w:rPr>
                <w:lang w:val="en-GB"/>
              </w:rPr>
              <w:t xml:space="preserve">hange from previous year </w:t>
            </w:r>
            <w:r>
              <w:rPr>
                <w:lang w:val="en-GB"/>
              </w:rPr>
              <w:t>in percentage points</w:t>
            </w:r>
            <w:r w:rsidR="000226B8" w:rsidRPr="00385D5F">
              <w:rPr>
                <w:lang w:val="en-GB"/>
              </w:rPr>
              <w:t xml:space="preserve"> (budget indicator)</w:t>
            </w:r>
            <w:r w:rsidR="00BC269C" w:rsidRPr="00BC269C">
              <w:rPr>
                <w:rStyle w:val="skrift-hevet"/>
                <w:lang w:val="en-GB"/>
              </w:rPr>
              <w:t xml:space="preserve">1 </w:t>
            </w:r>
          </w:p>
        </w:tc>
        <w:tc>
          <w:tcPr>
            <w:tcW w:w="1040" w:type="dxa"/>
          </w:tcPr>
          <w:p w14:paraId="297D9AEF" w14:textId="77777777" w:rsidR="000226B8" w:rsidRPr="00EA36E2" w:rsidRDefault="000226B8" w:rsidP="00EF6D4D">
            <w:r w:rsidRPr="00EA36E2">
              <w:t>1,8</w:t>
            </w:r>
          </w:p>
        </w:tc>
        <w:tc>
          <w:tcPr>
            <w:tcW w:w="1040" w:type="dxa"/>
          </w:tcPr>
          <w:p w14:paraId="52AD9253" w14:textId="77777777" w:rsidR="000226B8" w:rsidRPr="00EA36E2" w:rsidRDefault="000226B8" w:rsidP="00EF6D4D">
            <w:r w:rsidRPr="00EA36E2">
              <w:t>1,1</w:t>
            </w:r>
          </w:p>
        </w:tc>
        <w:tc>
          <w:tcPr>
            <w:tcW w:w="1040" w:type="dxa"/>
          </w:tcPr>
          <w:p w14:paraId="67D34946" w14:textId="3067DB3B" w:rsidR="000226B8" w:rsidRPr="00EA36E2" w:rsidRDefault="000226B8" w:rsidP="00EF6D4D">
            <w:r w:rsidRPr="00EA36E2">
              <w:t>0,0</w:t>
            </w:r>
            <w:r w:rsidR="00BC269C" w:rsidRPr="00BC269C">
              <w:rPr>
                <w:rStyle w:val="skrift-hevet"/>
              </w:rPr>
              <w:t>2</w:t>
            </w:r>
          </w:p>
        </w:tc>
      </w:tr>
      <w:tr w:rsidR="000226B8" w:rsidRPr="00EA36E2" w14:paraId="4E1345F6" w14:textId="77777777" w:rsidTr="00AE4A57">
        <w:tc>
          <w:tcPr>
            <w:tcW w:w="5670" w:type="dxa"/>
            <w:hideMark/>
          </w:tcPr>
          <w:p w14:paraId="66F0DEF0" w14:textId="03B01A90" w:rsidR="000226B8" w:rsidRPr="00385D5F" w:rsidRDefault="000226B8" w:rsidP="00EF6D4D">
            <w:pPr>
              <w:rPr>
                <w:lang w:val="en-GB"/>
              </w:rPr>
            </w:pPr>
            <w:r w:rsidRPr="00385D5F">
              <w:rPr>
                <w:lang w:val="en-GB"/>
              </w:rPr>
              <w:t xml:space="preserve">Measured </w:t>
            </w:r>
            <w:r w:rsidR="00096046">
              <w:rPr>
                <w:lang w:val="en-GB"/>
              </w:rPr>
              <w:t>as a percentage</w:t>
            </w:r>
            <w:r w:rsidRPr="00385D5F">
              <w:rPr>
                <w:lang w:val="en-GB"/>
              </w:rPr>
              <w:t xml:space="preserve"> of the Government Pension Fund Global</w:t>
            </w:r>
            <w:r w:rsidR="00BC269C">
              <w:rPr>
                <w:lang w:val="en-GB"/>
              </w:rPr>
              <w:tab/>
            </w:r>
          </w:p>
        </w:tc>
        <w:tc>
          <w:tcPr>
            <w:tcW w:w="1040" w:type="dxa"/>
            <w:hideMark/>
          </w:tcPr>
          <w:p w14:paraId="41A58291" w14:textId="77777777" w:rsidR="000226B8" w:rsidRPr="00EA36E2" w:rsidRDefault="000226B8" w:rsidP="00EF6D4D">
            <w:r w:rsidRPr="00EA36E2">
              <w:t>2,6</w:t>
            </w:r>
          </w:p>
        </w:tc>
        <w:tc>
          <w:tcPr>
            <w:tcW w:w="1040" w:type="dxa"/>
            <w:hideMark/>
          </w:tcPr>
          <w:p w14:paraId="058EC54D" w14:textId="77777777" w:rsidR="000226B8" w:rsidRPr="00EA36E2" w:rsidRDefault="000226B8" w:rsidP="00EF6D4D">
            <w:r w:rsidRPr="00EA36E2">
              <w:t>2,7</w:t>
            </w:r>
          </w:p>
        </w:tc>
        <w:tc>
          <w:tcPr>
            <w:tcW w:w="1040" w:type="dxa"/>
          </w:tcPr>
          <w:p w14:paraId="5133DF88" w14:textId="77777777" w:rsidR="000226B8" w:rsidRPr="00EA36E2" w:rsidRDefault="000226B8" w:rsidP="00EF6D4D">
            <w:r w:rsidRPr="00EA36E2">
              <w:t>2,7</w:t>
            </w:r>
          </w:p>
        </w:tc>
      </w:tr>
      <w:tr w:rsidR="000226B8" w:rsidRPr="00EA36E2" w14:paraId="35D9C4D8" w14:textId="77777777" w:rsidTr="00AE4A57">
        <w:tc>
          <w:tcPr>
            <w:tcW w:w="5670" w:type="dxa"/>
          </w:tcPr>
          <w:p w14:paraId="546FDB3D" w14:textId="77777777" w:rsidR="000226B8" w:rsidRPr="00385D5F" w:rsidRDefault="000226B8" w:rsidP="00EF6D4D">
            <w:pPr>
              <w:rPr>
                <w:lang w:val="en-GB"/>
              </w:rPr>
            </w:pPr>
            <w:r w:rsidRPr="00385D5F">
              <w:rPr>
                <w:lang w:val="en-GB"/>
              </w:rPr>
              <w:t>Measured as a percentage of central government budget expenditure</w:t>
            </w:r>
            <w:r w:rsidRPr="00385D5F">
              <w:rPr>
                <w:lang w:val="en-GB"/>
              </w:rPr>
              <w:tab/>
            </w:r>
          </w:p>
        </w:tc>
        <w:tc>
          <w:tcPr>
            <w:tcW w:w="1040" w:type="dxa"/>
          </w:tcPr>
          <w:p w14:paraId="623A8A13" w14:textId="77777777" w:rsidR="000226B8" w:rsidRPr="00EA36E2" w:rsidRDefault="000226B8" w:rsidP="00EF6D4D">
            <w:r w:rsidRPr="00EA36E2">
              <w:t>24,5</w:t>
            </w:r>
          </w:p>
        </w:tc>
        <w:tc>
          <w:tcPr>
            <w:tcW w:w="1040" w:type="dxa"/>
          </w:tcPr>
          <w:p w14:paraId="7ACFEFB6" w14:textId="77777777" w:rsidR="000226B8" w:rsidRPr="00EA36E2" w:rsidRDefault="000226B8" w:rsidP="00EF6D4D">
            <w:r w:rsidRPr="00EA36E2">
              <w:t>26,5</w:t>
            </w:r>
          </w:p>
        </w:tc>
        <w:tc>
          <w:tcPr>
            <w:tcW w:w="1040" w:type="dxa"/>
          </w:tcPr>
          <w:p w14:paraId="162C2024" w14:textId="77777777" w:rsidR="000226B8" w:rsidRPr="00EA36E2" w:rsidRDefault="000226B8" w:rsidP="00EF6D4D">
            <w:r w:rsidRPr="00EA36E2">
              <w:t>26,6</w:t>
            </w:r>
          </w:p>
        </w:tc>
      </w:tr>
    </w:tbl>
    <w:p w14:paraId="576B4E7C" w14:textId="218A3E75" w:rsidR="002272F4" w:rsidRPr="00385D5F" w:rsidRDefault="00BC269C" w:rsidP="00AE4A57">
      <w:pPr>
        <w:pStyle w:val="Note"/>
        <w:rPr>
          <w:lang w:val="en-GB"/>
        </w:rPr>
      </w:pPr>
      <w:r w:rsidRPr="00BC269C">
        <w:rPr>
          <w:rStyle w:val="skrift-hevet"/>
          <w:lang w:val="en-GB"/>
        </w:rPr>
        <w:t xml:space="preserve">1 </w:t>
      </w:r>
      <w:r w:rsidR="007207C9" w:rsidRPr="00385D5F">
        <w:rPr>
          <w:lang w:val="en-GB"/>
        </w:rPr>
        <w:t>Change in structural non-oil fiscal deficit measured as a share of mainland Norway trend GDP.</w:t>
      </w:r>
    </w:p>
    <w:p w14:paraId="7A6263E4" w14:textId="3692B1C3" w:rsidR="00563670" w:rsidRPr="00385D5F" w:rsidRDefault="00BC269C" w:rsidP="00AE4A57">
      <w:pPr>
        <w:pStyle w:val="Note"/>
        <w:rPr>
          <w:lang w:val="en-GB"/>
        </w:rPr>
      </w:pPr>
      <w:r w:rsidRPr="00BC269C">
        <w:rPr>
          <w:rStyle w:val="skrift-hevet"/>
          <w:lang w:val="en-GB"/>
        </w:rPr>
        <w:t>2</w:t>
      </w:r>
      <w:r w:rsidR="007207C9" w:rsidRPr="00385D5F">
        <w:rPr>
          <w:lang w:val="en-GB"/>
        </w:rPr>
        <w:t xml:space="preserve"> The budget indicator for 2027 is -0.04.</w:t>
      </w:r>
    </w:p>
    <w:p w14:paraId="328B5D93" w14:textId="7FCAFE69" w:rsidR="00563670" w:rsidRDefault="00563670" w:rsidP="00AE4A57">
      <w:pPr>
        <w:pStyle w:val="Kilde"/>
      </w:pPr>
      <w:r w:rsidRPr="00563670">
        <w:t xml:space="preserve">Source: Ministry </w:t>
      </w:r>
      <w:proofErr w:type="spellStart"/>
      <w:r w:rsidRPr="00563670">
        <w:t>of</w:t>
      </w:r>
      <w:proofErr w:type="spellEnd"/>
      <w:r w:rsidRPr="00563670">
        <w:t xml:space="preserve"> Finance.</w:t>
      </w:r>
    </w:p>
    <w:p w14:paraId="3EA7BC16" w14:textId="242658E2" w:rsidR="00017B39" w:rsidRPr="00AD4A39" w:rsidRDefault="00017B39" w:rsidP="00270D2D">
      <w:r>
        <w:rPr>
          <w:noProof/>
        </w:rPr>
        <w:drawing>
          <wp:inline distT="0" distB="0" distL="0" distR="0" wp14:anchorId="6E2C8A06" wp14:editId="1AFBCF32">
            <wp:extent cx="4037798" cy="3196590"/>
            <wp:effectExtent l="0" t="0" r="1270" b="3810"/>
            <wp:docPr id="1917841868" name="Grafikk 3" descr="Chart 3.1 Structural non-oil fiscal deficit. Per cent of mainland Norway trend GDP. 2001–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841868" name="Grafikk 3" descr="Chart 3.1 Structural non-oil fiscal deficit. Per cent of mainland Norway trend GDP. 2001–202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044555" cy="3201939"/>
                    </a:xfrm>
                    <a:prstGeom prst="rect">
                      <a:avLst/>
                    </a:prstGeom>
                  </pic:spPr>
                </pic:pic>
              </a:graphicData>
            </a:graphic>
          </wp:inline>
        </w:drawing>
      </w:r>
    </w:p>
    <w:p w14:paraId="2354D793" w14:textId="23AF36BF" w:rsidR="00563670" w:rsidRPr="00385D5F" w:rsidRDefault="00563670" w:rsidP="00270D2D">
      <w:pPr>
        <w:pStyle w:val="avsnitt-tittel"/>
        <w:rPr>
          <w:lang w:val="en-GB"/>
        </w:rPr>
      </w:pPr>
      <w:r w:rsidRPr="00385D5F">
        <w:rPr>
          <w:lang w:val="en-GB"/>
        </w:rPr>
        <w:t>Chart 3.1 Structural non-oil fiscal deficit. Per cent of mainland Norway trend GDP. 2001–2027</w:t>
      </w:r>
    </w:p>
    <w:p w14:paraId="77680BCE" w14:textId="77777777" w:rsidR="00563670" w:rsidRDefault="00563670" w:rsidP="00270D2D">
      <w:pPr>
        <w:pStyle w:val="Kilde"/>
      </w:pPr>
      <w:r w:rsidRPr="00AD4A39">
        <w:t xml:space="preserve">Source: Ministry </w:t>
      </w:r>
      <w:proofErr w:type="spellStart"/>
      <w:r w:rsidRPr="00AD4A39">
        <w:t>of</w:t>
      </w:r>
      <w:proofErr w:type="spellEnd"/>
      <w:r w:rsidRPr="00AD4A39">
        <w:t xml:space="preserve"> Finance.</w:t>
      </w:r>
    </w:p>
    <w:p w14:paraId="46C8E911" w14:textId="5B928ED4" w:rsidR="00563670" w:rsidRPr="00AD4A39" w:rsidRDefault="0000479D" w:rsidP="00270D2D">
      <w:r>
        <w:rPr>
          <w:noProof/>
        </w:rPr>
        <w:drawing>
          <wp:inline distT="0" distB="0" distL="0" distR="0" wp14:anchorId="76BA17CF" wp14:editId="35A1CB2A">
            <wp:extent cx="3968788" cy="3141958"/>
            <wp:effectExtent l="0" t="0" r="0" b="1905"/>
            <wp:docPr id="75538173" name="Grafikk 1" descr="Chart 3.2 Structural non-oil fiscal deficit as a percentage of mainland Norway trend GDP. Change from previous year (budget indicator). 2001–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38173" name="Grafikk 1" descr="Chart 3.2 Structural non-oil fiscal deficit as a percentage of mainland Norway trend GDP. Change from previous year (budget indicator). 2001–2027"/>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984410" cy="3154325"/>
                    </a:xfrm>
                    <a:prstGeom prst="rect">
                      <a:avLst/>
                    </a:prstGeom>
                  </pic:spPr>
                </pic:pic>
              </a:graphicData>
            </a:graphic>
          </wp:inline>
        </w:drawing>
      </w:r>
    </w:p>
    <w:p w14:paraId="3965220A" w14:textId="21C3982C" w:rsidR="00AD4A39" w:rsidRPr="00385D5F" w:rsidRDefault="00AD4A39" w:rsidP="00270D2D">
      <w:pPr>
        <w:pStyle w:val="avsnitt-tittel"/>
        <w:rPr>
          <w:lang w:val="en-GB"/>
        </w:rPr>
      </w:pPr>
      <w:r w:rsidRPr="00385D5F">
        <w:rPr>
          <w:lang w:val="en-GB"/>
        </w:rPr>
        <w:t>Chart 3.2 Structural non-oil fiscal deficit as a percentage of mainland Norway trend GDP. Change from previous year (budget indicator). 2001–2027</w:t>
      </w:r>
    </w:p>
    <w:p w14:paraId="40074952" w14:textId="70CA939F" w:rsidR="00AD4A39" w:rsidRPr="00385D5F" w:rsidRDefault="00AD4A39" w:rsidP="00270D2D">
      <w:pPr>
        <w:pStyle w:val="Kilde"/>
        <w:rPr>
          <w:lang w:val="en-GB"/>
        </w:rPr>
      </w:pPr>
      <w:r w:rsidRPr="00385D5F">
        <w:rPr>
          <w:lang w:val="en-GB"/>
        </w:rPr>
        <w:t>Source: Ministry of Finance.</w:t>
      </w:r>
    </w:p>
    <w:p w14:paraId="14566E4E" w14:textId="207E4724" w:rsidR="00563670" w:rsidRPr="00BC269C" w:rsidRDefault="0000479D" w:rsidP="00270D2D">
      <w:pPr>
        <w:rPr>
          <w:rStyle w:val="kursiv"/>
        </w:rPr>
      </w:pPr>
      <w:r>
        <w:rPr>
          <w:noProof/>
        </w:rPr>
        <w:drawing>
          <wp:inline distT="0" distB="0" distL="0" distR="0" wp14:anchorId="304AB97F" wp14:editId="2DF89CBD">
            <wp:extent cx="4106810" cy="3251224"/>
            <wp:effectExtent l="0" t="0" r="8255" b="6350"/>
            <wp:docPr id="2046689899" name="Grafikk 2" descr="Chart 3.3 Structural non-oil fiscal deficit. Per cent of the Government Pension Fund Global. 2001–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689899" name="Grafikk 2" descr="Chart 3.3 Structural non-oil fiscal deficit. Per cent of the Government Pension Fund Global. 2001–2027"/>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123799" cy="3264674"/>
                    </a:xfrm>
                    <a:prstGeom prst="rect">
                      <a:avLst/>
                    </a:prstGeom>
                  </pic:spPr>
                </pic:pic>
              </a:graphicData>
            </a:graphic>
          </wp:inline>
        </w:drawing>
      </w:r>
    </w:p>
    <w:p w14:paraId="1419877A" w14:textId="7E9061E9" w:rsidR="00206AA8" w:rsidRDefault="00206AA8" w:rsidP="00270D2D">
      <w:pPr>
        <w:pStyle w:val="avsnitt-tittel"/>
      </w:pPr>
      <w:r w:rsidRPr="00385D5F">
        <w:rPr>
          <w:lang w:val="en-GB"/>
        </w:rPr>
        <w:t xml:space="preserve">Chart 3.3 Structural non-oil fiscal deficit. Per cent of the Government Pension Fund Global. </w:t>
      </w:r>
      <w:r w:rsidRPr="00AD4A39">
        <w:t>2001–2027</w:t>
      </w:r>
    </w:p>
    <w:p w14:paraId="552D706F" w14:textId="77777777" w:rsidR="00206AA8" w:rsidRDefault="00206AA8" w:rsidP="00270D2D">
      <w:pPr>
        <w:pStyle w:val="Kilde"/>
      </w:pPr>
      <w:r w:rsidRPr="00AD4A39">
        <w:t xml:space="preserve">Source: Ministry </w:t>
      </w:r>
      <w:proofErr w:type="spellStart"/>
      <w:r w:rsidRPr="00AD4A39">
        <w:t>of</w:t>
      </w:r>
      <w:proofErr w:type="spellEnd"/>
      <w:r w:rsidRPr="00AD4A39">
        <w:t xml:space="preserve"> Finance.</w:t>
      </w:r>
    </w:p>
    <w:p w14:paraId="703BCB21" w14:textId="277BE7AD" w:rsidR="00206AA8" w:rsidRPr="00BC269C" w:rsidRDefault="0000479D" w:rsidP="00270D2D">
      <w:pPr>
        <w:rPr>
          <w:rStyle w:val="kursiv"/>
        </w:rPr>
      </w:pPr>
      <w:r>
        <w:rPr>
          <w:noProof/>
        </w:rPr>
        <w:drawing>
          <wp:inline distT="0" distB="0" distL="0" distR="0" wp14:anchorId="321853C7" wp14:editId="06BA23B5">
            <wp:extent cx="4135022" cy="3273558"/>
            <wp:effectExtent l="0" t="0" r="0" b="3175"/>
            <wp:docPr id="130803100" name="Grafikk 3" descr="Chart 3.4 Fund spending as a share of fiscal budget expenditure. Per cent. 2001–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03100" name="Grafikk 3" descr="Chart 3.4 Fund spending as a share of fiscal budget expenditure. Per cent. 2001–2027"/>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146826" cy="3282902"/>
                    </a:xfrm>
                    <a:prstGeom prst="rect">
                      <a:avLst/>
                    </a:prstGeom>
                  </pic:spPr>
                </pic:pic>
              </a:graphicData>
            </a:graphic>
          </wp:inline>
        </w:drawing>
      </w:r>
    </w:p>
    <w:p w14:paraId="5473B790" w14:textId="20AEA4EE" w:rsidR="00206AA8" w:rsidRPr="0000479D" w:rsidRDefault="00206AA8" w:rsidP="00270D2D">
      <w:pPr>
        <w:pStyle w:val="avsnitt-tittel"/>
        <w:rPr>
          <w:rStyle w:val="Utheving"/>
          <w:i w:val="0"/>
          <w:lang w:val="en-GB"/>
        </w:rPr>
      </w:pPr>
      <w:r w:rsidRPr="00385D5F">
        <w:rPr>
          <w:lang w:val="en-GB"/>
        </w:rPr>
        <w:t xml:space="preserve">Chart 3.4 Fund spending as a share of fiscal budget expenditure. </w:t>
      </w:r>
      <w:r w:rsidRPr="0000479D">
        <w:rPr>
          <w:lang w:val="en-GB"/>
        </w:rPr>
        <w:t>Per</w:t>
      </w:r>
      <w:r w:rsidR="003C0476" w:rsidRPr="0000479D">
        <w:rPr>
          <w:lang w:val="en-GB"/>
        </w:rPr>
        <w:t xml:space="preserve"> </w:t>
      </w:r>
      <w:r w:rsidRPr="0000479D">
        <w:rPr>
          <w:lang w:val="en-GB"/>
        </w:rPr>
        <w:t>cent. 2001–2027</w:t>
      </w:r>
    </w:p>
    <w:p w14:paraId="1984416B" w14:textId="77777777" w:rsidR="00206AA8" w:rsidRPr="0000479D" w:rsidRDefault="00206AA8" w:rsidP="00270D2D">
      <w:pPr>
        <w:pStyle w:val="Kilde"/>
        <w:rPr>
          <w:lang w:val="en-GB"/>
        </w:rPr>
      </w:pPr>
      <w:r w:rsidRPr="0000479D">
        <w:rPr>
          <w:lang w:val="en-GB"/>
        </w:rPr>
        <w:t>Source: Ministry of Finance.</w:t>
      </w:r>
    </w:p>
    <w:p w14:paraId="126FF304" w14:textId="5773A925" w:rsidR="00206AA8" w:rsidRPr="00BC269C" w:rsidRDefault="0000479D" w:rsidP="00270D2D">
      <w:pPr>
        <w:rPr>
          <w:rStyle w:val="kursiv"/>
        </w:rPr>
      </w:pPr>
      <w:r>
        <w:rPr>
          <w:noProof/>
        </w:rPr>
        <w:drawing>
          <wp:inline distT="0" distB="0" distL="0" distR="0" wp14:anchorId="06FABCED" wp14:editId="1E2B85D6">
            <wp:extent cx="4140194" cy="3277652"/>
            <wp:effectExtent l="0" t="0" r="0" b="0"/>
            <wp:docPr id="766423889" name="Grafikk 4" descr="Chart 3.5 Market value of the Government Pension Fund Global. NOK billion. 31 December 2025–23 September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423889" name="Grafikk 4" descr="Chart 3.5 Market value of the Government Pension Fund Global. NOK billion. 31 December 2025–23 September 2026"/>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157889" cy="3291660"/>
                    </a:xfrm>
                    <a:prstGeom prst="rect">
                      <a:avLst/>
                    </a:prstGeom>
                  </pic:spPr>
                </pic:pic>
              </a:graphicData>
            </a:graphic>
          </wp:inline>
        </w:drawing>
      </w:r>
    </w:p>
    <w:p w14:paraId="2CC36808" w14:textId="77777777" w:rsidR="00BC269C" w:rsidRPr="00BC269C" w:rsidRDefault="00206AA8" w:rsidP="00270D2D">
      <w:pPr>
        <w:pStyle w:val="avsnitt-tittel"/>
        <w:rPr>
          <w:rStyle w:val="skrift-hevet"/>
          <w:lang w:val="en-GB"/>
        </w:rPr>
      </w:pPr>
      <w:r w:rsidRPr="00385D5F">
        <w:rPr>
          <w:lang w:val="en-GB"/>
        </w:rPr>
        <w:t xml:space="preserve">Chart 3.5 Market value </w:t>
      </w:r>
      <w:r w:rsidR="009625C8">
        <w:rPr>
          <w:lang w:val="en-GB"/>
        </w:rPr>
        <w:t xml:space="preserve">of the </w:t>
      </w:r>
      <w:r w:rsidRPr="00385D5F">
        <w:rPr>
          <w:lang w:val="en-GB"/>
        </w:rPr>
        <w:t xml:space="preserve">Government Pension Fund Global. NOK billion. </w:t>
      </w:r>
      <w:r w:rsidR="008B64F5" w:rsidRPr="008B64F5">
        <w:rPr>
          <w:lang w:val="en-GB"/>
        </w:rPr>
        <w:t>31 December 2025–23 September 2026</w:t>
      </w:r>
      <w:r w:rsidR="00BC269C" w:rsidRPr="00BC269C">
        <w:rPr>
          <w:rStyle w:val="skrift-hevet"/>
          <w:lang w:val="en-GB"/>
        </w:rPr>
        <w:t>1</w:t>
      </w:r>
    </w:p>
    <w:p w14:paraId="75E4C78B" w14:textId="05CD698C" w:rsidR="00206AA8" w:rsidRPr="00385D5F" w:rsidRDefault="00BC269C" w:rsidP="00270D2D">
      <w:pPr>
        <w:pStyle w:val="Note"/>
        <w:rPr>
          <w:lang w:val="en-GB"/>
        </w:rPr>
      </w:pPr>
      <w:r w:rsidRPr="00BC269C">
        <w:rPr>
          <w:rStyle w:val="skrift-hevet"/>
          <w:lang w:val="en-GB"/>
        </w:rPr>
        <w:t xml:space="preserve">1 </w:t>
      </w:r>
      <w:r w:rsidR="00206AA8" w:rsidRPr="00385D5F">
        <w:rPr>
          <w:lang w:val="en-GB"/>
        </w:rPr>
        <w:t>Preliminary figures for September as the month has not ended.</w:t>
      </w:r>
    </w:p>
    <w:p w14:paraId="7BAFBDC8" w14:textId="78062FAF" w:rsidR="00206AA8" w:rsidRPr="00385D5F" w:rsidRDefault="00206AA8" w:rsidP="00270D2D">
      <w:pPr>
        <w:pStyle w:val="Kilde"/>
        <w:rPr>
          <w:lang w:val="en-GB"/>
        </w:rPr>
      </w:pPr>
      <w:r w:rsidRPr="00385D5F">
        <w:rPr>
          <w:lang w:val="en-GB"/>
        </w:rPr>
        <w:t xml:space="preserve">Sources: </w:t>
      </w:r>
      <w:proofErr w:type="spellStart"/>
      <w:r w:rsidRPr="00385D5F">
        <w:rPr>
          <w:lang w:val="en-GB"/>
        </w:rPr>
        <w:t>Norges</w:t>
      </w:r>
      <w:proofErr w:type="spellEnd"/>
      <w:r w:rsidRPr="00385D5F">
        <w:rPr>
          <w:lang w:val="en-GB"/>
        </w:rPr>
        <w:t xml:space="preserve"> Bank Investment Management and the Ministry of Finance.</w:t>
      </w:r>
    </w:p>
    <w:p w14:paraId="3C25B41B" w14:textId="0B2CCD5B" w:rsidR="00A53A3A" w:rsidRDefault="0000479D" w:rsidP="00270D2D">
      <w:r>
        <w:rPr>
          <w:noProof/>
        </w:rPr>
        <w:drawing>
          <wp:inline distT="0" distB="0" distL="0" distR="0" wp14:anchorId="252F2431" wp14:editId="2D6BDDDF">
            <wp:extent cx="4659010" cy="3963394"/>
            <wp:effectExtent l="0" t="0" r="8255" b="0"/>
            <wp:docPr id="755083530" name="Grafikk 5" descr="Chart 3.6 Contribution to change in the market value of the Government Pension Fund Global. NOK billion. 1996–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083530" name="Grafikk 5" descr="Chart 3.6 Contribution to change in the market value of the Government Pension Fund Global. NOK billion. 1996–2026"/>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685127" cy="3985612"/>
                    </a:xfrm>
                    <a:prstGeom prst="rect">
                      <a:avLst/>
                    </a:prstGeom>
                  </pic:spPr>
                </pic:pic>
              </a:graphicData>
            </a:graphic>
          </wp:inline>
        </w:drawing>
      </w:r>
    </w:p>
    <w:p w14:paraId="5F2199B1" w14:textId="14319E2A" w:rsidR="00206AA8" w:rsidRPr="00385D5F" w:rsidRDefault="00206AA8" w:rsidP="00270D2D">
      <w:pPr>
        <w:pStyle w:val="avsnitt-tittel"/>
        <w:rPr>
          <w:lang w:val="en-GB"/>
        </w:rPr>
      </w:pPr>
      <w:r w:rsidRPr="00385D5F">
        <w:rPr>
          <w:lang w:val="en-GB"/>
        </w:rPr>
        <w:t xml:space="preserve">Chart 3.6 </w:t>
      </w:r>
      <w:r w:rsidR="009625C8">
        <w:rPr>
          <w:lang w:val="en-GB"/>
        </w:rPr>
        <w:t>Contribution to</w:t>
      </w:r>
      <w:r w:rsidRPr="00385D5F">
        <w:rPr>
          <w:lang w:val="en-GB"/>
        </w:rPr>
        <w:t xml:space="preserve"> change in the market value of the Government Pension Fund Global. NOK billion. 1996–2026</w:t>
      </w:r>
      <w:r w:rsidR="00BC269C" w:rsidRPr="00BC269C">
        <w:rPr>
          <w:rStyle w:val="skrift-hevet"/>
          <w:lang w:val="en-GB"/>
        </w:rPr>
        <w:t>1</w:t>
      </w:r>
    </w:p>
    <w:p w14:paraId="5745948D" w14:textId="11421D89" w:rsidR="00206AA8" w:rsidRPr="00385D5F" w:rsidRDefault="00BC269C" w:rsidP="00270D2D">
      <w:pPr>
        <w:pStyle w:val="Note"/>
        <w:rPr>
          <w:rStyle w:val="Utheving"/>
          <w:i w:val="0"/>
          <w:iCs w:val="0"/>
          <w:sz w:val="20"/>
          <w:szCs w:val="20"/>
          <w:lang w:val="en-GB"/>
        </w:rPr>
      </w:pPr>
      <w:r w:rsidRPr="00BC269C">
        <w:rPr>
          <w:rStyle w:val="skrift-hevet"/>
          <w:lang w:val="en-GB"/>
        </w:rPr>
        <w:t xml:space="preserve">1 </w:t>
      </w:r>
      <w:r w:rsidR="00206AA8" w:rsidRPr="00385D5F">
        <w:rPr>
          <w:lang w:val="en-GB"/>
        </w:rPr>
        <w:t>Fund value as of 31.12. For 2026, the market value is shown as of the first half of the year. The nominal rate of return is net of management costs.</w:t>
      </w:r>
    </w:p>
    <w:p w14:paraId="168D6DBB" w14:textId="2E7D459C" w:rsidR="00206AA8" w:rsidRPr="00385D5F" w:rsidRDefault="00287FC9" w:rsidP="00270D2D">
      <w:pPr>
        <w:pStyle w:val="Kilde"/>
        <w:rPr>
          <w:lang w:val="en-GB"/>
        </w:rPr>
      </w:pPr>
      <w:r w:rsidRPr="00385D5F">
        <w:rPr>
          <w:lang w:val="en-GB"/>
        </w:rPr>
        <w:t xml:space="preserve">Sources: </w:t>
      </w:r>
      <w:proofErr w:type="spellStart"/>
      <w:r w:rsidRPr="00385D5F">
        <w:rPr>
          <w:lang w:val="en-GB"/>
        </w:rPr>
        <w:t>Norges</w:t>
      </w:r>
      <w:proofErr w:type="spellEnd"/>
      <w:r w:rsidRPr="00385D5F">
        <w:rPr>
          <w:lang w:val="en-GB"/>
        </w:rPr>
        <w:t xml:space="preserve"> Bank Investment Management and the Ministry of Finance.</w:t>
      </w:r>
    </w:p>
    <w:p w14:paraId="62F6F7AC" w14:textId="4CDD5099" w:rsidR="00AD4A39" w:rsidRPr="00BC269C" w:rsidRDefault="00AD4A39" w:rsidP="00270D2D">
      <w:pPr>
        <w:pStyle w:val="avsnitt-undertittel"/>
        <w:rPr>
          <w:lang w:val="en-US"/>
        </w:rPr>
      </w:pPr>
      <w:r w:rsidRPr="00BC269C">
        <w:rPr>
          <w:lang w:val="en-US"/>
        </w:rPr>
        <w:t>Budget effect calculations</w:t>
      </w:r>
    </w:p>
    <w:p w14:paraId="164F4030" w14:textId="45C776B3" w:rsidR="00AD4A39" w:rsidRPr="00E868FF" w:rsidRDefault="00AD4A39" w:rsidP="00E868FF">
      <w:r w:rsidRPr="00E868FF">
        <w:t xml:space="preserve">In order to </w:t>
      </w:r>
      <w:proofErr w:type="spellStart"/>
      <w:r w:rsidRPr="00E868FF">
        <w:t>measure</w:t>
      </w:r>
      <w:proofErr w:type="spellEnd"/>
      <w:r w:rsidRPr="00E868FF">
        <w:t xml:space="preserve"> </w:t>
      </w:r>
      <w:proofErr w:type="spellStart"/>
      <w:r w:rsidRPr="00E868FF">
        <w:t>the</w:t>
      </w:r>
      <w:proofErr w:type="spellEnd"/>
      <w:r w:rsidRPr="00E868FF">
        <w:t xml:space="preserve"> effect of fiscal policy on economic activity, it must be taken into account that different public revenues and expenditure have different effects on the economy, and that temporary cyclical changes in taxes and unemployment benefits also affect activity. For example, tax revenues will increase and unemployment benefit payments will decrease during a boom, and the opposite in a recession.</w:t>
      </w:r>
    </w:p>
    <w:p w14:paraId="5873598A" w14:textId="77777777" w:rsidR="00BC269C" w:rsidRPr="00E868FF" w:rsidRDefault="00AD4A39" w:rsidP="00E868FF">
      <w:r w:rsidRPr="00E868FF">
        <w:t xml:space="preserve">Using the macroeconomic models KVARTS and NORA, the Ministry of Finance estimates how fiscal policy affects economic activity. The calculations show the impact on mainland GDP compared with a path where growth in public revenues and expenditure follows trend growth in the economy. In isolation, the budget proposal for 2027 is projected to increase mainland </w:t>
      </w:r>
      <w:r w:rsidR="003C0476" w:rsidRPr="00E868FF">
        <w:t xml:space="preserve">Norway </w:t>
      </w:r>
      <w:r w:rsidRPr="00E868FF">
        <w:t xml:space="preserve">GDP by 0.1–0.2 per cent next year, which can be interpreted as a broadly neutral fiscal policy stance. The effect on the economy is pulled up somewhat in 2027, </w:t>
      </w:r>
      <w:r w:rsidR="003C0476" w:rsidRPr="00E868FF">
        <w:t xml:space="preserve">as </w:t>
      </w:r>
      <w:r w:rsidRPr="00E868FF">
        <w:t xml:space="preserve">public demand </w:t>
      </w:r>
      <w:r w:rsidR="003C0476" w:rsidRPr="00E868FF">
        <w:t xml:space="preserve">is </w:t>
      </w:r>
      <w:r w:rsidRPr="00E868FF">
        <w:t>projected to grow somewhat faster than trend growth.</w:t>
      </w:r>
    </w:p>
    <w:p w14:paraId="3579F066" w14:textId="6AE46E96" w:rsidR="00AD4A39" w:rsidRPr="00E868FF" w:rsidRDefault="00AD4A39" w:rsidP="00E868FF">
      <w:r w:rsidRPr="00E868FF">
        <w:t>Fiscal policy influences economic activity over several years. Overall, fiscal policy in recent years is projected to have a neutral effect on the economy this year and next. The methods behind the calculations and differences in estimated budgetary effects in KVARTS and NORA are described in more detail in Appendix 2.</w:t>
      </w:r>
    </w:p>
    <w:p w14:paraId="4292B2A3" w14:textId="4C12EEE5" w:rsidR="002E4566" w:rsidRPr="00385D5F" w:rsidRDefault="00A53A3A" w:rsidP="00270D2D">
      <w:pPr>
        <w:pStyle w:val="avsnitt-tittel"/>
        <w:rPr>
          <w:lang w:val="en-GB"/>
        </w:rPr>
      </w:pPr>
      <w:r w:rsidRPr="00385D5F">
        <w:rPr>
          <w:lang w:val="en-GB"/>
        </w:rPr>
        <w:t>Table 3.2 Budget effects on mainland Norway GDP according to KVARTS and NORA.</w:t>
      </w:r>
      <w:r w:rsidR="00BC269C" w:rsidRPr="00BC269C">
        <w:rPr>
          <w:rStyle w:val="skrift-hevet"/>
          <w:lang w:val="en-GB"/>
        </w:rPr>
        <w:t>1</w:t>
      </w:r>
      <w:r w:rsidRPr="00385D5F">
        <w:rPr>
          <w:lang w:val="en-GB"/>
        </w:rPr>
        <w:t xml:space="preserve"> per cent</w:t>
      </w:r>
    </w:p>
    <w:tbl>
      <w:tblPr>
        <w:tblStyle w:val="StandardTabell"/>
        <w:tblW w:w="5000" w:type="pct"/>
        <w:tblLook w:val="04A0" w:firstRow="1" w:lastRow="0" w:firstColumn="1" w:lastColumn="0" w:noHBand="0" w:noVBand="1"/>
      </w:tblPr>
      <w:tblGrid>
        <w:gridCol w:w="4270"/>
        <w:gridCol w:w="1198"/>
        <w:gridCol w:w="1198"/>
        <w:gridCol w:w="1198"/>
        <w:gridCol w:w="1198"/>
      </w:tblGrid>
      <w:tr w:rsidR="002E4566" w:rsidRPr="00B21C46" w14:paraId="399E5871" w14:textId="77777777" w:rsidTr="007A6FC6">
        <w:trPr>
          <w:cantSplit/>
          <w:trHeight w:val="20"/>
        </w:trPr>
        <w:tc>
          <w:tcPr>
            <w:tcW w:w="0" w:type="auto"/>
          </w:tcPr>
          <w:p w14:paraId="11E081EF" w14:textId="77777777" w:rsidR="002E4566" w:rsidRPr="00385D5F" w:rsidRDefault="002E4566" w:rsidP="002E4566">
            <w:pPr>
              <w:spacing w:after="160" w:line="278" w:lineRule="auto"/>
              <w:rPr>
                <w:lang w:val="en-GB"/>
              </w:rPr>
            </w:pPr>
          </w:p>
        </w:tc>
        <w:tc>
          <w:tcPr>
            <w:tcW w:w="0" w:type="auto"/>
            <w:gridSpan w:val="4"/>
          </w:tcPr>
          <w:p w14:paraId="6CE573F4" w14:textId="68742FB2" w:rsidR="002E4566" w:rsidRPr="00BC269C" w:rsidRDefault="002E4566" w:rsidP="00270D2D">
            <w:pPr>
              <w:spacing w:after="160" w:line="278" w:lineRule="auto"/>
              <w:jc w:val="center"/>
              <w:rPr>
                <w:rStyle w:val="kursiv"/>
                <w:lang w:val="en-GB"/>
              </w:rPr>
            </w:pPr>
            <w:r w:rsidRPr="00BC269C">
              <w:rPr>
                <w:rStyle w:val="kursiv"/>
                <w:lang w:val="en-GB"/>
              </w:rPr>
              <w:t xml:space="preserve">Effects on mainland </w:t>
            </w:r>
            <w:r w:rsidR="00A30B86" w:rsidRPr="00BC269C">
              <w:rPr>
                <w:rStyle w:val="kursiv"/>
                <w:lang w:val="en-GB"/>
              </w:rPr>
              <w:t xml:space="preserve">Norway </w:t>
            </w:r>
            <w:r w:rsidRPr="00BC269C">
              <w:rPr>
                <w:rStyle w:val="kursiv"/>
                <w:lang w:val="en-GB"/>
              </w:rPr>
              <w:t>GDP</w:t>
            </w:r>
          </w:p>
        </w:tc>
      </w:tr>
      <w:tr w:rsidR="002E4566" w:rsidRPr="002E4566" w14:paraId="57ED607B" w14:textId="77777777" w:rsidTr="007A6FC6">
        <w:trPr>
          <w:cantSplit/>
          <w:trHeight w:val="20"/>
        </w:trPr>
        <w:tc>
          <w:tcPr>
            <w:tcW w:w="0" w:type="auto"/>
            <w:vAlign w:val="bottom"/>
          </w:tcPr>
          <w:p w14:paraId="0AB3CA2F" w14:textId="77777777" w:rsidR="002E4566" w:rsidRPr="00485B24" w:rsidRDefault="002E4566" w:rsidP="007A6FC6">
            <w:pPr>
              <w:spacing w:after="160" w:line="278" w:lineRule="auto"/>
              <w:rPr>
                <w:lang w:val="en-GB"/>
              </w:rPr>
            </w:pPr>
          </w:p>
        </w:tc>
        <w:tc>
          <w:tcPr>
            <w:tcW w:w="0" w:type="auto"/>
            <w:vAlign w:val="bottom"/>
          </w:tcPr>
          <w:p w14:paraId="2E602C77" w14:textId="77777777" w:rsidR="002E4566" w:rsidRPr="002E4566" w:rsidRDefault="002E4566" w:rsidP="007A6FC6">
            <w:pPr>
              <w:spacing w:after="160" w:line="278" w:lineRule="auto"/>
              <w:jc w:val="right"/>
            </w:pPr>
            <w:r w:rsidRPr="002E4566">
              <w:t>2025</w:t>
            </w:r>
          </w:p>
        </w:tc>
        <w:tc>
          <w:tcPr>
            <w:tcW w:w="0" w:type="auto"/>
            <w:vAlign w:val="bottom"/>
          </w:tcPr>
          <w:p w14:paraId="3A969E55" w14:textId="77777777" w:rsidR="002E4566" w:rsidRPr="002E4566" w:rsidRDefault="002E4566" w:rsidP="007A6FC6">
            <w:pPr>
              <w:spacing w:after="160" w:line="278" w:lineRule="auto"/>
              <w:jc w:val="right"/>
            </w:pPr>
            <w:r w:rsidRPr="002E4566">
              <w:t>2026</w:t>
            </w:r>
          </w:p>
        </w:tc>
        <w:tc>
          <w:tcPr>
            <w:tcW w:w="0" w:type="auto"/>
            <w:vAlign w:val="bottom"/>
          </w:tcPr>
          <w:p w14:paraId="3F44F932" w14:textId="77777777" w:rsidR="002E4566" w:rsidRPr="002E4566" w:rsidRDefault="002E4566" w:rsidP="007A6FC6">
            <w:pPr>
              <w:spacing w:after="160" w:line="278" w:lineRule="auto"/>
              <w:jc w:val="right"/>
            </w:pPr>
            <w:r w:rsidRPr="002E4566">
              <w:t>2027</w:t>
            </w:r>
          </w:p>
        </w:tc>
        <w:tc>
          <w:tcPr>
            <w:tcW w:w="0" w:type="auto"/>
            <w:vAlign w:val="bottom"/>
          </w:tcPr>
          <w:p w14:paraId="5418D698" w14:textId="77777777" w:rsidR="002E4566" w:rsidRPr="002E4566" w:rsidRDefault="002E4566" w:rsidP="007A6FC6">
            <w:pPr>
              <w:spacing w:after="160" w:line="278" w:lineRule="auto"/>
              <w:jc w:val="right"/>
            </w:pPr>
            <w:r w:rsidRPr="002E4566">
              <w:t>2028</w:t>
            </w:r>
          </w:p>
        </w:tc>
      </w:tr>
      <w:tr w:rsidR="002E4566" w:rsidRPr="002E4566" w14:paraId="1892C3A6" w14:textId="77777777" w:rsidTr="007A6FC6">
        <w:trPr>
          <w:cantSplit/>
          <w:trHeight w:val="20"/>
        </w:trPr>
        <w:tc>
          <w:tcPr>
            <w:tcW w:w="0" w:type="auto"/>
            <w:vAlign w:val="bottom"/>
          </w:tcPr>
          <w:p w14:paraId="489B31AA" w14:textId="0CA87829" w:rsidR="002E4566" w:rsidRPr="002E4566" w:rsidRDefault="00A30B86" w:rsidP="007A6FC6">
            <w:pPr>
              <w:spacing w:after="160" w:line="278" w:lineRule="auto"/>
            </w:pPr>
            <w:r>
              <w:t>KVARTS</w:t>
            </w:r>
          </w:p>
        </w:tc>
        <w:tc>
          <w:tcPr>
            <w:tcW w:w="0" w:type="auto"/>
            <w:vAlign w:val="bottom"/>
          </w:tcPr>
          <w:p w14:paraId="04CD1E94" w14:textId="77777777" w:rsidR="002E4566" w:rsidRPr="002E4566" w:rsidRDefault="002E4566" w:rsidP="007A6FC6">
            <w:pPr>
              <w:spacing w:after="160" w:line="278" w:lineRule="auto"/>
              <w:jc w:val="right"/>
            </w:pPr>
          </w:p>
        </w:tc>
        <w:tc>
          <w:tcPr>
            <w:tcW w:w="0" w:type="auto"/>
            <w:vAlign w:val="bottom"/>
          </w:tcPr>
          <w:p w14:paraId="4C1AC2BF" w14:textId="77777777" w:rsidR="002E4566" w:rsidRPr="002E4566" w:rsidRDefault="002E4566" w:rsidP="007A6FC6">
            <w:pPr>
              <w:spacing w:after="160" w:line="278" w:lineRule="auto"/>
              <w:jc w:val="right"/>
            </w:pPr>
          </w:p>
        </w:tc>
        <w:tc>
          <w:tcPr>
            <w:tcW w:w="0" w:type="auto"/>
            <w:vAlign w:val="bottom"/>
          </w:tcPr>
          <w:p w14:paraId="39ADEEF5" w14:textId="77777777" w:rsidR="002E4566" w:rsidRPr="002E4566" w:rsidRDefault="002E4566" w:rsidP="007A6FC6">
            <w:pPr>
              <w:spacing w:after="160" w:line="278" w:lineRule="auto"/>
              <w:jc w:val="right"/>
            </w:pPr>
          </w:p>
        </w:tc>
        <w:tc>
          <w:tcPr>
            <w:tcW w:w="0" w:type="auto"/>
            <w:vAlign w:val="bottom"/>
          </w:tcPr>
          <w:p w14:paraId="60B4F11D" w14:textId="77777777" w:rsidR="002E4566" w:rsidRPr="002E4566" w:rsidRDefault="002E4566" w:rsidP="007A6FC6">
            <w:pPr>
              <w:spacing w:after="160" w:line="278" w:lineRule="auto"/>
              <w:jc w:val="right"/>
            </w:pPr>
          </w:p>
        </w:tc>
      </w:tr>
      <w:tr w:rsidR="002E4566" w:rsidRPr="002E4566" w14:paraId="2224816D" w14:textId="77777777" w:rsidTr="007A6FC6">
        <w:trPr>
          <w:cantSplit/>
          <w:trHeight w:val="20"/>
        </w:trPr>
        <w:tc>
          <w:tcPr>
            <w:tcW w:w="0" w:type="auto"/>
            <w:vAlign w:val="bottom"/>
          </w:tcPr>
          <w:p w14:paraId="5168702D" w14:textId="77777777" w:rsidR="002E4566" w:rsidRPr="002E4566" w:rsidRDefault="002E4566" w:rsidP="007A6FC6">
            <w:pPr>
              <w:spacing w:after="160" w:line="278" w:lineRule="auto"/>
            </w:pPr>
            <w:r w:rsidRPr="002E4566">
              <w:t xml:space="preserve">Budget </w:t>
            </w:r>
            <w:proofErr w:type="spellStart"/>
            <w:r w:rsidRPr="002E4566">
              <w:t>proposal</w:t>
            </w:r>
            <w:proofErr w:type="spellEnd"/>
            <w:r w:rsidRPr="002E4566">
              <w:t xml:space="preserve"> for 2025</w:t>
            </w:r>
            <w:r w:rsidRPr="002E4566">
              <w:tab/>
            </w:r>
          </w:p>
        </w:tc>
        <w:tc>
          <w:tcPr>
            <w:tcW w:w="0" w:type="auto"/>
            <w:vAlign w:val="bottom"/>
          </w:tcPr>
          <w:p w14:paraId="2EA44305" w14:textId="77777777" w:rsidR="002E4566" w:rsidRPr="002E4566" w:rsidRDefault="002E4566" w:rsidP="007A6FC6">
            <w:pPr>
              <w:spacing w:after="160" w:line="278" w:lineRule="auto"/>
              <w:jc w:val="right"/>
            </w:pPr>
            <w:r w:rsidRPr="002E4566">
              <w:t>-0,3</w:t>
            </w:r>
          </w:p>
        </w:tc>
        <w:tc>
          <w:tcPr>
            <w:tcW w:w="0" w:type="auto"/>
            <w:vAlign w:val="bottom"/>
          </w:tcPr>
          <w:p w14:paraId="6EABD408" w14:textId="77777777" w:rsidR="002E4566" w:rsidRPr="002E4566" w:rsidRDefault="002E4566" w:rsidP="007A6FC6">
            <w:pPr>
              <w:spacing w:after="160" w:line="278" w:lineRule="auto"/>
              <w:jc w:val="right"/>
            </w:pPr>
            <w:r w:rsidRPr="002E4566">
              <w:t>-0,4</w:t>
            </w:r>
          </w:p>
        </w:tc>
        <w:tc>
          <w:tcPr>
            <w:tcW w:w="0" w:type="auto"/>
            <w:vAlign w:val="bottom"/>
          </w:tcPr>
          <w:p w14:paraId="50F2201B" w14:textId="77777777" w:rsidR="002E4566" w:rsidRPr="002E4566" w:rsidRDefault="002E4566" w:rsidP="007A6FC6">
            <w:pPr>
              <w:spacing w:after="160" w:line="278" w:lineRule="auto"/>
              <w:jc w:val="right"/>
            </w:pPr>
            <w:r w:rsidRPr="002E4566">
              <w:t>-0,4</w:t>
            </w:r>
          </w:p>
        </w:tc>
        <w:tc>
          <w:tcPr>
            <w:tcW w:w="0" w:type="auto"/>
            <w:vAlign w:val="bottom"/>
          </w:tcPr>
          <w:p w14:paraId="73C6868B" w14:textId="77777777" w:rsidR="002E4566" w:rsidRPr="002E4566" w:rsidRDefault="002E4566" w:rsidP="007A6FC6">
            <w:pPr>
              <w:spacing w:after="160" w:line="278" w:lineRule="auto"/>
              <w:jc w:val="right"/>
            </w:pPr>
            <w:r w:rsidRPr="002E4566">
              <w:t>-0,3</w:t>
            </w:r>
          </w:p>
        </w:tc>
      </w:tr>
      <w:tr w:rsidR="002E4566" w:rsidRPr="002E4566" w14:paraId="21989F52" w14:textId="77777777" w:rsidTr="007A6FC6">
        <w:trPr>
          <w:cantSplit/>
          <w:trHeight w:val="20"/>
        </w:trPr>
        <w:tc>
          <w:tcPr>
            <w:tcW w:w="0" w:type="auto"/>
            <w:vAlign w:val="bottom"/>
          </w:tcPr>
          <w:p w14:paraId="6D86010C" w14:textId="77777777" w:rsidR="002E4566" w:rsidRPr="002E4566" w:rsidRDefault="002E4566" w:rsidP="007A6FC6">
            <w:pPr>
              <w:spacing w:after="160" w:line="278" w:lineRule="auto"/>
            </w:pPr>
            <w:r w:rsidRPr="002E4566">
              <w:t xml:space="preserve">Budget </w:t>
            </w:r>
            <w:proofErr w:type="spellStart"/>
            <w:r w:rsidRPr="002E4566">
              <w:t>proposal</w:t>
            </w:r>
            <w:proofErr w:type="spellEnd"/>
            <w:r w:rsidRPr="002E4566">
              <w:t xml:space="preserve"> for 2026</w:t>
            </w:r>
            <w:r w:rsidRPr="002E4566">
              <w:tab/>
            </w:r>
          </w:p>
        </w:tc>
        <w:tc>
          <w:tcPr>
            <w:tcW w:w="0" w:type="auto"/>
            <w:vAlign w:val="bottom"/>
          </w:tcPr>
          <w:p w14:paraId="48E30A04" w14:textId="77777777" w:rsidR="002E4566" w:rsidRPr="002E4566" w:rsidRDefault="002E4566" w:rsidP="007A6FC6">
            <w:pPr>
              <w:spacing w:after="160" w:line="278" w:lineRule="auto"/>
              <w:jc w:val="right"/>
            </w:pPr>
          </w:p>
        </w:tc>
        <w:tc>
          <w:tcPr>
            <w:tcW w:w="0" w:type="auto"/>
            <w:vAlign w:val="bottom"/>
          </w:tcPr>
          <w:p w14:paraId="49042195" w14:textId="77777777" w:rsidR="002E4566" w:rsidRPr="002E4566" w:rsidRDefault="002E4566" w:rsidP="007A6FC6">
            <w:pPr>
              <w:spacing w:after="160" w:line="278" w:lineRule="auto"/>
              <w:jc w:val="right"/>
            </w:pPr>
            <w:r w:rsidRPr="002E4566">
              <w:t>0,0</w:t>
            </w:r>
          </w:p>
        </w:tc>
        <w:tc>
          <w:tcPr>
            <w:tcW w:w="0" w:type="auto"/>
            <w:vAlign w:val="bottom"/>
          </w:tcPr>
          <w:p w14:paraId="3E891AB5" w14:textId="77777777" w:rsidR="002E4566" w:rsidRPr="002E4566" w:rsidRDefault="002E4566" w:rsidP="007A6FC6">
            <w:pPr>
              <w:spacing w:after="160" w:line="278" w:lineRule="auto"/>
              <w:jc w:val="right"/>
            </w:pPr>
            <w:r w:rsidRPr="002E4566">
              <w:t>0,1</w:t>
            </w:r>
          </w:p>
        </w:tc>
        <w:tc>
          <w:tcPr>
            <w:tcW w:w="0" w:type="auto"/>
            <w:vAlign w:val="bottom"/>
          </w:tcPr>
          <w:p w14:paraId="2CD279D5" w14:textId="77777777" w:rsidR="002E4566" w:rsidRPr="002E4566" w:rsidRDefault="002E4566" w:rsidP="007A6FC6">
            <w:pPr>
              <w:spacing w:after="160" w:line="278" w:lineRule="auto"/>
              <w:jc w:val="right"/>
            </w:pPr>
            <w:r w:rsidRPr="002E4566">
              <w:t>0,2</w:t>
            </w:r>
          </w:p>
        </w:tc>
      </w:tr>
      <w:tr w:rsidR="002E4566" w:rsidRPr="002E4566" w14:paraId="56A1E0AB" w14:textId="77777777" w:rsidTr="007A6FC6">
        <w:trPr>
          <w:cantSplit/>
          <w:trHeight w:val="20"/>
        </w:trPr>
        <w:tc>
          <w:tcPr>
            <w:tcW w:w="0" w:type="auto"/>
            <w:vAlign w:val="bottom"/>
          </w:tcPr>
          <w:p w14:paraId="7724D671" w14:textId="77777777" w:rsidR="002E4566" w:rsidRPr="002E4566" w:rsidRDefault="002E4566" w:rsidP="007A6FC6">
            <w:pPr>
              <w:spacing w:after="160" w:line="278" w:lineRule="auto"/>
            </w:pPr>
            <w:r w:rsidRPr="002E4566">
              <w:t xml:space="preserve">Budget </w:t>
            </w:r>
            <w:proofErr w:type="spellStart"/>
            <w:r w:rsidRPr="002E4566">
              <w:t>proposal</w:t>
            </w:r>
            <w:proofErr w:type="spellEnd"/>
            <w:r w:rsidRPr="002E4566">
              <w:t xml:space="preserve"> for 2027</w:t>
            </w:r>
            <w:r w:rsidRPr="002E4566">
              <w:tab/>
            </w:r>
          </w:p>
        </w:tc>
        <w:tc>
          <w:tcPr>
            <w:tcW w:w="0" w:type="auto"/>
            <w:vAlign w:val="bottom"/>
          </w:tcPr>
          <w:p w14:paraId="5B439C18" w14:textId="77777777" w:rsidR="002E4566" w:rsidRPr="002E4566" w:rsidRDefault="002E4566" w:rsidP="007A6FC6">
            <w:pPr>
              <w:spacing w:after="160" w:line="278" w:lineRule="auto"/>
              <w:jc w:val="right"/>
            </w:pPr>
          </w:p>
        </w:tc>
        <w:tc>
          <w:tcPr>
            <w:tcW w:w="0" w:type="auto"/>
            <w:vAlign w:val="bottom"/>
          </w:tcPr>
          <w:p w14:paraId="4BC8260D" w14:textId="77777777" w:rsidR="002E4566" w:rsidRPr="002E4566" w:rsidRDefault="002E4566" w:rsidP="007A6FC6">
            <w:pPr>
              <w:spacing w:after="160" w:line="278" w:lineRule="auto"/>
              <w:jc w:val="right"/>
            </w:pPr>
          </w:p>
        </w:tc>
        <w:tc>
          <w:tcPr>
            <w:tcW w:w="0" w:type="auto"/>
            <w:vAlign w:val="bottom"/>
          </w:tcPr>
          <w:p w14:paraId="586898B0" w14:textId="77777777" w:rsidR="002E4566" w:rsidRPr="002E4566" w:rsidRDefault="002E4566" w:rsidP="007A6FC6">
            <w:pPr>
              <w:spacing w:after="160" w:line="278" w:lineRule="auto"/>
              <w:jc w:val="right"/>
            </w:pPr>
            <w:r w:rsidRPr="002E4566">
              <w:t>0,2</w:t>
            </w:r>
          </w:p>
        </w:tc>
        <w:tc>
          <w:tcPr>
            <w:tcW w:w="0" w:type="auto"/>
            <w:vAlign w:val="bottom"/>
          </w:tcPr>
          <w:p w14:paraId="3FB67B38" w14:textId="77777777" w:rsidR="002E4566" w:rsidRPr="002E4566" w:rsidRDefault="002E4566" w:rsidP="007A6FC6">
            <w:pPr>
              <w:spacing w:after="160" w:line="278" w:lineRule="auto"/>
              <w:jc w:val="right"/>
            </w:pPr>
            <w:r w:rsidRPr="002E4566">
              <w:t>0,3</w:t>
            </w:r>
          </w:p>
        </w:tc>
      </w:tr>
      <w:tr w:rsidR="002E4566" w:rsidRPr="002E4566" w14:paraId="153B080B" w14:textId="77777777" w:rsidTr="007A6FC6">
        <w:trPr>
          <w:cantSplit/>
          <w:trHeight w:val="20"/>
        </w:trPr>
        <w:tc>
          <w:tcPr>
            <w:tcW w:w="0" w:type="auto"/>
            <w:vAlign w:val="bottom"/>
          </w:tcPr>
          <w:p w14:paraId="1B34EB59" w14:textId="657E9E57" w:rsidR="002E4566" w:rsidRPr="002E4566" w:rsidRDefault="002E4566" w:rsidP="007A6FC6">
            <w:pPr>
              <w:spacing w:after="160" w:line="278" w:lineRule="auto"/>
            </w:pPr>
            <w:r w:rsidRPr="002E4566">
              <w:t>2025</w:t>
            </w:r>
            <w:r w:rsidR="00270D2D">
              <w:t>–</w:t>
            </w:r>
            <w:r w:rsidRPr="002E4566">
              <w:t>2027 overall</w:t>
            </w:r>
            <w:r w:rsidR="00BC269C" w:rsidRPr="00BC269C">
              <w:rPr>
                <w:rStyle w:val="skrift-hevet"/>
              </w:rPr>
              <w:t>2</w:t>
            </w:r>
            <w:r w:rsidRPr="002E4566">
              <w:tab/>
            </w:r>
          </w:p>
        </w:tc>
        <w:tc>
          <w:tcPr>
            <w:tcW w:w="0" w:type="auto"/>
            <w:vAlign w:val="bottom"/>
          </w:tcPr>
          <w:p w14:paraId="58356609" w14:textId="77777777" w:rsidR="002E4566" w:rsidRPr="002E4566" w:rsidRDefault="002E4566" w:rsidP="007A6FC6">
            <w:pPr>
              <w:spacing w:after="160" w:line="278" w:lineRule="auto"/>
              <w:jc w:val="right"/>
            </w:pPr>
            <w:r w:rsidRPr="002E4566">
              <w:t>-0,3</w:t>
            </w:r>
          </w:p>
        </w:tc>
        <w:tc>
          <w:tcPr>
            <w:tcW w:w="0" w:type="auto"/>
            <w:vAlign w:val="bottom"/>
          </w:tcPr>
          <w:p w14:paraId="139843A9" w14:textId="77777777" w:rsidR="002E4566" w:rsidRPr="002E4566" w:rsidRDefault="002E4566" w:rsidP="007A6FC6">
            <w:pPr>
              <w:spacing w:after="160" w:line="278" w:lineRule="auto"/>
              <w:jc w:val="right"/>
            </w:pPr>
            <w:r w:rsidRPr="002E4566">
              <w:t>-0,4</w:t>
            </w:r>
          </w:p>
        </w:tc>
        <w:tc>
          <w:tcPr>
            <w:tcW w:w="0" w:type="auto"/>
            <w:vAlign w:val="bottom"/>
          </w:tcPr>
          <w:p w14:paraId="53685C72" w14:textId="77777777" w:rsidR="002E4566" w:rsidRPr="002E4566" w:rsidRDefault="002E4566" w:rsidP="007A6FC6">
            <w:pPr>
              <w:spacing w:after="160" w:line="278" w:lineRule="auto"/>
              <w:jc w:val="right"/>
            </w:pPr>
            <w:r w:rsidRPr="002E4566">
              <w:t>-0,1</w:t>
            </w:r>
          </w:p>
        </w:tc>
        <w:tc>
          <w:tcPr>
            <w:tcW w:w="0" w:type="auto"/>
            <w:vAlign w:val="bottom"/>
          </w:tcPr>
          <w:p w14:paraId="65AF6824" w14:textId="77777777" w:rsidR="002E4566" w:rsidRPr="002E4566" w:rsidRDefault="002E4566" w:rsidP="007A6FC6">
            <w:pPr>
              <w:spacing w:after="160" w:line="278" w:lineRule="auto"/>
              <w:jc w:val="right"/>
            </w:pPr>
            <w:r w:rsidRPr="002E4566">
              <w:t>0,1</w:t>
            </w:r>
          </w:p>
        </w:tc>
      </w:tr>
      <w:tr w:rsidR="002E4566" w:rsidRPr="002E4566" w14:paraId="4683E796" w14:textId="77777777" w:rsidTr="007A6FC6">
        <w:trPr>
          <w:cantSplit/>
          <w:trHeight w:val="20"/>
        </w:trPr>
        <w:tc>
          <w:tcPr>
            <w:tcW w:w="0" w:type="auto"/>
            <w:vAlign w:val="bottom"/>
          </w:tcPr>
          <w:p w14:paraId="14B0551B" w14:textId="77777777" w:rsidR="002E4566" w:rsidRPr="002E4566" w:rsidRDefault="002E4566" w:rsidP="007A6FC6">
            <w:pPr>
              <w:spacing w:after="160" w:line="278" w:lineRule="auto"/>
            </w:pPr>
            <w:r w:rsidRPr="002E4566">
              <w:t>NORA</w:t>
            </w:r>
          </w:p>
        </w:tc>
        <w:tc>
          <w:tcPr>
            <w:tcW w:w="0" w:type="auto"/>
            <w:vAlign w:val="bottom"/>
          </w:tcPr>
          <w:p w14:paraId="4BBDAEBF" w14:textId="77777777" w:rsidR="002E4566" w:rsidRPr="002E4566" w:rsidRDefault="002E4566" w:rsidP="007A6FC6">
            <w:pPr>
              <w:spacing w:after="160" w:line="278" w:lineRule="auto"/>
              <w:jc w:val="right"/>
            </w:pPr>
          </w:p>
        </w:tc>
        <w:tc>
          <w:tcPr>
            <w:tcW w:w="0" w:type="auto"/>
            <w:vAlign w:val="bottom"/>
          </w:tcPr>
          <w:p w14:paraId="46E5A93B" w14:textId="77777777" w:rsidR="002E4566" w:rsidRPr="002E4566" w:rsidRDefault="002E4566" w:rsidP="007A6FC6">
            <w:pPr>
              <w:spacing w:after="160" w:line="278" w:lineRule="auto"/>
              <w:jc w:val="right"/>
            </w:pPr>
          </w:p>
        </w:tc>
        <w:tc>
          <w:tcPr>
            <w:tcW w:w="0" w:type="auto"/>
            <w:vAlign w:val="bottom"/>
          </w:tcPr>
          <w:p w14:paraId="739A2016" w14:textId="77777777" w:rsidR="002E4566" w:rsidRPr="002E4566" w:rsidRDefault="002E4566" w:rsidP="007A6FC6">
            <w:pPr>
              <w:spacing w:after="160" w:line="278" w:lineRule="auto"/>
              <w:jc w:val="right"/>
            </w:pPr>
          </w:p>
        </w:tc>
        <w:tc>
          <w:tcPr>
            <w:tcW w:w="0" w:type="auto"/>
            <w:vAlign w:val="bottom"/>
          </w:tcPr>
          <w:p w14:paraId="7ACDDC28" w14:textId="77777777" w:rsidR="002E4566" w:rsidRPr="002E4566" w:rsidRDefault="002E4566" w:rsidP="007A6FC6">
            <w:pPr>
              <w:spacing w:after="160" w:line="278" w:lineRule="auto"/>
              <w:jc w:val="right"/>
            </w:pPr>
          </w:p>
        </w:tc>
      </w:tr>
      <w:tr w:rsidR="002E4566" w:rsidRPr="002E4566" w14:paraId="181E30C5" w14:textId="77777777" w:rsidTr="007A6FC6">
        <w:trPr>
          <w:cantSplit/>
          <w:trHeight w:val="20"/>
        </w:trPr>
        <w:tc>
          <w:tcPr>
            <w:tcW w:w="0" w:type="auto"/>
            <w:vAlign w:val="bottom"/>
          </w:tcPr>
          <w:p w14:paraId="4D58457A" w14:textId="77777777" w:rsidR="002E4566" w:rsidRPr="002E4566" w:rsidRDefault="002E4566" w:rsidP="007A6FC6">
            <w:pPr>
              <w:spacing w:after="160" w:line="278" w:lineRule="auto"/>
            </w:pPr>
            <w:r w:rsidRPr="002E4566">
              <w:t xml:space="preserve">Budget </w:t>
            </w:r>
            <w:proofErr w:type="spellStart"/>
            <w:r w:rsidRPr="002E4566">
              <w:t>proposal</w:t>
            </w:r>
            <w:proofErr w:type="spellEnd"/>
            <w:r w:rsidRPr="002E4566">
              <w:t xml:space="preserve"> for 2025</w:t>
            </w:r>
            <w:r w:rsidRPr="002E4566">
              <w:tab/>
            </w:r>
          </w:p>
        </w:tc>
        <w:tc>
          <w:tcPr>
            <w:tcW w:w="0" w:type="auto"/>
            <w:vAlign w:val="bottom"/>
          </w:tcPr>
          <w:p w14:paraId="4E6E26F2" w14:textId="77777777" w:rsidR="002E4566" w:rsidRPr="002E4566" w:rsidRDefault="002E4566" w:rsidP="007A6FC6">
            <w:pPr>
              <w:spacing w:after="160" w:line="278" w:lineRule="auto"/>
              <w:jc w:val="right"/>
            </w:pPr>
            <w:r w:rsidRPr="002E4566">
              <w:t>-0,2</w:t>
            </w:r>
          </w:p>
        </w:tc>
        <w:tc>
          <w:tcPr>
            <w:tcW w:w="0" w:type="auto"/>
            <w:vAlign w:val="bottom"/>
          </w:tcPr>
          <w:p w14:paraId="72D8F2A5" w14:textId="77777777" w:rsidR="002E4566" w:rsidRPr="002E4566" w:rsidRDefault="002E4566" w:rsidP="007A6FC6">
            <w:pPr>
              <w:spacing w:after="160" w:line="278" w:lineRule="auto"/>
              <w:jc w:val="right"/>
            </w:pPr>
            <w:r w:rsidRPr="002E4566">
              <w:t>-0,1</w:t>
            </w:r>
          </w:p>
        </w:tc>
        <w:tc>
          <w:tcPr>
            <w:tcW w:w="0" w:type="auto"/>
            <w:vAlign w:val="bottom"/>
          </w:tcPr>
          <w:p w14:paraId="07E190E4" w14:textId="77777777" w:rsidR="002E4566" w:rsidRPr="002E4566" w:rsidRDefault="002E4566" w:rsidP="007A6FC6">
            <w:pPr>
              <w:spacing w:after="160" w:line="278" w:lineRule="auto"/>
              <w:jc w:val="right"/>
            </w:pPr>
            <w:r w:rsidRPr="002E4566">
              <w:t>-0,1</w:t>
            </w:r>
          </w:p>
        </w:tc>
        <w:tc>
          <w:tcPr>
            <w:tcW w:w="0" w:type="auto"/>
            <w:vAlign w:val="bottom"/>
          </w:tcPr>
          <w:p w14:paraId="7380327F" w14:textId="77777777" w:rsidR="002E4566" w:rsidRPr="002E4566" w:rsidRDefault="002E4566" w:rsidP="007A6FC6">
            <w:pPr>
              <w:spacing w:after="160" w:line="278" w:lineRule="auto"/>
              <w:jc w:val="right"/>
            </w:pPr>
            <w:r w:rsidRPr="002E4566">
              <w:t>-0,1</w:t>
            </w:r>
          </w:p>
        </w:tc>
      </w:tr>
      <w:tr w:rsidR="002E4566" w:rsidRPr="002E4566" w14:paraId="02F86551" w14:textId="77777777" w:rsidTr="007A6FC6">
        <w:trPr>
          <w:cantSplit/>
          <w:trHeight w:val="20"/>
        </w:trPr>
        <w:tc>
          <w:tcPr>
            <w:tcW w:w="0" w:type="auto"/>
            <w:vAlign w:val="bottom"/>
          </w:tcPr>
          <w:p w14:paraId="5941A824" w14:textId="77777777" w:rsidR="002E4566" w:rsidRPr="002E4566" w:rsidRDefault="002E4566" w:rsidP="007A6FC6">
            <w:pPr>
              <w:spacing w:after="160" w:line="278" w:lineRule="auto"/>
            </w:pPr>
            <w:r w:rsidRPr="002E4566">
              <w:t xml:space="preserve">Budget </w:t>
            </w:r>
            <w:proofErr w:type="spellStart"/>
            <w:r w:rsidRPr="002E4566">
              <w:t>proposal</w:t>
            </w:r>
            <w:proofErr w:type="spellEnd"/>
            <w:r w:rsidRPr="002E4566">
              <w:t xml:space="preserve"> for 2026</w:t>
            </w:r>
            <w:r w:rsidRPr="002E4566">
              <w:tab/>
            </w:r>
          </w:p>
        </w:tc>
        <w:tc>
          <w:tcPr>
            <w:tcW w:w="0" w:type="auto"/>
            <w:vAlign w:val="bottom"/>
          </w:tcPr>
          <w:p w14:paraId="46DC5E38" w14:textId="77777777" w:rsidR="002E4566" w:rsidRPr="002E4566" w:rsidRDefault="002E4566" w:rsidP="007A6FC6">
            <w:pPr>
              <w:spacing w:after="160" w:line="278" w:lineRule="auto"/>
              <w:jc w:val="right"/>
            </w:pPr>
          </w:p>
        </w:tc>
        <w:tc>
          <w:tcPr>
            <w:tcW w:w="0" w:type="auto"/>
            <w:vAlign w:val="bottom"/>
          </w:tcPr>
          <w:p w14:paraId="0F176ED3" w14:textId="77777777" w:rsidR="002E4566" w:rsidRPr="002E4566" w:rsidRDefault="002E4566" w:rsidP="007A6FC6">
            <w:pPr>
              <w:spacing w:after="160" w:line="278" w:lineRule="auto"/>
              <w:jc w:val="right"/>
            </w:pPr>
            <w:r w:rsidRPr="002E4566">
              <w:t>0,0</w:t>
            </w:r>
          </w:p>
        </w:tc>
        <w:tc>
          <w:tcPr>
            <w:tcW w:w="0" w:type="auto"/>
            <w:vAlign w:val="bottom"/>
          </w:tcPr>
          <w:p w14:paraId="11035E63" w14:textId="77777777" w:rsidR="002E4566" w:rsidRPr="002E4566" w:rsidRDefault="002E4566" w:rsidP="007A6FC6">
            <w:pPr>
              <w:spacing w:after="160" w:line="278" w:lineRule="auto"/>
              <w:jc w:val="right"/>
            </w:pPr>
            <w:r w:rsidRPr="002E4566">
              <w:t>0,0</w:t>
            </w:r>
          </w:p>
        </w:tc>
        <w:tc>
          <w:tcPr>
            <w:tcW w:w="0" w:type="auto"/>
            <w:vAlign w:val="bottom"/>
          </w:tcPr>
          <w:p w14:paraId="4948A540" w14:textId="77777777" w:rsidR="002E4566" w:rsidRPr="002E4566" w:rsidRDefault="002E4566" w:rsidP="007A6FC6">
            <w:pPr>
              <w:spacing w:after="160" w:line="278" w:lineRule="auto"/>
              <w:jc w:val="right"/>
            </w:pPr>
            <w:r w:rsidRPr="002E4566">
              <w:t>0,0</w:t>
            </w:r>
          </w:p>
        </w:tc>
      </w:tr>
      <w:tr w:rsidR="002E4566" w:rsidRPr="002E4566" w14:paraId="30BDA141" w14:textId="77777777" w:rsidTr="007A6FC6">
        <w:trPr>
          <w:cantSplit/>
          <w:trHeight w:val="20"/>
        </w:trPr>
        <w:tc>
          <w:tcPr>
            <w:tcW w:w="0" w:type="auto"/>
            <w:vAlign w:val="bottom"/>
          </w:tcPr>
          <w:p w14:paraId="0E537878" w14:textId="77777777" w:rsidR="002E4566" w:rsidRPr="002E4566" w:rsidRDefault="002E4566" w:rsidP="007A6FC6">
            <w:pPr>
              <w:spacing w:after="160" w:line="278" w:lineRule="auto"/>
            </w:pPr>
            <w:r w:rsidRPr="002E4566">
              <w:t xml:space="preserve">Budget </w:t>
            </w:r>
            <w:proofErr w:type="spellStart"/>
            <w:r w:rsidRPr="002E4566">
              <w:t>proposal</w:t>
            </w:r>
            <w:proofErr w:type="spellEnd"/>
            <w:r w:rsidRPr="002E4566">
              <w:t xml:space="preserve"> for 2027</w:t>
            </w:r>
            <w:r w:rsidRPr="002E4566">
              <w:tab/>
            </w:r>
          </w:p>
        </w:tc>
        <w:tc>
          <w:tcPr>
            <w:tcW w:w="0" w:type="auto"/>
            <w:vAlign w:val="bottom"/>
          </w:tcPr>
          <w:p w14:paraId="3341553C" w14:textId="77777777" w:rsidR="002E4566" w:rsidRPr="002E4566" w:rsidRDefault="002E4566" w:rsidP="007A6FC6">
            <w:pPr>
              <w:spacing w:after="160" w:line="278" w:lineRule="auto"/>
              <w:jc w:val="right"/>
            </w:pPr>
          </w:p>
        </w:tc>
        <w:tc>
          <w:tcPr>
            <w:tcW w:w="0" w:type="auto"/>
            <w:vAlign w:val="bottom"/>
          </w:tcPr>
          <w:p w14:paraId="6C6FADC5" w14:textId="77777777" w:rsidR="002E4566" w:rsidRPr="002E4566" w:rsidRDefault="002E4566" w:rsidP="007A6FC6">
            <w:pPr>
              <w:spacing w:after="160" w:line="278" w:lineRule="auto"/>
              <w:jc w:val="right"/>
            </w:pPr>
          </w:p>
        </w:tc>
        <w:tc>
          <w:tcPr>
            <w:tcW w:w="0" w:type="auto"/>
            <w:vAlign w:val="bottom"/>
          </w:tcPr>
          <w:p w14:paraId="136A49A4" w14:textId="77777777" w:rsidR="002E4566" w:rsidRPr="002E4566" w:rsidRDefault="002E4566" w:rsidP="007A6FC6">
            <w:pPr>
              <w:spacing w:after="160" w:line="278" w:lineRule="auto"/>
              <w:jc w:val="right"/>
            </w:pPr>
            <w:r w:rsidRPr="002E4566">
              <w:t>0,1</w:t>
            </w:r>
          </w:p>
        </w:tc>
        <w:tc>
          <w:tcPr>
            <w:tcW w:w="0" w:type="auto"/>
            <w:vAlign w:val="bottom"/>
          </w:tcPr>
          <w:p w14:paraId="6F97E1C8" w14:textId="77777777" w:rsidR="002E4566" w:rsidRPr="002E4566" w:rsidRDefault="002E4566" w:rsidP="007A6FC6">
            <w:pPr>
              <w:spacing w:after="160" w:line="278" w:lineRule="auto"/>
              <w:jc w:val="right"/>
            </w:pPr>
            <w:r w:rsidRPr="002E4566">
              <w:t>0,1</w:t>
            </w:r>
          </w:p>
        </w:tc>
      </w:tr>
      <w:tr w:rsidR="002E4566" w:rsidRPr="002E4566" w14:paraId="2CB6C0A9" w14:textId="77777777" w:rsidTr="007A6FC6">
        <w:trPr>
          <w:cantSplit/>
          <w:trHeight w:val="20"/>
        </w:trPr>
        <w:tc>
          <w:tcPr>
            <w:tcW w:w="0" w:type="auto"/>
            <w:vAlign w:val="bottom"/>
          </w:tcPr>
          <w:p w14:paraId="75E00E28" w14:textId="22E81CE9" w:rsidR="002E4566" w:rsidRPr="002E4566" w:rsidRDefault="002E4566" w:rsidP="007A6FC6">
            <w:pPr>
              <w:spacing w:after="160" w:line="278" w:lineRule="auto"/>
            </w:pPr>
            <w:r w:rsidRPr="002E4566">
              <w:t>2025</w:t>
            </w:r>
            <w:r w:rsidR="00270D2D">
              <w:t>–</w:t>
            </w:r>
            <w:r w:rsidRPr="002E4566">
              <w:t>2027 overall</w:t>
            </w:r>
            <w:r w:rsidR="00BC269C" w:rsidRPr="00BC269C">
              <w:rPr>
                <w:rStyle w:val="skrift-hevet"/>
              </w:rPr>
              <w:t>2</w:t>
            </w:r>
            <w:r w:rsidRPr="002E4566">
              <w:tab/>
            </w:r>
          </w:p>
        </w:tc>
        <w:tc>
          <w:tcPr>
            <w:tcW w:w="0" w:type="auto"/>
            <w:vAlign w:val="bottom"/>
          </w:tcPr>
          <w:p w14:paraId="2F8C02AD" w14:textId="77777777" w:rsidR="002E4566" w:rsidRPr="002E4566" w:rsidRDefault="002E4566" w:rsidP="007A6FC6">
            <w:pPr>
              <w:spacing w:after="160" w:line="278" w:lineRule="auto"/>
              <w:jc w:val="right"/>
            </w:pPr>
            <w:r w:rsidRPr="002E4566">
              <w:t>-0,2</w:t>
            </w:r>
          </w:p>
        </w:tc>
        <w:tc>
          <w:tcPr>
            <w:tcW w:w="0" w:type="auto"/>
            <w:vAlign w:val="bottom"/>
          </w:tcPr>
          <w:p w14:paraId="294F814A" w14:textId="77777777" w:rsidR="002E4566" w:rsidRPr="002E4566" w:rsidRDefault="002E4566" w:rsidP="007A6FC6">
            <w:pPr>
              <w:spacing w:after="160" w:line="278" w:lineRule="auto"/>
              <w:jc w:val="right"/>
            </w:pPr>
            <w:r w:rsidRPr="002E4566">
              <w:t>-0,1</w:t>
            </w:r>
          </w:p>
        </w:tc>
        <w:tc>
          <w:tcPr>
            <w:tcW w:w="0" w:type="auto"/>
            <w:vAlign w:val="bottom"/>
          </w:tcPr>
          <w:p w14:paraId="6A1FB093" w14:textId="77777777" w:rsidR="002E4566" w:rsidRPr="002E4566" w:rsidRDefault="002E4566" w:rsidP="007A6FC6">
            <w:pPr>
              <w:spacing w:after="160" w:line="278" w:lineRule="auto"/>
              <w:jc w:val="right"/>
            </w:pPr>
            <w:r w:rsidRPr="002E4566">
              <w:t>0,0</w:t>
            </w:r>
          </w:p>
        </w:tc>
        <w:tc>
          <w:tcPr>
            <w:tcW w:w="0" w:type="auto"/>
            <w:vAlign w:val="bottom"/>
          </w:tcPr>
          <w:p w14:paraId="5CC5D62F" w14:textId="77777777" w:rsidR="002E4566" w:rsidRPr="002E4566" w:rsidRDefault="002E4566" w:rsidP="007A6FC6">
            <w:pPr>
              <w:spacing w:after="160" w:line="278" w:lineRule="auto"/>
              <w:jc w:val="right"/>
            </w:pPr>
            <w:r w:rsidRPr="002E4566">
              <w:t>0,0</w:t>
            </w:r>
          </w:p>
        </w:tc>
      </w:tr>
    </w:tbl>
    <w:p w14:paraId="341326E8" w14:textId="0F5139C4" w:rsidR="007207C9" w:rsidRPr="00385D5F" w:rsidRDefault="00BC269C" w:rsidP="00270D2D">
      <w:pPr>
        <w:pStyle w:val="Note"/>
        <w:rPr>
          <w:lang w:val="en-GB"/>
        </w:rPr>
      </w:pPr>
      <w:r w:rsidRPr="00BC269C">
        <w:rPr>
          <w:rStyle w:val="skrift-hevet"/>
          <w:lang w:val="en-GB"/>
        </w:rPr>
        <w:t>1</w:t>
      </w:r>
      <w:r w:rsidR="00252FB7" w:rsidRPr="00385D5F">
        <w:rPr>
          <w:lang w:val="en-GB"/>
        </w:rPr>
        <w:t xml:space="preserve"> The effect on economic activity is based on how various revenue and expenditure items (accrued) for the public administration </w:t>
      </w:r>
      <w:proofErr w:type="gramStart"/>
      <w:r w:rsidR="00252FB7" w:rsidRPr="00385D5F">
        <w:rPr>
          <w:lang w:val="en-GB"/>
        </w:rPr>
        <w:t>as a whole develop</w:t>
      </w:r>
      <w:proofErr w:type="gramEnd"/>
      <w:r w:rsidR="00252FB7" w:rsidRPr="00385D5F">
        <w:rPr>
          <w:lang w:val="en-GB"/>
        </w:rPr>
        <w:t xml:space="preserve"> compared with trend growth in the economy. The deviation from the baseline scenario is combined with fiscal multipliers. The multipliers are based on the models and describe the extent to which changes in various expenditure and revenue items influence economic activity. The effects of the so-called automatic stabilisers in the budget are </w:t>
      </w:r>
      <w:proofErr w:type="gramStart"/>
      <w:r w:rsidR="00252FB7" w:rsidRPr="00385D5F">
        <w:rPr>
          <w:lang w:val="en-GB"/>
        </w:rPr>
        <w:t>taken into account</w:t>
      </w:r>
      <w:proofErr w:type="gramEnd"/>
      <w:r w:rsidR="00252FB7" w:rsidRPr="00385D5F">
        <w:rPr>
          <w:lang w:val="en-GB"/>
        </w:rPr>
        <w:t>, i.e. that unemployment benefit expenditure increases and tax revenues fall during a recession, while the reverse happens during a boom.</w:t>
      </w:r>
    </w:p>
    <w:p w14:paraId="4E51C39B" w14:textId="4BCDFC31" w:rsidR="00252FB7" w:rsidRPr="00385D5F" w:rsidRDefault="00BC269C" w:rsidP="00270D2D">
      <w:pPr>
        <w:pStyle w:val="Note"/>
        <w:rPr>
          <w:lang w:val="en-GB"/>
        </w:rPr>
      </w:pPr>
      <w:r w:rsidRPr="00BC269C">
        <w:rPr>
          <w:rStyle w:val="skrift-hevet"/>
          <w:lang w:val="en-GB"/>
        </w:rPr>
        <w:t>2</w:t>
      </w:r>
      <w:r w:rsidR="00252FB7" w:rsidRPr="00385D5F">
        <w:rPr>
          <w:lang w:val="en-GB"/>
        </w:rPr>
        <w:t xml:space="preserve"> Due to rounding, summation of the individual items above may differ from the sum presented in this row.</w:t>
      </w:r>
    </w:p>
    <w:p w14:paraId="1DCCE03E" w14:textId="77777777" w:rsidR="00252FB7" w:rsidRPr="00385D5F" w:rsidRDefault="00252FB7" w:rsidP="00270D2D">
      <w:pPr>
        <w:pStyle w:val="Kilde"/>
        <w:rPr>
          <w:lang w:val="en-GB"/>
        </w:rPr>
      </w:pPr>
      <w:r w:rsidRPr="00385D5F">
        <w:rPr>
          <w:lang w:val="en-GB"/>
        </w:rPr>
        <w:t>Source: Ministry of Finance.</w:t>
      </w:r>
    </w:p>
    <w:p w14:paraId="2BE4DAB1" w14:textId="7F07CCEB" w:rsidR="00563670" w:rsidRPr="00D7554C" w:rsidRDefault="003B29AF" w:rsidP="00270D2D">
      <w:pPr>
        <w:pStyle w:val="avsnitt-undertittel"/>
        <w:rPr>
          <w:lang w:val="en-US"/>
        </w:rPr>
      </w:pPr>
      <w:r w:rsidRPr="00D7554C">
        <w:rPr>
          <w:lang w:val="en-US"/>
        </w:rPr>
        <w:t>Other key figures</w:t>
      </w:r>
    </w:p>
    <w:p w14:paraId="3DCA6A22" w14:textId="1A98B0E1" w:rsidR="003B29AF" w:rsidRPr="00556061" w:rsidRDefault="003B29AF" w:rsidP="00592CFE">
      <w:r w:rsidRPr="00556061">
        <w:t xml:space="preserve">The </w:t>
      </w:r>
      <w:r w:rsidRPr="00556061">
        <w:rPr>
          <w:rStyle w:val="kursiv"/>
        </w:rPr>
        <w:t>non-oil deficit</w:t>
      </w:r>
      <w:r w:rsidRPr="00556061">
        <w:t xml:space="preserve"> is the actual transfer from the Government Pension Fund Global to the fiscal budget. This is estimated at NOK 561.7 billion next year, see Table 3.3. </w:t>
      </w:r>
      <w:r w:rsidRPr="00556061">
        <w:rPr>
          <w:rStyle w:val="kursiv"/>
        </w:rPr>
        <w:t>The structural non-oil budget deficit</w:t>
      </w:r>
      <w:r w:rsidRPr="00556061">
        <w:t xml:space="preserve"> measures the underlying use of fund resources, adjusted for the fact that tax revenues, certain expenditure that fluctuates with business cycles, and some other variables vary considerably from year to year. In 2027, deviations from trend for taxes and unemployment benefits account for most of the corrections.</w:t>
      </w:r>
    </w:p>
    <w:p w14:paraId="19566E59" w14:textId="6EC658BD" w:rsidR="003B29AF" w:rsidRPr="00E868FF" w:rsidRDefault="003B29AF" w:rsidP="00592CFE">
      <w:r w:rsidRPr="00E868FF">
        <w:rPr>
          <w:rStyle w:val="kursiv"/>
        </w:rPr>
        <w:t xml:space="preserve">Real underlying fiscal budget spending growth </w:t>
      </w:r>
      <w:r w:rsidRPr="00E868FF">
        <w:t>is estimated at 0.2 per cent from this year to next year (Table 3.4). This is lower than the average for subsequent years, which must be seen in the context of increased expenditure through 2026, for example in connection with the revised national budget. In addition, some of the increased use of fund resources next year will go to tax and fee reductions, while it has to a greater extent gone to expenditure increases in the preceding years.</w:t>
      </w:r>
    </w:p>
    <w:p w14:paraId="2ADF1FBE" w14:textId="29AE48DB" w:rsidR="003B29AF" w:rsidRPr="00E868FF" w:rsidRDefault="003B29AF" w:rsidP="00592CFE">
      <w:r w:rsidRPr="00E868FF">
        <w:t>The central government</w:t>
      </w:r>
      <w:r w:rsidR="00BC269C" w:rsidRPr="00E868FF">
        <w:t>’</w:t>
      </w:r>
      <w:r w:rsidRPr="00E868FF">
        <w:t>s net cash flow from petroleum activities is estimated to fall from NOK 670.6 billion to NOK 568.4 billion from 2026 to 2027, see Table 3.5 and Box 3.4. In addition, the temporarily high tax revenues resulting from the discontinuation of the tax deduction account scheme in 2026 will be eliminated. Estimates of net allocations to the Government Pension Fund Global will therefore fall from about NOK 216 billion in 2026 to NOK 6.7 billion in 2027.</w:t>
      </w:r>
    </w:p>
    <w:p w14:paraId="73C5C48B" w14:textId="6A336DCF" w:rsidR="003B29AF" w:rsidRPr="004626DF" w:rsidRDefault="003B29AF" w:rsidP="00270D2D">
      <w:pPr>
        <w:pStyle w:val="avsnitt-tittel"/>
        <w:rPr>
          <w:rStyle w:val="Utheving"/>
          <w:i w:val="0"/>
          <w:sz w:val="26"/>
          <w:szCs w:val="26"/>
          <w:lang w:val="en-GB"/>
        </w:rPr>
      </w:pPr>
      <w:r w:rsidRPr="004626DF">
        <w:rPr>
          <w:rStyle w:val="Utheving"/>
          <w:i w:val="0"/>
          <w:sz w:val="26"/>
          <w:szCs w:val="26"/>
          <w:lang w:val="en-GB"/>
        </w:rPr>
        <w:t>Table 3.3 The structural non-oil fiscal deficit</w:t>
      </w:r>
      <w:r w:rsidR="00BC269C" w:rsidRPr="00BC269C">
        <w:rPr>
          <w:rStyle w:val="skrift-hevet"/>
          <w:lang w:val="en-GB"/>
        </w:rPr>
        <w:t>1</w:t>
      </w:r>
    </w:p>
    <w:tbl>
      <w:tblPr>
        <w:tblStyle w:val="StandardTabell"/>
        <w:tblW w:w="8790" w:type="dxa"/>
        <w:tblLayout w:type="fixed"/>
        <w:tblLook w:val="04A0" w:firstRow="1" w:lastRow="0" w:firstColumn="1" w:lastColumn="0" w:noHBand="0" w:noVBand="1"/>
      </w:tblPr>
      <w:tblGrid>
        <w:gridCol w:w="5670"/>
        <w:gridCol w:w="1040"/>
        <w:gridCol w:w="1040"/>
        <w:gridCol w:w="1040"/>
      </w:tblGrid>
      <w:tr w:rsidR="009751A6" w:rsidRPr="009751A6" w14:paraId="351B492B" w14:textId="77777777" w:rsidTr="00270D2D">
        <w:tc>
          <w:tcPr>
            <w:tcW w:w="5670" w:type="dxa"/>
          </w:tcPr>
          <w:p w14:paraId="517D384A" w14:textId="77777777" w:rsidR="009751A6" w:rsidRPr="004626DF" w:rsidRDefault="009751A6" w:rsidP="009751A6">
            <w:pPr>
              <w:rPr>
                <w:lang w:val="en-GB"/>
              </w:rPr>
            </w:pPr>
          </w:p>
        </w:tc>
        <w:tc>
          <w:tcPr>
            <w:tcW w:w="1040" w:type="dxa"/>
            <w:hideMark/>
          </w:tcPr>
          <w:p w14:paraId="4BE55250" w14:textId="77777777" w:rsidR="009751A6" w:rsidRPr="009751A6" w:rsidRDefault="009751A6" w:rsidP="00270D2D">
            <w:pPr>
              <w:jc w:val="right"/>
            </w:pPr>
            <w:r w:rsidRPr="009751A6">
              <w:t>2025</w:t>
            </w:r>
          </w:p>
        </w:tc>
        <w:tc>
          <w:tcPr>
            <w:tcW w:w="1040" w:type="dxa"/>
            <w:hideMark/>
          </w:tcPr>
          <w:p w14:paraId="3793A253" w14:textId="77777777" w:rsidR="009751A6" w:rsidRPr="009751A6" w:rsidRDefault="009751A6" w:rsidP="00270D2D">
            <w:pPr>
              <w:jc w:val="right"/>
            </w:pPr>
            <w:r w:rsidRPr="009751A6">
              <w:t>2026</w:t>
            </w:r>
          </w:p>
        </w:tc>
        <w:tc>
          <w:tcPr>
            <w:tcW w:w="1040" w:type="dxa"/>
          </w:tcPr>
          <w:p w14:paraId="35C72D22" w14:textId="77777777" w:rsidR="009751A6" w:rsidRPr="009751A6" w:rsidRDefault="009751A6" w:rsidP="00270D2D">
            <w:pPr>
              <w:jc w:val="right"/>
            </w:pPr>
            <w:r w:rsidRPr="009751A6">
              <w:t>2027</w:t>
            </w:r>
          </w:p>
        </w:tc>
      </w:tr>
      <w:tr w:rsidR="009751A6" w:rsidRPr="009751A6" w14:paraId="58EA52AD" w14:textId="77777777" w:rsidTr="00270D2D">
        <w:tc>
          <w:tcPr>
            <w:tcW w:w="5670" w:type="dxa"/>
            <w:hideMark/>
          </w:tcPr>
          <w:p w14:paraId="72D2CBF6" w14:textId="77777777" w:rsidR="009751A6" w:rsidRPr="009751A6" w:rsidRDefault="009751A6" w:rsidP="009751A6">
            <w:r w:rsidRPr="009751A6">
              <w:t>Non-</w:t>
            </w:r>
            <w:proofErr w:type="spellStart"/>
            <w:r w:rsidRPr="009751A6">
              <w:t>oil</w:t>
            </w:r>
            <w:proofErr w:type="spellEnd"/>
            <w:r w:rsidRPr="009751A6">
              <w:t xml:space="preserve"> </w:t>
            </w:r>
            <w:proofErr w:type="spellStart"/>
            <w:r w:rsidRPr="009751A6">
              <w:t>fiscal</w:t>
            </w:r>
            <w:proofErr w:type="spellEnd"/>
            <w:r w:rsidRPr="009751A6">
              <w:t xml:space="preserve"> deficit</w:t>
            </w:r>
            <w:r w:rsidRPr="009751A6">
              <w:tab/>
            </w:r>
          </w:p>
        </w:tc>
        <w:tc>
          <w:tcPr>
            <w:tcW w:w="1040" w:type="dxa"/>
            <w:hideMark/>
          </w:tcPr>
          <w:p w14:paraId="1BE7984D" w14:textId="77777777" w:rsidR="009751A6" w:rsidRPr="009751A6" w:rsidRDefault="009751A6" w:rsidP="00270D2D">
            <w:pPr>
              <w:jc w:val="right"/>
            </w:pPr>
            <w:r w:rsidRPr="009751A6">
              <w:t>475,7</w:t>
            </w:r>
          </w:p>
        </w:tc>
        <w:tc>
          <w:tcPr>
            <w:tcW w:w="1040" w:type="dxa"/>
            <w:hideMark/>
          </w:tcPr>
          <w:p w14:paraId="1ECA863C" w14:textId="77777777" w:rsidR="009751A6" w:rsidRPr="009751A6" w:rsidRDefault="009751A6" w:rsidP="00270D2D">
            <w:pPr>
              <w:jc w:val="right"/>
            </w:pPr>
            <w:r w:rsidRPr="009751A6">
              <w:t>454,8</w:t>
            </w:r>
          </w:p>
        </w:tc>
        <w:tc>
          <w:tcPr>
            <w:tcW w:w="1040" w:type="dxa"/>
          </w:tcPr>
          <w:p w14:paraId="5A8C717B" w14:textId="77777777" w:rsidR="009751A6" w:rsidRPr="009751A6" w:rsidRDefault="009751A6" w:rsidP="00270D2D">
            <w:pPr>
              <w:jc w:val="right"/>
            </w:pPr>
            <w:r w:rsidRPr="009751A6">
              <w:t>561,7</w:t>
            </w:r>
          </w:p>
        </w:tc>
      </w:tr>
      <w:tr w:rsidR="009751A6" w:rsidRPr="009751A6" w14:paraId="2D019BB1" w14:textId="77777777" w:rsidTr="00270D2D">
        <w:tc>
          <w:tcPr>
            <w:tcW w:w="5670" w:type="dxa"/>
            <w:hideMark/>
          </w:tcPr>
          <w:p w14:paraId="30728C44" w14:textId="77777777" w:rsidR="009751A6" w:rsidRPr="009751A6" w:rsidRDefault="009751A6" w:rsidP="009751A6">
            <w:r w:rsidRPr="004626DF">
              <w:rPr>
                <w:lang w:val="en-GB"/>
              </w:rPr>
              <w:t xml:space="preserve">+ Net interest and transfers from </w:t>
            </w:r>
            <w:proofErr w:type="spellStart"/>
            <w:r w:rsidRPr="004626DF">
              <w:rPr>
                <w:lang w:val="en-GB"/>
              </w:rPr>
              <w:t>Norges</w:t>
            </w:r>
            <w:proofErr w:type="spellEnd"/>
            <w:r w:rsidRPr="004626DF">
              <w:rPr>
                <w:lang w:val="en-GB"/>
              </w:rPr>
              <w:t xml:space="preserve"> Bank. </w:t>
            </w:r>
            <w:proofErr w:type="spellStart"/>
            <w:r w:rsidRPr="009751A6">
              <w:t>Deviations</w:t>
            </w:r>
            <w:proofErr w:type="spellEnd"/>
            <w:r w:rsidRPr="009751A6">
              <w:t xml:space="preserve"> from trend</w:t>
            </w:r>
            <w:r w:rsidRPr="009751A6">
              <w:tab/>
            </w:r>
          </w:p>
        </w:tc>
        <w:tc>
          <w:tcPr>
            <w:tcW w:w="1040" w:type="dxa"/>
          </w:tcPr>
          <w:p w14:paraId="357BE93E" w14:textId="77777777" w:rsidR="009751A6" w:rsidRPr="009751A6" w:rsidRDefault="009751A6" w:rsidP="00270D2D">
            <w:pPr>
              <w:jc w:val="right"/>
            </w:pPr>
            <w:r w:rsidRPr="009751A6">
              <w:t>33,0</w:t>
            </w:r>
          </w:p>
        </w:tc>
        <w:tc>
          <w:tcPr>
            <w:tcW w:w="1040" w:type="dxa"/>
          </w:tcPr>
          <w:p w14:paraId="6DAFAF82" w14:textId="77777777" w:rsidR="009751A6" w:rsidRPr="009751A6" w:rsidRDefault="009751A6" w:rsidP="00270D2D">
            <w:pPr>
              <w:jc w:val="right"/>
            </w:pPr>
            <w:r w:rsidRPr="009751A6">
              <w:t>14,1</w:t>
            </w:r>
          </w:p>
        </w:tc>
        <w:tc>
          <w:tcPr>
            <w:tcW w:w="1040" w:type="dxa"/>
          </w:tcPr>
          <w:p w14:paraId="07ED1314" w14:textId="77777777" w:rsidR="009751A6" w:rsidRPr="009751A6" w:rsidRDefault="009751A6" w:rsidP="00270D2D">
            <w:pPr>
              <w:jc w:val="right"/>
            </w:pPr>
            <w:r w:rsidRPr="009751A6">
              <w:t>8,7</w:t>
            </w:r>
          </w:p>
        </w:tc>
      </w:tr>
      <w:tr w:rsidR="009751A6" w:rsidRPr="009751A6" w14:paraId="4C4B5D49" w14:textId="77777777" w:rsidTr="00270D2D">
        <w:tc>
          <w:tcPr>
            <w:tcW w:w="5670" w:type="dxa"/>
          </w:tcPr>
          <w:p w14:paraId="31BE9C56" w14:textId="77777777" w:rsidR="009751A6" w:rsidRPr="009751A6" w:rsidRDefault="009751A6" w:rsidP="009751A6">
            <w:r w:rsidRPr="009751A6">
              <w:t xml:space="preserve">+ Special </w:t>
            </w:r>
            <w:proofErr w:type="spellStart"/>
            <w:r w:rsidRPr="009751A6">
              <w:t>accounting</w:t>
            </w:r>
            <w:proofErr w:type="spellEnd"/>
            <w:r w:rsidRPr="009751A6">
              <w:t xml:space="preserve"> matters</w:t>
            </w:r>
            <w:r w:rsidRPr="009751A6">
              <w:tab/>
            </w:r>
          </w:p>
        </w:tc>
        <w:tc>
          <w:tcPr>
            <w:tcW w:w="1040" w:type="dxa"/>
          </w:tcPr>
          <w:p w14:paraId="78804A35" w14:textId="77777777" w:rsidR="009751A6" w:rsidRPr="009751A6" w:rsidRDefault="009751A6" w:rsidP="00270D2D">
            <w:pPr>
              <w:jc w:val="right"/>
            </w:pPr>
            <w:r w:rsidRPr="009751A6">
              <w:t>3,5</w:t>
            </w:r>
          </w:p>
        </w:tc>
        <w:tc>
          <w:tcPr>
            <w:tcW w:w="1040" w:type="dxa"/>
          </w:tcPr>
          <w:p w14:paraId="6CABD195" w14:textId="77777777" w:rsidR="009751A6" w:rsidRPr="009751A6" w:rsidRDefault="009751A6" w:rsidP="00270D2D">
            <w:pPr>
              <w:jc w:val="right"/>
            </w:pPr>
            <w:r w:rsidRPr="009751A6">
              <w:t>79,7</w:t>
            </w:r>
          </w:p>
        </w:tc>
        <w:tc>
          <w:tcPr>
            <w:tcW w:w="1040" w:type="dxa"/>
          </w:tcPr>
          <w:p w14:paraId="16942490" w14:textId="77777777" w:rsidR="009751A6" w:rsidRPr="009751A6" w:rsidRDefault="009751A6" w:rsidP="00270D2D">
            <w:pPr>
              <w:jc w:val="right"/>
            </w:pPr>
            <w:r w:rsidRPr="009751A6">
              <w:t>11,1</w:t>
            </w:r>
          </w:p>
        </w:tc>
      </w:tr>
      <w:tr w:rsidR="009751A6" w:rsidRPr="009751A6" w14:paraId="2F46D94F" w14:textId="77777777" w:rsidTr="00270D2D">
        <w:tc>
          <w:tcPr>
            <w:tcW w:w="5670" w:type="dxa"/>
            <w:hideMark/>
          </w:tcPr>
          <w:p w14:paraId="0246A379" w14:textId="77777777" w:rsidR="009751A6" w:rsidRPr="004626DF" w:rsidRDefault="009751A6" w:rsidP="009751A6">
            <w:pPr>
              <w:rPr>
                <w:lang w:val="en-GB"/>
              </w:rPr>
            </w:pPr>
            <w:r w:rsidRPr="004626DF">
              <w:rPr>
                <w:lang w:val="en-GB"/>
              </w:rPr>
              <w:t>+ Taxes and unemployment benefits. Deviations from trend</w:t>
            </w:r>
            <w:r w:rsidRPr="004626DF">
              <w:rPr>
                <w:lang w:val="en-GB"/>
              </w:rPr>
              <w:tab/>
            </w:r>
          </w:p>
        </w:tc>
        <w:tc>
          <w:tcPr>
            <w:tcW w:w="1040" w:type="dxa"/>
          </w:tcPr>
          <w:p w14:paraId="6AFA0649" w14:textId="77777777" w:rsidR="009751A6" w:rsidRPr="009751A6" w:rsidRDefault="009751A6" w:rsidP="00270D2D">
            <w:pPr>
              <w:jc w:val="right"/>
            </w:pPr>
            <w:r w:rsidRPr="009751A6">
              <w:t>-4,8</w:t>
            </w:r>
          </w:p>
        </w:tc>
        <w:tc>
          <w:tcPr>
            <w:tcW w:w="1040" w:type="dxa"/>
          </w:tcPr>
          <w:p w14:paraId="14D01A9B" w14:textId="77777777" w:rsidR="009751A6" w:rsidRPr="009751A6" w:rsidRDefault="009751A6" w:rsidP="00270D2D">
            <w:pPr>
              <w:jc w:val="right"/>
            </w:pPr>
            <w:r w:rsidRPr="009751A6">
              <w:t>34,8</w:t>
            </w:r>
          </w:p>
        </w:tc>
        <w:tc>
          <w:tcPr>
            <w:tcW w:w="1040" w:type="dxa"/>
          </w:tcPr>
          <w:p w14:paraId="0E996F13" w14:textId="77777777" w:rsidR="009751A6" w:rsidRPr="009751A6" w:rsidRDefault="009751A6" w:rsidP="00270D2D">
            <w:pPr>
              <w:jc w:val="right"/>
            </w:pPr>
            <w:r w:rsidRPr="009751A6">
              <w:t>26,9</w:t>
            </w:r>
          </w:p>
        </w:tc>
      </w:tr>
      <w:tr w:rsidR="009751A6" w:rsidRPr="009751A6" w14:paraId="3A99B241" w14:textId="77777777" w:rsidTr="00270D2D">
        <w:tc>
          <w:tcPr>
            <w:tcW w:w="5670" w:type="dxa"/>
          </w:tcPr>
          <w:p w14:paraId="4C0B8863" w14:textId="306D2E61" w:rsidR="009751A6" w:rsidRPr="004626DF" w:rsidRDefault="009751A6" w:rsidP="009751A6">
            <w:pPr>
              <w:rPr>
                <w:lang w:val="en-GB"/>
              </w:rPr>
            </w:pPr>
            <w:r w:rsidRPr="004626DF">
              <w:rPr>
                <w:lang w:val="en-GB"/>
              </w:rPr>
              <w:t>= Structural non-oil fiscal deficit</w:t>
            </w:r>
            <w:r w:rsidRPr="004626DF">
              <w:rPr>
                <w:lang w:val="en-GB"/>
              </w:rPr>
              <w:tab/>
            </w:r>
          </w:p>
        </w:tc>
        <w:tc>
          <w:tcPr>
            <w:tcW w:w="1040" w:type="dxa"/>
          </w:tcPr>
          <w:p w14:paraId="717C0BE3" w14:textId="77777777" w:rsidR="009751A6" w:rsidRPr="009751A6" w:rsidRDefault="009751A6" w:rsidP="00270D2D">
            <w:pPr>
              <w:jc w:val="right"/>
            </w:pPr>
            <w:r w:rsidRPr="009751A6">
              <w:t>507,4</w:t>
            </w:r>
          </w:p>
        </w:tc>
        <w:tc>
          <w:tcPr>
            <w:tcW w:w="1040" w:type="dxa"/>
          </w:tcPr>
          <w:p w14:paraId="3EE10012" w14:textId="77777777" w:rsidR="009751A6" w:rsidRPr="009751A6" w:rsidRDefault="009751A6" w:rsidP="00270D2D">
            <w:pPr>
              <w:jc w:val="right"/>
            </w:pPr>
            <w:r w:rsidRPr="009751A6">
              <w:t>583,4</w:t>
            </w:r>
          </w:p>
        </w:tc>
        <w:tc>
          <w:tcPr>
            <w:tcW w:w="1040" w:type="dxa"/>
          </w:tcPr>
          <w:p w14:paraId="58CC8F13" w14:textId="77777777" w:rsidR="009751A6" w:rsidRPr="009751A6" w:rsidRDefault="009751A6" w:rsidP="00270D2D">
            <w:pPr>
              <w:jc w:val="right"/>
            </w:pPr>
            <w:r w:rsidRPr="009751A6">
              <w:t>608,4</w:t>
            </w:r>
          </w:p>
        </w:tc>
      </w:tr>
    </w:tbl>
    <w:p w14:paraId="50CBB326" w14:textId="5E25507A" w:rsidR="003B29AF" w:rsidRPr="00B21C46" w:rsidRDefault="00BC269C" w:rsidP="00270D2D">
      <w:pPr>
        <w:pStyle w:val="Note"/>
        <w:rPr>
          <w:lang w:val="en-GB"/>
        </w:rPr>
      </w:pPr>
      <w:r w:rsidRPr="00BC269C">
        <w:rPr>
          <w:rStyle w:val="skrift-hevet"/>
          <w:lang w:val="en-GB"/>
        </w:rPr>
        <w:t>1</w:t>
      </w:r>
      <w:r w:rsidR="009751A6" w:rsidRPr="004626DF">
        <w:rPr>
          <w:rStyle w:val="Utheving"/>
          <w:i w:val="0"/>
          <w:sz w:val="20"/>
          <w:szCs w:val="20"/>
          <w:lang w:val="en-GB"/>
        </w:rPr>
        <w:t xml:space="preserve"> </w:t>
      </w:r>
      <w:r w:rsidR="009751A6" w:rsidRPr="00B21C46">
        <w:rPr>
          <w:lang w:val="en-GB"/>
        </w:rPr>
        <w:t>See Appendix 1 for a more detailed description of how the structural non-oil budget deficit is calculated.</w:t>
      </w:r>
    </w:p>
    <w:p w14:paraId="050026E4" w14:textId="4115A643" w:rsidR="009751A6" w:rsidRPr="00B21C46" w:rsidRDefault="009751A6" w:rsidP="00270D2D">
      <w:pPr>
        <w:pStyle w:val="Kilde"/>
        <w:rPr>
          <w:lang w:val="en-GB"/>
        </w:rPr>
      </w:pPr>
      <w:r w:rsidRPr="00B21C46">
        <w:rPr>
          <w:lang w:val="en-GB"/>
        </w:rPr>
        <w:t>Source: Ministry of Finance.</w:t>
      </w:r>
    </w:p>
    <w:p w14:paraId="7E5FFFA3" w14:textId="797F2B02" w:rsidR="009751A6" w:rsidRPr="004626DF" w:rsidRDefault="003B29AF" w:rsidP="00270D2D">
      <w:pPr>
        <w:pStyle w:val="avsnitt-tittel"/>
        <w:rPr>
          <w:lang w:val="en-GB"/>
        </w:rPr>
      </w:pPr>
      <w:r w:rsidRPr="004626DF">
        <w:rPr>
          <w:lang w:val="en-GB"/>
        </w:rPr>
        <w:t>Table 3.4 Underlying fiscal budget expenditure</w:t>
      </w:r>
      <w:r w:rsidR="00BC269C" w:rsidRPr="00BC269C">
        <w:rPr>
          <w:rStyle w:val="skrift-hevet"/>
          <w:lang w:val="en-GB"/>
        </w:rPr>
        <w:t>1</w:t>
      </w:r>
      <w:r w:rsidRPr="004626DF">
        <w:rPr>
          <w:lang w:val="en-GB"/>
        </w:rPr>
        <w:t>. Projections in NOK million and percentage change</w:t>
      </w:r>
    </w:p>
    <w:tbl>
      <w:tblPr>
        <w:tblStyle w:val="StandardTabell"/>
        <w:tblW w:w="9356" w:type="dxa"/>
        <w:tblLayout w:type="fixed"/>
        <w:tblLook w:val="04A0" w:firstRow="1" w:lastRow="0" w:firstColumn="1" w:lastColumn="0" w:noHBand="0" w:noVBand="1"/>
      </w:tblPr>
      <w:tblGrid>
        <w:gridCol w:w="6663"/>
        <w:gridCol w:w="1417"/>
        <w:gridCol w:w="1276"/>
      </w:tblGrid>
      <w:tr w:rsidR="009751A6" w:rsidRPr="009751A6" w14:paraId="05E22980" w14:textId="77777777" w:rsidTr="00270D2D">
        <w:tc>
          <w:tcPr>
            <w:tcW w:w="6663" w:type="dxa"/>
          </w:tcPr>
          <w:p w14:paraId="43DF0E2B" w14:textId="77777777" w:rsidR="009751A6" w:rsidRPr="004626DF" w:rsidRDefault="009751A6" w:rsidP="009751A6">
            <w:pPr>
              <w:rPr>
                <w:lang w:val="en-GB"/>
              </w:rPr>
            </w:pPr>
          </w:p>
        </w:tc>
        <w:tc>
          <w:tcPr>
            <w:tcW w:w="1417" w:type="dxa"/>
            <w:vAlign w:val="bottom"/>
            <w:hideMark/>
          </w:tcPr>
          <w:p w14:paraId="5F2F6E7F" w14:textId="77777777" w:rsidR="009751A6" w:rsidRPr="009751A6" w:rsidRDefault="009751A6" w:rsidP="00270D2D">
            <w:pPr>
              <w:jc w:val="right"/>
            </w:pPr>
            <w:r w:rsidRPr="009751A6">
              <w:t>2026</w:t>
            </w:r>
          </w:p>
        </w:tc>
        <w:tc>
          <w:tcPr>
            <w:tcW w:w="1276" w:type="dxa"/>
            <w:vAlign w:val="bottom"/>
          </w:tcPr>
          <w:p w14:paraId="39AEE709" w14:textId="77777777" w:rsidR="009751A6" w:rsidRPr="009751A6" w:rsidRDefault="009751A6" w:rsidP="00270D2D">
            <w:pPr>
              <w:jc w:val="right"/>
            </w:pPr>
            <w:r w:rsidRPr="009751A6">
              <w:t>2027</w:t>
            </w:r>
          </w:p>
        </w:tc>
      </w:tr>
      <w:tr w:rsidR="009751A6" w:rsidRPr="009751A6" w14:paraId="490C07A5" w14:textId="77777777" w:rsidTr="00270D2D">
        <w:tc>
          <w:tcPr>
            <w:tcW w:w="6663" w:type="dxa"/>
            <w:hideMark/>
          </w:tcPr>
          <w:p w14:paraId="505ED62F" w14:textId="77777777" w:rsidR="009751A6" w:rsidRPr="009751A6" w:rsidRDefault="009751A6" w:rsidP="009751A6">
            <w:r w:rsidRPr="009751A6">
              <w:t xml:space="preserve">State </w:t>
            </w:r>
            <w:proofErr w:type="spellStart"/>
            <w:r w:rsidRPr="009751A6">
              <w:t>budget</w:t>
            </w:r>
            <w:proofErr w:type="spellEnd"/>
            <w:r w:rsidRPr="009751A6">
              <w:t xml:space="preserve"> </w:t>
            </w:r>
            <w:proofErr w:type="spellStart"/>
            <w:r w:rsidRPr="009751A6">
              <w:t>expenditure</w:t>
            </w:r>
            <w:proofErr w:type="spellEnd"/>
            <w:r w:rsidRPr="009751A6">
              <w:tab/>
            </w:r>
          </w:p>
        </w:tc>
        <w:tc>
          <w:tcPr>
            <w:tcW w:w="1417" w:type="dxa"/>
            <w:vAlign w:val="bottom"/>
          </w:tcPr>
          <w:p w14:paraId="614BBC3D" w14:textId="2B46D72B" w:rsidR="009751A6" w:rsidRPr="009751A6" w:rsidRDefault="00BC269C" w:rsidP="00270D2D">
            <w:pPr>
              <w:jc w:val="right"/>
            </w:pPr>
            <w:r w:rsidRPr="009751A6">
              <w:t>2</w:t>
            </w:r>
            <w:r>
              <w:t> </w:t>
            </w:r>
            <w:r w:rsidRPr="009751A6">
              <w:t>239</w:t>
            </w:r>
            <w:r>
              <w:t> </w:t>
            </w:r>
            <w:r w:rsidRPr="009751A6">
              <w:t>372</w:t>
            </w:r>
          </w:p>
        </w:tc>
        <w:tc>
          <w:tcPr>
            <w:tcW w:w="1276" w:type="dxa"/>
            <w:vAlign w:val="bottom"/>
          </w:tcPr>
          <w:p w14:paraId="318150F8" w14:textId="163FBA09" w:rsidR="009751A6" w:rsidRPr="009751A6" w:rsidRDefault="00BC269C" w:rsidP="00270D2D">
            <w:pPr>
              <w:jc w:val="right"/>
            </w:pPr>
            <w:r w:rsidRPr="009751A6">
              <w:t>2</w:t>
            </w:r>
            <w:r>
              <w:t> </w:t>
            </w:r>
            <w:r w:rsidRPr="009751A6">
              <w:t>321</w:t>
            </w:r>
            <w:r>
              <w:t> </w:t>
            </w:r>
            <w:r w:rsidRPr="009751A6">
              <w:t>798</w:t>
            </w:r>
          </w:p>
        </w:tc>
      </w:tr>
      <w:tr w:rsidR="009751A6" w:rsidRPr="009751A6" w14:paraId="3D8EA52D" w14:textId="77777777" w:rsidTr="00270D2D">
        <w:tc>
          <w:tcPr>
            <w:tcW w:w="6663" w:type="dxa"/>
            <w:hideMark/>
          </w:tcPr>
          <w:p w14:paraId="6D8E1EB4" w14:textId="77777777" w:rsidR="009751A6" w:rsidRPr="009751A6" w:rsidRDefault="009751A6" w:rsidP="009751A6">
            <w:r w:rsidRPr="009751A6">
              <w:t xml:space="preserve">- </w:t>
            </w:r>
            <w:proofErr w:type="spellStart"/>
            <w:r w:rsidRPr="009751A6">
              <w:t>Government</w:t>
            </w:r>
            <w:proofErr w:type="spellEnd"/>
            <w:r w:rsidRPr="009751A6">
              <w:t xml:space="preserve"> petroleum </w:t>
            </w:r>
            <w:proofErr w:type="spellStart"/>
            <w:r w:rsidRPr="009751A6">
              <w:t>activities</w:t>
            </w:r>
            <w:proofErr w:type="spellEnd"/>
            <w:r w:rsidRPr="009751A6">
              <w:tab/>
            </w:r>
          </w:p>
        </w:tc>
        <w:tc>
          <w:tcPr>
            <w:tcW w:w="1417" w:type="dxa"/>
            <w:vAlign w:val="bottom"/>
          </w:tcPr>
          <w:p w14:paraId="003CD076" w14:textId="07F5F048" w:rsidR="009751A6" w:rsidRPr="009751A6" w:rsidRDefault="009751A6" w:rsidP="00270D2D">
            <w:pPr>
              <w:jc w:val="right"/>
            </w:pPr>
            <w:r w:rsidRPr="009751A6">
              <w:t>3</w:t>
            </w:r>
            <w:r w:rsidR="00BC269C" w:rsidRPr="009751A6">
              <w:t>5</w:t>
            </w:r>
            <w:r w:rsidR="00BC269C">
              <w:t> </w:t>
            </w:r>
            <w:r w:rsidR="00BC269C" w:rsidRPr="009751A6">
              <w:t>500</w:t>
            </w:r>
          </w:p>
        </w:tc>
        <w:tc>
          <w:tcPr>
            <w:tcW w:w="1276" w:type="dxa"/>
            <w:vAlign w:val="bottom"/>
          </w:tcPr>
          <w:p w14:paraId="3815F617" w14:textId="527DE048" w:rsidR="009751A6" w:rsidRPr="009751A6" w:rsidRDefault="009751A6" w:rsidP="00270D2D">
            <w:pPr>
              <w:jc w:val="right"/>
            </w:pPr>
            <w:r w:rsidRPr="009751A6">
              <w:t>3</w:t>
            </w:r>
            <w:r w:rsidR="00BC269C" w:rsidRPr="009751A6">
              <w:t>5</w:t>
            </w:r>
            <w:r w:rsidR="00BC269C">
              <w:t> </w:t>
            </w:r>
            <w:r w:rsidR="00BC269C" w:rsidRPr="009751A6">
              <w:t>000</w:t>
            </w:r>
          </w:p>
        </w:tc>
      </w:tr>
      <w:tr w:rsidR="009751A6" w:rsidRPr="009751A6" w14:paraId="14AB28BB" w14:textId="77777777" w:rsidTr="00270D2D">
        <w:tc>
          <w:tcPr>
            <w:tcW w:w="6663" w:type="dxa"/>
            <w:hideMark/>
          </w:tcPr>
          <w:p w14:paraId="246388E4" w14:textId="77777777" w:rsidR="009751A6" w:rsidRPr="004626DF" w:rsidRDefault="009751A6" w:rsidP="009751A6">
            <w:pPr>
              <w:rPr>
                <w:lang w:val="en-GB"/>
              </w:rPr>
            </w:pPr>
            <w:r w:rsidRPr="004626DF">
              <w:rPr>
                <w:lang w:val="en-GB"/>
              </w:rPr>
              <w:t>- Unemployment benefits for the unemployed</w:t>
            </w:r>
            <w:r w:rsidRPr="004626DF">
              <w:rPr>
                <w:lang w:val="en-GB"/>
              </w:rPr>
              <w:tab/>
            </w:r>
          </w:p>
        </w:tc>
        <w:tc>
          <w:tcPr>
            <w:tcW w:w="1417" w:type="dxa"/>
            <w:vAlign w:val="bottom"/>
          </w:tcPr>
          <w:p w14:paraId="198748A1" w14:textId="42CB02DD" w:rsidR="009751A6" w:rsidRPr="009751A6" w:rsidRDefault="009751A6" w:rsidP="00270D2D">
            <w:pPr>
              <w:jc w:val="right"/>
            </w:pPr>
            <w:r w:rsidRPr="009751A6">
              <w:t>1</w:t>
            </w:r>
            <w:r w:rsidR="00BC269C" w:rsidRPr="009751A6">
              <w:t>6</w:t>
            </w:r>
            <w:r w:rsidR="00BC269C">
              <w:t> </w:t>
            </w:r>
            <w:r w:rsidR="00BC269C" w:rsidRPr="009751A6">
              <w:t>930</w:t>
            </w:r>
          </w:p>
        </w:tc>
        <w:tc>
          <w:tcPr>
            <w:tcW w:w="1276" w:type="dxa"/>
            <w:vAlign w:val="bottom"/>
          </w:tcPr>
          <w:p w14:paraId="75FA0BFF" w14:textId="12B36AAE" w:rsidR="009751A6" w:rsidRPr="009751A6" w:rsidRDefault="009751A6" w:rsidP="00270D2D">
            <w:pPr>
              <w:jc w:val="right"/>
            </w:pPr>
            <w:r w:rsidRPr="009751A6">
              <w:t>1</w:t>
            </w:r>
            <w:r w:rsidR="00BC269C" w:rsidRPr="009751A6">
              <w:t>7</w:t>
            </w:r>
            <w:r w:rsidR="00BC269C">
              <w:t> </w:t>
            </w:r>
            <w:r w:rsidR="00BC269C" w:rsidRPr="009751A6">
              <w:t>695</w:t>
            </w:r>
          </w:p>
        </w:tc>
      </w:tr>
      <w:tr w:rsidR="009751A6" w:rsidRPr="009751A6" w14:paraId="29318ABA" w14:textId="77777777" w:rsidTr="00270D2D">
        <w:tc>
          <w:tcPr>
            <w:tcW w:w="6663" w:type="dxa"/>
            <w:hideMark/>
          </w:tcPr>
          <w:p w14:paraId="0546416A" w14:textId="77777777" w:rsidR="009751A6" w:rsidRPr="009751A6" w:rsidRDefault="009751A6" w:rsidP="009751A6">
            <w:r w:rsidRPr="009751A6">
              <w:t xml:space="preserve">+ </w:t>
            </w:r>
            <w:proofErr w:type="spellStart"/>
            <w:r w:rsidRPr="009751A6">
              <w:t>Interest</w:t>
            </w:r>
            <w:proofErr w:type="spellEnd"/>
            <w:r w:rsidRPr="009751A6">
              <w:t xml:space="preserve"> </w:t>
            </w:r>
            <w:proofErr w:type="spellStart"/>
            <w:r w:rsidRPr="009751A6">
              <w:t>expenses</w:t>
            </w:r>
            <w:proofErr w:type="spellEnd"/>
            <w:r w:rsidRPr="009751A6">
              <w:tab/>
            </w:r>
          </w:p>
        </w:tc>
        <w:tc>
          <w:tcPr>
            <w:tcW w:w="1417" w:type="dxa"/>
            <w:vAlign w:val="bottom"/>
          </w:tcPr>
          <w:p w14:paraId="73482AD0" w14:textId="4D2A8632" w:rsidR="009751A6" w:rsidRPr="009751A6" w:rsidRDefault="009751A6" w:rsidP="00270D2D">
            <w:pPr>
              <w:jc w:val="right"/>
            </w:pPr>
            <w:r w:rsidRPr="009751A6">
              <w:t>2</w:t>
            </w:r>
            <w:r w:rsidR="00BC269C" w:rsidRPr="009751A6">
              <w:t>1</w:t>
            </w:r>
            <w:r w:rsidR="00BC269C">
              <w:t> </w:t>
            </w:r>
            <w:r w:rsidR="00BC269C" w:rsidRPr="009751A6">
              <w:t>524</w:t>
            </w:r>
          </w:p>
        </w:tc>
        <w:tc>
          <w:tcPr>
            <w:tcW w:w="1276" w:type="dxa"/>
            <w:vAlign w:val="bottom"/>
          </w:tcPr>
          <w:p w14:paraId="329F6D51" w14:textId="74248DC2" w:rsidR="009751A6" w:rsidRPr="009751A6" w:rsidRDefault="009751A6" w:rsidP="00270D2D">
            <w:pPr>
              <w:jc w:val="right"/>
            </w:pPr>
            <w:r w:rsidRPr="009751A6">
              <w:t>2</w:t>
            </w:r>
            <w:r w:rsidR="00BC269C" w:rsidRPr="009751A6">
              <w:t>5</w:t>
            </w:r>
            <w:r w:rsidR="00BC269C">
              <w:t> </w:t>
            </w:r>
            <w:r w:rsidR="00BC269C" w:rsidRPr="009751A6">
              <w:t>300</w:t>
            </w:r>
          </w:p>
        </w:tc>
      </w:tr>
      <w:tr w:rsidR="009751A6" w:rsidRPr="009751A6" w14:paraId="0306A943" w14:textId="77777777" w:rsidTr="00270D2D">
        <w:tc>
          <w:tcPr>
            <w:tcW w:w="6663" w:type="dxa"/>
            <w:hideMark/>
          </w:tcPr>
          <w:p w14:paraId="6CA3D44A" w14:textId="77777777" w:rsidR="009751A6" w:rsidRPr="004626DF" w:rsidRDefault="009751A6" w:rsidP="009751A6">
            <w:pPr>
              <w:rPr>
                <w:lang w:val="en-GB"/>
              </w:rPr>
            </w:pPr>
            <w:r w:rsidRPr="004626DF">
              <w:rPr>
                <w:lang w:val="en-GB"/>
              </w:rPr>
              <w:t>= Expenditure other than petroleum activities, unemployment benefits and interest expenses</w:t>
            </w:r>
            <w:r w:rsidRPr="004626DF">
              <w:rPr>
                <w:lang w:val="en-GB"/>
              </w:rPr>
              <w:tab/>
            </w:r>
          </w:p>
        </w:tc>
        <w:tc>
          <w:tcPr>
            <w:tcW w:w="1417" w:type="dxa"/>
            <w:vAlign w:val="bottom"/>
          </w:tcPr>
          <w:p w14:paraId="6414091A" w14:textId="515EF5D5" w:rsidR="009751A6" w:rsidRPr="009751A6" w:rsidRDefault="00BC269C" w:rsidP="00270D2D">
            <w:pPr>
              <w:jc w:val="right"/>
            </w:pPr>
            <w:r w:rsidRPr="009751A6">
              <w:t>2</w:t>
            </w:r>
            <w:r>
              <w:t> </w:t>
            </w:r>
            <w:r w:rsidRPr="009751A6">
              <w:t>165</w:t>
            </w:r>
            <w:r>
              <w:t> </w:t>
            </w:r>
            <w:r w:rsidRPr="009751A6">
              <w:t>418</w:t>
            </w:r>
          </w:p>
        </w:tc>
        <w:tc>
          <w:tcPr>
            <w:tcW w:w="1276" w:type="dxa"/>
            <w:vAlign w:val="bottom"/>
          </w:tcPr>
          <w:p w14:paraId="6FAE0BC6" w14:textId="035D2221" w:rsidR="009751A6" w:rsidRPr="009751A6" w:rsidRDefault="00BC269C" w:rsidP="00270D2D">
            <w:pPr>
              <w:jc w:val="right"/>
            </w:pPr>
            <w:r w:rsidRPr="009751A6">
              <w:t>2</w:t>
            </w:r>
            <w:r>
              <w:t> </w:t>
            </w:r>
            <w:r w:rsidRPr="009751A6">
              <w:t>243</w:t>
            </w:r>
            <w:r>
              <w:t> </w:t>
            </w:r>
            <w:r w:rsidRPr="009751A6">
              <w:t>803</w:t>
            </w:r>
          </w:p>
        </w:tc>
      </w:tr>
      <w:tr w:rsidR="009751A6" w:rsidRPr="009751A6" w14:paraId="5136C3EF" w14:textId="77777777" w:rsidTr="00270D2D">
        <w:tc>
          <w:tcPr>
            <w:tcW w:w="6663" w:type="dxa"/>
            <w:hideMark/>
          </w:tcPr>
          <w:p w14:paraId="31982C68" w14:textId="77777777" w:rsidR="009751A6" w:rsidRPr="004626DF" w:rsidRDefault="009751A6" w:rsidP="009751A6">
            <w:pPr>
              <w:rPr>
                <w:lang w:val="en-GB"/>
              </w:rPr>
            </w:pPr>
            <w:r w:rsidRPr="004626DF">
              <w:rPr>
                <w:lang w:val="en-GB"/>
              </w:rPr>
              <w:t>- Refugees in Norway financed through the aid framework</w:t>
            </w:r>
            <w:r w:rsidRPr="004626DF">
              <w:rPr>
                <w:lang w:val="en-GB"/>
              </w:rPr>
              <w:tab/>
            </w:r>
          </w:p>
        </w:tc>
        <w:tc>
          <w:tcPr>
            <w:tcW w:w="1417" w:type="dxa"/>
            <w:vAlign w:val="bottom"/>
          </w:tcPr>
          <w:p w14:paraId="35EC6D0C" w14:textId="5C7AFC84" w:rsidR="009751A6" w:rsidRPr="009751A6" w:rsidRDefault="00BC269C" w:rsidP="00270D2D">
            <w:pPr>
              <w:jc w:val="right"/>
            </w:pPr>
            <w:r w:rsidRPr="009751A6">
              <w:t>3</w:t>
            </w:r>
            <w:r>
              <w:t> </w:t>
            </w:r>
            <w:r w:rsidRPr="009751A6">
              <w:t>358</w:t>
            </w:r>
          </w:p>
        </w:tc>
        <w:tc>
          <w:tcPr>
            <w:tcW w:w="1276" w:type="dxa"/>
            <w:vAlign w:val="bottom"/>
          </w:tcPr>
          <w:p w14:paraId="4A2038FB" w14:textId="329E21CA" w:rsidR="009751A6" w:rsidRPr="009751A6" w:rsidRDefault="00BC269C" w:rsidP="00270D2D">
            <w:pPr>
              <w:jc w:val="right"/>
            </w:pPr>
            <w:r w:rsidRPr="009751A6">
              <w:t>2</w:t>
            </w:r>
            <w:r>
              <w:t> </w:t>
            </w:r>
            <w:r w:rsidRPr="009751A6">
              <w:t>581</w:t>
            </w:r>
          </w:p>
        </w:tc>
      </w:tr>
      <w:tr w:rsidR="009751A6" w:rsidRPr="009751A6" w14:paraId="1A2239FD" w14:textId="77777777" w:rsidTr="00270D2D">
        <w:tc>
          <w:tcPr>
            <w:tcW w:w="6663" w:type="dxa"/>
            <w:hideMark/>
          </w:tcPr>
          <w:p w14:paraId="3D077DFE" w14:textId="77777777" w:rsidR="009751A6" w:rsidRPr="004626DF" w:rsidRDefault="009751A6" w:rsidP="009751A6">
            <w:pPr>
              <w:rPr>
                <w:lang w:val="en-GB"/>
              </w:rPr>
            </w:pPr>
            <w:r w:rsidRPr="004626DF">
              <w:rPr>
                <w:lang w:val="en-GB"/>
              </w:rPr>
              <w:t>+ Adjustment for pension premiums, etc., health enterprises</w:t>
            </w:r>
            <w:r w:rsidRPr="004626DF">
              <w:rPr>
                <w:lang w:val="en-GB"/>
              </w:rPr>
              <w:tab/>
            </w:r>
          </w:p>
        </w:tc>
        <w:tc>
          <w:tcPr>
            <w:tcW w:w="1417" w:type="dxa"/>
            <w:vAlign w:val="bottom"/>
          </w:tcPr>
          <w:p w14:paraId="63794EC4" w14:textId="20C5FC8A" w:rsidR="009751A6" w:rsidRPr="009751A6" w:rsidRDefault="00BC269C" w:rsidP="00270D2D">
            <w:pPr>
              <w:jc w:val="right"/>
            </w:pPr>
            <w:r w:rsidRPr="009751A6">
              <w:t>2</w:t>
            </w:r>
            <w:r>
              <w:t> </w:t>
            </w:r>
            <w:r w:rsidRPr="009751A6">
              <w:t>842</w:t>
            </w:r>
          </w:p>
        </w:tc>
        <w:tc>
          <w:tcPr>
            <w:tcW w:w="1276" w:type="dxa"/>
            <w:vAlign w:val="bottom"/>
          </w:tcPr>
          <w:p w14:paraId="3FCF98B5" w14:textId="2C28095F" w:rsidR="009751A6" w:rsidRPr="009751A6" w:rsidRDefault="00BC269C" w:rsidP="00270D2D">
            <w:pPr>
              <w:jc w:val="right"/>
            </w:pPr>
            <w:r w:rsidRPr="009751A6">
              <w:t>3</w:t>
            </w:r>
            <w:r>
              <w:t> </w:t>
            </w:r>
            <w:r w:rsidRPr="009751A6">
              <w:t>413</w:t>
            </w:r>
          </w:p>
        </w:tc>
      </w:tr>
      <w:tr w:rsidR="009751A6" w:rsidRPr="009751A6" w14:paraId="5D912D1E" w14:textId="77777777" w:rsidTr="00270D2D">
        <w:tc>
          <w:tcPr>
            <w:tcW w:w="6663" w:type="dxa"/>
            <w:hideMark/>
          </w:tcPr>
          <w:p w14:paraId="2E175768" w14:textId="77777777" w:rsidR="009751A6" w:rsidRPr="009751A6" w:rsidRDefault="009751A6" w:rsidP="009751A6">
            <w:r w:rsidRPr="009751A6">
              <w:t xml:space="preserve">= Underlying </w:t>
            </w:r>
            <w:proofErr w:type="spellStart"/>
            <w:r w:rsidRPr="009751A6">
              <w:t>expenses</w:t>
            </w:r>
            <w:proofErr w:type="spellEnd"/>
            <w:r w:rsidRPr="009751A6">
              <w:tab/>
            </w:r>
          </w:p>
        </w:tc>
        <w:tc>
          <w:tcPr>
            <w:tcW w:w="1417" w:type="dxa"/>
            <w:vAlign w:val="bottom"/>
          </w:tcPr>
          <w:p w14:paraId="508108F9" w14:textId="56A8DA7B" w:rsidR="009751A6" w:rsidRPr="009751A6" w:rsidRDefault="00BC269C" w:rsidP="00270D2D">
            <w:pPr>
              <w:jc w:val="right"/>
            </w:pPr>
            <w:r w:rsidRPr="009751A6">
              <w:t>2</w:t>
            </w:r>
            <w:r>
              <w:t> </w:t>
            </w:r>
            <w:r w:rsidRPr="009751A6">
              <w:t>164</w:t>
            </w:r>
            <w:r>
              <w:t> </w:t>
            </w:r>
            <w:r w:rsidRPr="009751A6">
              <w:t>903</w:t>
            </w:r>
          </w:p>
        </w:tc>
        <w:tc>
          <w:tcPr>
            <w:tcW w:w="1276" w:type="dxa"/>
            <w:vAlign w:val="bottom"/>
          </w:tcPr>
          <w:p w14:paraId="01420A48" w14:textId="1340F0CA" w:rsidR="009751A6" w:rsidRPr="009751A6" w:rsidRDefault="00BC269C" w:rsidP="00270D2D">
            <w:pPr>
              <w:jc w:val="right"/>
            </w:pPr>
            <w:r w:rsidRPr="009751A6">
              <w:t>2</w:t>
            </w:r>
            <w:r>
              <w:t> </w:t>
            </w:r>
            <w:r w:rsidRPr="009751A6">
              <w:t>244</w:t>
            </w:r>
            <w:r>
              <w:t> </w:t>
            </w:r>
            <w:r w:rsidRPr="009751A6">
              <w:t>634</w:t>
            </w:r>
          </w:p>
        </w:tc>
      </w:tr>
      <w:tr w:rsidR="009751A6" w:rsidRPr="009751A6" w14:paraId="6DF607A5" w14:textId="77777777" w:rsidTr="00270D2D">
        <w:tc>
          <w:tcPr>
            <w:tcW w:w="6663" w:type="dxa"/>
            <w:hideMark/>
          </w:tcPr>
          <w:p w14:paraId="257CC43F" w14:textId="77777777" w:rsidR="009751A6" w:rsidRPr="004626DF" w:rsidRDefault="009751A6" w:rsidP="009751A6">
            <w:pPr>
              <w:rPr>
                <w:lang w:val="en-GB"/>
              </w:rPr>
            </w:pPr>
            <w:r w:rsidRPr="004626DF">
              <w:rPr>
                <w:lang w:val="en-GB"/>
              </w:rPr>
              <w:t>Change in value in per cent.</w:t>
            </w:r>
            <w:r w:rsidRPr="004626DF">
              <w:rPr>
                <w:lang w:val="en-GB"/>
              </w:rPr>
              <w:tab/>
            </w:r>
          </w:p>
        </w:tc>
        <w:tc>
          <w:tcPr>
            <w:tcW w:w="1417" w:type="dxa"/>
            <w:vAlign w:val="bottom"/>
          </w:tcPr>
          <w:p w14:paraId="3E817CDA" w14:textId="77777777" w:rsidR="009751A6" w:rsidRPr="004626DF" w:rsidRDefault="009751A6" w:rsidP="00270D2D">
            <w:pPr>
              <w:jc w:val="right"/>
              <w:rPr>
                <w:lang w:val="en-GB"/>
              </w:rPr>
            </w:pPr>
          </w:p>
        </w:tc>
        <w:tc>
          <w:tcPr>
            <w:tcW w:w="1276" w:type="dxa"/>
            <w:vAlign w:val="bottom"/>
          </w:tcPr>
          <w:p w14:paraId="089F9A7B" w14:textId="77777777" w:rsidR="009751A6" w:rsidRPr="009751A6" w:rsidRDefault="009751A6" w:rsidP="00270D2D">
            <w:pPr>
              <w:jc w:val="right"/>
            </w:pPr>
            <w:r w:rsidRPr="009751A6">
              <w:t>3,7</w:t>
            </w:r>
          </w:p>
        </w:tc>
      </w:tr>
      <w:tr w:rsidR="009751A6" w:rsidRPr="009751A6" w14:paraId="75512E70" w14:textId="77777777" w:rsidTr="00270D2D">
        <w:tc>
          <w:tcPr>
            <w:tcW w:w="6663" w:type="dxa"/>
            <w:hideMark/>
          </w:tcPr>
          <w:p w14:paraId="1290302B" w14:textId="77777777" w:rsidR="009751A6" w:rsidRPr="004626DF" w:rsidRDefault="009751A6" w:rsidP="009751A6">
            <w:pPr>
              <w:rPr>
                <w:lang w:val="en-GB"/>
              </w:rPr>
            </w:pPr>
            <w:r w:rsidRPr="004626DF">
              <w:rPr>
                <w:lang w:val="en-GB"/>
              </w:rPr>
              <w:t>Price change in per cent.</w:t>
            </w:r>
            <w:r w:rsidRPr="004626DF">
              <w:rPr>
                <w:lang w:val="en-GB"/>
              </w:rPr>
              <w:tab/>
            </w:r>
          </w:p>
        </w:tc>
        <w:tc>
          <w:tcPr>
            <w:tcW w:w="1417" w:type="dxa"/>
            <w:vAlign w:val="bottom"/>
          </w:tcPr>
          <w:p w14:paraId="40949266" w14:textId="77777777" w:rsidR="009751A6" w:rsidRPr="004626DF" w:rsidRDefault="009751A6" w:rsidP="00270D2D">
            <w:pPr>
              <w:jc w:val="right"/>
              <w:rPr>
                <w:lang w:val="en-GB"/>
              </w:rPr>
            </w:pPr>
          </w:p>
        </w:tc>
        <w:tc>
          <w:tcPr>
            <w:tcW w:w="1276" w:type="dxa"/>
            <w:vAlign w:val="bottom"/>
          </w:tcPr>
          <w:p w14:paraId="1EC13669" w14:textId="77777777" w:rsidR="009751A6" w:rsidRPr="009751A6" w:rsidRDefault="009751A6" w:rsidP="00270D2D">
            <w:pPr>
              <w:jc w:val="right"/>
            </w:pPr>
            <w:r w:rsidRPr="009751A6">
              <w:t>3,4</w:t>
            </w:r>
          </w:p>
        </w:tc>
      </w:tr>
      <w:tr w:rsidR="009751A6" w:rsidRPr="009751A6" w14:paraId="468BE220" w14:textId="77777777" w:rsidTr="00270D2D">
        <w:tc>
          <w:tcPr>
            <w:tcW w:w="6663" w:type="dxa"/>
            <w:hideMark/>
          </w:tcPr>
          <w:p w14:paraId="466F65CA" w14:textId="77777777" w:rsidR="009751A6" w:rsidRPr="004626DF" w:rsidRDefault="009751A6" w:rsidP="009751A6">
            <w:pPr>
              <w:rPr>
                <w:lang w:val="en-GB"/>
              </w:rPr>
            </w:pPr>
            <w:r w:rsidRPr="004626DF">
              <w:rPr>
                <w:lang w:val="en-GB"/>
              </w:rPr>
              <w:t>Volume change in per cent.</w:t>
            </w:r>
            <w:r w:rsidRPr="004626DF">
              <w:rPr>
                <w:lang w:val="en-GB"/>
              </w:rPr>
              <w:tab/>
            </w:r>
          </w:p>
        </w:tc>
        <w:tc>
          <w:tcPr>
            <w:tcW w:w="1417" w:type="dxa"/>
            <w:vAlign w:val="bottom"/>
          </w:tcPr>
          <w:p w14:paraId="3AA0CDD3" w14:textId="77777777" w:rsidR="009751A6" w:rsidRPr="004626DF" w:rsidRDefault="009751A6" w:rsidP="00270D2D">
            <w:pPr>
              <w:jc w:val="right"/>
              <w:rPr>
                <w:lang w:val="en-GB"/>
              </w:rPr>
            </w:pPr>
          </w:p>
        </w:tc>
        <w:tc>
          <w:tcPr>
            <w:tcW w:w="1276" w:type="dxa"/>
            <w:vAlign w:val="bottom"/>
          </w:tcPr>
          <w:p w14:paraId="4604F084" w14:textId="77777777" w:rsidR="009751A6" w:rsidRPr="009751A6" w:rsidRDefault="009751A6" w:rsidP="00270D2D">
            <w:pPr>
              <w:jc w:val="right"/>
            </w:pPr>
            <w:r w:rsidRPr="009751A6">
              <w:t>0,2</w:t>
            </w:r>
          </w:p>
        </w:tc>
      </w:tr>
    </w:tbl>
    <w:p w14:paraId="48E95373" w14:textId="453EF6BE" w:rsidR="009751A6" w:rsidRPr="004626DF" w:rsidRDefault="00BC269C" w:rsidP="00270D2D">
      <w:pPr>
        <w:pStyle w:val="Note"/>
        <w:rPr>
          <w:lang w:val="en-GB"/>
        </w:rPr>
      </w:pPr>
      <w:r w:rsidRPr="00BC269C">
        <w:rPr>
          <w:rStyle w:val="skrift-hevet"/>
          <w:lang w:val="en-GB"/>
        </w:rPr>
        <w:t>1</w:t>
      </w:r>
      <w:r w:rsidR="00F10F39" w:rsidRPr="004626DF">
        <w:rPr>
          <w:lang w:val="en-GB"/>
        </w:rPr>
        <w:t xml:space="preserve"> The calculation of underlying expenditure growth excludes fiscal budget expenditure on government petroleum activities, interest expenses and unemployment benefits. </w:t>
      </w:r>
      <w:proofErr w:type="gramStart"/>
      <w:r w:rsidR="00F10F39" w:rsidRPr="004626DF">
        <w:rPr>
          <w:lang w:val="en-GB"/>
        </w:rPr>
        <w:t>In order to</w:t>
      </w:r>
      <w:proofErr w:type="gramEnd"/>
      <w:r w:rsidR="00F10F39" w:rsidRPr="004626DF">
        <w:rPr>
          <w:lang w:val="en-GB"/>
        </w:rPr>
        <w:t xml:space="preserve"> make expenditure comparable over time, adjustments have been made for extraordinary changes and certain accounting considerations in accordance with standard procedures.</w:t>
      </w:r>
    </w:p>
    <w:p w14:paraId="50CF09CA" w14:textId="1C0CCA9E" w:rsidR="007A6FC6" w:rsidRDefault="00F10F39" w:rsidP="00270D2D">
      <w:pPr>
        <w:pStyle w:val="Kilde"/>
        <w:rPr>
          <w:lang w:val="en-GB"/>
        </w:rPr>
      </w:pPr>
      <w:r w:rsidRPr="004626DF">
        <w:rPr>
          <w:lang w:val="en-GB"/>
        </w:rPr>
        <w:t>Source: Ministry of Finance.</w:t>
      </w:r>
    </w:p>
    <w:p w14:paraId="39AB340F" w14:textId="7DA4BF2F" w:rsidR="00EC57F1" w:rsidRPr="00270D2D" w:rsidRDefault="00EC57F1" w:rsidP="00270D2D">
      <w:pPr>
        <w:pStyle w:val="avsnitt-tittel"/>
        <w:rPr>
          <w:lang w:val="en-US"/>
        </w:rPr>
      </w:pPr>
      <w:r w:rsidRPr="004626DF">
        <w:rPr>
          <w:lang w:val="en-GB"/>
        </w:rPr>
        <w:t xml:space="preserve">Table 3.5 Key figures in the fiscal budget and the Government Pension Fund. </w:t>
      </w:r>
      <w:r w:rsidRPr="00270D2D">
        <w:rPr>
          <w:lang w:val="en-US"/>
        </w:rPr>
        <w:t>NOK billion</w:t>
      </w:r>
    </w:p>
    <w:tbl>
      <w:tblPr>
        <w:tblStyle w:val="StandardTabell"/>
        <w:tblW w:w="9284" w:type="dxa"/>
        <w:tblLayout w:type="fixed"/>
        <w:tblLook w:val="04A0" w:firstRow="1" w:lastRow="0" w:firstColumn="1" w:lastColumn="0" w:noHBand="0" w:noVBand="1"/>
      </w:tblPr>
      <w:tblGrid>
        <w:gridCol w:w="6096"/>
        <w:gridCol w:w="1204"/>
        <w:gridCol w:w="992"/>
        <w:gridCol w:w="992"/>
      </w:tblGrid>
      <w:tr w:rsidR="006431E4" w:rsidRPr="006431E4" w14:paraId="024CB496" w14:textId="77777777" w:rsidTr="00270D2D">
        <w:tc>
          <w:tcPr>
            <w:tcW w:w="6096" w:type="dxa"/>
          </w:tcPr>
          <w:p w14:paraId="074DBBBB" w14:textId="77777777" w:rsidR="006431E4" w:rsidRPr="00270D2D" w:rsidRDefault="006431E4" w:rsidP="006431E4">
            <w:pPr>
              <w:rPr>
                <w:lang w:val="en-US"/>
              </w:rPr>
            </w:pPr>
          </w:p>
        </w:tc>
        <w:tc>
          <w:tcPr>
            <w:tcW w:w="1204" w:type="dxa"/>
            <w:vAlign w:val="bottom"/>
            <w:hideMark/>
          </w:tcPr>
          <w:p w14:paraId="4C27B6CC" w14:textId="77777777" w:rsidR="006431E4" w:rsidRPr="006431E4" w:rsidRDefault="006431E4" w:rsidP="00270D2D">
            <w:pPr>
              <w:jc w:val="right"/>
            </w:pPr>
            <w:r w:rsidRPr="006431E4">
              <w:t>2025</w:t>
            </w:r>
          </w:p>
        </w:tc>
        <w:tc>
          <w:tcPr>
            <w:tcW w:w="992" w:type="dxa"/>
            <w:vAlign w:val="bottom"/>
            <w:hideMark/>
          </w:tcPr>
          <w:p w14:paraId="2A9C7CFD" w14:textId="77777777" w:rsidR="006431E4" w:rsidRPr="006431E4" w:rsidRDefault="006431E4" w:rsidP="00270D2D">
            <w:pPr>
              <w:jc w:val="right"/>
            </w:pPr>
            <w:r w:rsidRPr="006431E4">
              <w:t>2026</w:t>
            </w:r>
          </w:p>
        </w:tc>
        <w:tc>
          <w:tcPr>
            <w:tcW w:w="992" w:type="dxa"/>
            <w:vAlign w:val="bottom"/>
          </w:tcPr>
          <w:p w14:paraId="5073B752" w14:textId="77777777" w:rsidR="006431E4" w:rsidRPr="006431E4" w:rsidRDefault="006431E4" w:rsidP="00270D2D">
            <w:pPr>
              <w:jc w:val="right"/>
            </w:pPr>
            <w:r w:rsidRPr="006431E4">
              <w:t>2027</w:t>
            </w:r>
          </w:p>
        </w:tc>
      </w:tr>
      <w:tr w:rsidR="006431E4" w:rsidRPr="006431E4" w14:paraId="10B29C14" w14:textId="77777777" w:rsidTr="00270D2D">
        <w:tc>
          <w:tcPr>
            <w:tcW w:w="6096" w:type="dxa"/>
            <w:hideMark/>
          </w:tcPr>
          <w:p w14:paraId="53B89244" w14:textId="77777777" w:rsidR="006431E4" w:rsidRPr="006431E4" w:rsidRDefault="006431E4" w:rsidP="006431E4">
            <w:r w:rsidRPr="006431E4">
              <w:t xml:space="preserve">Total </w:t>
            </w:r>
            <w:proofErr w:type="spellStart"/>
            <w:r w:rsidRPr="006431E4">
              <w:t>revenue</w:t>
            </w:r>
            <w:proofErr w:type="spellEnd"/>
            <w:r w:rsidRPr="006431E4">
              <w:tab/>
            </w:r>
          </w:p>
        </w:tc>
        <w:tc>
          <w:tcPr>
            <w:tcW w:w="1204" w:type="dxa"/>
            <w:vAlign w:val="bottom"/>
            <w:hideMark/>
          </w:tcPr>
          <w:p w14:paraId="6AD02840" w14:textId="07B388DF" w:rsidR="006431E4" w:rsidRPr="006431E4" w:rsidRDefault="00BC269C" w:rsidP="00270D2D">
            <w:pPr>
              <w:jc w:val="right"/>
            </w:pPr>
            <w:r w:rsidRPr="006431E4">
              <w:t>2</w:t>
            </w:r>
            <w:r>
              <w:t> </w:t>
            </w:r>
            <w:r w:rsidRPr="006431E4">
              <w:t>290</w:t>
            </w:r>
            <w:r w:rsidR="006431E4" w:rsidRPr="006431E4">
              <w:t>,1</w:t>
            </w:r>
          </w:p>
        </w:tc>
        <w:tc>
          <w:tcPr>
            <w:tcW w:w="992" w:type="dxa"/>
            <w:vAlign w:val="bottom"/>
            <w:hideMark/>
          </w:tcPr>
          <w:p w14:paraId="4EA4FF28" w14:textId="7BEACDC4" w:rsidR="006431E4" w:rsidRPr="006431E4" w:rsidRDefault="00BC269C" w:rsidP="00270D2D">
            <w:pPr>
              <w:jc w:val="right"/>
            </w:pPr>
            <w:r w:rsidRPr="006431E4">
              <w:t>2</w:t>
            </w:r>
            <w:r>
              <w:t> </w:t>
            </w:r>
            <w:r w:rsidRPr="006431E4">
              <w:t>455</w:t>
            </w:r>
            <w:r w:rsidR="006431E4" w:rsidRPr="006431E4">
              <w:t>,2</w:t>
            </w:r>
          </w:p>
        </w:tc>
        <w:tc>
          <w:tcPr>
            <w:tcW w:w="992" w:type="dxa"/>
            <w:vAlign w:val="bottom"/>
          </w:tcPr>
          <w:p w14:paraId="2ADD8E8E" w14:textId="56860921" w:rsidR="006431E4" w:rsidRPr="006431E4" w:rsidRDefault="00BC269C" w:rsidP="00270D2D">
            <w:pPr>
              <w:jc w:val="right"/>
            </w:pPr>
            <w:r w:rsidRPr="006431E4">
              <w:t>2</w:t>
            </w:r>
            <w:r>
              <w:t> </w:t>
            </w:r>
            <w:r w:rsidRPr="006431E4">
              <w:t>328</w:t>
            </w:r>
            <w:r w:rsidR="006431E4" w:rsidRPr="006431E4">
              <w:t>,5</w:t>
            </w:r>
          </w:p>
        </w:tc>
      </w:tr>
      <w:tr w:rsidR="006431E4" w:rsidRPr="006431E4" w14:paraId="30CC6C11" w14:textId="77777777" w:rsidTr="00270D2D">
        <w:tc>
          <w:tcPr>
            <w:tcW w:w="6096" w:type="dxa"/>
            <w:hideMark/>
          </w:tcPr>
          <w:p w14:paraId="2F1A717A" w14:textId="77777777" w:rsidR="006431E4" w:rsidRPr="006431E4" w:rsidRDefault="006431E4" w:rsidP="006431E4">
            <w:proofErr w:type="gramStart"/>
            <w:r w:rsidRPr="006431E4">
              <w:t>1</w:t>
            </w:r>
            <w:r w:rsidRPr="006431E4">
              <w:tab/>
              <w:t>Revenues from petroleum</w:t>
            </w:r>
            <w:proofErr w:type="gramEnd"/>
            <w:r w:rsidRPr="006431E4">
              <w:t xml:space="preserve"> </w:t>
            </w:r>
            <w:proofErr w:type="spellStart"/>
            <w:r w:rsidRPr="006431E4">
              <w:t>activities</w:t>
            </w:r>
            <w:proofErr w:type="spellEnd"/>
            <w:r w:rsidRPr="006431E4">
              <w:tab/>
            </w:r>
          </w:p>
        </w:tc>
        <w:tc>
          <w:tcPr>
            <w:tcW w:w="1204" w:type="dxa"/>
            <w:vAlign w:val="bottom"/>
            <w:hideMark/>
          </w:tcPr>
          <w:p w14:paraId="2480105E" w14:textId="77777777" w:rsidR="006431E4" w:rsidRPr="006431E4" w:rsidRDefault="006431E4" w:rsidP="00270D2D">
            <w:pPr>
              <w:jc w:val="right"/>
            </w:pPr>
            <w:r w:rsidRPr="006431E4">
              <w:t>692,7</w:t>
            </w:r>
          </w:p>
        </w:tc>
        <w:tc>
          <w:tcPr>
            <w:tcW w:w="992" w:type="dxa"/>
            <w:vAlign w:val="bottom"/>
            <w:hideMark/>
          </w:tcPr>
          <w:p w14:paraId="60009EB8" w14:textId="77777777" w:rsidR="006431E4" w:rsidRPr="006431E4" w:rsidRDefault="006431E4" w:rsidP="00270D2D">
            <w:pPr>
              <w:jc w:val="right"/>
            </w:pPr>
            <w:r w:rsidRPr="006431E4">
              <w:t>706,1</w:t>
            </w:r>
          </w:p>
        </w:tc>
        <w:tc>
          <w:tcPr>
            <w:tcW w:w="992" w:type="dxa"/>
            <w:vAlign w:val="bottom"/>
          </w:tcPr>
          <w:p w14:paraId="12D5D801" w14:textId="77777777" w:rsidR="006431E4" w:rsidRPr="006431E4" w:rsidRDefault="006431E4" w:rsidP="00270D2D">
            <w:pPr>
              <w:jc w:val="right"/>
            </w:pPr>
            <w:r w:rsidRPr="006431E4">
              <w:t>603,4</w:t>
            </w:r>
          </w:p>
        </w:tc>
      </w:tr>
      <w:tr w:rsidR="006431E4" w:rsidRPr="006431E4" w14:paraId="498F1660" w14:textId="77777777" w:rsidTr="00270D2D">
        <w:tc>
          <w:tcPr>
            <w:tcW w:w="6096" w:type="dxa"/>
            <w:hideMark/>
          </w:tcPr>
          <w:p w14:paraId="2D5A8984" w14:textId="77777777" w:rsidR="006431E4" w:rsidRPr="006431E4" w:rsidRDefault="006431E4" w:rsidP="006431E4">
            <w:r w:rsidRPr="006431E4">
              <w:tab/>
              <w:t>1.1</w:t>
            </w:r>
            <w:r w:rsidRPr="006431E4">
              <w:tab/>
            </w:r>
            <w:proofErr w:type="spellStart"/>
            <w:r w:rsidRPr="006431E4">
              <w:t>Taxes</w:t>
            </w:r>
            <w:proofErr w:type="spellEnd"/>
            <w:r w:rsidRPr="006431E4">
              <w:tab/>
            </w:r>
          </w:p>
        </w:tc>
        <w:tc>
          <w:tcPr>
            <w:tcW w:w="1204" w:type="dxa"/>
            <w:vAlign w:val="bottom"/>
            <w:hideMark/>
          </w:tcPr>
          <w:p w14:paraId="055A4F6B" w14:textId="77777777" w:rsidR="006431E4" w:rsidRPr="006431E4" w:rsidRDefault="006431E4" w:rsidP="00270D2D">
            <w:pPr>
              <w:jc w:val="right"/>
            </w:pPr>
            <w:r w:rsidRPr="006431E4">
              <w:t>382,9</w:t>
            </w:r>
          </w:p>
        </w:tc>
        <w:tc>
          <w:tcPr>
            <w:tcW w:w="992" w:type="dxa"/>
            <w:vAlign w:val="bottom"/>
            <w:hideMark/>
          </w:tcPr>
          <w:p w14:paraId="74A573C4" w14:textId="77777777" w:rsidR="006431E4" w:rsidRPr="006431E4" w:rsidRDefault="006431E4" w:rsidP="00270D2D">
            <w:pPr>
              <w:jc w:val="right"/>
            </w:pPr>
            <w:r w:rsidRPr="006431E4">
              <w:t>389,1</w:t>
            </w:r>
          </w:p>
        </w:tc>
        <w:tc>
          <w:tcPr>
            <w:tcW w:w="992" w:type="dxa"/>
            <w:vAlign w:val="bottom"/>
          </w:tcPr>
          <w:p w14:paraId="0A571361" w14:textId="77777777" w:rsidR="006431E4" w:rsidRPr="006431E4" w:rsidRDefault="006431E4" w:rsidP="00270D2D">
            <w:pPr>
              <w:jc w:val="right"/>
            </w:pPr>
            <w:r w:rsidRPr="006431E4">
              <w:t>358,9</w:t>
            </w:r>
          </w:p>
        </w:tc>
      </w:tr>
      <w:tr w:rsidR="006431E4" w:rsidRPr="006431E4" w14:paraId="7B61E413" w14:textId="77777777" w:rsidTr="00270D2D">
        <w:tc>
          <w:tcPr>
            <w:tcW w:w="6096" w:type="dxa"/>
            <w:hideMark/>
          </w:tcPr>
          <w:p w14:paraId="115A4C2D" w14:textId="77777777" w:rsidR="006431E4" w:rsidRPr="006431E4" w:rsidRDefault="006431E4" w:rsidP="006431E4">
            <w:r w:rsidRPr="006431E4">
              <w:tab/>
              <w:t>1.2</w:t>
            </w:r>
            <w:r w:rsidRPr="006431E4">
              <w:tab/>
            </w:r>
            <w:proofErr w:type="spellStart"/>
            <w:r w:rsidRPr="006431E4">
              <w:t>Other</w:t>
            </w:r>
            <w:proofErr w:type="spellEnd"/>
            <w:r w:rsidRPr="006431E4">
              <w:t xml:space="preserve"> petroleum </w:t>
            </w:r>
            <w:proofErr w:type="spellStart"/>
            <w:r w:rsidRPr="006431E4">
              <w:t>revenues</w:t>
            </w:r>
            <w:proofErr w:type="spellEnd"/>
            <w:r w:rsidRPr="006431E4">
              <w:tab/>
            </w:r>
          </w:p>
        </w:tc>
        <w:tc>
          <w:tcPr>
            <w:tcW w:w="1204" w:type="dxa"/>
            <w:vAlign w:val="bottom"/>
            <w:hideMark/>
          </w:tcPr>
          <w:p w14:paraId="50291205" w14:textId="77777777" w:rsidR="006431E4" w:rsidRPr="006431E4" w:rsidRDefault="006431E4" w:rsidP="00270D2D">
            <w:pPr>
              <w:jc w:val="right"/>
            </w:pPr>
            <w:r w:rsidRPr="006431E4">
              <w:t>309,8</w:t>
            </w:r>
          </w:p>
        </w:tc>
        <w:tc>
          <w:tcPr>
            <w:tcW w:w="992" w:type="dxa"/>
            <w:vAlign w:val="bottom"/>
            <w:hideMark/>
          </w:tcPr>
          <w:p w14:paraId="52A52215" w14:textId="77777777" w:rsidR="006431E4" w:rsidRPr="006431E4" w:rsidRDefault="006431E4" w:rsidP="00270D2D">
            <w:pPr>
              <w:jc w:val="right"/>
            </w:pPr>
            <w:r w:rsidRPr="006431E4">
              <w:t>317,0</w:t>
            </w:r>
          </w:p>
        </w:tc>
        <w:tc>
          <w:tcPr>
            <w:tcW w:w="992" w:type="dxa"/>
            <w:vAlign w:val="bottom"/>
          </w:tcPr>
          <w:p w14:paraId="2419586C" w14:textId="77777777" w:rsidR="006431E4" w:rsidRPr="006431E4" w:rsidRDefault="006431E4" w:rsidP="00270D2D">
            <w:pPr>
              <w:jc w:val="right"/>
            </w:pPr>
            <w:r w:rsidRPr="006431E4">
              <w:t>244,5</w:t>
            </w:r>
          </w:p>
        </w:tc>
      </w:tr>
      <w:tr w:rsidR="006431E4" w:rsidRPr="006431E4" w14:paraId="1CC67CE6" w14:textId="77777777" w:rsidTr="00270D2D">
        <w:tc>
          <w:tcPr>
            <w:tcW w:w="6096" w:type="dxa"/>
            <w:hideMark/>
          </w:tcPr>
          <w:p w14:paraId="7577999F" w14:textId="77777777" w:rsidR="006431E4" w:rsidRPr="006431E4" w:rsidRDefault="006431E4" w:rsidP="006431E4">
            <w:r w:rsidRPr="006431E4">
              <w:t>2</w:t>
            </w:r>
            <w:r w:rsidRPr="006431E4">
              <w:tab/>
              <w:t xml:space="preserve">Revenues </w:t>
            </w:r>
            <w:proofErr w:type="spellStart"/>
            <w:r w:rsidRPr="006431E4">
              <w:t>excluding</w:t>
            </w:r>
            <w:proofErr w:type="spellEnd"/>
            <w:r w:rsidRPr="006431E4">
              <w:t xml:space="preserve"> petroleum </w:t>
            </w:r>
            <w:proofErr w:type="spellStart"/>
            <w:r w:rsidRPr="006431E4">
              <w:t>revenues</w:t>
            </w:r>
            <w:proofErr w:type="spellEnd"/>
            <w:r w:rsidRPr="006431E4">
              <w:tab/>
            </w:r>
          </w:p>
        </w:tc>
        <w:tc>
          <w:tcPr>
            <w:tcW w:w="1204" w:type="dxa"/>
            <w:vAlign w:val="bottom"/>
            <w:hideMark/>
          </w:tcPr>
          <w:p w14:paraId="084D582F" w14:textId="7B80B9F7" w:rsidR="006431E4" w:rsidRPr="006431E4" w:rsidRDefault="00BC269C" w:rsidP="00270D2D">
            <w:pPr>
              <w:jc w:val="right"/>
            </w:pPr>
            <w:r w:rsidRPr="006431E4">
              <w:t>1</w:t>
            </w:r>
            <w:r>
              <w:t> </w:t>
            </w:r>
            <w:r w:rsidRPr="006431E4">
              <w:t>597</w:t>
            </w:r>
            <w:r w:rsidR="006431E4" w:rsidRPr="006431E4">
              <w:t>,4</w:t>
            </w:r>
          </w:p>
        </w:tc>
        <w:tc>
          <w:tcPr>
            <w:tcW w:w="992" w:type="dxa"/>
            <w:vAlign w:val="bottom"/>
            <w:hideMark/>
          </w:tcPr>
          <w:p w14:paraId="1A3CBA73" w14:textId="63DCC031" w:rsidR="006431E4" w:rsidRPr="006431E4" w:rsidRDefault="00BC269C" w:rsidP="00270D2D">
            <w:pPr>
              <w:jc w:val="right"/>
            </w:pPr>
            <w:r w:rsidRPr="006431E4">
              <w:t>1</w:t>
            </w:r>
            <w:r>
              <w:t> </w:t>
            </w:r>
            <w:r w:rsidRPr="006431E4">
              <w:t>749</w:t>
            </w:r>
            <w:r w:rsidR="006431E4" w:rsidRPr="006431E4">
              <w:t>,1</w:t>
            </w:r>
          </w:p>
        </w:tc>
        <w:tc>
          <w:tcPr>
            <w:tcW w:w="992" w:type="dxa"/>
            <w:vAlign w:val="bottom"/>
          </w:tcPr>
          <w:p w14:paraId="26C98A2C" w14:textId="1EA9DC64" w:rsidR="006431E4" w:rsidRPr="006431E4" w:rsidRDefault="00BC269C" w:rsidP="00270D2D">
            <w:pPr>
              <w:jc w:val="right"/>
            </w:pPr>
            <w:r w:rsidRPr="006431E4">
              <w:t>1</w:t>
            </w:r>
            <w:r>
              <w:t> </w:t>
            </w:r>
            <w:r w:rsidRPr="006431E4">
              <w:t>725</w:t>
            </w:r>
            <w:r w:rsidR="006431E4" w:rsidRPr="006431E4">
              <w:t>,1</w:t>
            </w:r>
          </w:p>
        </w:tc>
      </w:tr>
      <w:tr w:rsidR="006431E4" w:rsidRPr="006431E4" w14:paraId="57EFC9F9" w14:textId="77777777" w:rsidTr="00270D2D">
        <w:tc>
          <w:tcPr>
            <w:tcW w:w="6096" w:type="dxa"/>
            <w:hideMark/>
          </w:tcPr>
          <w:p w14:paraId="05B23EE7" w14:textId="77777777" w:rsidR="006431E4" w:rsidRPr="006431E4" w:rsidRDefault="006431E4" w:rsidP="006431E4">
            <w:r w:rsidRPr="006431E4">
              <w:tab/>
              <w:t>2.1</w:t>
            </w:r>
            <w:r w:rsidRPr="006431E4">
              <w:tab/>
            </w:r>
            <w:proofErr w:type="spellStart"/>
            <w:r w:rsidRPr="006431E4">
              <w:t>Taxes</w:t>
            </w:r>
            <w:proofErr w:type="spellEnd"/>
            <w:r w:rsidRPr="006431E4">
              <w:t xml:space="preserve"> from </w:t>
            </w:r>
            <w:proofErr w:type="spellStart"/>
            <w:r w:rsidRPr="006431E4">
              <w:t>mainland</w:t>
            </w:r>
            <w:proofErr w:type="spellEnd"/>
            <w:r w:rsidRPr="006431E4">
              <w:t xml:space="preserve"> Norway</w:t>
            </w:r>
            <w:r w:rsidRPr="006431E4">
              <w:tab/>
            </w:r>
          </w:p>
        </w:tc>
        <w:tc>
          <w:tcPr>
            <w:tcW w:w="1204" w:type="dxa"/>
            <w:vAlign w:val="bottom"/>
            <w:hideMark/>
          </w:tcPr>
          <w:p w14:paraId="2223D200" w14:textId="0A5C7B75" w:rsidR="006431E4" w:rsidRPr="006431E4" w:rsidRDefault="00BC269C" w:rsidP="00270D2D">
            <w:pPr>
              <w:jc w:val="right"/>
            </w:pPr>
            <w:r w:rsidRPr="006431E4">
              <w:t>1</w:t>
            </w:r>
            <w:r>
              <w:t> </w:t>
            </w:r>
            <w:r w:rsidRPr="006431E4">
              <w:t>416</w:t>
            </w:r>
            <w:r w:rsidR="006431E4" w:rsidRPr="006431E4">
              <w:t>,4</w:t>
            </w:r>
          </w:p>
        </w:tc>
        <w:tc>
          <w:tcPr>
            <w:tcW w:w="992" w:type="dxa"/>
            <w:vAlign w:val="bottom"/>
            <w:hideMark/>
          </w:tcPr>
          <w:p w14:paraId="533C18AD" w14:textId="512887C4" w:rsidR="006431E4" w:rsidRPr="006431E4" w:rsidRDefault="00BC269C" w:rsidP="00270D2D">
            <w:pPr>
              <w:jc w:val="right"/>
            </w:pPr>
            <w:r w:rsidRPr="006431E4">
              <w:t>1</w:t>
            </w:r>
            <w:r>
              <w:t> </w:t>
            </w:r>
            <w:r w:rsidRPr="006431E4">
              <w:t>591</w:t>
            </w:r>
            <w:r w:rsidR="006431E4" w:rsidRPr="006431E4">
              <w:t>,6</w:t>
            </w:r>
          </w:p>
        </w:tc>
        <w:tc>
          <w:tcPr>
            <w:tcW w:w="992" w:type="dxa"/>
            <w:vAlign w:val="bottom"/>
          </w:tcPr>
          <w:p w14:paraId="438B740C" w14:textId="6D679270" w:rsidR="006431E4" w:rsidRPr="006431E4" w:rsidRDefault="00BC269C" w:rsidP="00270D2D">
            <w:pPr>
              <w:jc w:val="right"/>
            </w:pPr>
            <w:r w:rsidRPr="006431E4">
              <w:t>1</w:t>
            </w:r>
            <w:r>
              <w:t> </w:t>
            </w:r>
            <w:r w:rsidRPr="006431E4">
              <w:t>560</w:t>
            </w:r>
            <w:r w:rsidR="006431E4" w:rsidRPr="006431E4">
              <w:t>,4</w:t>
            </w:r>
          </w:p>
        </w:tc>
      </w:tr>
      <w:tr w:rsidR="006431E4" w:rsidRPr="006431E4" w14:paraId="6751B15E" w14:textId="77777777" w:rsidTr="00270D2D">
        <w:tc>
          <w:tcPr>
            <w:tcW w:w="6096" w:type="dxa"/>
            <w:hideMark/>
          </w:tcPr>
          <w:p w14:paraId="25243897" w14:textId="77777777" w:rsidR="006431E4" w:rsidRPr="006431E4" w:rsidRDefault="006431E4" w:rsidP="006431E4">
            <w:r w:rsidRPr="006431E4">
              <w:tab/>
              <w:t>2.2</w:t>
            </w:r>
            <w:r w:rsidRPr="006431E4">
              <w:tab/>
            </w:r>
            <w:proofErr w:type="spellStart"/>
            <w:r w:rsidRPr="006431E4">
              <w:t>Other</w:t>
            </w:r>
            <w:proofErr w:type="spellEnd"/>
            <w:r w:rsidRPr="006431E4">
              <w:t xml:space="preserve"> </w:t>
            </w:r>
            <w:proofErr w:type="spellStart"/>
            <w:r w:rsidRPr="006431E4">
              <w:t>income</w:t>
            </w:r>
            <w:proofErr w:type="spellEnd"/>
            <w:r w:rsidRPr="006431E4">
              <w:tab/>
            </w:r>
          </w:p>
        </w:tc>
        <w:tc>
          <w:tcPr>
            <w:tcW w:w="1204" w:type="dxa"/>
            <w:vAlign w:val="bottom"/>
            <w:hideMark/>
          </w:tcPr>
          <w:p w14:paraId="799BB83E" w14:textId="77777777" w:rsidR="006431E4" w:rsidRPr="006431E4" w:rsidRDefault="006431E4" w:rsidP="00270D2D">
            <w:pPr>
              <w:jc w:val="right"/>
            </w:pPr>
            <w:r w:rsidRPr="006431E4">
              <w:t>181,0</w:t>
            </w:r>
          </w:p>
        </w:tc>
        <w:tc>
          <w:tcPr>
            <w:tcW w:w="992" w:type="dxa"/>
            <w:vAlign w:val="bottom"/>
            <w:hideMark/>
          </w:tcPr>
          <w:p w14:paraId="65F815FC" w14:textId="77777777" w:rsidR="006431E4" w:rsidRPr="006431E4" w:rsidRDefault="006431E4" w:rsidP="00270D2D">
            <w:pPr>
              <w:jc w:val="right"/>
            </w:pPr>
            <w:r w:rsidRPr="006431E4">
              <w:t>157,5</w:t>
            </w:r>
          </w:p>
        </w:tc>
        <w:tc>
          <w:tcPr>
            <w:tcW w:w="992" w:type="dxa"/>
            <w:vAlign w:val="bottom"/>
          </w:tcPr>
          <w:p w14:paraId="7970614D" w14:textId="77777777" w:rsidR="006431E4" w:rsidRPr="006431E4" w:rsidRDefault="006431E4" w:rsidP="00270D2D">
            <w:pPr>
              <w:jc w:val="right"/>
            </w:pPr>
            <w:r w:rsidRPr="006431E4">
              <w:t>164,6</w:t>
            </w:r>
          </w:p>
        </w:tc>
      </w:tr>
      <w:tr w:rsidR="006431E4" w:rsidRPr="006431E4" w14:paraId="13B137C4" w14:textId="77777777" w:rsidTr="00270D2D">
        <w:tc>
          <w:tcPr>
            <w:tcW w:w="6096" w:type="dxa"/>
            <w:hideMark/>
          </w:tcPr>
          <w:p w14:paraId="440E60A7" w14:textId="77777777" w:rsidR="006431E4" w:rsidRPr="006431E4" w:rsidRDefault="006431E4" w:rsidP="006431E4">
            <w:r w:rsidRPr="006431E4">
              <w:t xml:space="preserve">Total </w:t>
            </w:r>
            <w:proofErr w:type="spellStart"/>
            <w:r w:rsidRPr="006431E4">
              <w:t>expenses</w:t>
            </w:r>
            <w:proofErr w:type="spellEnd"/>
            <w:r w:rsidRPr="006431E4">
              <w:tab/>
            </w:r>
          </w:p>
        </w:tc>
        <w:tc>
          <w:tcPr>
            <w:tcW w:w="1204" w:type="dxa"/>
            <w:vAlign w:val="bottom"/>
            <w:hideMark/>
          </w:tcPr>
          <w:p w14:paraId="769ECA05" w14:textId="7B8F0B9E" w:rsidR="006431E4" w:rsidRPr="006431E4" w:rsidRDefault="00BC269C" w:rsidP="00270D2D">
            <w:pPr>
              <w:jc w:val="right"/>
            </w:pPr>
            <w:r w:rsidRPr="006431E4">
              <w:t>2</w:t>
            </w:r>
            <w:r>
              <w:t> </w:t>
            </w:r>
            <w:r w:rsidRPr="006431E4">
              <w:t>101</w:t>
            </w:r>
            <w:r w:rsidR="006431E4" w:rsidRPr="006431E4">
              <w:t>,8</w:t>
            </w:r>
          </w:p>
        </w:tc>
        <w:tc>
          <w:tcPr>
            <w:tcW w:w="992" w:type="dxa"/>
            <w:vAlign w:val="bottom"/>
            <w:hideMark/>
          </w:tcPr>
          <w:p w14:paraId="44B91C79" w14:textId="2AE6C8A3" w:rsidR="006431E4" w:rsidRPr="006431E4" w:rsidRDefault="00BC269C" w:rsidP="00270D2D">
            <w:pPr>
              <w:jc w:val="right"/>
            </w:pPr>
            <w:r w:rsidRPr="006431E4">
              <w:t>2</w:t>
            </w:r>
            <w:r>
              <w:t> </w:t>
            </w:r>
            <w:r w:rsidRPr="006431E4">
              <w:t>239</w:t>
            </w:r>
            <w:r w:rsidR="006431E4" w:rsidRPr="006431E4">
              <w:t>,4</w:t>
            </w:r>
          </w:p>
        </w:tc>
        <w:tc>
          <w:tcPr>
            <w:tcW w:w="992" w:type="dxa"/>
            <w:vAlign w:val="bottom"/>
          </w:tcPr>
          <w:p w14:paraId="0C863523" w14:textId="00407817" w:rsidR="006431E4" w:rsidRPr="006431E4" w:rsidRDefault="00BC269C" w:rsidP="00270D2D">
            <w:pPr>
              <w:jc w:val="right"/>
            </w:pPr>
            <w:r w:rsidRPr="006431E4">
              <w:t>2</w:t>
            </w:r>
            <w:r>
              <w:t> </w:t>
            </w:r>
            <w:r w:rsidRPr="006431E4">
              <w:t>321</w:t>
            </w:r>
            <w:r w:rsidR="006431E4" w:rsidRPr="006431E4">
              <w:t>,8</w:t>
            </w:r>
          </w:p>
        </w:tc>
      </w:tr>
      <w:tr w:rsidR="006431E4" w:rsidRPr="006431E4" w14:paraId="36AC46A9" w14:textId="77777777" w:rsidTr="00270D2D">
        <w:tc>
          <w:tcPr>
            <w:tcW w:w="6096" w:type="dxa"/>
            <w:hideMark/>
          </w:tcPr>
          <w:p w14:paraId="10B50896" w14:textId="77777777" w:rsidR="006431E4" w:rsidRPr="006431E4" w:rsidRDefault="006431E4" w:rsidP="006431E4">
            <w:r w:rsidRPr="006431E4">
              <w:t>1</w:t>
            </w:r>
            <w:r w:rsidRPr="006431E4">
              <w:tab/>
            </w:r>
            <w:proofErr w:type="spellStart"/>
            <w:r w:rsidRPr="006431E4">
              <w:t>Expenditure</w:t>
            </w:r>
            <w:proofErr w:type="spellEnd"/>
            <w:r w:rsidRPr="006431E4">
              <w:t xml:space="preserve"> </w:t>
            </w:r>
            <w:proofErr w:type="spellStart"/>
            <w:r w:rsidRPr="006431E4">
              <w:t>on</w:t>
            </w:r>
            <w:proofErr w:type="spellEnd"/>
            <w:r w:rsidRPr="006431E4">
              <w:t xml:space="preserve"> petroleum </w:t>
            </w:r>
            <w:proofErr w:type="spellStart"/>
            <w:r w:rsidRPr="006431E4">
              <w:t>activities</w:t>
            </w:r>
            <w:proofErr w:type="spellEnd"/>
            <w:r w:rsidRPr="006431E4">
              <w:tab/>
            </w:r>
          </w:p>
        </w:tc>
        <w:tc>
          <w:tcPr>
            <w:tcW w:w="1204" w:type="dxa"/>
            <w:vAlign w:val="bottom"/>
            <w:hideMark/>
          </w:tcPr>
          <w:p w14:paraId="0C1726AE" w14:textId="77777777" w:rsidR="006431E4" w:rsidRPr="006431E4" w:rsidRDefault="006431E4" w:rsidP="00270D2D">
            <w:pPr>
              <w:jc w:val="right"/>
            </w:pPr>
            <w:r w:rsidRPr="006431E4">
              <w:t>28,7</w:t>
            </w:r>
          </w:p>
        </w:tc>
        <w:tc>
          <w:tcPr>
            <w:tcW w:w="992" w:type="dxa"/>
            <w:vAlign w:val="bottom"/>
            <w:hideMark/>
          </w:tcPr>
          <w:p w14:paraId="6F339FEC" w14:textId="77777777" w:rsidR="006431E4" w:rsidRPr="006431E4" w:rsidRDefault="006431E4" w:rsidP="00270D2D">
            <w:pPr>
              <w:jc w:val="right"/>
            </w:pPr>
            <w:r w:rsidRPr="006431E4">
              <w:t>35,5</w:t>
            </w:r>
          </w:p>
        </w:tc>
        <w:tc>
          <w:tcPr>
            <w:tcW w:w="992" w:type="dxa"/>
            <w:vAlign w:val="bottom"/>
          </w:tcPr>
          <w:p w14:paraId="2A8B2236" w14:textId="77777777" w:rsidR="006431E4" w:rsidRPr="006431E4" w:rsidRDefault="006431E4" w:rsidP="00270D2D">
            <w:pPr>
              <w:jc w:val="right"/>
            </w:pPr>
            <w:r w:rsidRPr="006431E4">
              <w:t>35,0</w:t>
            </w:r>
          </w:p>
        </w:tc>
      </w:tr>
      <w:tr w:rsidR="006431E4" w:rsidRPr="006431E4" w14:paraId="673D024F" w14:textId="77777777" w:rsidTr="00270D2D">
        <w:tc>
          <w:tcPr>
            <w:tcW w:w="6096" w:type="dxa"/>
            <w:hideMark/>
          </w:tcPr>
          <w:p w14:paraId="0A1FA175" w14:textId="77777777" w:rsidR="006431E4" w:rsidRPr="006431E4" w:rsidRDefault="006431E4" w:rsidP="006431E4">
            <w:r w:rsidRPr="006431E4">
              <w:t>2</w:t>
            </w:r>
            <w:r w:rsidRPr="006431E4">
              <w:tab/>
            </w:r>
            <w:proofErr w:type="spellStart"/>
            <w:r w:rsidRPr="006431E4">
              <w:t>Expenditure</w:t>
            </w:r>
            <w:proofErr w:type="spellEnd"/>
            <w:r w:rsidRPr="006431E4">
              <w:t xml:space="preserve"> </w:t>
            </w:r>
            <w:proofErr w:type="spellStart"/>
            <w:r w:rsidRPr="006431E4">
              <w:t>excluding</w:t>
            </w:r>
            <w:proofErr w:type="spellEnd"/>
            <w:r w:rsidRPr="006431E4">
              <w:t xml:space="preserve"> petroleum </w:t>
            </w:r>
            <w:proofErr w:type="spellStart"/>
            <w:r w:rsidRPr="006431E4">
              <w:t>activities</w:t>
            </w:r>
            <w:proofErr w:type="spellEnd"/>
            <w:r w:rsidRPr="006431E4">
              <w:tab/>
            </w:r>
          </w:p>
        </w:tc>
        <w:tc>
          <w:tcPr>
            <w:tcW w:w="1204" w:type="dxa"/>
            <w:vAlign w:val="bottom"/>
            <w:hideMark/>
          </w:tcPr>
          <w:p w14:paraId="7A81B3BB" w14:textId="033740FA" w:rsidR="006431E4" w:rsidRPr="006431E4" w:rsidRDefault="00BC269C" w:rsidP="00270D2D">
            <w:pPr>
              <w:jc w:val="right"/>
            </w:pPr>
            <w:r w:rsidRPr="006431E4">
              <w:t>2</w:t>
            </w:r>
            <w:r>
              <w:t> </w:t>
            </w:r>
            <w:r w:rsidRPr="006431E4">
              <w:t>073</w:t>
            </w:r>
            <w:r w:rsidR="006431E4" w:rsidRPr="006431E4">
              <w:t>,1</w:t>
            </w:r>
          </w:p>
        </w:tc>
        <w:tc>
          <w:tcPr>
            <w:tcW w:w="992" w:type="dxa"/>
            <w:vAlign w:val="bottom"/>
            <w:hideMark/>
          </w:tcPr>
          <w:p w14:paraId="5CD90FE8" w14:textId="24080463" w:rsidR="006431E4" w:rsidRPr="006431E4" w:rsidRDefault="00BC269C" w:rsidP="00270D2D">
            <w:pPr>
              <w:jc w:val="right"/>
            </w:pPr>
            <w:r w:rsidRPr="006431E4">
              <w:t>2</w:t>
            </w:r>
            <w:r>
              <w:t> </w:t>
            </w:r>
            <w:r w:rsidRPr="006431E4">
              <w:t>203</w:t>
            </w:r>
            <w:r w:rsidR="006431E4" w:rsidRPr="006431E4">
              <w:t>,9</w:t>
            </w:r>
          </w:p>
        </w:tc>
        <w:tc>
          <w:tcPr>
            <w:tcW w:w="992" w:type="dxa"/>
            <w:vAlign w:val="bottom"/>
          </w:tcPr>
          <w:p w14:paraId="0E44249B" w14:textId="6B94F166" w:rsidR="006431E4" w:rsidRPr="006431E4" w:rsidRDefault="00BC269C" w:rsidP="00270D2D">
            <w:pPr>
              <w:jc w:val="right"/>
            </w:pPr>
            <w:r w:rsidRPr="006431E4">
              <w:t>2</w:t>
            </w:r>
            <w:r>
              <w:t> </w:t>
            </w:r>
            <w:r w:rsidRPr="006431E4">
              <w:t>286</w:t>
            </w:r>
            <w:r w:rsidR="006431E4" w:rsidRPr="006431E4">
              <w:t>,8</w:t>
            </w:r>
          </w:p>
        </w:tc>
      </w:tr>
      <w:tr w:rsidR="006431E4" w:rsidRPr="006431E4" w14:paraId="78900C94" w14:textId="77777777" w:rsidTr="00270D2D">
        <w:tc>
          <w:tcPr>
            <w:tcW w:w="6096" w:type="dxa"/>
            <w:hideMark/>
          </w:tcPr>
          <w:p w14:paraId="2A8E6CCA" w14:textId="41E69E6C" w:rsidR="006431E4" w:rsidRPr="004626DF" w:rsidRDefault="006431E4" w:rsidP="006431E4">
            <w:pPr>
              <w:rPr>
                <w:lang w:val="en-GB"/>
              </w:rPr>
            </w:pPr>
            <w:r w:rsidRPr="004626DF">
              <w:rPr>
                <w:lang w:val="en-GB"/>
              </w:rPr>
              <w:t>Central government budget surplus before transfer to Government Pension Fund Global</w:t>
            </w:r>
            <w:r w:rsidRPr="004626DF">
              <w:rPr>
                <w:lang w:val="en-GB"/>
              </w:rPr>
              <w:tab/>
            </w:r>
          </w:p>
        </w:tc>
        <w:tc>
          <w:tcPr>
            <w:tcW w:w="1204" w:type="dxa"/>
            <w:vAlign w:val="bottom"/>
          </w:tcPr>
          <w:p w14:paraId="34F03DED" w14:textId="77777777" w:rsidR="006431E4" w:rsidRPr="006431E4" w:rsidRDefault="006431E4" w:rsidP="00270D2D">
            <w:pPr>
              <w:jc w:val="right"/>
            </w:pPr>
            <w:r w:rsidRPr="006431E4">
              <w:t>188,3</w:t>
            </w:r>
          </w:p>
        </w:tc>
        <w:tc>
          <w:tcPr>
            <w:tcW w:w="992" w:type="dxa"/>
            <w:vAlign w:val="bottom"/>
          </w:tcPr>
          <w:p w14:paraId="7F847DF1" w14:textId="77777777" w:rsidR="006431E4" w:rsidRPr="006431E4" w:rsidRDefault="006431E4" w:rsidP="00270D2D">
            <w:pPr>
              <w:jc w:val="right"/>
            </w:pPr>
            <w:r w:rsidRPr="006431E4">
              <w:t>215,8</w:t>
            </w:r>
          </w:p>
        </w:tc>
        <w:tc>
          <w:tcPr>
            <w:tcW w:w="992" w:type="dxa"/>
            <w:vAlign w:val="bottom"/>
          </w:tcPr>
          <w:p w14:paraId="18E08662" w14:textId="77777777" w:rsidR="006431E4" w:rsidRPr="006431E4" w:rsidRDefault="006431E4" w:rsidP="00270D2D">
            <w:pPr>
              <w:jc w:val="right"/>
            </w:pPr>
            <w:r w:rsidRPr="006431E4">
              <w:t>6,7</w:t>
            </w:r>
          </w:p>
        </w:tc>
      </w:tr>
      <w:tr w:rsidR="006431E4" w:rsidRPr="006431E4" w14:paraId="057F669E" w14:textId="77777777" w:rsidTr="00270D2D">
        <w:tc>
          <w:tcPr>
            <w:tcW w:w="6096" w:type="dxa"/>
            <w:hideMark/>
          </w:tcPr>
          <w:p w14:paraId="493F85B2" w14:textId="77777777" w:rsidR="006431E4" w:rsidRPr="004626DF" w:rsidRDefault="006431E4" w:rsidP="006431E4">
            <w:pPr>
              <w:rPr>
                <w:lang w:val="en-GB"/>
              </w:rPr>
            </w:pPr>
            <w:r w:rsidRPr="004626DF">
              <w:rPr>
                <w:lang w:val="en-GB"/>
              </w:rPr>
              <w:t>-</w:t>
            </w:r>
            <w:r w:rsidRPr="004626DF">
              <w:rPr>
                <w:lang w:val="en-GB"/>
              </w:rPr>
              <w:tab/>
              <w:t>Net cash flow from petroleum activities</w:t>
            </w:r>
            <w:r w:rsidRPr="004626DF">
              <w:rPr>
                <w:lang w:val="en-GB"/>
              </w:rPr>
              <w:tab/>
            </w:r>
          </w:p>
        </w:tc>
        <w:tc>
          <w:tcPr>
            <w:tcW w:w="1204" w:type="dxa"/>
            <w:vAlign w:val="bottom"/>
            <w:hideMark/>
          </w:tcPr>
          <w:p w14:paraId="24F8E84A" w14:textId="77777777" w:rsidR="006431E4" w:rsidRPr="006431E4" w:rsidRDefault="006431E4" w:rsidP="00270D2D">
            <w:pPr>
              <w:jc w:val="right"/>
            </w:pPr>
            <w:r w:rsidRPr="006431E4">
              <w:t>664,0</w:t>
            </w:r>
          </w:p>
        </w:tc>
        <w:tc>
          <w:tcPr>
            <w:tcW w:w="992" w:type="dxa"/>
            <w:vAlign w:val="bottom"/>
            <w:hideMark/>
          </w:tcPr>
          <w:p w14:paraId="7BF42490" w14:textId="77777777" w:rsidR="006431E4" w:rsidRPr="006431E4" w:rsidRDefault="006431E4" w:rsidP="00270D2D">
            <w:pPr>
              <w:jc w:val="right"/>
            </w:pPr>
            <w:r w:rsidRPr="006431E4">
              <w:t>670,6</w:t>
            </w:r>
          </w:p>
        </w:tc>
        <w:tc>
          <w:tcPr>
            <w:tcW w:w="992" w:type="dxa"/>
            <w:vAlign w:val="bottom"/>
          </w:tcPr>
          <w:p w14:paraId="602BA5AA" w14:textId="77777777" w:rsidR="006431E4" w:rsidRPr="006431E4" w:rsidRDefault="006431E4" w:rsidP="00270D2D">
            <w:pPr>
              <w:jc w:val="right"/>
            </w:pPr>
            <w:r w:rsidRPr="006431E4">
              <w:t>568,4</w:t>
            </w:r>
          </w:p>
        </w:tc>
      </w:tr>
      <w:tr w:rsidR="006431E4" w:rsidRPr="006431E4" w14:paraId="48E77A3F" w14:textId="77777777" w:rsidTr="00270D2D">
        <w:tc>
          <w:tcPr>
            <w:tcW w:w="6096" w:type="dxa"/>
            <w:hideMark/>
          </w:tcPr>
          <w:p w14:paraId="0390788B" w14:textId="77777777" w:rsidR="006431E4" w:rsidRPr="006431E4" w:rsidRDefault="006431E4" w:rsidP="006431E4">
            <w:r w:rsidRPr="006431E4">
              <w:t>=</w:t>
            </w:r>
            <w:r w:rsidRPr="006431E4">
              <w:tab/>
              <w:t>Non-</w:t>
            </w:r>
            <w:proofErr w:type="spellStart"/>
            <w:r w:rsidRPr="006431E4">
              <w:t>oil</w:t>
            </w:r>
            <w:proofErr w:type="spellEnd"/>
            <w:r w:rsidRPr="006431E4">
              <w:t xml:space="preserve"> </w:t>
            </w:r>
            <w:proofErr w:type="spellStart"/>
            <w:r w:rsidRPr="006431E4">
              <w:t>surplus</w:t>
            </w:r>
            <w:proofErr w:type="spellEnd"/>
            <w:r w:rsidRPr="006431E4">
              <w:tab/>
            </w:r>
          </w:p>
        </w:tc>
        <w:tc>
          <w:tcPr>
            <w:tcW w:w="1204" w:type="dxa"/>
            <w:vAlign w:val="bottom"/>
            <w:hideMark/>
          </w:tcPr>
          <w:p w14:paraId="586D285D" w14:textId="77777777" w:rsidR="006431E4" w:rsidRPr="006431E4" w:rsidRDefault="006431E4" w:rsidP="00270D2D">
            <w:pPr>
              <w:jc w:val="right"/>
            </w:pPr>
            <w:r w:rsidRPr="006431E4">
              <w:t>-475,7</w:t>
            </w:r>
          </w:p>
        </w:tc>
        <w:tc>
          <w:tcPr>
            <w:tcW w:w="992" w:type="dxa"/>
            <w:vAlign w:val="bottom"/>
            <w:hideMark/>
          </w:tcPr>
          <w:p w14:paraId="6EB256A4" w14:textId="77777777" w:rsidR="006431E4" w:rsidRPr="006431E4" w:rsidRDefault="006431E4" w:rsidP="00270D2D">
            <w:pPr>
              <w:jc w:val="right"/>
            </w:pPr>
            <w:r w:rsidRPr="006431E4">
              <w:t>-454,8</w:t>
            </w:r>
          </w:p>
        </w:tc>
        <w:tc>
          <w:tcPr>
            <w:tcW w:w="992" w:type="dxa"/>
            <w:vAlign w:val="bottom"/>
          </w:tcPr>
          <w:p w14:paraId="4AB2D022" w14:textId="77777777" w:rsidR="006431E4" w:rsidRPr="006431E4" w:rsidRDefault="006431E4" w:rsidP="00270D2D">
            <w:pPr>
              <w:jc w:val="right"/>
            </w:pPr>
            <w:r w:rsidRPr="006431E4">
              <w:t>-561,7</w:t>
            </w:r>
          </w:p>
        </w:tc>
      </w:tr>
      <w:tr w:rsidR="006431E4" w:rsidRPr="006431E4" w14:paraId="418B0E0C" w14:textId="77777777" w:rsidTr="00270D2D">
        <w:tc>
          <w:tcPr>
            <w:tcW w:w="6096" w:type="dxa"/>
            <w:hideMark/>
          </w:tcPr>
          <w:p w14:paraId="7349B12E" w14:textId="77777777" w:rsidR="006431E4" w:rsidRPr="004626DF" w:rsidRDefault="006431E4" w:rsidP="006431E4">
            <w:pPr>
              <w:rPr>
                <w:lang w:val="en-GB"/>
              </w:rPr>
            </w:pPr>
            <w:r w:rsidRPr="004626DF">
              <w:rPr>
                <w:lang w:val="en-GB"/>
              </w:rPr>
              <w:t>+</w:t>
            </w:r>
            <w:r w:rsidRPr="004626DF">
              <w:rPr>
                <w:lang w:val="en-GB"/>
              </w:rPr>
              <w:tab/>
              <w:t>Transfer from the Government Pension Fund Global</w:t>
            </w:r>
            <w:r w:rsidRPr="004626DF">
              <w:rPr>
                <w:lang w:val="en-GB"/>
              </w:rPr>
              <w:tab/>
            </w:r>
          </w:p>
        </w:tc>
        <w:tc>
          <w:tcPr>
            <w:tcW w:w="1204" w:type="dxa"/>
            <w:vAlign w:val="bottom"/>
            <w:hideMark/>
          </w:tcPr>
          <w:p w14:paraId="6D1F19EF" w14:textId="77777777" w:rsidR="006431E4" w:rsidRPr="006431E4" w:rsidRDefault="006431E4" w:rsidP="00270D2D">
            <w:pPr>
              <w:jc w:val="right"/>
            </w:pPr>
            <w:r w:rsidRPr="006431E4">
              <w:t>480,2</w:t>
            </w:r>
          </w:p>
        </w:tc>
        <w:tc>
          <w:tcPr>
            <w:tcW w:w="992" w:type="dxa"/>
            <w:vAlign w:val="bottom"/>
            <w:hideMark/>
          </w:tcPr>
          <w:p w14:paraId="5D32D923" w14:textId="77777777" w:rsidR="006431E4" w:rsidRPr="006431E4" w:rsidRDefault="006431E4" w:rsidP="00270D2D">
            <w:pPr>
              <w:jc w:val="right"/>
            </w:pPr>
            <w:r w:rsidRPr="006431E4">
              <w:t>454,8</w:t>
            </w:r>
          </w:p>
        </w:tc>
        <w:tc>
          <w:tcPr>
            <w:tcW w:w="992" w:type="dxa"/>
            <w:vAlign w:val="bottom"/>
          </w:tcPr>
          <w:p w14:paraId="02C1028A" w14:textId="77777777" w:rsidR="006431E4" w:rsidRPr="006431E4" w:rsidRDefault="006431E4" w:rsidP="00270D2D">
            <w:pPr>
              <w:jc w:val="right"/>
            </w:pPr>
            <w:r w:rsidRPr="006431E4">
              <w:t>561,7</w:t>
            </w:r>
          </w:p>
        </w:tc>
      </w:tr>
      <w:tr w:rsidR="006431E4" w:rsidRPr="006431E4" w14:paraId="57A9F49C" w14:textId="77777777" w:rsidTr="00270D2D">
        <w:tc>
          <w:tcPr>
            <w:tcW w:w="6096" w:type="dxa"/>
            <w:hideMark/>
          </w:tcPr>
          <w:p w14:paraId="0EA6B8C2" w14:textId="77777777" w:rsidR="006431E4" w:rsidRPr="006431E4" w:rsidRDefault="006431E4" w:rsidP="006431E4">
            <w:r w:rsidRPr="006431E4">
              <w:t>=</w:t>
            </w:r>
            <w:r w:rsidRPr="006431E4">
              <w:tab/>
              <w:t xml:space="preserve">Central </w:t>
            </w:r>
            <w:proofErr w:type="spellStart"/>
            <w:r w:rsidRPr="006431E4">
              <w:t>government</w:t>
            </w:r>
            <w:proofErr w:type="spellEnd"/>
            <w:r w:rsidRPr="006431E4">
              <w:t xml:space="preserve"> </w:t>
            </w:r>
            <w:proofErr w:type="spellStart"/>
            <w:r w:rsidRPr="006431E4">
              <w:t>budget</w:t>
            </w:r>
            <w:proofErr w:type="spellEnd"/>
            <w:r w:rsidRPr="006431E4">
              <w:t xml:space="preserve"> </w:t>
            </w:r>
            <w:proofErr w:type="spellStart"/>
            <w:r w:rsidRPr="006431E4">
              <w:t>surplus</w:t>
            </w:r>
            <w:proofErr w:type="spellEnd"/>
            <w:r w:rsidRPr="006431E4">
              <w:tab/>
            </w:r>
          </w:p>
        </w:tc>
        <w:tc>
          <w:tcPr>
            <w:tcW w:w="1204" w:type="dxa"/>
            <w:vAlign w:val="bottom"/>
            <w:hideMark/>
          </w:tcPr>
          <w:p w14:paraId="2D0A9F27" w14:textId="77777777" w:rsidR="006431E4" w:rsidRPr="006431E4" w:rsidRDefault="006431E4" w:rsidP="00270D2D">
            <w:pPr>
              <w:jc w:val="right"/>
            </w:pPr>
            <w:r w:rsidRPr="006431E4">
              <w:t>4,5</w:t>
            </w:r>
          </w:p>
        </w:tc>
        <w:tc>
          <w:tcPr>
            <w:tcW w:w="992" w:type="dxa"/>
            <w:vAlign w:val="bottom"/>
            <w:hideMark/>
          </w:tcPr>
          <w:p w14:paraId="0B88693F" w14:textId="77777777" w:rsidR="006431E4" w:rsidRPr="006431E4" w:rsidRDefault="006431E4" w:rsidP="00270D2D">
            <w:pPr>
              <w:jc w:val="right"/>
            </w:pPr>
            <w:r w:rsidRPr="006431E4">
              <w:t>0,0</w:t>
            </w:r>
          </w:p>
        </w:tc>
        <w:tc>
          <w:tcPr>
            <w:tcW w:w="992" w:type="dxa"/>
            <w:vAlign w:val="bottom"/>
          </w:tcPr>
          <w:p w14:paraId="0B3A53B5" w14:textId="77777777" w:rsidR="006431E4" w:rsidRPr="006431E4" w:rsidRDefault="006431E4" w:rsidP="00270D2D">
            <w:pPr>
              <w:jc w:val="right"/>
            </w:pPr>
            <w:r w:rsidRPr="006431E4">
              <w:t>0,0</w:t>
            </w:r>
          </w:p>
        </w:tc>
      </w:tr>
      <w:tr w:rsidR="006431E4" w:rsidRPr="006431E4" w14:paraId="32A057A5" w14:textId="77777777" w:rsidTr="00270D2D">
        <w:tc>
          <w:tcPr>
            <w:tcW w:w="6096" w:type="dxa"/>
            <w:hideMark/>
          </w:tcPr>
          <w:p w14:paraId="2E19E4CE" w14:textId="77777777" w:rsidR="006431E4" w:rsidRPr="004626DF" w:rsidRDefault="006431E4" w:rsidP="006431E4">
            <w:pPr>
              <w:rPr>
                <w:lang w:val="en-GB"/>
              </w:rPr>
            </w:pPr>
            <w:r w:rsidRPr="004626DF">
              <w:rPr>
                <w:lang w:val="en-GB"/>
              </w:rPr>
              <w:t>+</w:t>
            </w:r>
            <w:r w:rsidRPr="004626DF">
              <w:rPr>
                <w:lang w:val="en-GB"/>
              </w:rPr>
              <w:tab/>
              <w:t>Net provision for the Government Pension Fund Global</w:t>
            </w:r>
            <w:r w:rsidRPr="004626DF">
              <w:rPr>
                <w:lang w:val="en-GB"/>
              </w:rPr>
              <w:tab/>
            </w:r>
          </w:p>
        </w:tc>
        <w:tc>
          <w:tcPr>
            <w:tcW w:w="1204" w:type="dxa"/>
            <w:vAlign w:val="bottom"/>
            <w:hideMark/>
          </w:tcPr>
          <w:p w14:paraId="326B8E66" w14:textId="77777777" w:rsidR="006431E4" w:rsidRPr="006431E4" w:rsidRDefault="006431E4" w:rsidP="00270D2D">
            <w:pPr>
              <w:jc w:val="right"/>
            </w:pPr>
            <w:r w:rsidRPr="006431E4">
              <w:t>183,8</w:t>
            </w:r>
          </w:p>
        </w:tc>
        <w:tc>
          <w:tcPr>
            <w:tcW w:w="992" w:type="dxa"/>
            <w:vAlign w:val="bottom"/>
            <w:hideMark/>
          </w:tcPr>
          <w:p w14:paraId="6342B78B" w14:textId="77777777" w:rsidR="006431E4" w:rsidRPr="006431E4" w:rsidRDefault="006431E4" w:rsidP="00270D2D">
            <w:pPr>
              <w:jc w:val="right"/>
            </w:pPr>
            <w:r w:rsidRPr="006431E4">
              <w:t>215,8</w:t>
            </w:r>
          </w:p>
        </w:tc>
        <w:tc>
          <w:tcPr>
            <w:tcW w:w="992" w:type="dxa"/>
            <w:vAlign w:val="bottom"/>
          </w:tcPr>
          <w:p w14:paraId="11883D32" w14:textId="77777777" w:rsidR="006431E4" w:rsidRPr="006431E4" w:rsidRDefault="006431E4" w:rsidP="00270D2D">
            <w:pPr>
              <w:jc w:val="right"/>
            </w:pPr>
            <w:r w:rsidRPr="006431E4">
              <w:t>6,7</w:t>
            </w:r>
          </w:p>
        </w:tc>
      </w:tr>
      <w:tr w:rsidR="006431E4" w:rsidRPr="006431E4" w14:paraId="6DDDDAA6" w14:textId="77777777" w:rsidTr="00270D2D">
        <w:tc>
          <w:tcPr>
            <w:tcW w:w="6096" w:type="dxa"/>
            <w:hideMark/>
          </w:tcPr>
          <w:p w14:paraId="4C4F1C6C" w14:textId="73793061" w:rsidR="006431E4" w:rsidRPr="004626DF" w:rsidRDefault="006431E4" w:rsidP="006431E4">
            <w:pPr>
              <w:rPr>
                <w:lang w:val="en-GB"/>
              </w:rPr>
            </w:pPr>
            <w:r w:rsidRPr="004626DF">
              <w:rPr>
                <w:lang w:val="en-GB"/>
              </w:rPr>
              <w:t>+</w:t>
            </w:r>
            <w:r w:rsidRPr="004626DF">
              <w:rPr>
                <w:lang w:val="en-GB"/>
              </w:rPr>
              <w:tab/>
              <w:t>Interest and dividend income, etc., in the Government Pension Fund</w:t>
            </w:r>
            <w:r w:rsidR="00BC269C" w:rsidRPr="00BC269C">
              <w:rPr>
                <w:rStyle w:val="skrift-hevet"/>
                <w:lang w:val="en-GB"/>
              </w:rPr>
              <w:t>1</w:t>
            </w:r>
            <w:r w:rsidRPr="004626DF">
              <w:rPr>
                <w:lang w:val="en-GB"/>
              </w:rPr>
              <w:tab/>
            </w:r>
          </w:p>
        </w:tc>
        <w:tc>
          <w:tcPr>
            <w:tcW w:w="1204" w:type="dxa"/>
            <w:vAlign w:val="bottom"/>
            <w:hideMark/>
          </w:tcPr>
          <w:p w14:paraId="12024004" w14:textId="77777777" w:rsidR="006431E4" w:rsidRPr="006431E4" w:rsidRDefault="006431E4" w:rsidP="00270D2D">
            <w:pPr>
              <w:jc w:val="right"/>
            </w:pPr>
            <w:r w:rsidRPr="006431E4">
              <w:t>462,5</w:t>
            </w:r>
          </w:p>
        </w:tc>
        <w:tc>
          <w:tcPr>
            <w:tcW w:w="992" w:type="dxa"/>
            <w:vAlign w:val="bottom"/>
            <w:hideMark/>
          </w:tcPr>
          <w:p w14:paraId="7B5E98B0" w14:textId="77777777" w:rsidR="006431E4" w:rsidRPr="006431E4" w:rsidRDefault="006431E4" w:rsidP="00270D2D">
            <w:pPr>
              <w:jc w:val="right"/>
            </w:pPr>
            <w:r w:rsidRPr="006431E4">
              <w:t>460,2</w:t>
            </w:r>
          </w:p>
        </w:tc>
        <w:tc>
          <w:tcPr>
            <w:tcW w:w="992" w:type="dxa"/>
            <w:vAlign w:val="bottom"/>
          </w:tcPr>
          <w:p w14:paraId="7714A3D3" w14:textId="77777777" w:rsidR="006431E4" w:rsidRPr="006431E4" w:rsidRDefault="006431E4" w:rsidP="00270D2D">
            <w:pPr>
              <w:jc w:val="right"/>
            </w:pPr>
            <w:r w:rsidRPr="006431E4">
              <w:t>515,0</w:t>
            </w:r>
          </w:p>
        </w:tc>
      </w:tr>
      <w:tr w:rsidR="006431E4" w:rsidRPr="006431E4" w14:paraId="0466103B" w14:textId="77777777" w:rsidTr="00270D2D">
        <w:tc>
          <w:tcPr>
            <w:tcW w:w="6096" w:type="dxa"/>
          </w:tcPr>
          <w:p w14:paraId="7319FC07" w14:textId="77777777" w:rsidR="006431E4" w:rsidRPr="004626DF" w:rsidRDefault="006431E4" w:rsidP="006431E4">
            <w:pPr>
              <w:rPr>
                <w:lang w:val="en-GB"/>
              </w:rPr>
            </w:pPr>
            <w:r w:rsidRPr="004626DF">
              <w:rPr>
                <w:lang w:val="en-GB"/>
              </w:rPr>
              <w:t>-</w:t>
            </w:r>
            <w:r w:rsidRPr="004626DF">
              <w:rPr>
                <w:lang w:val="en-GB"/>
              </w:rPr>
              <w:tab/>
              <w:t>Transfer from the Government Pension Fund Norway</w:t>
            </w:r>
            <w:r w:rsidRPr="004626DF">
              <w:rPr>
                <w:lang w:val="en-GB"/>
              </w:rPr>
              <w:tab/>
            </w:r>
          </w:p>
        </w:tc>
        <w:tc>
          <w:tcPr>
            <w:tcW w:w="1204" w:type="dxa"/>
            <w:vAlign w:val="bottom"/>
          </w:tcPr>
          <w:p w14:paraId="46E67DC5" w14:textId="77777777" w:rsidR="006431E4" w:rsidRPr="006431E4" w:rsidRDefault="006431E4" w:rsidP="00270D2D">
            <w:pPr>
              <w:jc w:val="right"/>
            </w:pPr>
            <w:r w:rsidRPr="006431E4">
              <w:t>11,7</w:t>
            </w:r>
          </w:p>
        </w:tc>
        <w:tc>
          <w:tcPr>
            <w:tcW w:w="992" w:type="dxa"/>
            <w:vAlign w:val="bottom"/>
          </w:tcPr>
          <w:p w14:paraId="1373D7B2" w14:textId="77777777" w:rsidR="006431E4" w:rsidRPr="006431E4" w:rsidRDefault="006431E4" w:rsidP="00270D2D">
            <w:pPr>
              <w:jc w:val="right"/>
            </w:pPr>
            <w:r w:rsidRPr="006431E4">
              <w:t>12,3</w:t>
            </w:r>
          </w:p>
        </w:tc>
        <w:tc>
          <w:tcPr>
            <w:tcW w:w="992" w:type="dxa"/>
            <w:vAlign w:val="bottom"/>
          </w:tcPr>
          <w:p w14:paraId="5E267512" w14:textId="77777777" w:rsidR="006431E4" w:rsidRPr="006431E4" w:rsidRDefault="006431E4" w:rsidP="00270D2D">
            <w:pPr>
              <w:jc w:val="right"/>
            </w:pPr>
            <w:r w:rsidRPr="006431E4">
              <w:t>13,4</w:t>
            </w:r>
          </w:p>
        </w:tc>
      </w:tr>
      <w:tr w:rsidR="006431E4" w:rsidRPr="006431E4" w14:paraId="59C58240" w14:textId="77777777" w:rsidTr="00270D2D">
        <w:tc>
          <w:tcPr>
            <w:tcW w:w="6096" w:type="dxa"/>
            <w:hideMark/>
          </w:tcPr>
          <w:p w14:paraId="5A894EFF" w14:textId="49E0170D" w:rsidR="006431E4" w:rsidRPr="004626DF" w:rsidRDefault="006431E4" w:rsidP="006431E4">
            <w:pPr>
              <w:rPr>
                <w:lang w:val="en-GB"/>
              </w:rPr>
            </w:pPr>
            <w:r w:rsidRPr="004626DF">
              <w:rPr>
                <w:lang w:val="en-GB"/>
              </w:rPr>
              <w:t>=</w:t>
            </w:r>
            <w:r w:rsidRPr="004626DF">
              <w:rPr>
                <w:lang w:val="en-GB"/>
              </w:rPr>
              <w:tab/>
              <w:t>Combined surplus in the fiscal budget and the Government Pension Fund</w:t>
            </w:r>
            <w:r w:rsidR="00BC269C" w:rsidRPr="00BC269C">
              <w:rPr>
                <w:rStyle w:val="skrift-hevet"/>
                <w:lang w:val="en-GB"/>
              </w:rPr>
              <w:t>1</w:t>
            </w:r>
            <w:r w:rsidRPr="004626DF">
              <w:rPr>
                <w:lang w:val="en-GB"/>
              </w:rPr>
              <w:tab/>
            </w:r>
          </w:p>
        </w:tc>
        <w:tc>
          <w:tcPr>
            <w:tcW w:w="1204" w:type="dxa"/>
            <w:vAlign w:val="bottom"/>
            <w:hideMark/>
          </w:tcPr>
          <w:p w14:paraId="60A862E1" w14:textId="77777777" w:rsidR="006431E4" w:rsidRPr="006431E4" w:rsidRDefault="006431E4" w:rsidP="00270D2D">
            <w:pPr>
              <w:jc w:val="right"/>
            </w:pPr>
            <w:r w:rsidRPr="006431E4">
              <w:t>639,1</w:t>
            </w:r>
          </w:p>
        </w:tc>
        <w:tc>
          <w:tcPr>
            <w:tcW w:w="992" w:type="dxa"/>
            <w:vAlign w:val="bottom"/>
            <w:hideMark/>
          </w:tcPr>
          <w:p w14:paraId="36E62E33" w14:textId="77777777" w:rsidR="006431E4" w:rsidRPr="006431E4" w:rsidRDefault="006431E4" w:rsidP="00270D2D">
            <w:pPr>
              <w:jc w:val="right"/>
            </w:pPr>
            <w:r w:rsidRPr="006431E4">
              <w:t>663,7</w:t>
            </w:r>
          </w:p>
        </w:tc>
        <w:tc>
          <w:tcPr>
            <w:tcW w:w="992" w:type="dxa"/>
            <w:vAlign w:val="bottom"/>
          </w:tcPr>
          <w:p w14:paraId="378739E9" w14:textId="77777777" w:rsidR="006431E4" w:rsidRPr="006431E4" w:rsidRDefault="006431E4" w:rsidP="00270D2D">
            <w:pPr>
              <w:jc w:val="right"/>
            </w:pPr>
            <w:r w:rsidRPr="006431E4">
              <w:t>508,3</w:t>
            </w:r>
          </w:p>
        </w:tc>
      </w:tr>
      <w:tr w:rsidR="006431E4" w:rsidRPr="006431E4" w14:paraId="236910DB" w14:textId="77777777" w:rsidTr="00270D2D">
        <w:tc>
          <w:tcPr>
            <w:tcW w:w="6096" w:type="dxa"/>
            <w:hideMark/>
          </w:tcPr>
          <w:p w14:paraId="0922AC97" w14:textId="77777777" w:rsidR="006431E4" w:rsidRPr="006431E4" w:rsidRDefault="006431E4" w:rsidP="006431E4">
            <w:r w:rsidRPr="006431E4">
              <w:t>Memo:</w:t>
            </w:r>
          </w:p>
        </w:tc>
        <w:tc>
          <w:tcPr>
            <w:tcW w:w="1204" w:type="dxa"/>
            <w:vAlign w:val="bottom"/>
          </w:tcPr>
          <w:p w14:paraId="1243E072" w14:textId="77777777" w:rsidR="006431E4" w:rsidRPr="006431E4" w:rsidRDefault="006431E4" w:rsidP="00270D2D">
            <w:pPr>
              <w:jc w:val="right"/>
            </w:pPr>
          </w:p>
        </w:tc>
        <w:tc>
          <w:tcPr>
            <w:tcW w:w="992" w:type="dxa"/>
            <w:vAlign w:val="bottom"/>
          </w:tcPr>
          <w:p w14:paraId="510622BF" w14:textId="77777777" w:rsidR="006431E4" w:rsidRPr="006431E4" w:rsidRDefault="006431E4" w:rsidP="00270D2D">
            <w:pPr>
              <w:jc w:val="right"/>
            </w:pPr>
          </w:p>
        </w:tc>
        <w:tc>
          <w:tcPr>
            <w:tcW w:w="992" w:type="dxa"/>
            <w:vAlign w:val="bottom"/>
          </w:tcPr>
          <w:p w14:paraId="736FCF1A" w14:textId="77777777" w:rsidR="006431E4" w:rsidRPr="006431E4" w:rsidRDefault="006431E4" w:rsidP="00270D2D">
            <w:pPr>
              <w:jc w:val="right"/>
            </w:pPr>
          </w:p>
        </w:tc>
      </w:tr>
      <w:tr w:rsidR="006431E4" w:rsidRPr="006431E4" w14:paraId="57AB57C8" w14:textId="77777777" w:rsidTr="00270D2D">
        <w:tc>
          <w:tcPr>
            <w:tcW w:w="6096" w:type="dxa"/>
          </w:tcPr>
          <w:p w14:paraId="10B87781" w14:textId="77777777" w:rsidR="006431E4" w:rsidRPr="004626DF" w:rsidRDefault="006431E4" w:rsidP="006431E4">
            <w:pPr>
              <w:rPr>
                <w:lang w:val="en-GB"/>
              </w:rPr>
            </w:pPr>
            <w:r w:rsidRPr="004626DF">
              <w:rPr>
                <w:lang w:val="en-GB"/>
              </w:rPr>
              <w:t>Interest and dividend income, etc., in the Government Pension Fund Global</w:t>
            </w:r>
            <w:r w:rsidRPr="004626DF">
              <w:rPr>
                <w:lang w:val="en-GB"/>
              </w:rPr>
              <w:tab/>
            </w:r>
          </w:p>
        </w:tc>
        <w:tc>
          <w:tcPr>
            <w:tcW w:w="1204" w:type="dxa"/>
            <w:vAlign w:val="bottom"/>
          </w:tcPr>
          <w:p w14:paraId="0FCD5074" w14:textId="77777777" w:rsidR="006431E4" w:rsidRPr="006431E4" w:rsidRDefault="006431E4" w:rsidP="00270D2D">
            <w:pPr>
              <w:jc w:val="right"/>
            </w:pPr>
            <w:r w:rsidRPr="006431E4">
              <w:t>444,4</w:t>
            </w:r>
          </w:p>
        </w:tc>
        <w:tc>
          <w:tcPr>
            <w:tcW w:w="992" w:type="dxa"/>
            <w:vAlign w:val="bottom"/>
          </w:tcPr>
          <w:p w14:paraId="52943BA5" w14:textId="77777777" w:rsidR="006431E4" w:rsidRPr="006431E4" w:rsidRDefault="006431E4" w:rsidP="00270D2D">
            <w:pPr>
              <w:jc w:val="right"/>
            </w:pPr>
            <w:r w:rsidRPr="006431E4">
              <w:t>440,1</w:t>
            </w:r>
          </w:p>
        </w:tc>
        <w:tc>
          <w:tcPr>
            <w:tcW w:w="992" w:type="dxa"/>
            <w:vAlign w:val="bottom"/>
          </w:tcPr>
          <w:p w14:paraId="1BC10A0D" w14:textId="77777777" w:rsidR="006431E4" w:rsidRPr="006431E4" w:rsidRDefault="006431E4" w:rsidP="00270D2D">
            <w:pPr>
              <w:jc w:val="right"/>
            </w:pPr>
            <w:r w:rsidRPr="006431E4">
              <w:t>493,7</w:t>
            </w:r>
          </w:p>
        </w:tc>
      </w:tr>
      <w:tr w:rsidR="006431E4" w:rsidRPr="006431E4" w14:paraId="28B39CD6" w14:textId="77777777" w:rsidTr="00270D2D">
        <w:tc>
          <w:tcPr>
            <w:tcW w:w="6096" w:type="dxa"/>
            <w:hideMark/>
          </w:tcPr>
          <w:p w14:paraId="6353834C" w14:textId="3C2E3AF1" w:rsidR="006431E4" w:rsidRPr="004626DF" w:rsidRDefault="006431E4" w:rsidP="006431E4">
            <w:pPr>
              <w:rPr>
                <w:lang w:val="en-GB"/>
              </w:rPr>
            </w:pPr>
            <w:r w:rsidRPr="004626DF">
              <w:rPr>
                <w:lang w:val="en-GB"/>
              </w:rPr>
              <w:t>Market value of the Government Pension Fund Global</w:t>
            </w:r>
            <w:r w:rsidR="00BC269C" w:rsidRPr="00BC269C">
              <w:rPr>
                <w:rStyle w:val="skrift-hevet"/>
                <w:lang w:val="en-GB"/>
              </w:rPr>
              <w:t>2</w:t>
            </w:r>
          </w:p>
        </w:tc>
        <w:tc>
          <w:tcPr>
            <w:tcW w:w="1204" w:type="dxa"/>
            <w:vAlign w:val="bottom"/>
          </w:tcPr>
          <w:p w14:paraId="15E0ED2D" w14:textId="1F042DF8" w:rsidR="006431E4" w:rsidRPr="006431E4" w:rsidRDefault="006431E4" w:rsidP="00270D2D">
            <w:pPr>
              <w:jc w:val="right"/>
            </w:pPr>
            <w:r w:rsidRPr="006431E4">
              <w:t>1</w:t>
            </w:r>
            <w:r w:rsidR="00BC269C" w:rsidRPr="006431E4">
              <w:t>9</w:t>
            </w:r>
            <w:r w:rsidR="00BC269C">
              <w:t> </w:t>
            </w:r>
            <w:r w:rsidR="00BC269C" w:rsidRPr="006431E4">
              <w:t>735</w:t>
            </w:r>
          </w:p>
        </w:tc>
        <w:tc>
          <w:tcPr>
            <w:tcW w:w="992" w:type="dxa"/>
            <w:vAlign w:val="bottom"/>
          </w:tcPr>
          <w:p w14:paraId="70F7A6C5" w14:textId="0B315258" w:rsidR="006431E4" w:rsidRPr="006431E4" w:rsidRDefault="006431E4" w:rsidP="00270D2D">
            <w:pPr>
              <w:jc w:val="right"/>
            </w:pPr>
            <w:r w:rsidRPr="006431E4">
              <w:t>2</w:t>
            </w:r>
            <w:r w:rsidR="00BC269C" w:rsidRPr="006431E4">
              <w:t>1</w:t>
            </w:r>
            <w:r w:rsidR="00BC269C">
              <w:t> </w:t>
            </w:r>
            <w:r w:rsidR="00BC269C" w:rsidRPr="006431E4">
              <w:t>258</w:t>
            </w:r>
          </w:p>
        </w:tc>
        <w:tc>
          <w:tcPr>
            <w:tcW w:w="992" w:type="dxa"/>
            <w:vAlign w:val="bottom"/>
          </w:tcPr>
          <w:p w14:paraId="67C5C215" w14:textId="489E5978" w:rsidR="006431E4" w:rsidRPr="006431E4" w:rsidRDefault="006431E4" w:rsidP="00270D2D">
            <w:pPr>
              <w:jc w:val="right"/>
            </w:pPr>
            <w:r w:rsidRPr="006431E4">
              <w:t>2</w:t>
            </w:r>
            <w:r w:rsidR="00BC269C" w:rsidRPr="006431E4">
              <w:t>2</w:t>
            </w:r>
            <w:r w:rsidR="00BC269C">
              <w:t> </w:t>
            </w:r>
            <w:r w:rsidR="00BC269C" w:rsidRPr="006431E4">
              <w:t>400</w:t>
            </w:r>
          </w:p>
        </w:tc>
      </w:tr>
      <w:tr w:rsidR="006431E4" w:rsidRPr="006431E4" w14:paraId="5CD2E4F0" w14:textId="77777777" w:rsidTr="00270D2D">
        <w:tc>
          <w:tcPr>
            <w:tcW w:w="6096" w:type="dxa"/>
            <w:hideMark/>
          </w:tcPr>
          <w:p w14:paraId="0D94853A" w14:textId="4B7E9B9B" w:rsidR="006431E4" w:rsidRPr="004626DF" w:rsidRDefault="006431E4" w:rsidP="006431E4">
            <w:pPr>
              <w:rPr>
                <w:lang w:val="en-GB"/>
              </w:rPr>
            </w:pPr>
            <w:r w:rsidRPr="004626DF">
              <w:rPr>
                <w:lang w:val="en-GB"/>
              </w:rPr>
              <w:t>Market value of the Government Pension Fund</w:t>
            </w:r>
            <w:r w:rsidR="00BC269C" w:rsidRPr="00BC269C">
              <w:rPr>
                <w:rStyle w:val="skrift-hevet"/>
                <w:lang w:val="en-GB"/>
              </w:rPr>
              <w:t>2</w:t>
            </w:r>
          </w:p>
        </w:tc>
        <w:tc>
          <w:tcPr>
            <w:tcW w:w="1204" w:type="dxa"/>
            <w:vAlign w:val="bottom"/>
          </w:tcPr>
          <w:p w14:paraId="15C7C07D" w14:textId="553B3597" w:rsidR="006431E4" w:rsidRPr="006431E4" w:rsidRDefault="006431E4" w:rsidP="00270D2D">
            <w:pPr>
              <w:jc w:val="right"/>
            </w:pPr>
            <w:r w:rsidRPr="006431E4">
              <w:t>2</w:t>
            </w:r>
            <w:r w:rsidR="00BC269C" w:rsidRPr="006431E4">
              <w:t>0</w:t>
            </w:r>
            <w:r w:rsidR="00BC269C">
              <w:t> </w:t>
            </w:r>
            <w:r w:rsidR="00BC269C" w:rsidRPr="006431E4">
              <w:t>116</w:t>
            </w:r>
          </w:p>
        </w:tc>
        <w:tc>
          <w:tcPr>
            <w:tcW w:w="992" w:type="dxa"/>
            <w:vAlign w:val="bottom"/>
          </w:tcPr>
          <w:p w14:paraId="2B303AA7" w14:textId="06B2C7E0" w:rsidR="006431E4" w:rsidRPr="006431E4" w:rsidRDefault="006431E4" w:rsidP="00270D2D">
            <w:pPr>
              <w:jc w:val="right"/>
            </w:pPr>
            <w:r w:rsidRPr="006431E4">
              <w:t>2</w:t>
            </w:r>
            <w:r w:rsidR="00BC269C" w:rsidRPr="006431E4">
              <w:t>1</w:t>
            </w:r>
            <w:r w:rsidR="00BC269C">
              <w:t> </w:t>
            </w:r>
            <w:r w:rsidR="00BC269C" w:rsidRPr="006431E4">
              <w:t>675</w:t>
            </w:r>
          </w:p>
        </w:tc>
        <w:tc>
          <w:tcPr>
            <w:tcW w:w="992" w:type="dxa"/>
            <w:vAlign w:val="bottom"/>
          </w:tcPr>
          <w:p w14:paraId="7446D7D4" w14:textId="0A880B8F" w:rsidR="006431E4" w:rsidRPr="006431E4" w:rsidRDefault="006431E4" w:rsidP="00270D2D">
            <w:pPr>
              <w:jc w:val="right"/>
            </w:pPr>
            <w:r w:rsidRPr="006431E4">
              <w:t>2</w:t>
            </w:r>
            <w:r w:rsidR="00BC269C" w:rsidRPr="006431E4">
              <w:t>2</w:t>
            </w:r>
            <w:r w:rsidR="00BC269C">
              <w:t> </w:t>
            </w:r>
            <w:r w:rsidR="00BC269C" w:rsidRPr="006431E4">
              <w:t>847</w:t>
            </w:r>
          </w:p>
        </w:tc>
      </w:tr>
      <w:tr w:rsidR="006431E4" w:rsidRPr="006431E4" w14:paraId="25BDAEA4" w14:textId="77777777" w:rsidTr="00270D2D">
        <w:tc>
          <w:tcPr>
            <w:tcW w:w="6096" w:type="dxa"/>
            <w:hideMark/>
          </w:tcPr>
          <w:p w14:paraId="21A5AE05" w14:textId="022BE186" w:rsidR="006431E4" w:rsidRPr="004626DF" w:rsidRDefault="006431E4" w:rsidP="006431E4">
            <w:pPr>
              <w:rPr>
                <w:lang w:val="en-GB"/>
              </w:rPr>
            </w:pPr>
            <w:r w:rsidRPr="004626DF">
              <w:rPr>
                <w:lang w:val="en-GB"/>
              </w:rPr>
              <w:t>Retirement pension commitments under the National Insurance Scheme</w:t>
            </w:r>
            <w:r w:rsidR="00BC269C" w:rsidRPr="00BC269C">
              <w:rPr>
                <w:rStyle w:val="skrift-hevet"/>
                <w:lang w:val="en-GB"/>
              </w:rPr>
              <w:t>2</w:t>
            </w:r>
            <w:r w:rsidRPr="004626DF">
              <w:rPr>
                <w:lang w:val="en-GB"/>
              </w:rPr>
              <w:t>.</w:t>
            </w:r>
            <w:r w:rsidR="00BC269C" w:rsidRPr="00BC269C">
              <w:rPr>
                <w:rStyle w:val="skrift-hevet"/>
                <w:lang w:val="en-GB"/>
              </w:rPr>
              <w:t>3</w:t>
            </w:r>
            <w:r w:rsidRPr="004626DF">
              <w:rPr>
                <w:lang w:val="en-GB"/>
              </w:rPr>
              <w:tab/>
            </w:r>
          </w:p>
        </w:tc>
        <w:tc>
          <w:tcPr>
            <w:tcW w:w="1204" w:type="dxa"/>
            <w:vAlign w:val="bottom"/>
          </w:tcPr>
          <w:p w14:paraId="6C11BFB1" w14:textId="7D751290" w:rsidR="006431E4" w:rsidRPr="006431E4" w:rsidRDefault="006431E4" w:rsidP="00270D2D">
            <w:pPr>
              <w:jc w:val="right"/>
            </w:pPr>
            <w:r w:rsidRPr="006431E4">
              <w:t>1</w:t>
            </w:r>
            <w:r w:rsidR="00BC269C" w:rsidRPr="006431E4">
              <w:t>1</w:t>
            </w:r>
            <w:r w:rsidR="00BC269C">
              <w:t> </w:t>
            </w:r>
            <w:r w:rsidR="00BC269C" w:rsidRPr="006431E4">
              <w:t>375</w:t>
            </w:r>
          </w:p>
        </w:tc>
        <w:tc>
          <w:tcPr>
            <w:tcW w:w="992" w:type="dxa"/>
            <w:vAlign w:val="bottom"/>
          </w:tcPr>
          <w:p w14:paraId="7FF3ED3F" w14:textId="033DFC31" w:rsidR="006431E4" w:rsidRPr="006431E4" w:rsidRDefault="006431E4" w:rsidP="00270D2D">
            <w:pPr>
              <w:jc w:val="right"/>
            </w:pPr>
            <w:r w:rsidRPr="006431E4">
              <w:t>1</w:t>
            </w:r>
            <w:r w:rsidR="00BC269C" w:rsidRPr="006431E4">
              <w:t>2</w:t>
            </w:r>
            <w:r w:rsidR="00BC269C">
              <w:t> </w:t>
            </w:r>
            <w:r w:rsidR="00BC269C" w:rsidRPr="006431E4">
              <w:t>043</w:t>
            </w:r>
          </w:p>
        </w:tc>
        <w:tc>
          <w:tcPr>
            <w:tcW w:w="992" w:type="dxa"/>
            <w:vAlign w:val="bottom"/>
          </w:tcPr>
          <w:p w14:paraId="4BE18525" w14:textId="10AF738D" w:rsidR="006431E4" w:rsidRPr="006431E4" w:rsidRDefault="006431E4" w:rsidP="00270D2D">
            <w:pPr>
              <w:jc w:val="right"/>
            </w:pPr>
            <w:r w:rsidRPr="006431E4">
              <w:t>1</w:t>
            </w:r>
            <w:r w:rsidR="00BC269C" w:rsidRPr="006431E4">
              <w:t>2</w:t>
            </w:r>
            <w:r w:rsidR="00BC269C">
              <w:t> </w:t>
            </w:r>
            <w:r w:rsidR="00BC269C" w:rsidRPr="006431E4">
              <w:t>744</w:t>
            </w:r>
          </w:p>
        </w:tc>
      </w:tr>
    </w:tbl>
    <w:p w14:paraId="307E8AB6" w14:textId="3A802386" w:rsidR="002272F4" w:rsidRPr="004626DF" w:rsidRDefault="00BC269C" w:rsidP="00270D2D">
      <w:pPr>
        <w:pStyle w:val="Note"/>
        <w:rPr>
          <w:lang w:val="en-GB"/>
        </w:rPr>
      </w:pPr>
      <w:r w:rsidRPr="00BC269C">
        <w:rPr>
          <w:rStyle w:val="skrift-hevet"/>
          <w:lang w:val="en-GB"/>
        </w:rPr>
        <w:t>1</w:t>
      </w:r>
      <w:r w:rsidR="006431E4" w:rsidRPr="004626DF">
        <w:rPr>
          <w:lang w:val="en-GB"/>
        </w:rPr>
        <w:t xml:space="preserve"> Does not include capital gains or losses.</w:t>
      </w:r>
    </w:p>
    <w:p w14:paraId="167BBCDC" w14:textId="49918AF5" w:rsidR="006431E4" w:rsidRPr="004626DF" w:rsidRDefault="00BC269C" w:rsidP="00270D2D">
      <w:pPr>
        <w:pStyle w:val="Note"/>
        <w:rPr>
          <w:lang w:val="en-GB"/>
        </w:rPr>
      </w:pPr>
      <w:r w:rsidRPr="00BC269C">
        <w:rPr>
          <w:rStyle w:val="skrift-hevet"/>
          <w:lang w:val="en-GB"/>
        </w:rPr>
        <w:t>2</w:t>
      </w:r>
      <w:r w:rsidR="006431E4" w:rsidRPr="004626DF">
        <w:rPr>
          <w:lang w:val="en-GB"/>
        </w:rPr>
        <w:t xml:space="preserve"> At the beginning of the year.</w:t>
      </w:r>
    </w:p>
    <w:p w14:paraId="0B3C4D19" w14:textId="44036D78" w:rsidR="006431E4" w:rsidRPr="004626DF" w:rsidRDefault="00BC269C" w:rsidP="00270D2D">
      <w:pPr>
        <w:pStyle w:val="Note"/>
        <w:rPr>
          <w:lang w:val="en-GB"/>
        </w:rPr>
      </w:pPr>
      <w:r w:rsidRPr="00BC269C">
        <w:rPr>
          <w:rStyle w:val="skrift-hevet"/>
          <w:lang w:val="en-GB"/>
        </w:rPr>
        <w:t>3</w:t>
      </w:r>
      <w:r w:rsidR="006431E4" w:rsidRPr="004626DF">
        <w:rPr>
          <w:lang w:val="en-GB"/>
        </w:rPr>
        <w:t xml:space="preserve"> The net present value of existing accrued rights to future retirement pension payments under the National Insurance Scheme.</w:t>
      </w:r>
    </w:p>
    <w:p w14:paraId="0620E5BD" w14:textId="22E1F5E5" w:rsidR="006431E4" w:rsidRPr="004626DF" w:rsidRDefault="006431E4" w:rsidP="00270D2D">
      <w:pPr>
        <w:pStyle w:val="Kilde"/>
        <w:rPr>
          <w:lang w:val="en-GB"/>
        </w:rPr>
      </w:pPr>
      <w:r w:rsidRPr="004626DF">
        <w:rPr>
          <w:lang w:val="en-GB"/>
        </w:rPr>
        <w:t>Sources: Ministry of Finance and Statistics Norway.</w:t>
      </w:r>
    </w:p>
    <w:sectPr w:rsidR="006431E4" w:rsidRPr="004626D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08BA2" w14:textId="77777777" w:rsidR="00D8418D" w:rsidRDefault="00D8418D" w:rsidP="00C76B3D">
      <w:pPr>
        <w:spacing w:after="0" w:line="240" w:lineRule="auto"/>
      </w:pPr>
      <w:r>
        <w:separator/>
      </w:r>
    </w:p>
  </w:endnote>
  <w:endnote w:type="continuationSeparator" w:id="0">
    <w:p w14:paraId="79857B30" w14:textId="77777777" w:rsidR="00D8418D" w:rsidRDefault="00D8418D" w:rsidP="00C76B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UniCentury Old Style">
    <w:panose1 w:val="02030603060405030204"/>
    <w:charset w:val="00"/>
    <w:family w:val="roman"/>
    <w:pitch w:val="variable"/>
    <w:sig w:usb0="00000007"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0A7F2" w14:textId="77777777" w:rsidR="00D8418D" w:rsidRDefault="00D8418D" w:rsidP="00C76B3D">
      <w:pPr>
        <w:spacing w:after="0" w:line="240" w:lineRule="auto"/>
      </w:pPr>
      <w:r>
        <w:separator/>
      </w:r>
    </w:p>
  </w:footnote>
  <w:footnote w:type="continuationSeparator" w:id="0">
    <w:p w14:paraId="765A3B32" w14:textId="77777777" w:rsidR="00D8418D" w:rsidRDefault="00D8418D" w:rsidP="00C76B3D">
      <w:pPr>
        <w:spacing w:after="0" w:line="240" w:lineRule="auto"/>
      </w:pPr>
      <w:r>
        <w:continuationSeparator/>
      </w:r>
    </w:p>
  </w:footnote>
  <w:footnote w:id="1">
    <w:p w14:paraId="55C66689" w14:textId="05EF51BF" w:rsidR="00BC269C" w:rsidRPr="004626DF" w:rsidRDefault="00BC269C" w:rsidP="00BC269C">
      <w:pPr>
        <w:pStyle w:val="Fotnotetekst"/>
        <w:rPr>
          <w:lang w:val="en-GB"/>
        </w:rPr>
      </w:pPr>
      <w:r w:rsidRPr="00BC269C">
        <w:rPr>
          <w:rStyle w:val="Fotnotereferanse"/>
        </w:rPr>
        <w:footnoteRef/>
      </w:r>
      <w:r w:rsidRPr="004626DF">
        <w:rPr>
          <w:lang w:val="en-GB"/>
        </w:rPr>
        <w:t>See Working Paper 2025/2 Government Pension Fund Global and medium-term fiscal policy for a description of the calculations.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96A"/>
    <w:multiLevelType w:val="hybridMultilevel"/>
    <w:tmpl w:val="E15872F0"/>
    <w:styleLink w:val="l-ListeStilMal"/>
    <w:lvl w:ilvl="0" w:tplc="D4F43E00">
      <w:start w:val="1"/>
      <w:numFmt w:val="decimal"/>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18903D5"/>
    <w:multiLevelType w:val="multilevel"/>
    <w:tmpl w:val="347E354A"/>
    <w:styleLink w:val="Nr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 w15:restartNumberingAfterBreak="0">
    <w:nsid w:val="055B2B6A"/>
    <w:multiLevelType w:val="singleLevel"/>
    <w:tmpl w:val="36C6BC30"/>
    <w:lvl w:ilvl="0">
      <w:start w:val="1"/>
      <w:numFmt w:val="bullet"/>
      <w:pStyle w:val="Punktliste5"/>
      <w:lvlText w:val=""/>
      <w:lvlJc w:val="left"/>
      <w:pPr>
        <w:tabs>
          <w:tab w:val="num" w:pos="1800"/>
        </w:tabs>
        <w:ind w:left="1746" w:hanging="306"/>
      </w:pPr>
      <w:rPr>
        <w:rFonts w:ascii="Symbol" w:hAnsi="Symbol" w:hint="default"/>
      </w:rPr>
    </w:lvl>
  </w:abstractNum>
  <w:abstractNum w:abstractNumId="3" w15:restartNumberingAfterBreak="0">
    <w:nsid w:val="06DE23F1"/>
    <w:multiLevelType w:val="singleLevel"/>
    <w:tmpl w:val="4A32CF16"/>
    <w:lvl w:ilvl="0">
      <w:start w:val="1"/>
      <w:numFmt w:val="bullet"/>
      <w:pStyle w:val="Listebombe"/>
      <w:lvlText w:val=""/>
      <w:lvlJc w:val="left"/>
      <w:pPr>
        <w:ind w:left="360" w:hanging="360"/>
      </w:pPr>
      <w:rPr>
        <w:rFonts w:ascii="Symbol" w:hAnsi="Symbol" w:hint="default"/>
      </w:rPr>
    </w:lvl>
  </w:abstractNum>
  <w:abstractNum w:abstractNumId="4" w15:restartNumberingAfterBreak="0">
    <w:nsid w:val="08FF505F"/>
    <w:multiLevelType w:val="hybridMultilevel"/>
    <w:tmpl w:val="0068EECE"/>
    <w:lvl w:ilvl="0" w:tplc="5E44CE54">
      <w:start w:val="1"/>
      <w:numFmt w:val="bullet"/>
      <w:pStyle w:val="Liste4"/>
      <w:lvlText w:val="-"/>
      <w:lvlJc w:val="left"/>
      <w:pPr>
        <w:ind w:left="1911" w:hanging="360"/>
      </w:pPr>
      <w:rPr>
        <w:rFonts w:ascii="Arial" w:hAnsi="Aria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5" w15:restartNumberingAfterBreak="0">
    <w:nsid w:val="0B0A4099"/>
    <w:multiLevelType w:val="multilevel"/>
    <w:tmpl w:val="44D87F16"/>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6" w15:restartNumberingAfterBreak="0">
    <w:nsid w:val="0E3A6924"/>
    <w:multiLevelType w:val="multilevel"/>
    <w:tmpl w:val="17FCA248"/>
    <w:styleLink w:val="OverskrifterListeStil"/>
    <w:lvl w:ilvl="0">
      <w:start w:val="1"/>
      <w:numFmt w:val="none"/>
      <w:lvlText w:val=""/>
      <w:lvlJc w:val="left"/>
      <w:pPr>
        <w:tabs>
          <w:tab w:val="num" w:pos="1011"/>
        </w:tabs>
        <w:ind w:left="1011" w:firstLine="0"/>
      </w:pPr>
      <w:rPr>
        <w:rFonts w:hint="default"/>
      </w:rPr>
    </w:lvl>
    <w:lvl w:ilvl="1">
      <w:start w:val="1"/>
      <w:numFmt w:val="none"/>
      <w:lvlRestart w:val="0"/>
      <w:lvlText w:val=""/>
      <w:lvlJc w:val="left"/>
      <w:pPr>
        <w:tabs>
          <w:tab w:val="num" w:pos="1408"/>
        </w:tabs>
        <w:ind w:left="1408" w:firstLine="0"/>
      </w:pPr>
      <w:rPr>
        <w:rFonts w:hint="default"/>
      </w:rPr>
    </w:lvl>
    <w:lvl w:ilvl="2">
      <w:start w:val="1"/>
      <w:numFmt w:val="none"/>
      <w:lvlRestart w:val="0"/>
      <w:lvlText w:val=""/>
      <w:lvlJc w:val="left"/>
      <w:pPr>
        <w:tabs>
          <w:tab w:val="num" w:pos="1805"/>
        </w:tabs>
        <w:ind w:left="1810" w:hanging="5"/>
      </w:pPr>
      <w:rPr>
        <w:rFonts w:hint="default"/>
      </w:rPr>
    </w:lvl>
    <w:lvl w:ilvl="3">
      <w:start w:val="1"/>
      <w:numFmt w:val="none"/>
      <w:lvlRestart w:val="0"/>
      <w:lvlText w:val=""/>
      <w:lvlJc w:val="left"/>
      <w:pPr>
        <w:tabs>
          <w:tab w:val="num" w:pos="2202"/>
        </w:tabs>
        <w:ind w:left="2202" w:firstLine="0"/>
      </w:pPr>
      <w:rPr>
        <w:rFonts w:hint="default"/>
      </w:rPr>
    </w:lvl>
    <w:lvl w:ilvl="4">
      <w:start w:val="1"/>
      <w:numFmt w:val="none"/>
      <w:lvlRestart w:val="0"/>
      <w:lvlText w:val=""/>
      <w:lvlJc w:val="left"/>
      <w:pPr>
        <w:tabs>
          <w:tab w:val="num" w:pos="2599"/>
        </w:tabs>
        <w:ind w:left="2599" w:firstLine="0"/>
      </w:pPr>
      <w:rPr>
        <w:rFonts w:hint="default"/>
      </w:rPr>
    </w:lvl>
    <w:lvl w:ilvl="5">
      <w:start w:val="1"/>
      <w:numFmt w:val="lowerRoman"/>
      <w:lvlText w:val="(%6)"/>
      <w:lvlJc w:val="left"/>
      <w:pPr>
        <w:tabs>
          <w:tab w:val="num" w:pos="3393"/>
        </w:tabs>
        <w:ind w:left="3393" w:hanging="397"/>
      </w:pPr>
      <w:rPr>
        <w:rFonts w:hint="default"/>
      </w:rPr>
    </w:lvl>
    <w:lvl w:ilvl="6">
      <w:start w:val="1"/>
      <w:numFmt w:val="decimal"/>
      <w:lvlText w:val="%7."/>
      <w:lvlJc w:val="left"/>
      <w:pPr>
        <w:tabs>
          <w:tab w:val="num" w:pos="3790"/>
        </w:tabs>
        <w:ind w:left="3790" w:hanging="397"/>
      </w:pPr>
      <w:rPr>
        <w:rFonts w:hint="default"/>
      </w:rPr>
    </w:lvl>
    <w:lvl w:ilvl="7">
      <w:start w:val="1"/>
      <w:numFmt w:val="lowerLetter"/>
      <w:lvlText w:val="%8."/>
      <w:lvlJc w:val="left"/>
      <w:pPr>
        <w:tabs>
          <w:tab w:val="num" w:pos="4187"/>
        </w:tabs>
        <w:ind w:left="4187" w:hanging="397"/>
      </w:pPr>
      <w:rPr>
        <w:rFonts w:hint="default"/>
      </w:rPr>
    </w:lvl>
    <w:lvl w:ilvl="8">
      <w:start w:val="1"/>
      <w:numFmt w:val="lowerRoman"/>
      <w:lvlText w:val="%9."/>
      <w:lvlJc w:val="left"/>
      <w:pPr>
        <w:tabs>
          <w:tab w:val="num" w:pos="4584"/>
        </w:tabs>
        <w:ind w:left="4584" w:hanging="397"/>
      </w:pPr>
      <w:rPr>
        <w:rFonts w:hint="default"/>
      </w:rPr>
    </w:lvl>
  </w:abstractNum>
  <w:abstractNum w:abstractNumId="7" w15:restartNumberingAfterBreak="0">
    <w:nsid w:val="11FF2784"/>
    <w:multiLevelType w:val="multilevel"/>
    <w:tmpl w:val="96E67026"/>
    <w:styleLink w:val="Rom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188F628A"/>
    <w:multiLevelType w:val="singleLevel"/>
    <w:tmpl w:val="3B5230DE"/>
    <w:lvl w:ilvl="0">
      <w:start w:val="1"/>
      <w:numFmt w:val="bullet"/>
      <w:pStyle w:val="Punktliste3"/>
      <w:lvlText w:val=""/>
      <w:lvlJc w:val="left"/>
      <w:pPr>
        <w:tabs>
          <w:tab w:val="num" w:pos="1080"/>
        </w:tabs>
        <w:ind w:left="1077" w:hanging="357"/>
      </w:pPr>
      <w:rPr>
        <w:rFonts w:ascii="Symbol" w:hAnsi="Symbol" w:hint="default"/>
      </w:rPr>
    </w:lvl>
  </w:abstractNum>
  <w:abstractNum w:abstractNumId="9" w15:restartNumberingAfterBreak="0">
    <w:nsid w:val="1C7F59B6"/>
    <w:multiLevelType w:val="hybridMultilevel"/>
    <w:tmpl w:val="7C6A8BC4"/>
    <w:lvl w:ilvl="0" w:tplc="6ECE37FE">
      <w:start w:val="1"/>
      <w:numFmt w:val="bullet"/>
      <w:pStyle w:val="Liste5"/>
      <w:lvlText w:val="-"/>
      <w:lvlJc w:val="left"/>
      <w:pPr>
        <w:ind w:left="2308" w:hanging="360"/>
      </w:pPr>
      <w:rPr>
        <w:rFonts w:ascii="Arial" w:hAnsi="Aria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tentative="1">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10" w15:restartNumberingAfterBreak="0">
    <w:nsid w:val="201E6725"/>
    <w:multiLevelType w:val="hybridMultilevel"/>
    <w:tmpl w:val="3D148BF0"/>
    <w:lvl w:ilvl="0" w:tplc="71DC6766">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9A0207B"/>
    <w:multiLevelType w:val="singleLevel"/>
    <w:tmpl w:val="7B107872"/>
    <w:lvl w:ilvl="0">
      <w:start w:val="1"/>
      <w:numFmt w:val="bullet"/>
      <w:pStyle w:val="Punktliste4"/>
      <w:lvlText w:val=""/>
      <w:lvlJc w:val="left"/>
      <w:pPr>
        <w:tabs>
          <w:tab w:val="num" w:pos="1440"/>
        </w:tabs>
        <w:ind w:left="1440" w:hanging="363"/>
      </w:pPr>
      <w:rPr>
        <w:rFonts w:ascii="Symbol" w:hAnsi="Symbol" w:hint="default"/>
      </w:rPr>
    </w:lvl>
  </w:abstractNum>
  <w:abstractNum w:abstractNumId="12" w15:restartNumberingAfterBreak="0">
    <w:nsid w:val="35122684"/>
    <w:multiLevelType w:val="multilevel"/>
    <w:tmpl w:val="1E703940"/>
    <w:styleLink w:val="Opplisting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13" w15:restartNumberingAfterBreak="0">
    <w:nsid w:val="35C91E50"/>
    <w:multiLevelType w:val="multilevel"/>
    <w:tmpl w:val="96E67026"/>
    <w:numStyleLink w:val="RomListeStil"/>
  </w:abstractNum>
  <w:abstractNum w:abstractNumId="14" w15:restartNumberingAfterBreak="0">
    <w:nsid w:val="3C1113F8"/>
    <w:multiLevelType w:val="hybridMultilevel"/>
    <w:tmpl w:val="A23EBCEE"/>
    <w:lvl w:ilvl="0" w:tplc="EE2A7192">
      <w:start w:val="1"/>
      <w:numFmt w:val="bullet"/>
      <w:pStyle w:val="Listebombe5"/>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15" w15:restartNumberingAfterBreak="0">
    <w:nsid w:val="46783B42"/>
    <w:multiLevelType w:val="multilevel"/>
    <w:tmpl w:val="32ECFF12"/>
    <w:styleLink w:val="l-NummerertListeStil"/>
    <w:lvl w:ilvl="0">
      <w:start w:val="1"/>
      <w:numFmt w:val="lowerLetter"/>
      <w:lvlText w:val="%1)"/>
      <w:lvlJc w:val="left"/>
      <w:pPr>
        <w:tabs>
          <w:tab w:val="num" w:pos="397"/>
        </w:tabs>
        <w:ind w:left="397" w:hanging="397"/>
      </w:pPr>
      <w:rPr>
        <w:rFonts w:cs="Times New Roman" w:hint="default"/>
      </w:rPr>
    </w:lvl>
    <w:lvl w:ilvl="1">
      <w:start w:val="1"/>
      <w:numFmt w:val="lowerLetter"/>
      <w:lvlText w:val="%2)"/>
      <w:lvlJc w:val="left"/>
      <w:pPr>
        <w:tabs>
          <w:tab w:val="num" w:pos="794"/>
        </w:tabs>
        <w:ind w:left="794" w:hanging="397"/>
      </w:pPr>
      <w:rPr>
        <w:rFonts w:cs="Times New Roman" w:hint="default"/>
      </w:rPr>
    </w:lvl>
    <w:lvl w:ilvl="2">
      <w:start w:val="1"/>
      <w:numFmt w:val="lowerLetter"/>
      <w:lvlText w:val="%3)"/>
      <w:lvlJc w:val="left"/>
      <w:pPr>
        <w:tabs>
          <w:tab w:val="num" w:pos="1191"/>
        </w:tabs>
        <w:ind w:left="1191" w:hanging="397"/>
      </w:pPr>
      <w:rPr>
        <w:rFonts w:cs="Times New Roman" w:hint="default"/>
      </w:rPr>
    </w:lvl>
    <w:lvl w:ilvl="3">
      <w:start w:val="1"/>
      <w:numFmt w:val="lowerLetter"/>
      <w:lvlText w:val="%4)"/>
      <w:lvlJc w:val="left"/>
      <w:pPr>
        <w:tabs>
          <w:tab w:val="num" w:pos="1588"/>
        </w:tabs>
        <w:ind w:left="1588" w:hanging="397"/>
      </w:pPr>
      <w:rPr>
        <w:rFonts w:cs="Times New Roman" w:hint="default"/>
      </w:rPr>
    </w:lvl>
    <w:lvl w:ilvl="4">
      <w:start w:val="1"/>
      <w:numFmt w:val="lowerLetter"/>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16" w15:restartNumberingAfterBreak="0">
    <w:nsid w:val="48971B09"/>
    <w:multiLevelType w:val="hybridMultilevel"/>
    <w:tmpl w:val="1640DBE4"/>
    <w:lvl w:ilvl="0" w:tplc="498293FE">
      <w:start w:val="1"/>
      <w:numFmt w:val="bullet"/>
      <w:pStyle w:val="Liste"/>
      <w:lvlText w:val="-"/>
      <w:lvlJc w:val="left"/>
      <w:pPr>
        <w:ind w:left="360" w:hanging="360"/>
      </w:pPr>
      <w:rPr>
        <w:rFonts w:ascii="Arial" w:hAnsi="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54837150"/>
    <w:multiLevelType w:val="multilevel"/>
    <w:tmpl w:val="B44EA2BE"/>
    <w:styleLink w:val="AlfaListeStil"/>
    <w:lvl w:ilvl="0">
      <w:start w:val="1"/>
      <w:numFmt w:val="lowerLetter"/>
      <w:pStyle w:val="alfaliste"/>
      <w:lvlText w:val="%1."/>
      <w:lvlJc w:val="left"/>
      <w:pPr>
        <w:ind w:left="360" w:hanging="360"/>
      </w:pPr>
      <w:rPr>
        <w:rFonts w:hint="default"/>
      </w:rPr>
    </w:lvl>
    <w:lvl w:ilvl="1">
      <w:start w:val="1"/>
      <w:numFmt w:val="lowerLetter"/>
      <w:lvlRestart w:val="0"/>
      <w:pStyle w:val="alfaliste2"/>
      <w:lvlText w:val="%2."/>
      <w:lvlJc w:val="left"/>
      <w:pPr>
        <w:ind w:left="794" w:hanging="397"/>
      </w:pPr>
      <w:rPr>
        <w:rFonts w:hint="default"/>
      </w:rPr>
    </w:lvl>
    <w:lvl w:ilvl="2">
      <w:start w:val="1"/>
      <w:numFmt w:val="lowerLetter"/>
      <w:lvlRestart w:val="0"/>
      <w:pStyle w:val="alfaliste3"/>
      <w:lvlText w:val="%3."/>
      <w:lvlJc w:val="left"/>
      <w:pPr>
        <w:ind w:left="1191" w:hanging="397"/>
      </w:pPr>
      <w:rPr>
        <w:rFonts w:hint="default"/>
      </w:rPr>
    </w:lvl>
    <w:lvl w:ilvl="3">
      <w:start w:val="1"/>
      <w:numFmt w:val="lowerLetter"/>
      <w:lvlRestart w:val="0"/>
      <w:pStyle w:val="alfaliste4"/>
      <w:lvlText w:val="%4."/>
      <w:lvlJc w:val="left"/>
      <w:pPr>
        <w:ind w:left="1588" w:hanging="397"/>
      </w:pPr>
      <w:rPr>
        <w:rFonts w:hint="default"/>
      </w:rPr>
    </w:lvl>
    <w:lvl w:ilvl="4">
      <w:start w:val="1"/>
      <w:numFmt w:val="lowerLetter"/>
      <w:lvlRestart w:val="0"/>
      <w:pStyle w:val="alfaliste5"/>
      <w:lvlText w:val="%5."/>
      <w:lvlJc w:val="left"/>
      <w:pPr>
        <w:ind w:left="1985" w:hanging="397"/>
      </w:pPr>
      <w:rPr>
        <w:rFonts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18" w15:restartNumberingAfterBreak="0">
    <w:nsid w:val="573F652E"/>
    <w:multiLevelType w:val="hybridMultilevel"/>
    <w:tmpl w:val="04F0CC5E"/>
    <w:lvl w:ilvl="0" w:tplc="7CE4A1F6">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19" w15:restartNumberingAfterBreak="0">
    <w:nsid w:val="591B2E68"/>
    <w:multiLevelType w:val="multilevel"/>
    <w:tmpl w:val="6DF82BA6"/>
    <w:styleLink w:val="StrekListeSti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tabs>
          <w:tab w:val="num" w:pos="794"/>
        </w:tabs>
        <w:ind w:left="794" w:hanging="397"/>
      </w:pPr>
      <w:rPr>
        <w:rFonts w:ascii="Symbol" w:hAnsi="Symbol" w:hint="default"/>
      </w:rPr>
    </w:lvl>
    <w:lvl w:ilvl="2">
      <w:start w:val="1"/>
      <w:numFmt w:val="bullet"/>
      <w:lvlRestart w:val="0"/>
      <w:lvlText w:val=""/>
      <w:lvlJc w:val="left"/>
      <w:pPr>
        <w:tabs>
          <w:tab w:val="num" w:pos="1191"/>
        </w:tabs>
        <w:ind w:left="1191" w:hanging="397"/>
      </w:pPr>
      <w:rPr>
        <w:rFonts w:ascii="Symbol" w:hAnsi="Symbol" w:hint="default"/>
      </w:rPr>
    </w:lvl>
    <w:lvl w:ilvl="3">
      <w:start w:val="1"/>
      <w:numFmt w:val="bullet"/>
      <w:lvlRestart w:val="0"/>
      <w:lvlText w:val=""/>
      <w:lvlJc w:val="left"/>
      <w:pPr>
        <w:tabs>
          <w:tab w:val="num" w:pos="1588"/>
        </w:tabs>
        <w:ind w:left="1588" w:hanging="397"/>
      </w:pPr>
      <w:rPr>
        <w:rFonts w:ascii="Symbol" w:hAnsi="Symbol" w:hint="default"/>
      </w:rPr>
    </w:lvl>
    <w:lvl w:ilvl="4">
      <w:start w:val="1"/>
      <w:numFmt w:val="bullet"/>
      <w:lvlRestart w:val="0"/>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0" w15:restartNumberingAfterBreak="0">
    <w:nsid w:val="5FCC5E24"/>
    <w:multiLevelType w:val="singleLevel"/>
    <w:tmpl w:val="47A853AA"/>
    <w:lvl w:ilvl="0">
      <w:start w:val="1"/>
      <w:numFmt w:val="bullet"/>
      <w:pStyle w:val="Punktliste"/>
      <w:lvlText w:val=""/>
      <w:lvlJc w:val="left"/>
      <w:pPr>
        <w:tabs>
          <w:tab w:val="num" w:pos="360"/>
        </w:tabs>
        <w:ind w:left="360" w:hanging="360"/>
      </w:pPr>
      <w:rPr>
        <w:rFonts w:ascii="Symbol" w:hAnsi="Symbol" w:hint="default"/>
      </w:rPr>
    </w:lvl>
  </w:abstractNum>
  <w:abstractNum w:abstractNumId="21" w15:restartNumberingAfterBreak="0">
    <w:nsid w:val="60044BAD"/>
    <w:multiLevelType w:val="hybridMultilevel"/>
    <w:tmpl w:val="A97A3468"/>
    <w:lvl w:ilvl="0" w:tplc="67000A9E">
      <w:start w:val="1"/>
      <w:numFmt w:val="bullet"/>
      <w:pStyle w:val="Liste2"/>
      <w:lvlText w:val="-"/>
      <w:lvlJc w:val="left"/>
      <w:pPr>
        <w:ind w:left="1117" w:hanging="360"/>
      </w:pPr>
      <w:rPr>
        <w:rFonts w:ascii="Arial" w:hAnsi="Aria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22" w15:restartNumberingAfterBreak="0">
    <w:nsid w:val="62A6542F"/>
    <w:multiLevelType w:val="multilevel"/>
    <w:tmpl w:val="EC565FEC"/>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decimal"/>
      <w:lvlRestart w:val="1"/>
      <w:suff w:val="space"/>
      <w:lvlText w:val="Figur %1.%6"/>
      <w:lvlJc w:val="left"/>
      <w:pPr>
        <w:ind w:left="0" w:firstLine="0"/>
      </w:pPr>
      <w:rPr>
        <w:rFonts w:hint="default"/>
      </w:rPr>
    </w:lvl>
    <w:lvl w:ilvl="6">
      <w:start w:val="1"/>
      <w:numFmt w:val="decimal"/>
      <w:lvlRestart w:val="1"/>
      <w:suff w:val="space"/>
      <w:lvlText w:val="Tabell %1.%7"/>
      <w:lvlJc w:val="left"/>
      <w:pPr>
        <w:ind w:left="0" w:firstLine="0"/>
      </w:pPr>
      <w:rPr>
        <w:rFonts w:hint="default"/>
      </w:rPr>
    </w:lvl>
    <w:lvl w:ilvl="7">
      <w:start w:val="1"/>
      <w:numFmt w:val="decimal"/>
      <w:lvlRestart w:val="1"/>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67877E27"/>
    <w:multiLevelType w:val="hybridMultilevel"/>
    <w:tmpl w:val="C93CBF56"/>
    <w:lvl w:ilvl="0" w:tplc="669A7D6A">
      <w:start w:val="1"/>
      <w:numFmt w:val="bullet"/>
      <w:pStyle w:val="Listebombe4"/>
      <w:lvlText w:val=""/>
      <w:lvlJc w:val="left"/>
      <w:pPr>
        <w:ind w:left="1514" w:hanging="360"/>
      </w:pPr>
      <w:rPr>
        <w:rFonts w:ascii="Symbol" w:hAnsi="Symbol" w:hint="default"/>
      </w:rPr>
    </w:lvl>
    <w:lvl w:ilvl="1" w:tplc="04140019" w:tentative="1">
      <w:start w:val="1"/>
      <w:numFmt w:val="bullet"/>
      <w:lvlText w:val="o"/>
      <w:lvlJc w:val="left"/>
      <w:pPr>
        <w:ind w:left="2234" w:hanging="360"/>
      </w:pPr>
      <w:rPr>
        <w:rFonts w:ascii="Courier New" w:hAnsi="Courier New" w:cs="Courier New" w:hint="default"/>
      </w:rPr>
    </w:lvl>
    <w:lvl w:ilvl="2" w:tplc="0414001B" w:tentative="1">
      <w:start w:val="1"/>
      <w:numFmt w:val="bullet"/>
      <w:lvlText w:val=""/>
      <w:lvlJc w:val="left"/>
      <w:pPr>
        <w:ind w:left="2954" w:hanging="360"/>
      </w:pPr>
      <w:rPr>
        <w:rFonts w:ascii="Wingdings" w:hAnsi="Wingdings" w:hint="default"/>
      </w:rPr>
    </w:lvl>
    <w:lvl w:ilvl="3" w:tplc="0414000F" w:tentative="1">
      <w:start w:val="1"/>
      <w:numFmt w:val="bullet"/>
      <w:lvlText w:val=""/>
      <w:lvlJc w:val="left"/>
      <w:pPr>
        <w:ind w:left="3674" w:hanging="360"/>
      </w:pPr>
      <w:rPr>
        <w:rFonts w:ascii="Symbol" w:hAnsi="Symbol" w:hint="default"/>
      </w:rPr>
    </w:lvl>
    <w:lvl w:ilvl="4" w:tplc="04140019" w:tentative="1">
      <w:start w:val="1"/>
      <w:numFmt w:val="bullet"/>
      <w:lvlText w:val="o"/>
      <w:lvlJc w:val="left"/>
      <w:pPr>
        <w:ind w:left="4394" w:hanging="360"/>
      </w:pPr>
      <w:rPr>
        <w:rFonts w:ascii="Courier New" w:hAnsi="Courier New" w:cs="Courier New" w:hint="default"/>
      </w:rPr>
    </w:lvl>
    <w:lvl w:ilvl="5" w:tplc="0414001B" w:tentative="1">
      <w:start w:val="1"/>
      <w:numFmt w:val="bullet"/>
      <w:lvlText w:val=""/>
      <w:lvlJc w:val="left"/>
      <w:pPr>
        <w:ind w:left="5114" w:hanging="360"/>
      </w:pPr>
      <w:rPr>
        <w:rFonts w:ascii="Wingdings" w:hAnsi="Wingdings" w:hint="default"/>
      </w:rPr>
    </w:lvl>
    <w:lvl w:ilvl="6" w:tplc="0414000F" w:tentative="1">
      <w:start w:val="1"/>
      <w:numFmt w:val="bullet"/>
      <w:lvlText w:val=""/>
      <w:lvlJc w:val="left"/>
      <w:pPr>
        <w:ind w:left="5834" w:hanging="360"/>
      </w:pPr>
      <w:rPr>
        <w:rFonts w:ascii="Symbol" w:hAnsi="Symbol" w:hint="default"/>
      </w:rPr>
    </w:lvl>
    <w:lvl w:ilvl="7" w:tplc="04140019" w:tentative="1">
      <w:start w:val="1"/>
      <w:numFmt w:val="bullet"/>
      <w:lvlText w:val="o"/>
      <w:lvlJc w:val="left"/>
      <w:pPr>
        <w:ind w:left="6554" w:hanging="360"/>
      </w:pPr>
      <w:rPr>
        <w:rFonts w:ascii="Courier New" w:hAnsi="Courier New" w:cs="Courier New" w:hint="default"/>
      </w:rPr>
    </w:lvl>
    <w:lvl w:ilvl="8" w:tplc="0414001B" w:tentative="1">
      <w:start w:val="1"/>
      <w:numFmt w:val="bullet"/>
      <w:lvlText w:val=""/>
      <w:lvlJc w:val="left"/>
      <w:pPr>
        <w:ind w:left="7274" w:hanging="360"/>
      </w:pPr>
      <w:rPr>
        <w:rFonts w:ascii="Wingdings" w:hAnsi="Wingdings" w:hint="default"/>
      </w:rPr>
    </w:lvl>
  </w:abstractNum>
  <w:abstractNum w:abstractNumId="24" w15:restartNumberingAfterBreak="0">
    <w:nsid w:val="68DA4196"/>
    <w:multiLevelType w:val="hybridMultilevel"/>
    <w:tmpl w:val="F8349738"/>
    <w:lvl w:ilvl="0" w:tplc="FDB247EE">
      <w:start w:val="1"/>
      <w:numFmt w:val="bullet"/>
      <w:pStyle w:val="Liste3"/>
      <w:lvlText w:val="-"/>
      <w:lvlJc w:val="left"/>
      <w:pPr>
        <w:ind w:left="1514" w:hanging="360"/>
      </w:pPr>
      <w:rPr>
        <w:rFonts w:ascii="Arial" w:hAnsi="Aria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25" w15:restartNumberingAfterBreak="0">
    <w:nsid w:val="714C4AD6"/>
    <w:multiLevelType w:val="singleLevel"/>
    <w:tmpl w:val="02EA33DC"/>
    <w:lvl w:ilvl="0">
      <w:start w:val="1"/>
      <w:numFmt w:val="bullet"/>
      <w:pStyle w:val="Punktliste2"/>
      <w:lvlText w:val=""/>
      <w:lvlJc w:val="left"/>
      <w:pPr>
        <w:tabs>
          <w:tab w:val="num" w:pos="720"/>
        </w:tabs>
        <w:ind w:left="720" w:hanging="363"/>
      </w:pPr>
      <w:rPr>
        <w:rFonts w:ascii="Symbol" w:hAnsi="Symbol" w:hint="default"/>
      </w:rPr>
    </w:lvl>
  </w:abstractNum>
  <w:abstractNum w:abstractNumId="26" w15:restartNumberingAfterBreak="0">
    <w:nsid w:val="7C1050EB"/>
    <w:multiLevelType w:val="multilevel"/>
    <w:tmpl w:val="BD5E3602"/>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Overskrift6"/>
      <w:lvlText w:val="%1.%2.%3.%4.%5.%6"/>
      <w:lvlJc w:val="left"/>
      <w:pPr>
        <w:tabs>
          <w:tab w:val="num" w:pos="1152"/>
        </w:tabs>
        <w:ind w:left="1152" w:hanging="1152"/>
      </w:pPr>
    </w:lvl>
    <w:lvl w:ilvl="6">
      <w:start w:val="1"/>
      <w:numFmt w:val="decimal"/>
      <w:pStyle w:val="Overskrift7"/>
      <w:lvlText w:val="%1.%2.%3.%4.%5.%6.%7"/>
      <w:lvlJc w:val="left"/>
      <w:pPr>
        <w:tabs>
          <w:tab w:val="num" w:pos="1296"/>
        </w:tabs>
        <w:ind w:left="1296" w:hanging="1296"/>
      </w:pPr>
    </w:lvl>
    <w:lvl w:ilvl="7">
      <w:start w:val="1"/>
      <w:numFmt w:val="decimal"/>
      <w:pStyle w:val="Overskrift8"/>
      <w:lvlText w:val="%1.%2.%3.%4.%5.%6.%7.%8"/>
      <w:lvlJc w:val="left"/>
      <w:pPr>
        <w:tabs>
          <w:tab w:val="num" w:pos="1440"/>
        </w:tabs>
        <w:ind w:left="1440" w:hanging="1440"/>
      </w:pPr>
    </w:lvl>
    <w:lvl w:ilvl="8">
      <w:start w:val="1"/>
      <w:numFmt w:val="decimal"/>
      <w:pStyle w:val="Overskrift9"/>
      <w:lvlText w:val="%1.%2.%3.%4.%5.%6.%7.%8.%9"/>
      <w:lvlJc w:val="left"/>
      <w:pPr>
        <w:tabs>
          <w:tab w:val="num" w:pos="1584"/>
        </w:tabs>
        <w:ind w:left="1584" w:hanging="1584"/>
      </w:pPr>
    </w:lvl>
  </w:abstractNum>
  <w:num w:numId="1" w16cid:durableId="621571614">
    <w:abstractNumId w:val="26"/>
  </w:num>
  <w:num w:numId="2" w16cid:durableId="1691493727">
    <w:abstractNumId w:val="20"/>
  </w:num>
  <w:num w:numId="3" w16cid:durableId="701784177">
    <w:abstractNumId w:val="25"/>
  </w:num>
  <w:num w:numId="4" w16cid:durableId="212666145">
    <w:abstractNumId w:val="8"/>
  </w:num>
  <w:num w:numId="5" w16cid:durableId="239825732">
    <w:abstractNumId w:val="11"/>
  </w:num>
  <w:num w:numId="6" w16cid:durableId="1929076049">
    <w:abstractNumId w:val="2"/>
  </w:num>
  <w:num w:numId="7" w16cid:durableId="1302341828">
    <w:abstractNumId w:val="15"/>
  </w:num>
  <w:num w:numId="8" w16cid:durableId="695350705">
    <w:abstractNumId w:val="1"/>
  </w:num>
  <w:num w:numId="9" w16cid:durableId="2074424752">
    <w:abstractNumId w:val="6"/>
  </w:num>
  <w:num w:numId="10" w16cid:durableId="1093283793">
    <w:abstractNumId w:val="7"/>
  </w:num>
  <w:num w:numId="11" w16cid:durableId="1549367804">
    <w:abstractNumId w:val="19"/>
  </w:num>
  <w:num w:numId="12" w16cid:durableId="1789155614">
    <w:abstractNumId w:val="3"/>
  </w:num>
  <w:num w:numId="13" w16cid:durableId="1281376518">
    <w:abstractNumId w:val="10"/>
  </w:num>
  <w:num w:numId="14" w16cid:durableId="1377050693">
    <w:abstractNumId w:val="18"/>
  </w:num>
  <w:num w:numId="15" w16cid:durableId="1122991450">
    <w:abstractNumId w:val="23"/>
  </w:num>
  <w:num w:numId="16" w16cid:durableId="443623288">
    <w:abstractNumId w:val="14"/>
  </w:num>
  <w:num w:numId="17" w16cid:durableId="1958560054">
    <w:abstractNumId w:val="0"/>
  </w:num>
  <w:num w:numId="18" w16cid:durableId="1826507644">
    <w:abstractNumId w:val="13"/>
  </w:num>
  <w:num w:numId="19" w16cid:durableId="1000084717">
    <w:abstractNumId w:val="16"/>
  </w:num>
  <w:num w:numId="20" w16cid:durableId="1881743657">
    <w:abstractNumId w:val="21"/>
  </w:num>
  <w:num w:numId="21" w16cid:durableId="1086027685">
    <w:abstractNumId w:val="24"/>
  </w:num>
  <w:num w:numId="22" w16cid:durableId="1495024277">
    <w:abstractNumId w:val="4"/>
  </w:num>
  <w:num w:numId="23" w16cid:durableId="1004893802">
    <w:abstractNumId w:val="9"/>
  </w:num>
  <w:num w:numId="24" w16cid:durableId="14618783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3868285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9660627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326456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10"/>
  <w:proofState w:spelling="clean" w:grammar="clean"/>
  <w:attachedTemplate r:id="rId1"/>
  <w:linkStyl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rukermalPaa" w:val="false"/>
    <w:docVar w:name="dgnword-docGUID" w:val="{0043EA2A-217D-439E-9C01-391BC76A4FA7}"/>
    <w:docVar w:name="dgnword-eventsink" w:val="599396728"/>
    <w:docVar w:name="OpenKladd" w:val="false"/>
    <w:docVar w:name="OpenStilListe" w:val="false"/>
    <w:docVar w:name="VisAvansert" w:val="false"/>
    <w:docVar w:name="VisKjerneKonv" w:val="true"/>
    <w:docVar w:name="VisPiltaster" w:val="true"/>
    <w:docVar w:name="VisSettInnFigur" w:val="true"/>
    <w:docVar w:name="VisStilfelt" w:val="true"/>
    <w:docVar w:name="VisTabellDesigner" w:val="false"/>
    <w:docVar w:name="W2KpdfPath" w:val="W:\MUP-NOU\DepMedia\STATSBUDSJETTET\2026-2027\ENG Meld. St. 1\Engelskversjon NB27.pdf"/>
  </w:docVars>
  <w:rsids>
    <w:rsidRoot w:val="00752D86"/>
    <w:rsid w:val="0000479D"/>
    <w:rsid w:val="00014B1A"/>
    <w:rsid w:val="00017B39"/>
    <w:rsid w:val="000214A8"/>
    <w:rsid w:val="000226B8"/>
    <w:rsid w:val="00023943"/>
    <w:rsid w:val="00024FF5"/>
    <w:rsid w:val="00047ACF"/>
    <w:rsid w:val="00060466"/>
    <w:rsid w:val="0009485D"/>
    <w:rsid w:val="00096046"/>
    <w:rsid w:val="00096479"/>
    <w:rsid w:val="000A7D3F"/>
    <w:rsid w:val="000B3177"/>
    <w:rsid w:val="000C42B7"/>
    <w:rsid w:val="000D554A"/>
    <w:rsid w:val="000D70B2"/>
    <w:rsid w:val="000F1979"/>
    <w:rsid w:val="000F6171"/>
    <w:rsid w:val="001076AC"/>
    <w:rsid w:val="00111780"/>
    <w:rsid w:val="00124F18"/>
    <w:rsid w:val="001257A1"/>
    <w:rsid w:val="00141C83"/>
    <w:rsid w:val="00145425"/>
    <w:rsid w:val="001657F1"/>
    <w:rsid w:val="0017375A"/>
    <w:rsid w:val="0017643C"/>
    <w:rsid w:val="00181E30"/>
    <w:rsid w:val="0019212C"/>
    <w:rsid w:val="00194910"/>
    <w:rsid w:val="001A4090"/>
    <w:rsid w:val="001D7A76"/>
    <w:rsid w:val="001E0DD9"/>
    <w:rsid w:val="001E30F5"/>
    <w:rsid w:val="001F25E7"/>
    <w:rsid w:val="001F65DF"/>
    <w:rsid w:val="00206AA8"/>
    <w:rsid w:val="002073CD"/>
    <w:rsid w:val="002127D8"/>
    <w:rsid w:val="00221B5C"/>
    <w:rsid w:val="002228F4"/>
    <w:rsid w:val="002272F4"/>
    <w:rsid w:val="00227E26"/>
    <w:rsid w:val="002414AF"/>
    <w:rsid w:val="00252FB7"/>
    <w:rsid w:val="0025698B"/>
    <w:rsid w:val="0026759E"/>
    <w:rsid w:val="00270D2D"/>
    <w:rsid w:val="00287FC9"/>
    <w:rsid w:val="00290893"/>
    <w:rsid w:val="002915AB"/>
    <w:rsid w:val="002A01F2"/>
    <w:rsid w:val="002B36F2"/>
    <w:rsid w:val="002B4FC9"/>
    <w:rsid w:val="002C5541"/>
    <w:rsid w:val="002E4566"/>
    <w:rsid w:val="002E4FCF"/>
    <w:rsid w:val="0030093F"/>
    <w:rsid w:val="00305E4F"/>
    <w:rsid w:val="00315500"/>
    <w:rsid w:val="00316A0B"/>
    <w:rsid w:val="00332B8F"/>
    <w:rsid w:val="00347D73"/>
    <w:rsid w:val="0035031C"/>
    <w:rsid w:val="003516A0"/>
    <w:rsid w:val="00372AC0"/>
    <w:rsid w:val="00385D5F"/>
    <w:rsid w:val="003A141A"/>
    <w:rsid w:val="003A22BA"/>
    <w:rsid w:val="003A7193"/>
    <w:rsid w:val="003B2890"/>
    <w:rsid w:val="003B29AF"/>
    <w:rsid w:val="003B7CEA"/>
    <w:rsid w:val="003C0476"/>
    <w:rsid w:val="003D0BF4"/>
    <w:rsid w:val="003D70B3"/>
    <w:rsid w:val="003E51BD"/>
    <w:rsid w:val="003E6FB3"/>
    <w:rsid w:val="00400DC1"/>
    <w:rsid w:val="00402077"/>
    <w:rsid w:val="0043450D"/>
    <w:rsid w:val="00447818"/>
    <w:rsid w:val="004626DF"/>
    <w:rsid w:val="0046617D"/>
    <w:rsid w:val="00466DBD"/>
    <w:rsid w:val="0046755E"/>
    <w:rsid w:val="00467C9A"/>
    <w:rsid w:val="004729E6"/>
    <w:rsid w:val="00485B24"/>
    <w:rsid w:val="004916D0"/>
    <w:rsid w:val="004931A5"/>
    <w:rsid w:val="004C236D"/>
    <w:rsid w:val="004D02AD"/>
    <w:rsid w:val="004D7717"/>
    <w:rsid w:val="004E3759"/>
    <w:rsid w:val="00511CB1"/>
    <w:rsid w:val="00544DB8"/>
    <w:rsid w:val="005463F4"/>
    <w:rsid w:val="00556061"/>
    <w:rsid w:val="00563670"/>
    <w:rsid w:val="0057454B"/>
    <w:rsid w:val="00592CFE"/>
    <w:rsid w:val="005A592A"/>
    <w:rsid w:val="005B4F0A"/>
    <w:rsid w:val="005B7D55"/>
    <w:rsid w:val="005C152D"/>
    <w:rsid w:val="005C2077"/>
    <w:rsid w:val="005D7D4B"/>
    <w:rsid w:val="005F0CC8"/>
    <w:rsid w:val="00604BBF"/>
    <w:rsid w:val="00607061"/>
    <w:rsid w:val="00613241"/>
    <w:rsid w:val="00613B39"/>
    <w:rsid w:val="00613F3E"/>
    <w:rsid w:val="00632B2A"/>
    <w:rsid w:val="006431E4"/>
    <w:rsid w:val="00657E6C"/>
    <w:rsid w:val="00665DF8"/>
    <w:rsid w:val="006717D5"/>
    <w:rsid w:val="0067235E"/>
    <w:rsid w:val="006773F6"/>
    <w:rsid w:val="00692FCE"/>
    <w:rsid w:val="006A2A83"/>
    <w:rsid w:val="006A4137"/>
    <w:rsid w:val="006C1D37"/>
    <w:rsid w:val="006D7847"/>
    <w:rsid w:val="006E3AC0"/>
    <w:rsid w:val="006E4BB9"/>
    <w:rsid w:val="007002F9"/>
    <w:rsid w:val="00704C35"/>
    <w:rsid w:val="00706668"/>
    <w:rsid w:val="00706D27"/>
    <w:rsid w:val="007164F9"/>
    <w:rsid w:val="007207C9"/>
    <w:rsid w:val="00722D72"/>
    <w:rsid w:val="007266A4"/>
    <w:rsid w:val="007320EF"/>
    <w:rsid w:val="0073356C"/>
    <w:rsid w:val="00734F1D"/>
    <w:rsid w:val="0073558B"/>
    <w:rsid w:val="0075004D"/>
    <w:rsid w:val="00752D86"/>
    <w:rsid w:val="007537A4"/>
    <w:rsid w:val="0075636A"/>
    <w:rsid w:val="0075677A"/>
    <w:rsid w:val="00772DD1"/>
    <w:rsid w:val="00790992"/>
    <w:rsid w:val="00795022"/>
    <w:rsid w:val="007A6670"/>
    <w:rsid w:val="007A6FC6"/>
    <w:rsid w:val="007B7A33"/>
    <w:rsid w:val="007C070F"/>
    <w:rsid w:val="007C3C69"/>
    <w:rsid w:val="007C3FC7"/>
    <w:rsid w:val="007D4E2D"/>
    <w:rsid w:val="007E05D6"/>
    <w:rsid w:val="007E64EA"/>
    <w:rsid w:val="007F649D"/>
    <w:rsid w:val="007F70A5"/>
    <w:rsid w:val="007F7B7C"/>
    <w:rsid w:val="0081037D"/>
    <w:rsid w:val="00814DB8"/>
    <w:rsid w:val="008155C6"/>
    <w:rsid w:val="00816F59"/>
    <w:rsid w:val="0082296D"/>
    <w:rsid w:val="00825061"/>
    <w:rsid w:val="0082701E"/>
    <w:rsid w:val="00830A24"/>
    <w:rsid w:val="00854CAB"/>
    <w:rsid w:val="0086127E"/>
    <w:rsid w:val="00867707"/>
    <w:rsid w:val="00875EEA"/>
    <w:rsid w:val="0088391A"/>
    <w:rsid w:val="00890182"/>
    <w:rsid w:val="008A5ED9"/>
    <w:rsid w:val="008A635A"/>
    <w:rsid w:val="008B64F5"/>
    <w:rsid w:val="008C0108"/>
    <w:rsid w:val="008C09D3"/>
    <w:rsid w:val="008D4F9E"/>
    <w:rsid w:val="008D6435"/>
    <w:rsid w:val="008E6B09"/>
    <w:rsid w:val="008F1050"/>
    <w:rsid w:val="008F1AE9"/>
    <w:rsid w:val="008F603B"/>
    <w:rsid w:val="00903F07"/>
    <w:rsid w:val="00926277"/>
    <w:rsid w:val="00930F6F"/>
    <w:rsid w:val="00932452"/>
    <w:rsid w:val="00934F35"/>
    <w:rsid w:val="009351BA"/>
    <w:rsid w:val="009417BD"/>
    <w:rsid w:val="009448A1"/>
    <w:rsid w:val="00953210"/>
    <w:rsid w:val="009625C8"/>
    <w:rsid w:val="009711EC"/>
    <w:rsid w:val="009751A6"/>
    <w:rsid w:val="009A7A63"/>
    <w:rsid w:val="009D2E86"/>
    <w:rsid w:val="009E3737"/>
    <w:rsid w:val="009F3658"/>
    <w:rsid w:val="00A13F84"/>
    <w:rsid w:val="00A22789"/>
    <w:rsid w:val="00A272EF"/>
    <w:rsid w:val="00A30B86"/>
    <w:rsid w:val="00A537E5"/>
    <w:rsid w:val="00A53A3A"/>
    <w:rsid w:val="00A56CFE"/>
    <w:rsid w:val="00A77EB6"/>
    <w:rsid w:val="00A92797"/>
    <w:rsid w:val="00AA4C2A"/>
    <w:rsid w:val="00AB1A91"/>
    <w:rsid w:val="00AD3A10"/>
    <w:rsid w:val="00AD4A39"/>
    <w:rsid w:val="00AD74F7"/>
    <w:rsid w:val="00AE0CDA"/>
    <w:rsid w:val="00AE4A57"/>
    <w:rsid w:val="00B063F4"/>
    <w:rsid w:val="00B14F8E"/>
    <w:rsid w:val="00B21C46"/>
    <w:rsid w:val="00B374E2"/>
    <w:rsid w:val="00B52710"/>
    <w:rsid w:val="00B56252"/>
    <w:rsid w:val="00B62D0F"/>
    <w:rsid w:val="00B829DB"/>
    <w:rsid w:val="00BB3803"/>
    <w:rsid w:val="00BB615A"/>
    <w:rsid w:val="00BC269C"/>
    <w:rsid w:val="00BC6904"/>
    <w:rsid w:val="00BC6E61"/>
    <w:rsid w:val="00BD3222"/>
    <w:rsid w:val="00BD39C6"/>
    <w:rsid w:val="00BD424A"/>
    <w:rsid w:val="00C76B3D"/>
    <w:rsid w:val="00C770FB"/>
    <w:rsid w:val="00CA64CB"/>
    <w:rsid w:val="00CB0ACA"/>
    <w:rsid w:val="00CB42AA"/>
    <w:rsid w:val="00CB49DF"/>
    <w:rsid w:val="00CC35EE"/>
    <w:rsid w:val="00CE4A43"/>
    <w:rsid w:val="00D01C7C"/>
    <w:rsid w:val="00D01F60"/>
    <w:rsid w:val="00D07BF1"/>
    <w:rsid w:val="00D10CB3"/>
    <w:rsid w:val="00D35E4F"/>
    <w:rsid w:val="00D55E61"/>
    <w:rsid w:val="00D7554C"/>
    <w:rsid w:val="00D8418D"/>
    <w:rsid w:val="00D8633C"/>
    <w:rsid w:val="00D92269"/>
    <w:rsid w:val="00DB0DEA"/>
    <w:rsid w:val="00DB314D"/>
    <w:rsid w:val="00DB3FD3"/>
    <w:rsid w:val="00DD3DB6"/>
    <w:rsid w:val="00DD6CFB"/>
    <w:rsid w:val="00DE3EE5"/>
    <w:rsid w:val="00DE722D"/>
    <w:rsid w:val="00E208AE"/>
    <w:rsid w:val="00E2405F"/>
    <w:rsid w:val="00E36577"/>
    <w:rsid w:val="00E37650"/>
    <w:rsid w:val="00E4260C"/>
    <w:rsid w:val="00E4312C"/>
    <w:rsid w:val="00E77171"/>
    <w:rsid w:val="00E868FF"/>
    <w:rsid w:val="00E935E9"/>
    <w:rsid w:val="00EA29C4"/>
    <w:rsid w:val="00EC57F1"/>
    <w:rsid w:val="00ED1814"/>
    <w:rsid w:val="00EF005B"/>
    <w:rsid w:val="00F10F39"/>
    <w:rsid w:val="00F24B33"/>
    <w:rsid w:val="00F34AB0"/>
    <w:rsid w:val="00F3753F"/>
    <w:rsid w:val="00F54327"/>
    <w:rsid w:val="00F60AA5"/>
    <w:rsid w:val="00F63216"/>
    <w:rsid w:val="00F85D47"/>
    <w:rsid w:val="00F97E42"/>
    <w:rsid w:val="00FA5A01"/>
    <w:rsid w:val="00FC35CF"/>
    <w:rsid w:val="00FD02A4"/>
    <w:rsid w:val="00FD437F"/>
    <w:rsid w:val="00FE044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88EEF5"/>
  <w15:chartTrackingRefBased/>
  <w15:docId w15:val="{5DEF6437-07DF-4265-AE0C-065773CEB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iPriority="0" w:unhideWhenUsed="1"/>
    <w:lsdException w:name="List Number" w:semiHidden="1" w:uiPriority="0" w:unhideWhenUsed="1" w:qFormat="1"/>
    <w:lsdException w:name="List 2" w:semiHidden="1" w:uiPriority="0" w:unhideWhenUsed="1" w:qFormat="1"/>
    <w:lsdException w:name="List 3" w:semiHidden="1" w:uiPriority="0" w:unhideWhenUsed="1" w:qFormat="1"/>
    <w:lsdException w:name="List 4" w:semiHidden="1" w:uiPriority="0" w:unhideWhenUsed="1" w:qFormat="1"/>
    <w:lsdException w:name="List 5" w:semiHidden="1" w:uiPriority="0" w:unhideWhenUsed="1" w:qFormat="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qFormat="1"/>
    <w:lsdException w:name="List Number 3" w:semiHidden="1" w:uiPriority="0" w:unhideWhenUsed="1" w:qFormat="1"/>
    <w:lsdException w:name="List Number 4" w:semiHidden="1" w:uiPriority="0" w:unhideWhenUsed="1"/>
    <w:lsdException w:name="List Number 5" w:semiHidden="1" w:uiPriority="0" w:unhideWhenUsed="1" w:qFormat="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1C46"/>
    <w:pPr>
      <w:spacing w:before="100" w:line="288" w:lineRule="auto"/>
    </w:pPr>
    <w:rPr>
      <w:rFonts w:ascii="Open Sans" w:eastAsia="Times New Roman" w:hAnsi="Open Sans"/>
      <w:kern w:val="0"/>
      <w:sz w:val="22"/>
      <w:szCs w:val="22"/>
      <w:lang w:eastAsia="nb-NO"/>
      <w14:ligatures w14:val="none"/>
    </w:rPr>
  </w:style>
  <w:style w:type="paragraph" w:styleId="Overskrift1">
    <w:name w:val="heading 1"/>
    <w:next w:val="Normal"/>
    <w:link w:val="Overskrift1Tegn"/>
    <w:qFormat/>
    <w:rsid w:val="00B21C46"/>
    <w:pPr>
      <w:keepNext/>
      <w:keepLines/>
      <w:numPr>
        <w:numId w:val="18"/>
      </w:numPr>
      <w:spacing w:before="300" w:after="100" w:line="259" w:lineRule="auto"/>
      <w:outlineLvl w:val="0"/>
    </w:pPr>
    <w:rPr>
      <w:rFonts w:ascii="Open Sans" w:eastAsia="Times New Roman" w:hAnsi="Open Sans"/>
      <w:b/>
      <w:kern w:val="28"/>
      <w:sz w:val="32"/>
      <w:szCs w:val="22"/>
      <w:lang w:eastAsia="nb-NO"/>
      <w14:ligatures w14:val="none"/>
    </w:rPr>
  </w:style>
  <w:style w:type="paragraph" w:styleId="Overskrift2">
    <w:name w:val="heading 2"/>
    <w:basedOn w:val="Overskrift1"/>
    <w:next w:val="Normal"/>
    <w:link w:val="Overskrift2Tegn"/>
    <w:qFormat/>
    <w:rsid w:val="00B21C46"/>
    <w:pPr>
      <w:numPr>
        <w:ilvl w:val="1"/>
      </w:numPr>
      <w:spacing w:before="240"/>
      <w:ind w:left="709" w:hanging="709"/>
      <w:outlineLvl w:val="1"/>
    </w:pPr>
    <w:rPr>
      <w:spacing w:val="4"/>
      <w:sz w:val="28"/>
    </w:rPr>
  </w:style>
  <w:style w:type="paragraph" w:styleId="Overskrift3">
    <w:name w:val="heading 3"/>
    <w:basedOn w:val="Normal"/>
    <w:next w:val="Normal"/>
    <w:link w:val="Overskrift3Tegn"/>
    <w:qFormat/>
    <w:rsid w:val="00B21C46"/>
    <w:pPr>
      <w:keepNext/>
      <w:keepLines/>
      <w:numPr>
        <w:ilvl w:val="2"/>
        <w:numId w:val="18"/>
      </w:numPr>
      <w:spacing w:before="240" w:after="100"/>
      <w:outlineLvl w:val="2"/>
    </w:pPr>
    <w:rPr>
      <w:b/>
    </w:rPr>
  </w:style>
  <w:style w:type="paragraph" w:styleId="Overskrift4">
    <w:name w:val="heading 4"/>
    <w:basedOn w:val="Overskrift1"/>
    <w:next w:val="Normal"/>
    <w:link w:val="Overskrift4Tegn"/>
    <w:qFormat/>
    <w:rsid w:val="00B21C46"/>
    <w:pPr>
      <w:numPr>
        <w:ilvl w:val="3"/>
      </w:numPr>
      <w:spacing w:before="200"/>
      <w:outlineLvl w:val="3"/>
    </w:pPr>
    <w:rPr>
      <w:b w:val="0"/>
      <w:i/>
      <w:spacing w:val="4"/>
      <w:sz w:val="22"/>
    </w:rPr>
  </w:style>
  <w:style w:type="paragraph" w:styleId="Overskrift5">
    <w:name w:val="heading 5"/>
    <w:basedOn w:val="Overskrift1"/>
    <w:next w:val="Normal"/>
    <w:link w:val="Overskrift5Tegn"/>
    <w:qFormat/>
    <w:rsid w:val="00B21C46"/>
    <w:pPr>
      <w:numPr>
        <w:ilvl w:val="4"/>
      </w:numPr>
      <w:spacing w:before="200"/>
      <w:outlineLvl w:val="4"/>
    </w:pPr>
    <w:rPr>
      <w:b w:val="0"/>
      <w:sz w:val="22"/>
    </w:rPr>
  </w:style>
  <w:style w:type="paragraph" w:styleId="Overskrift6">
    <w:name w:val="heading 6"/>
    <w:basedOn w:val="Normal"/>
    <w:next w:val="Normal"/>
    <w:link w:val="Overskrift6Tegn"/>
    <w:qFormat/>
    <w:rsid w:val="00B21C46"/>
    <w:pPr>
      <w:numPr>
        <w:ilvl w:val="5"/>
        <w:numId w:val="1"/>
      </w:numPr>
      <w:spacing w:before="240" w:after="60"/>
      <w:outlineLvl w:val="5"/>
    </w:pPr>
    <w:rPr>
      <w:i/>
    </w:rPr>
  </w:style>
  <w:style w:type="paragraph" w:styleId="Overskrift7">
    <w:name w:val="heading 7"/>
    <w:basedOn w:val="Normal"/>
    <w:next w:val="Normal"/>
    <w:link w:val="Overskrift7Tegn"/>
    <w:qFormat/>
    <w:rsid w:val="00B21C46"/>
    <w:pPr>
      <w:numPr>
        <w:ilvl w:val="6"/>
        <w:numId w:val="1"/>
      </w:numPr>
      <w:spacing w:before="240" w:after="60"/>
      <w:outlineLvl w:val="6"/>
    </w:pPr>
  </w:style>
  <w:style w:type="paragraph" w:styleId="Overskrift8">
    <w:name w:val="heading 8"/>
    <w:basedOn w:val="Normal"/>
    <w:next w:val="Normal"/>
    <w:link w:val="Overskrift8Tegn"/>
    <w:qFormat/>
    <w:rsid w:val="00B21C46"/>
    <w:pPr>
      <w:numPr>
        <w:ilvl w:val="7"/>
        <w:numId w:val="1"/>
      </w:numPr>
      <w:spacing w:before="240" w:after="60"/>
      <w:outlineLvl w:val="7"/>
    </w:pPr>
    <w:rPr>
      <w:i/>
    </w:rPr>
  </w:style>
  <w:style w:type="paragraph" w:styleId="Overskrift9">
    <w:name w:val="heading 9"/>
    <w:basedOn w:val="Normal"/>
    <w:next w:val="Normal"/>
    <w:link w:val="Overskrift9Tegn"/>
    <w:qFormat/>
    <w:rsid w:val="00B21C46"/>
    <w:pPr>
      <w:numPr>
        <w:ilvl w:val="8"/>
        <w:numId w:val="1"/>
      </w:numPr>
      <w:spacing w:before="240" w:after="60"/>
      <w:outlineLvl w:val="8"/>
    </w:pPr>
    <w:rPr>
      <w:b/>
      <w:i/>
      <w:sz w:val="18"/>
    </w:rPr>
  </w:style>
  <w:style w:type="character" w:default="1" w:styleId="Standardskriftforavsnitt">
    <w:name w:val="Default Paragraph Font"/>
    <w:uiPriority w:val="1"/>
    <w:unhideWhenUsed/>
    <w:rsid w:val="00B21C46"/>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B21C46"/>
  </w:style>
  <w:style w:type="character" w:customStyle="1" w:styleId="Overskrift1Tegn">
    <w:name w:val="Overskrift 1 Tegn"/>
    <w:basedOn w:val="Standardskriftforavsnitt"/>
    <w:link w:val="Overskrift1"/>
    <w:rsid w:val="00B21C46"/>
    <w:rPr>
      <w:rFonts w:ascii="Open Sans" w:eastAsia="Times New Roman" w:hAnsi="Open Sans"/>
      <w:b/>
      <w:kern w:val="28"/>
      <w:sz w:val="32"/>
      <w:szCs w:val="22"/>
      <w:lang w:eastAsia="nb-NO"/>
      <w14:ligatures w14:val="none"/>
    </w:rPr>
  </w:style>
  <w:style w:type="character" w:customStyle="1" w:styleId="Overskrift2Tegn">
    <w:name w:val="Overskrift 2 Tegn"/>
    <w:basedOn w:val="Standardskriftforavsnitt"/>
    <w:link w:val="Overskrift2"/>
    <w:rsid w:val="00B21C46"/>
    <w:rPr>
      <w:rFonts w:ascii="Open Sans" w:eastAsia="Times New Roman" w:hAnsi="Open Sans"/>
      <w:b/>
      <w:spacing w:val="4"/>
      <w:kern w:val="28"/>
      <w:sz w:val="28"/>
      <w:szCs w:val="22"/>
      <w:lang w:eastAsia="nb-NO"/>
      <w14:ligatures w14:val="none"/>
    </w:rPr>
  </w:style>
  <w:style w:type="character" w:customStyle="1" w:styleId="Overskrift3Tegn">
    <w:name w:val="Overskrift 3 Tegn"/>
    <w:basedOn w:val="Standardskriftforavsnitt"/>
    <w:link w:val="Overskrift3"/>
    <w:rsid w:val="00B21C46"/>
    <w:rPr>
      <w:rFonts w:ascii="Open Sans" w:eastAsia="Times New Roman" w:hAnsi="Open Sans"/>
      <w:b/>
      <w:kern w:val="0"/>
      <w:sz w:val="22"/>
      <w:szCs w:val="22"/>
      <w:lang w:eastAsia="nb-NO"/>
      <w14:ligatures w14:val="none"/>
    </w:rPr>
  </w:style>
  <w:style w:type="character" w:customStyle="1" w:styleId="Overskrift4Tegn">
    <w:name w:val="Overskrift 4 Tegn"/>
    <w:basedOn w:val="Standardskriftforavsnitt"/>
    <w:link w:val="Overskrift4"/>
    <w:rsid w:val="00B21C46"/>
    <w:rPr>
      <w:rFonts w:ascii="Open Sans" w:eastAsia="Times New Roman" w:hAnsi="Open Sans"/>
      <w:i/>
      <w:spacing w:val="4"/>
      <w:kern w:val="28"/>
      <w:sz w:val="22"/>
      <w:szCs w:val="22"/>
      <w:lang w:eastAsia="nb-NO"/>
      <w14:ligatures w14:val="none"/>
    </w:rPr>
  </w:style>
  <w:style w:type="character" w:customStyle="1" w:styleId="Overskrift5Tegn">
    <w:name w:val="Overskrift 5 Tegn"/>
    <w:basedOn w:val="Standardskriftforavsnitt"/>
    <w:link w:val="Overskrift5"/>
    <w:rsid w:val="00B21C46"/>
    <w:rPr>
      <w:rFonts w:ascii="Open Sans" w:eastAsia="Times New Roman" w:hAnsi="Open Sans"/>
      <w:kern w:val="28"/>
      <w:sz w:val="22"/>
      <w:szCs w:val="22"/>
      <w:lang w:eastAsia="nb-NO"/>
      <w14:ligatures w14:val="none"/>
    </w:rPr>
  </w:style>
  <w:style w:type="character" w:customStyle="1" w:styleId="Overskrift6Tegn">
    <w:name w:val="Overskrift 6 Tegn"/>
    <w:basedOn w:val="Standardskriftforavsnitt"/>
    <w:link w:val="Overskrift6"/>
    <w:rsid w:val="00B21C46"/>
    <w:rPr>
      <w:rFonts w:ascii="Open Sans" w:eastAsia="Times New Roman" w:hAnsi="Open Sans"/>
      <w:i/>
      <w:kern w:val="0"/>
      <w:sz w:val="22"/>
      <w:szCs w:val="22"/>
      <w:lang w:eastAsia="nb-NO"/>
      <w14:ligatures w14:val="none"/>
    </w:rPr>
  </w:style>
  <w:style w:type="character" w:customStyle="1" w:styleId="Overskrift7Tegn">
    <w:name w:val="Overskrift 7 Tegn"/>
    <w:basedOn w:val="Standardskriftforavsnitt"/>
    <w:link w:val="Overskrift7"/>
    <w:rsid w:val="00B21C46"/>
    <w:rPr>
      <w:rFonts w:ascii="Open Sans" w:eastAsia="Times New Roman" w:hAnsi="Open Sans"/>
      <w:kern w:val="0"/>
      <w:sz w:val="22"/>
      <w:szCs w:val="22"/>
      <w:lang w:eastAsia="nb-NO"/>
      <w14:ligatures w14:val="none"/>
    </w:rPr>
  </w:style>
  <w:style w:type="character" w:customStyle="1" w:styleId="Overskrift8Tegn">
    <w:name w:val="Overskrift 8 Tegn"/>
    <w:basedOn w:val="Standardskriftforavsnitt"/>
    <w:link w:val="Overskrift8"/>
    <w:rsid w:val="00B21C46"/>
    <w:rPr>
      <w:rFonts w:ascii="Open Sans" w:eastAsia="Times New Roman" w:hAnsi="Open Sans"/>
      <w:i/>
      <w:kern w:val="0"/>
      <w:sz w:val="22"/>
      <w:szCs w:val="22"/>
      <w:lang w:eastAsia="nb-NO"/>
      <w14:ligatures w14:val="none"/>
    </w:rPr>
  </w:style>
  <w:style w:type="character" w:customStyle="1" w:styleId="Overskrift9Tegn">
    <w:name w:val="Overskrift 9 Tegn"/>
    <w:basedOn w:val="Standardskriftforavsnitt"/>
    <w:link w:val="Overskrift9"/>
    <w:rsid w:val="00B21C46"/>
    <w:rPr>
      <w:rFonts w:ascii="Open Sans" w:eastAsia="Times New Roman" w:hAnsi="Open Sans"/>
      <w:b/>
      <w:i/>
      <w:kern w:val="0"/>
      <w:sz w:val="18"/>
      <w:szCs w:val="22"/>
      <w:lang w:eastAsia="nb-NO"/>
      <w14:ligatures w14:val="none"/>
    </w:rPr>
  </w:style>
  <w:style w:type="paragraph" w:styleId="Tittel">
    <w:name w:val="Title"/>
    <w:basedOn w:val="Normal"/>
    <w:next w:val="Normal"/>
    <w:link w:val="TittelTegn"/>
    <w:uiPriority w:val="10"/>
    <w:qFormat/>
    <w:rsid w:val="00B21C4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telTegn">
    <w:name w:val="Tittel Tegn"/>
    <w:basedOn w:val="Standardskriftforavsnitt"/>
    <w:link w:val="Tittel"/>
    <w:uiPriority w:val="10"/>
    <w:rsid w:val="00B21C46"/>
    <w:rPr>
      <w:rFonts w:asciiTheme="majorHAnsi" w:eastAsiaTheme="majorEastAsia" w:hAnsiTheme="majorHAnsi" w:cstheme="majorBidi"/>
      <w:color w:val="0A1D30" w:themeColor="text2" w:themeShade="BF"/>
      <w:spacing w:val="5"/>
      <w:kern w:val="28"/>
      <w:sz w:val="52"/>
      <w:szCs w:val="52"/>
      <w:lang w:eastAsia="nb-NO"/>
      <w14:ligatures w14:val="none"/>
    </w:rPr>
  </w:style>
  <w:style w:type="paragraph" w:styleId="Undertittel">
    <w:name w:val="Subtitle"/>
    <w:basedOn w:val="Overskrift1"/>
    <w:next w:val="Normal"/>
    <w:link w:val="UndertittelTegn"/>
    <w:qFormat/>
    <w:rsid w:val="00B21C46"/>
    <w:pPr>
      <w:numPr>
        <w:numId w:val="0"/>
      </w:numPr>
      <w:spacing w:before="240"/>
      <w:outlineLvl w:val="9"/>
    </w:pPr>
    <w:rPr>
      <w:spacing w:val="4"/>
      <w:sz w:val="28"/>
    </w:rPr>
  </w:style>
  <w:style w:type="character" w:customStyle="1" w:styleId="UndertittelTegn">
    <w:name w:val="Undertittel Tegn"/>
    <w:basedOn w:val="Standardskriftforavsnitt"/>
    <w:link w:val="Undertittel"/>
    <w:rsid w:val="00B21C46"/>
    <w:rPr>
      <w:rFonts w:ascii="Open Sans" w:eastAsia="Times New Roman" w:hAnsi="Open Sans"/>
      <w:b/>
      <w:spacing w:val="4"/>
      <w:kern w:val="28"/>
      <w:sz w:val="28"/>
      <w:szCs w:val="22"/>
      <w:lang w:eastAsia="nb-NO"/>
      <w14:ligatures w14:val="none"/>
    </w:rPr>
  </w:style>
  <w:style w:type="paragraph" w:styleId="Sitat">
    <w:name w:val="Quote"/>
    <w:basedOn w:val="Normal"/>
    <w:next w:val="Normal"/>
    <w:link w:val="SitatTegn"/>
    <w:uiPriority w:val="29"/>
    <w:qFormat/>
    <w:rsid w:val="00B21C46"/>
    <w:pPr>
      <w:spacing w:before="200"/>
      <w:ind w:left="864" w:right="864"/>
      <w:jc w:val="center"/>
    </w:pPr>
    <w:rPr>
      <w:i/>
      <w:iCs/>
      <w:color w:val="404040" w:themeColor="text1" w:themeTint="BF"/>
    </w:rPr>
  </w:style>
  <w:style w:type="character" w:customStyle="1" w:styleId="SitatTegn">
    <w:name w:val="Sitat Tegn"/>
    <w:basedOn w:val="Standardskriftforavsnitt"/>
    <w:link w:val="Sitat"/>
    <w:uiPriority w:val="29"/>
    <w:rsid w:val="00B21C46"/>
    <w:rPr>
      <w:rFonts w:ascii="Open Sans" w:eastAsia="Times New Roman" w:hAnsi="Open Sans"/>
      <w:i/>
      <w:iCs/>
      <w:color w:val="404040" w:themeColor="text1" w:themeTint="BF"/>
      <w:kern w:val="0"/>
      <w:sz w:val="22"/>
      <w:szCs w:val="22"/>
      <w:lang w:eastAsia="nb-NO"/>
      <w14:ligatures w14:val="none"/>
    </w:rPr>
  </w:style>
  <w:style w:type="paragraph" w:styleId="Listeavsnitt">
    <w:name w:val="List Paragraph"/>
    <w:basedOn w:val="friliste"/>
    <w:uiPriority w:val="34"/>
    <w:qFormat/>
    <w:rsid w:val="00B21C46"/>
    <w:pPr>
      <w:spacing w:before="0"/>
      <w:ind w:firstLine="0"/>
    </w:pPr>
  </w:style>
  <w:style w:type="character" w:styleId="Sterkutheving">
    <w:name w:val="Intense Emphasis"/>
    <w:basedOn w:val="Standardskriftforavsnitt"/>
    <w:uiPriority w:val="21"/>
    <w:qFormat/>
    <w:rsid w:val="00B21C46"/>
    <w:rPr>
      <w:b/>
      <w:bCs/>
      <w:i/>
      <w:iCs/>
      <w:color w:val="156082" w:themeColor="accent1"/>
    </w:rPr>
  </w:style>
  <w:style w:type="paragraph" w:styleId="Sterktsitat">
    <w:name w:val="Intense Quote"/>
    <w:basedOn w:val="Normal"/>
    <w:next w:val="Normal"/>
    <w:link w:val="SterktsitatTegn"/>
    <w:uiPriority w:val="30"/>
    <w:qFormat/>
    <w:rsid w:val="00B21C46"/>
    <w:pPr>
      <w:pBdr>
        <w:bottom w:val="single" w:sz="4" w:space="4" w:color="156082" w:themeColor="accent1"/>
      </w:pBdr>
      <w:spacing w:before="200" w:after="280"/>
      <w:ind w:left="936" w:right="936"/>
    </w:pPr>
    <w:rPr>
      <w:b/>
      <w:bCs/>
      <w:i/>
      <w:iCs/>
      <w:color w:val="156082" w:themeColor="accent1"/>
    </w:rPr>
  </w:style>
  <w:style w:type="character" w:customStyle="1" w:styleId="SterktsitatTegn">
    <w:name w:val="Sterkt sitat Tegn"/>
    <w:basedOn w:val="Standardskriftforavsnitt"/>
    <w:link w:val="Sterktsitat"/>
    <w:uiPriority w:val="30"/>
    <w:rsid w:val="00B21C46"/>
    <w:rPr>
      <w:rFonts w:ascii="Open Sans" w:eastAsia="Times New Roman" w:hAnsi="Open Sans"/>
      <w:b/>
      <w:bCs/>
      <w:i/>
      <w:iCs/>
      <w:color w:val="156082" w:themeColor="accent1"/>
      <w:kern w:val="0"/>
      <w:sz w:val="22"/>
      <w:szCs w:val="22"/>
      <w:lang w:eastAsia="nb-NO"/>
      <w14:ligatures w14:val="none"/>
    </w:rPr>
  </w:style>
  <w:style w:type="character" w:styleId="Sterkreferanse">
    <w:name w:val="Intense Reference"/>
    <w:basedOn w:val="Standardskriftforavsnitt"/>
    <w:uiPriority w:val="32"/>
    <w:qFormat/>
    <w:rsid w:val="00B21C46"/>
    <w:rPr>
      <w:b/>
      <w:bCs/>
      <w:smallCaps/>
      <w:color w:val="E97132" w:themeColor="accent2"/>
      <w:spacing w:val="5"/>
      <w:u w:val="single"/>
    </w:rPr>
  </w:style>
  <w:style w:type="character" w:styleId="Sterk">
    <w:name w:val="Strong"/>
    <w:basedOn w:val="Standardskriftforavsnitt"/>
    <w:uiPriority w:val="22"/>
    <w:qFormat/>
    <w:rsid w:val="00B21C46"/>
    <w:rPr>
      <w:b/>
      <w:bCs/>
    </w:rPr>
  </w:style>
  <w:style w:type="character" w:styleId="Utheving">
    <w:name w:val="Emphasis"/>
    <w:basedOn w:val="Standardskriftforavsnitt"/>
    <w:uiPriority w:val="20"/>
    <w:qFormat/>
    <w:rsid w:val="00B21C46"/>
    <w:rPr>
      <w:i/>
      <w:iCs/>
    </w:rPr>
  </w:style>
  <w:style w:type="paragraph" w:styleId="Fotnotetekst">
    <w:name w:val="footnote text"/>
    <w:basedOn w:val="Normal"/>
    <w:link w:val="FotnotetekstTegn"/>
    <w:semiHidden/>
    <w:rsid w:val="00B21C46"/>
    <w:rPr>
      <w:spacing w:val="4"/>
    </w:rPr>
  </w:style>
  <w:style w:type="character" w:customStyle="1" w:styleId="FotnotetekstTegn">
    <w:name w:val="Fotnotetekst Tegn"/>
    <w:basedOn w:val="Standardskriftforavsnitt"/>
    <w:link w:val="Fotnotetekst"/>
    <w:semiHidden/>
    <w:rsid w:val="00B21C46"/>
    <w:rPr>
      <w:rFonts w:ascii="Open Sans" w:eastAsia="Times New Roman" w:hAnsi="Open Sans"/>
      <w:spacing w:val="4"/>
      <w:kern w:val="0"/>
      <w:sz w:val="22"/>
      <w:szCs w:val="22"/>
      <w:lang w:eastAsia="nb-NO"/>
      <w14:ligatures w14:val="none"/>
    </w:rPr>
  </w:style>
  <w:style w:type="character" w:styleId="Fotnotereferanse">
    <w:name w:val="footnote reference"/>
    <w:basedOn w:val="Standardskriftforavsnitt"/>
    <w:semiHidden/>
    <w:rsid w:val="00B21C46"/>
    <w:rPr>
      <w:vertAlign w:val="superscript"/>
    </w:rPr>
  </w:style>
  <w:style w:type="table" w:styleId="Tabellrutenett">
    <w:name w:val="Table Grid"/>
    <w:basedOn w:val="Vanligtabell"/>
    <w:uiPriority w:val="59"/>
    <w:rsid w:val="00B21C46"/>
    <w:pPr>
      <w:spacing w:after="0" w:line="240" w:lineRule="auto"/>
    </w:pPr>
    <w:rPr>
      <w:kern w:val="0"/>
      <w:sz w:val="22"/>
      <w:szCs w:val="22"/>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rknadsreferanse">
    <w:name w:val="annotation reference"/>
    <w:basedOn w:val="Standardskriftforavsnitt"/>
    <w:semiHidden/>
    <w:rsid w:val="00B21C46"/>
    <w:rPr>
      <w:sz w:val="16"/>
    </w:rPr>
  </w:style>
  <w:style w:type="paragraph" w:styleId="Merknadstekst">
    <w:name w:val="annotation text"/>
    <w:basedOn w:val="Normal"/>
    <w:link w:val="MerknadstekstTegn"/>
    <w:rsid w:val="00B21C46"/>
  </w:style>
  <w:style w:type="character" w:customStyle="1" w:styleId="MerknadstekstTegn">
    <w:name w:val="Merknadstekst Tegn"/>
    <w:basedOn w:val="Standardskriftforavsnitt"/>
    <w:link w:val="Merknadstekst"/>
    <w:rsid w:val="00B21C46"/>
    <w:rPr>
      <w:rFonts w:ascii="Open Sans" w:eastAsia="Times New Roman" w:hAnsi="Open Sans"/>
      <w:kern w:val="0"/>
      <w:sz w:val="22"/>
      <w:szCs w:val="22"/>
      <w:lang w:eastAsia="nb-NO"/>
      <w14:ligatures w14:val="none"/>
    </w:rPr>
  </w:style>
  <w:style w:type="paragraph" w:styleId="Kommentaremne">
    <w:name w:val="annotation subject"/>
    <w:basedOn w:val="Merknadstekst"/>
    <w:next w:val="Merknadstekst"/>
    <w:link w:val="KommentaremneTegn"/>
    <w:uiPriority w:val="99"/>
    <w:semiHidden/>
    <w:unhideWhenUsed/>
    <w:rsid w:val="00B21C46"/>
    <w:pPr>
      <w:spacing w:line="240" w:lineRule="auto"/>
    </w:pPr>
    <w:rPr>
      <w:b/>
      <w:bCs/>
      <w:szCs w:val="20"/>
    </w:rPr>
  </w:style>
  <w:style w:type="character" w:customStyle="1" w:styleId="KommentaremneTegn">
    <w:name w:val="Kommentaremne Tegn"/>
    <w:basedOn w:val="MerknadstekstTegn"/>
    <w:link w:val="Kommentaremne"/>
    <w:uiPriority w:val="99"/>
    <w:semiHidden/>
    <w:rsid w:val="00B21C46"/>
    <w:rPr>
      <w:rFonts w:ascii="Open Sans" w:eastAsia="Times New Roman" w:hAnsi="Open Sans"/>
      <w:b/>
      <w:bCs/>
      <w:kern w:val="0"/>
      <w:sz w:val="22"/>
      <w:szCs w:val="20"/>
      <w:lang w:eastAsia="nb-NO"/>
      <w14:ligatures w14:val="none"/>
    </w:rPr>
  </w:style>
  <w:style w:type="table" w:customStyle="1" w:styleId="TableGrid1">
    <w:name w:val="Table Grid1"/>
    <w:basedOn w:val="Vanligtabell"/>
    <w:next w:val="Tabellrutenett"/>
    <w:uiPriority w:val="39"/>
    <w:rsid w:val="001257A1"/>
    <w:pPr>
      <w:spacing w:after="0" w:line="240" w:lineRule="auto"/>
    </w:pPr>
    <w:rPr>
      <w:kern w:val="0"/>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jon">
    <w:name w:val="Revision"/>
    <w:hidden/>
    <w:uiPriority w:val="99"/>
    <w:semiHidden/>
    <w:rsid w:val="00385D5F"/>
    <w:pPr>
      <w:spacing w:after="0" w:line="240" w:lineRule="auto"/>
    </w:pPr>
  </w:style>
  <w:style w:type="paragraph" w:styleId="Topptekst">
    <w:name w:val="header"/>
    <w:basedOn w:val="Normal"/>
    <w:link w:val="TopptekstTegn"/>
    <w:rsid w:val="00B21C46"/>
    <w:pPr>
      <w:tabs>
        <w:tab w:val="center" w:pos="4536"/>
        <w:tab w:val="right" w:pos="9072"/>
      </w:tabs>
    </w:pPr>
  </w:style>
  <w:style w:type="character" w:customStyle="1" w:styleId="TopptekstTegn">
    <w:name w:val="Topptekst Tegn"/>
    <w:basedOn w:val="Standardskriftforavsnitt"/>
    <w:link w:val="Topptekst"/>
    <w:rsid w:val="00B21C46"/>
    <w:rPr>
      <w:rFonts w:ascii="Open Sans" w:eastAsia="Times New Roman" w:hAnsi="Open Sans"/>
      <w:kern w:val="0"/>
      <w:sz w:val="22"/>
      <w:szCs w:val="22"/>
      <w:lang w:eastAsia="nb-NO"/>
      <w14:ligatures w14:val="none"/>
    </w:rPr>
  </w:style>
  <w:style w:type="paragraph" w:styleId="Bunntekst">
    <w:name w:val="footer"/>
    <w:basedOn w:val="Normal"/>
    <w:link w:val="BunntekstTegn"/>
    <w:uiPriority w:val="99"/>
    <w:rsid w:val="00B21C46"/>
    <w:pPr>
      <w:tabs>
        <w:tab w:val="center" w:pos="4153"/>
        <w:tab w:val="right" w:pos="8306"/>
      </w:tabs>
    </w:pPr>
    <w:rPr>
      <w:spacing w:val="4"/>
    </w:rPr>
  </w:style>
  <w:style w:type="character" w:customStyle="1" w:styleId="BunntekstTegn">
    <w:name w:val="Bunntekst Tegn"/>
    <w:basedOn w:val="Standardskriftforavsnitt"/>
    <w:link w:val="Bunntekst"/>
    <w:uiPriority w:val="99"/>
    <w:rsid w:val="00B21C46"/>
    <w:rPr>
      <w:rFonts w:ascii="Open Sans" w:eastAsia="Times New Roman" w:hAnsi="Open Sans"/>
      <w:spacing w:val="4"/>
      <w:kern w:val="0"/>
      <w:sz w:val="22"/>
      <w:szCs w:val="22"/>
      <w:lang w:eastAsia="nb-NO"/>
      <w14:ligatures w14:val="none"/>
    </w:rPr>
  </w:style>
  <w:style w:type="paragraph" w:customStyle="1" w:styleId="alfaliste">
    <w:name w:val="alfaliste"/>
    <w:basedOn w:val="Nummerertliste"/>
    <w:rsid w:val="00B21C46"/>
    <w:pPr>
      <w:numPr>
        <w:numId w:val="26"/>
      </w:numPr>
    </w:pPr>
    <w:rPr>
      <w:spacing w:val="4"/>
    </w:rPr>
  </w:style>
  <w:style w:type="paragraph" w:customStyle="1" w:styleId="alfaliste2">
    <w:name w:val="alfaliste 2"/>
    <w:basedOn w:val="alfaliste"/>
    <w:rsid w:val="00B21C46"/>
    <w:pPr>
      <w:numPr>
        <w:ilvl w:val="1"/>
      </w:numPr>
    </w:pPr>
  </w:style>
  <w:style w:type="paragraph" w:customStyle="1" w:styleId="alfaliste3">
    <w:name w:val="alfaliste 3"/>
    <w:basedOn w:val="alfaliste"/>
    <w:autoRedefine/>
    <w:qFormat/>
    <w:rsid w:val="00B21C46"/>
    <w:pPr>
      <w:numPr>
        <w:ilvl w:val="2"/>
      </w:numPr>
    </w:pPr>
  </w:style>
  <w:style w:type="paragraph" w:customStyle="1" w:styleId="alfaliste4">
    <w:name w:val="alfaliste 4"/>
    <w:basedOn w:val="alfaliste"/>
    <w:qFormat/>
    <w:rsid w:val="00B21C46"/>
    <w:pPr>
      <w:numPr>
        <w:ilvl w:val="3"/>
      </w:numPr>
    </w:pPr>
  </w:style>
  <w:style w:type="paragraph" w:customStyle="1" w:styleId="alfaliste5">
    <w:name w:val="alfaliste 5"/>
    <w:basedOn w:val="alfaliste"/>
    <w:qFormat/>
    <w:rsid w:val="00B21C46"/>
    <w:pPr>
      <w:numPr>
        <w:ilvl w:val="4"/>
      </w:numPr>
    </w:pPr>
  </w:style>
  <w:style w:type="paragraph" w:customStyle="1" w:styleId="avsnitt-tittel">
    <w:name w:val="avsnitt-tittel"/>
    <w:basedOn w:val="Undertittel"/>
    <w:next w:val="Normal"/>
    <w:rsid w:val="00B21C46"/>
    <w:rPr>
      <w:b w:val="0"/>
    </w:rPr>
  </w:style>
  <w:style w:type="paragraph" w:customStyle="1" w:styleId="avsnitt-undertittel">
    <w:name w:val="avsnitt-undertittel"/>
    <w:basedOn w:val="Undertittel"/>
    <w:next w:val="Normal"/>
    <w:rsid w:val="00B21C46"/>
    <w:pPr>
      <w:spacing w:line="240" w:lineRule="auto"/>
    </w:pPr>
    <w:rPr>
      <w:rFonts w:eastAsia="Batang"/>
      <w:b w:val="0"/>
      <w:i/>
      <w:sz w:val="24"/>
      <w:szCs w:val="20"/>
    </w:rPr>
  </w:style>
  <w:style w:type="paragraph" w:customStyle="1" w:styleId="avsnitt-under-undertittel">
    <w:name w:val="avsnitt-under-undertittel"/>
    <w:basedOn w:val="Undertittel"/>
    <w:next w:val="Normal"/>
    <w:rsid w:val="00B21C46"/>
    <w:pPr>
      <w:spacing w:line="240" w:lineRule="auto"/>
    </w:pPr>
    <w:rPr>
      <w:rFonts w:eastAsia="Batang"/>
      <w:b w:val="0"/>
      <w:i/>
      <w:sz w:val="22"/>
      <w:szCs w:val="20"/>
    </w:rPr>
  </w:style>
  <w:style w:type="paragraph" w:customStyle="1" w:styleId="Def">
    <w:name w:val="Def"/>
    <w:basedOn w:val="Normal"/>
    <w:qFormat/>
    <w:rsid w:val="00B21C46"/>
  </w:style>
  <w:style w:type="paragraph" w:customStyle="1" w:styleId="figur-beskr">
    <w:name w:val="figur-beskr"/>
    <w:basedOn w:val="Normal"/>
    <w:next w:val="Normal"/>
    <w:rsid w:val="00B21C46"/>
    <w:rPr>
      <w:spacing w:val="4"/>
    </w:rPr>
  </w:style>
  <w:style w:type="paragraph" w:customStyle="1" w:styleId="figur-tittel">
    <w:name w:val="figur-tittel"/>
    <w:basedOn w:val="Normal"/>
    <w:next w:val="Normal"/>
    <w:rsid w:val="00B21C46"/>
    <w:pPr>
      <w:numPr>
        <w:ilvl w:val="5"/>
        <w:numId w:val="18"/>
      </w:numPr>
    </w:pPr>
    <w:rPr>
      <w:spacing w:val="4"/>
      <w:sz w:val="28"/>
    </w:rPr>
  </w:style>
  <w:style w:type="character" w:customStyle="1" w:styleId="halvfet">
    <w:name w:val="halvfet"/>
    <w:basedOn w:val="Standardskriftforavsnitt"/>
    <w:rsid w:val="00B21C46"/>
    <w:rPr>
      <w:b/>
    </w:rPr>
  </w:style>
  <w:style w:type="paragraph" w:customStyle="1" w:styleId="hengende-innrykk">
    <w:name w:val="hengende-innrykk"/>
    <w:basedOn w:val="Normal"/>
    <w:next w:val="Normal"/>
    <w:rsid w:val="00B21C46"/>
    <w:pPr>
      <w:ind w:left="1418" w:hanging="1418"/>
    </w:pPr>
    <w:rPr>
      <w:spacing w:val="4"/>
    </w:rPr>
  </w:style>
  <w:style w:type="paragraph" w:customStyle="1" w:styleId="Kilde">
    <w:name w:val="Kilde"/>
    <w:basedOn w:val="Normal"/>
    <w:next w:val="Normal"/>
    <w:rsid w:val="00B21C46"/>
    <w:pPr>
      <w:spacing w:after="240"/>
    </w:pPr>
    <w:rPr>
      <w:spacing w:val="4"/>
      <w:sz w:val="18"/>
    </w:rPr>
  </w:style>
  <w:style w:type="character" w:customStyle="1" w:styleId="kursiv">
    <w:name w:val="kursiv"/>
    <w:basedOn w:val="Standardskriftforavsnitt"/>
    <w:rsid w:val="00B21C46"/>
    <w:rPr>
      <w:i/>
    </w:rPr>
  </w:style>
  <w:style w:type="character" w:customStyle="1" w:styleId="l-endring">
    <w:name w:val="l-endring"/>
    <w:basedOn w:val="Standardskriftforavsnitt"/>
    <w:rsid w:val="00B21C46"/>
    <w:rPr>
      <w:i/>
    </w:rPr>
  </w:style>
  <w:style w:type="paragraph" w:customStyle="1" w:styleId="l-lovdeltit">
    <w:name w:val="l-lovdeltit"/>
    <w:basedOn w:val="Normal"/>
    <w:next w:val="Normal"/>
    <w:rsid w:val="00B21C46"/>
    <w:pPr>
      <w:keepNext/>
      <w:spacing w:before="120" w:after="60"/>
    </w:pPr>
    <w:rPr>
      <w:b/>
    </w:rPr>
  </w:style>
  <w:style w:type="paragraph" w:customStyle="1" w:styleId="l-lovkap">
    <w:name w:val="l-lovkap"/>
    <w:basedOn w:val="Normal"/>
    <w:next w:val="Normal"/>
    <w:rsid w:val="00B21C46"/>
    <w:pPr>
      <w:keepNext/>
      <w:spacing w:before="240" w:after="40"/>
    </w:pPr>
    <w:rPr>
      <w:b/>
      <w:spacing w:val="4"/>
    </w:rPr>
  </w:style>
  <w:style w:type="paragraph" w:customStyle="1" w:styleId="l-lovtit">
    <w:name w:val="l-lovtit"/>
    <w:basedOn w:val="Normal"/>
    <w:next w:val="Normal"/>
    <w:rsid w:val="00B21C46"/>
    <w:pPr>
      <w:keepNext/>
      <w:spacing w:before="120" w:after="60"/>
    </w:pPr>
    <w:rPr>
      <w:b/>
      <w:spacing w:val="4"/>
    </w:rPr>
  </w:style>
  <w:style w:type="paragraph" w:customStyle="1" w:styleId="l-paragraf">
    <w:name w:val="l-paragraf"/>
    <w:basedOn w:val="Normal"/>
    <w:next w:val="Normal"/>
    <w:rsid w:val="00B21C46"/>
    <w:pPr>
      <w:spacing w:before="180" w:after="0"/>
    </w:pPr>
    <w:rPr>
      <w:rFonts w:ascii="Times New Roman" w:hAnsi="Times New Roman"/>
      <w:i/>
      <w:spacing w:val="4"/>
    </w:rPr>
  </w:style>
  <w:style w:type="paragraph" w:customStyle="1" w:styleId="opplisting">
    <w:name w:val="opplisting"/>
    <w:basedOn w:val="Liste"/>
    <w:qFormat/>
    <w:rsid w:val="00B21C46"/>
    <w:pPr>
      <w:numPr>
        <w:numId w:val="0"/>
      </w:numPr>
      <w:tabs>
        <w:tab w:val="left" w:pos="397"/>
      </w:tabs>
    </w:pPr>
    <w:rPr>
      <w:rFonts w:cs="Times New Roman"/>
    </w:rPr>
  </w:style>
  <w:style w:type="paragraph" w:customStyle="1" w:styleId="Ramme-slutt">
    <w:name w:val="Ramme-slutt"/>
    <w:basedOn w:val="Normal"/>
    <w:qFormat/>
    <w:rsid w:val="00B21C46"/>
    <w:rPr>
      <w:b/>
      <w:color w:val="C00000"/>
    </w:rPr>
  </w:style>
  <w:style w:type="paragraph" w:customStyle="1" w:styleId="romertallliste">
    <w:name w:val="romertall liste"/>
    <w:basedOn w:val="Normal"/>
    <w:qFormat/>
    <w:rsid w:val="00B21C46"/>
    <w:pPr>
      <w:numPr>
        <w:numId w:val="25"/>
      </w:numPr>
      <w:spacing w:before="0" w:after="0"/>
    </w:pPr>
    <w:rPr>
      <w:rFonts w:eastAsia="Batang"/>
      <w:spacing w:val="4"/>
      <w:szCs w:val="20"/>
    </w:rPr>
  </w:style>
  <w:style w:type="paragraph" w:customStyle="1" w:styleId="romertallliste2">
    <w:name w:val="romertall liste 2"/>
    <w:basedOn w:val="romertallliste"/>
    <w:qFormat/>
    <w:rsid w:val="00B21C46"/>
    <w:pPr>
      <w:numPr>
        <w:ilvl w:val="1"/>
      </w:numPr>
    </w:pPr>
  </w:style>
  <w:style w:type="paragraph" w:customStyle="1" w:styleId="romertallliste3">
    <w:name w:val="romertall liste 3"/>
    <w:basedOn w:val="romertallliste"/>
    <w:qFormat/>
    <w:rsid w:val="00B21C46"/>
    <w:pPr>
      <w:numPr>
        <w:ilvl w:val="2"/>
      </w:numPr>
    </w:pPr>
  </w:style>
  <w:style w:type="paragraph" w:customStyle="1" w:styleId="romertallliste4">
    <w:name w:val="romertall liste 4"/>
    <w:basedOn w:val="romertallliste"/>
    <w:qFormat/>
    <w:rsid w:val="00B21C46"/>
    <w:pPr>
      <w:numPr>
        <w:ilvl w:val="3"/>
      </w:numPr>
    </w:pPr>
  </w:style>
  <w:style w:type="character" w:customStyle="1" w:styleId="skrift-hevet">
    <w:name w:val="skrift-hevet"/>
    <w:basedOn w:val="Standardskriftforavsnitt"/>
    <w:rsid w:val="00B21C46"/>
    <w:rPr>
      <w:sz w:val="20"/>
      <w:vertAlign w:val="superscript"/>
    </w:rPr>
  </w:style>
  <w:style w:type="character" w:customStyle="1" w:styleId="skrift-senket">
    <w:name w:val="skrift-senket"/>
    <w:basedOn w:val="Standardskriftforavsnitt"/>
    <w:rsid w:val="00B21C46"/>
    <w:rPr>
      <w:sz w:val="20"/>
      <w:vertAlign w:val="subscript"/>
    </w:rPr>
  </w:style>
  <w:style w:type="character" w:customStyle="1" w:styleId="sperret">
    <w:name w:val="sperret"/>
    <w:basedOn w:val="Standardskriftforavsnitt"/>
    <w:rsid w:val="00B21C46"/>
    <w:rPr>
      <w:spacing w:val="30"/>
    </w:rPr>
  </w:style>
  <w:style w:type="character" w:customStyle="1" w:styleId="Stikkord">
    <w:name w:val="Stikkord"/>
    <w:basedOn w:val="Standardskriftforavsnitt"/>
    <w:rsid w:val="00B21C46"/>
  </w:style>
  <w:style w:type="paragraph" w:customStyle="1" w:styleId="Tabellnavn">
    <w:name w:val="Tabellnavn"/>
    <w:basedOn w:val="Normal"/>
    <w:qFormat/>
    <w:rsid w:val="00B21C46"/>
    <w:rPr>
      <w:rFonts w:ascii="Times New Roman" w:hAnsi="Times New Roman"/>
      <w:vanish/>
      <w:color w:val="00B050"/>
    </w:rPr>
  </w:style>
  <w:style w:type="paragraph" w:customStyle="1" w:styleId="tabell-tittel">
    <w:name w:val="tabell-tittel"/>
    <w:basedOn w:val="Normal"/>
    <w:next w:val="Normal"/>
    <w:rsid w:val="00B21C46"/>
    <w:pPr>
      <w:keepNext/>
      <w:keepLines/>
      <w:numPr>
        <w:ilvl w:val="6"/>
        <w:numId w:val="18"/>
      </w:numPr>
      <w:spacing w:before="240"/>
    </w:pPr>
    <w:rPr>
      <w:spacing w:val="4"/>
      <w:sz w:val="28"/>
    </w:rPr>
  </w:style>
  <w:style w:type="paragraph" w:customStyle="1" w:styleId="Term">
    <w:name w:val="Term"/>
    <w:basedOn w:val="Normal"/>
    <w:qFormat/>
    <w:rsid w:val="00B21C46"/>
  </w:style>
  <w:style w:type="paragraph" w:customStyle="1" w:styleId="tittel-ramme">
    <w:name w:val="tittel-ramme"/>
    <w:basedOn w:val="Normal"/>
    <w:next w:val="Normal"/>
    <w:rsid w:val="00B21C46"/>
    <w:pPr>
      <w:keepNext/>
      <w:keepLines/>
      <w:numPr>
        <w:ilvl w:val="7"/>
        <w:numId w:val="18"/>
      </w:numPr>
      <w:spacing w:before="360" w:after="80"/>
      <w:jc w:val="center"/>
    </w:pPr>
    <w:rPr>
      <w:b/>
      <w:spacing w:val="4"/>
      <w:sz w:val="24"/>
    </w:rPr>
  </w:style>
  <w:style w:type="table" w:customStyle="1" w:styleId="Tabell-VM">
    <w:name w:val="Tabell-VM"/>
    <w:basedOn w:val="Tabelltemaer"/>
    <w:uiPriority w:val="99"/>
    <w:qFormat/>
    <w:rsid w:val="00B21C46"/>
    <w:tblPr/>
    <w:tcPr>
      <w:shd w:val="clear" w:color="auto" w:fill="auto"/>
    </w:tcPr>
    <w:tblStylePr w:type="firstRow">
      <w:tblPr/>
      <w:tcPr>
        <w:shd w:val="clear" w:color="auto" w:fill="C1E4F5" w:themeFill="accent1" w:themeFillTint="33"/>
      </w:tcPr>
    </w:tblStylePr>
  </w:style>
  <w:style w:type="table" w:styleId="Tabelltemaer">
    <w:name w:val="Table Theme"/>
    <w:basedOn w:val="Vanligtabell"/>
    <w:uiPriority w:val="99"/>
    <w:semiHidden/>
    <w:unhideWhenUsed/>
    <w:rsid w:val="00B21C46"/>
    <w:pPr>
      <w:spacing w:after="0" w:line="240" w:lineRule="auto"/>
    </w:pPr>
    <w:rPr>
      <w:rFonts w:ascii="Calibri" w:eastAsia="Calibri" w:hAnsi="Calibri" w:cs="Times New Roman"/>
      <w:kern w:val="0"/>
      <w:sz w:val="20"/>
      <w:szCs w:val="20"/>
      <w:lang w:eastAsia="nb-N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1">
    <w:name w:val="SbudTabell-1"/>
    <w:basedOn w:val="Tabelltemaer"/>
    <w:uiPriority w:val="99"/>
    <w:qFormat/>
    <w:rsid w:val="00B21C46"/>
    <w:tblPr/>
    <w:tcPr>
      <w:shd w:val="clear" w:color="auto" w:fill="auto"/>
    </w:tcPr>
    <w:tblStylePr w:type="firstRow">
      <w:tblPr/>
      <w:tcPr>
        <w:shd w:val="clear" w:color="auto" w:fill="C1E4F5" w:themeFill="accent1" w:themeFillTint="33"/>
      </w:tcPr>
    </w:tblStylePr>
  </w:style>
  <w:style w:type="table" w:customStyle="1" w:styleId="SbudTabell-0">
    <w:name w:val="SbudTabell-0"/>
    <w:basedOn w:val="Vanligtabell"/>
    <w:uiPriority w:val="99"/>
    <w:qFormat/>
    <w:rsid w:val="00B21C4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B21C46"/>
    <w:pPr>
      <w:spacing w:after="0" w:line="240" w:lineRule="auto"/>
    </w:pPr>
    <w:rPr>
      <w:rFonts w:ascii="Times New Roman" w:hAnsi="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C1E4F5" w:themeFill="accent1" w:themeFillTint="33"/>
      </w:tcPr>
    </w:tblStylePr>
  </w:style>
  <w:style w:type="table" w:customStyle="1" w:styleId="StandardTabell">
    <w:name w:val="StandardTabell"/>
    <w:basedOn w:val="Vanligtabell"/>
    <w:uiPriority w:val="99"/>
    <w:qFormat/>
    <w:rsid w:val="00B21C46"/>
    <w:pPr>
      <w:spacing w:after="0" w:line="240" w:lineRule="auto"/>
    </w:pPr>
    <w:rPr>
      <w:kern w:val="0"/>
      <w:sz w:val="22"/>
      <w:szCs w:val="22"/>
      <w14:ligatures w14:val="none"/>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auto"/>
    </w:tcPr>
  </w:style>
  <w:style w:type="table" w:customStyle="1" w:styleId="TrykketTabell">
    <w:name w:val="TrykketTabell"/>
    <w:basedOn w:val="Vanligtabell"/>
    <w:uiPriority w:val="99"/>
    <w:qFormat/>
    <w:rsid w:val="00B21C46"/>
    <w:pPr>
      <w:spacing w:after="0" w:line="240" w:lineRule="auto"/>
    </w:pPr>
    <w:rPr>
      <w:kern w:val="0"/>
      <w:sz w:val="22"/>
      <w:szCs w:val="22"/>
      <w14:ligatures w14:val="none"/>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numbering" w:customStyle="1" w:styleId="l-ListeStilMal">
    <w:name w:val="l-ListeStilMal"/>
    <w:uiPriority w:val="99"/>
    <w:rsid w:val="00B21C46"/>
    <w:pPr>
      <w:numPr>
        <w:numId w:val="17"/>
      </w:numPr>
    </w:pPr>
  </w:style>
  <w:style w:type="paragraph" w:customStyle="1" w:styleId="Figur">
    <w:name w:val="Figur"/>
    <w:basedOn w:val="Normal"/>
    <w:rsid w:val="00B21C46"/>
    <w:pPr>
      <w:suppressAutoHyphens/>
      <w:spacing w:before="400" w:line="240" w:lineRule="auto"/>
      <w:jc w:val="center"/>
    </w:pPr>
    <w:rPr>
      <w:b/>
      <w:color w:val="FF0000"/>
    </w:rPr>
  </w:style>
  <w:style w:type="paragraph" w:customStyle="1" w:styleId="l-ledd">
    <w:name w:val="l-ledd"/>
    <w:basedOn w:val="Normal"/>
    <w:qFormat/>
    <w:rsid w:val="00B21C46"/>
    <w:pPr>
      <w:spacing w:after="0"/>
      <w:ind w:firstLine="397"/>
    </w:pPr>
    <w:rPr>
      <w:rFonts w:ascii="Times New Roman" w:hAnsi="Times New Roman"/>
      <w:spacing w:val="4"/>
    </w:rPr>
  </w:style>
  <w:style w:type="paragraph" w:customStyle="1" w:styleId="l-punktum">
    <w:name w:val="l-punktum"/>
    <w:basedOn w:val="Normal"/>
    <w:qFormat/>
    <w:rsid w:val="00B21C46"/>
    <w:pPr>
      <w:spacing w:after="0"/>
    </w:pPr>
    <w:rPr>
      <w:spacing w:val="4"/>
    </w:rPr>
  </w:style>
  <w:style w:type="paragraph" w:customStyle="1" w:styleId="l-tit-endr-lovkap">
    <w:name w:val="l-tit-endr-lovkap"/>
    <w:basedOn w:val="Normal"/>
    <w:qFormat/>
    <w:rsid w:val="00B21C46"/>
    <w:pPr>
      <w:keepNext/>
      <w:spacing w:before="240" w:after="0" w:line="240" w:lineRule="auto"/>
    </w:pPr>
    <w:rPr>
      <w:rFonts w:ascii="Times New Roman" w:hAnsi="Times New Roman"/>
      <w:noProof/>
      <w:spacing w:val="4"/>
      <w:lang w:val="nn-NO"/>
    </w:rPr>
  </w:style>
  <w:style w:type="paragraph" w:customStyle="1" w:styleId="l-tit-endr-ledd">
    <w:name w:val="l-tit-endr-ledd"/>
    <w:basedOn w:val="Normal"/>
    <w:qFormat/>
    <w:rsid w:val="00B21C46"/>
    <w:pPr>
      <w:keepNext/>
      <w:spacing w:before="240" w:after="0" w:line="240" w:lineRule="auto"/>
    </w:pPr>
    <w:rPr>
      <w:rFonts w:ascii="Times New Roman" w:hAnsi="Times New Roman"/>
      <w:noProof/>
      <w:spacing w:val="4"/>
      <w:lang w:val="nn-NO"/>
    </w:rPr>
  </w:style>
  <w:style w:type="paragraph" w:customStyle="1" w:styleId="l-tit-endr-lov">
    <w:name w:val="l-tit-endr-lov"/>
    <w:basedOn w:val="Normal"/>
    <w:qFormat/>
    <w:rsid w:val="00B21C46"/>
    <w:pPr>
      <w:keepNext/>
      <w:spacing w:before="240" w:after="0" w:line="240" w:lineRule="auto"/>
    </w:pPr>
    <w:rPr>
      <w:rFonts w:ascii="Times New Roman" w:hAnsi="Times New Roman"/>
      <w:noProof/>
      <w:spacing w:val="4"/>
      <w:lang w:val="nn-NO"/>
    </w:rPr>
  </w:style>
  <w:style w:type="paragraph" w:customStyle="1" w:styleId="l-tit-endr-lovdel">
    <w:name w:val="l-tit-endr-lovdel"/>
    <w:basedOn w:val="Normal"/>
    <w:qFormat/>
    <w:rsid w:val="00B21C46"/>
    <w:pPr>
      <w:keepNext/>
      <w:spacing w:before="240" w:after="0" w:line="240" w:lineRule="auto"/>
    </w:pPr>
    <w:rPr>
      <w:rFonts w:ascii="Times New Roman" w:hAnsi="Times New Roman"/>
      <w:noProof/>
      <w:spacing w:val="4"/>
      <w:lang w:val="nn-NO"/>
    </w:rPr>
  </w:style>
  <w:style w:type="paragraph" w:customStyle="1" w:styleId="l-tit-endr-paragraf">
    <w:name w:val="l-tit-endr-paragraf"/>
    <w:basedOn w:val="Normal"/>
    <w:qFormat/>
    <w:rsid w:val="00B21C46"/>
    <w:pPr>
      <w:keepNext/>
      <w:spacing w:before="240" w:after="0" w:line="240" w:lineRule="auto"/>
    </w:pPr>
    <w:rPr>
      <w:rFonts w:ascii="Times New Roman" w:hAnsi="Times New Roman"/>
      <w:noProof/>
      <w:spacing w:val="4"/>
      <w:lang w:val="nn-NO"/>
    </w:rPr>
  </w:style>
  <w:style w:type="paragraph" w:customStyle="1" w:styleId="l-tit-endr-punktum">
    <w:name w:val="l-tit-endr-punktum"/>
    <w:basedOn w:val="l-tit-endr-ledd"/>
    <w:qFormat/>
    <w:rsid w:val="00B21C46"/>
  </w:style>
  <w:style w:type="paragraph" w:customStyle="1" w:styleId="l-alfaliste">
    <w:name w:val="l-alfaliste"/>
    <w:basedOn w:val="alfaliste"/>
    <w:qFormat/>
    <w:rsid w:val="00B21C46"/>
    <w:pPr>
      <w:numPr>
        <w:numId w:val="0"/>
      </w:numPr>
    </w:pPr>
    <w:rPr>
      <w:rFonts w:eastAsiaTheme="minorEastAsia"/>
    </w:rPr>
  </w:style>
  <w:style w:type="numbering" w:customStyle="1" w:styleId="AlfaListeStil">
    <w:name w:val="AlfaListeStil"/>
    <w:uiPriority w:val="99"/>
    <w:rsid w:val="00B21C46"/>
    <w:pPr>
      <w:numPr>
        <w:numId w:val="26"/>
      </w:numPr>
    </w:pPr>
  </w:style>
  <w:style w:type="paragraph" w:customStyle="1" w:styleId="l-alfaliste2">
    <w:name w:val="l-alfaliste 2"/>
    <w:basedOn w:val="alfaliste2"/>
    <w:qFormat/>
    <w:rsid w:val="00B21C46"/>
    <w:pPr>
      <w:numPr>
        <w:numId w:val="0"/>
      </w:numPr>
    </w:pPr>
  </w:style>
  <w:style w:type="paragraph" w:customStyle="1" w:styleId="l-alfaliste3">
    <w:name w:val="l-alfaliste 3"/>
    <w:basedOn w:val="alfaliste3"/>
    <w:qFormat/>
    <w:rsid w:val="00B21C46"/>
    <w:pPr>
      <w:numPr>
        <w:numId w:val="0"/>
      </w:numPr>
    </w:pPr>
  </w:style>
  <w:style w:type="paragraph" w:customStyle="1" w:styleId="l-alfaliste4">
    <w:name w:val="l-alfaliste 4"/>
    <w:basedOn w:val="alfaliste4"/>
    <w:qFormat/>
    <w:rsid w:val="00B21C46"/>
    <w:pPr>
      <w:numPr>
        <w:numId w:val="0"/>
      </w:numPr>
    </w:pPr>
  </w:style>
  <w:style w:type="paragraph" w:customStyle="1" w:styleId="l-alfaliste5">
    <w:name w:val="l-alfaliste 5"/>
    <w:basedOn w:val="alfaliste5"/>
    <w:qFormat/>
    <w:rsid w:val="00B21C46"/>
    <w:pPr>
      <w:numPr>
        <w:numId w:val="0"/>
      </w:numPr>
    </w:pPr>
  </w:style>
  <w:style w:type="numbering" w:customStyle="1" w:styleId="l-AlfaListeStil">
    <w:name w:val="l-AlfaListeStil"/>
    <w:uiPriority w:val="99"/>
    <w:rsid w:val="00B21C46"/>
  </w:style>
  <w:style w:type="numbering" w:customStyle="1" w:styleId="l-NummerertListeStil">
    <w:name w:val="l-NummerertListeStil"/>
    <w:uiPriority w:val="99"/>
    <w:rsid w:val="00B21C46"/>
    <w:pPr>
      <w:numPr>
        <w:numId w:val="7"/>
      </w:numPr>
    </w:pPr>
  </w:style>
  <w:style w:type="numbering" w:customStyle="1" w:styleId="NrListeStil">
    <w:name w:val="NrListeStil"/>
    <w:uiPriority w:val="99"/>
    <w:rsid w:val="00B21C46"/>
    <w:pPr>
      <w:numPr>
        <w:numId w:val="8"/>
      </w:numPr>
    </w:pPr>
  </w:style>
  <w:style w:type="numbering" w:customStyle="1" w:styleId="OpplistingListeStil">
    <w:name w:val="OpplistingListeStil"/>
    <w:uiPriority w:val="99"/>
    <w:rsid w:val="00B21C46"/>
    <w:pPr>
      <w:numPr>
        <w:numId w:val="24"/>
      </w:numPr>
    </w:pPr>
  </w:style>
  <w:style w:type="numbering" w:customStyle="1" w:styleId="OverskrifterListeStil">
    <w:name w:val="OverskrifterListeStil"/>
    <w:uiPriority w:val="99"/>
    <w:rsid w:val="00B21C46"/>
    <w:pPr>
      <w:numPr>
        <w:numId w:val="9"/>
      </w:numPr>
    </w:pPr>
  </w:style>
  <w:style w:type="numbering" w:customStyle="1" w:styleId="RomListeStil">
    <w:name w:val="RomListeStil"/>
    <w:uiPriority w:val="99"/>
    <w:rsid w:val="00B21C46"/>
    <w:pPr>
      <w:numPr>
        <w:numId w:val="10"/>
      </w:numPr>
    </w:pPr>
  </w:style>
  <w:style w:type="numbering" w:customStyle="1" w:styleId="StrekListeStil">
    <w:name w:val="StrekListeStil"/>
    <w:uiPriority w:val="99"/>
    <w:rsid w:val="00B21C46"/>
    <w:pPr>
      <w:numPr>
        <w:numId w:val="11"/>
      </w:numPr>
    </w:pPr>
  </w:style>
  <w:style w:type="paragraph" w:customStyle="1" w:styleId="romertallliste5">
    <w:name w:val="romertall liste 5"/>
    <w:basedOn w:val="romertallliste"/>
    <w:qFormat/>
    <w:rsid w:val="00B21C46"/>
    <w:pPr>
      <w:numPr>
        <w:ilvl w:val="4"/>
      </w:numPr>
    </w:pPr>
  </w:style>
  <w:style w:type="paragraph" w:customStyle="1" w:styleId="opplisting2">
    <w:name w:val="opplisting 2"/>
    <w:basedOn w:val="opplisting"/>
    <w:qFormat/>
    <w:rsid w:val="00B21C46"/>
    <w:pPr>
      <w:ind w:left="397"/>
    </w:pPr>
    <w:rPr>
      <w:lang w:val="en-US"/>
    </w:rPr>
  </w:style>
  <w:style w:type="paragraph" w:customStyle="1" w:styleId="opplisting3">
    <w:name w:val="opplisting 3"/>
    <w:basedOn w:val="opplisting"/>
    <w:qFormat/>
    <w:rsid w:val="00B21C46"/>
    <w:pPr>
      <w:ind w:left="794"/>
    </w:pPr>
  </w:style>
  <w:style w:type="paragraph" w:customStyle="1" w:styleId="opplisting4">
    <w:name w:val="opplisting 4"/>
    <w:basedOn w:val="opplisting"/>
    <w:qFormat/>
    <w:rsid w:val="00B21C46"/>
    <w:pPr>
      <w:ind w:left="1191"/>
    </w:pPr>
  </w:style>
  <w:style w:type="paragraph" w:customStyle="1" w:styleId="opplisting5">
    <w:name w:val="opplisting 5"/>
    <w:basedOn w:val="opplisting"/>
    <w:qFormat/>
    <w:rsid w:val="00B21C46"/>
    <w:pPr>
      <w:ind w:left="1588"/>
    </w:pPr>
  </w:style>
  <w:style w:type="paragraph" w:customStyle="1" w:styleId="friliste">
    <w:name w:val="friliste"/>
    <w:basedOn w:val="Normal"/>
    <w:qFormat/>
    <w:rsid w:val="00B21C46"/>
    <w:pPr>
      <w:tabs>
        <w:tab w:val="left" w:pos="397"/>
      </w:tabs>
      <w:spacing w:after="0"/>
      <w:ind w:left="397" w:hanging="397"/>
    </w:pPr>
  </w:style>
  <w:style w:type="paragraph" w:customStyle="1" w:styleId="friliste2">
    <w:name w:val="friliste 2"/>
    <w:basedOn w:val="friliste"/>
    <w:qFormat/>
    <w:rsid w:val="00B21C46"/>
    <w:pPr>
      <w:tabs>
        <w:tab w:val="left" w:pos="794"/>
      </w:tabs>
      <w:spacing w:before="0"/>
      <w:ind w:left="794"/>
    </w:pPr>
  </w:style>
  <w:style w:type="paragraph" w:customStyle="1" w:styleId="friliste3">
    <w:name w:val="friliste 3"/>
    <w:basedOn w:val="friliste"/>
    <w:qFormat/>
    <w:rsid w:val="00B21C46"/>
    <w:pPr>
      <w:tabs>
        <w:tab w:val="left" w:pos="1191"/>
      </w:tabs>
      <w:spacing w:before="0"/>
      <w:ind w:left="1191"/>
    </w:pPr>
  </w:style>
  <w:style w:type="paragraph" w:customStyle="1" w:styleId="friliste4">
    <w:name w:val="friliste 4"/>
    <w:basedOn w:val="friliste"/>
    <w:qFormat/>
    <w:rsid w:val="00B21C46"/>
    <w:pPr>
      <w:tabs>
        <w:tab w:val="left" w:pos="1588"/>
      </w:tabs>
      <w:spacing w:before="0"/>
      <w:ind w:left="1588"/>
    </w:pPr>
  </w:style>
  <w:style w:type="paragraph" w:customStyle="1" w:styleId="friliste5">
    <w:name w:val="friliste 5"/>
    <w:basedOn w:val="friliste"/>
    <w:qFormat/>
    <w:rsid w:val="00B21C46"/>
    <w:pPr>
      <w:tabs>
        <w:tab w:val="left" w:pos="1985"/>
      </w:tabs>
      <w:spacing w:before="0"/>
      <w:ind w:left="1985"/>
    </w:pPr>
  </w:style>
  <w:style w:type="paragraph" w:customStyle="1" w:styleId="blokksit">
    <w:name w:val="blokksit"/>
    <w:basedOn w:val="Normal"/>
    <w:autoRedefine/>
    <w:qFormat/>
    <w:rsid w:val="00B21C46"/>
    <w:pPr>
      <w:spacing w:line="240" w:lineRule="auto"/>
      <w:ind w:left="397"/>
    </w:pPr>
    <w:rPr>
      <w:spacing w:val="-2"/>
    </w:rPr>
  </w:style>
  <w:style w:type="character" w:customStyle="1" w:styleId="regular">
    <w:name w:val="regular"/>
    <w:basedOn w:val="Standardskriftforavsnitt"/>
    <w:uiPriority w:val="1"/>
    <w:qFormat/>
    <w:rsid w:val="00B21C46"/>
    <w:rPr>
      <w:i/>
    </w:rPr>
  </w:style>
  <w:style w:type="character" w:customStyle="1" w:styleId="gjennomstreket">
    <w:name w:val="gjennomstreket"/>
    <w:uiPriority w:val="1"/>
    <w:rsid w:val="00B21C46"/>
    <w:rPr>
      <w:strike/>
      <w:dstrike w:val="0"/>
    </w:rPr>
  </w:style>
  <w:style w:type="paragraph" w:customStyle="1" w:styleId="l-avsnitt">
    <w:name w:val="l-avsnitt"/>
    <w:basedOn w:val="l-lovkap"/>
    <w:qFormat/>
    <w:rsid w:val="00B21C46"/>
    <w:rPr>
      <w:lang w:val="nn-NO"/>
    </w:rPr>
  </w:style>
  <w:style w:type="paragraph" w:customStyle="1" w:styleId="l-tit-endr-avsnitt">
    <w:name w:val="l-tit-endr-avsnitt"/>
    <w:basedOn w:val="l-tit-endr-lovkap"/>
    <w:qFormat/>
    <w:rsid w:val="00B21C46"/>
  </w:style>
  <w:style w:type="paragraph" w:customStyle="1" w:styleId="Listebombe">
    <w:name w:val="Liste bombe"/>
    <w:basedOn w:val="Liste"/>
    <w:qFormat/>
    <w:rsid w:val="00B21C46"/>
    <w:pPr>
      <w:numPr>
        <w:numId w:val="12"/>
      </w:numPr>
      <w:ind w:left="397" w:hanging="397"/>
    </w:pPr>
  </w:style>
  <w:style w:type="paragraph" w:styleId="Liste">
    <w:name w:val="List"/>
    <w:basedOn w:val="Nummerertliste"/>
    <w:qFormat/>
    <w:rsid w:val="00B21C46"/>
    <w:pPr>
      <w:numPr>
        <w:numId w:val="19"/>
      </w:numPr>
      <w:ind w:left="397" w:hanging="397"/>
      <w:contextualSpacing/>
    </w:pPr>
    <w:rPr>
      <w:spacing w:val="4"/>
    </w:rPr>
  </w:style>
  <w:style w:type="paragraph" w:customStyle="1" w:styleId="Listebombe2">
    <w:name w:val="Liste bombe 2"/>
    <w:basedOn w:val="Liste2"/>
    <w:qFormat/>
    <w:rsid w:val="00B21C46"/>
    <w:pPr>
      <w:numPr>
        <w:numId w:val="13"/>
      </w:numPr>
      <w:ind w:left="794" w:hanging="397"/>
    </w:pPr>
  </w:style>
  <w:style w:type="paragraph" w:styleId="Liste2">
    <w:name w:val="List 2"/>
    <w:basedOn w:val="Liste"/>
    <w:qFormat/>
    <w:rsid w:val="00B21C46"/>
    <w:pPr>
      <w:numPr>
        <w:numId w:val="20"/>
      </w:numPr>
      <w:ind w:left="794" w:hanging="397"/>
    </w:pPr>
  </w:style>
  <w:style w:type="paragraph" w:customStyle="1" w:styleId="Listebombe3">
    <w:name w:val="Liste bombe 3"/>
    <w:basedOn w:val="Liste3"/>
    <w:qFormat/>
    <w:rsid w:val="00B21C46"/>
    <w:pPr>
      <w:numPr>
        <w:numId w:val="14"/>
      </w:numPr>
      <w:ind w:left="1191" w:hanging="397"/>
    </w:pPr>
  </w:style>
  <w:style w:type="paragraph" w:styleId="Liste3">
    <w:name w:val="List 3"/>
    <w:basedOn w:val="Liste"/>
    <w:qFormat/>
    <w:rsid w:val="00B21C46"/>
    <w:pPr>
      <w:numPr>
        <w:numId w:val="21"/>
      </w:numPr>
      <w:ind w:left="1191" w:hanging="397"/>
    </w:pPr>
  </w:style>
  <w:style w:type="paragraph" w:customStyle="1" w:styleId="Listebombe4">
    <w:name w:val="Liste bombe 4"/>
    <w:basedOn w:val="Liste4"/>
    <w:qFormat/>
    <w:rsid w:val="00B21C46"/>
    <w:pPr>
      <w:numPr>
        <w:numId w:val="15"/>
      </w:numPr>
      <w:ind w:left="1588" w:hanging="397"/>
    </w:pPr>
  </w:style>
  <w:style w:type="paragraph" w:styleId="Liste4">
    <w:name w:val="List 4"/>
    <w:basedOn w:val="Liste"/>
    <w:qFormat/>
    <w:rsid w:val="00B21C46"/>
    <w:pPr>
      <w:numPr>
        <w:numId w:val="22"/>
      </w:numPr>
      <w:ind w:left="1588" w:hanging="397"/>
    </w:pPr>
  </w:style>
  <w:style w:type="paragraph" w:customStyle="1" w:styleId="Listebombe5">
    <w:name w:val="Liste bombe 5"/>
    <w:basedOn w:val="Liste5"/>
    <w:qFormat/>
    <w:rsid w:val="00B21C46"/>
    <w:pPr>
      <w:numPr>
        <w:numId w:val="16"/>
      </w:numPr>
      <w:ind w:left="1985" w:hanging="397"/>
    </w:pPr>
  </w:style>
  <w:style w:type="paragraph" w:styleId="Liste5">
    <w:name w:val="List 5"/>
    <w:basedOn w:val="Liste"/>
    <w:qFormat/>
    <w:rsid w:val="00B21C46"/>
    <w:pPr>
      <w:numPr>
        <w:numId w:val="23"/>
      </w:numPr>
      <w:ind w:left="1985" w:hanging="397"/>
    </w:pPr>
  </w:style>
  <w:style w:type="paragraph" w:customStyle="1" w:styleId="Listeavsnitt2">
    <w:name w:val="Listeavsnitt 2"/>
    <w:basedOn w:val="Listeavsnitt"/>
    <w:qFormat/>
    <w:rsid w:val="00B21C46"/>
    <w:pPr>
      <w:ind w:left="794"/>
    </w:pPr>
  </w:style>
  <w:style w:type="paragraph" w:customStyle="1" w:styleId="Listeavsnitt3">
    <w:name w:val="Listeavsnitt 3"/>
    <w:basedOn w:val="Listeavsnitt"/>
    <w:qFormat/>
    <w:rsid w:val="00B21C46"/>
    <w:pPr>
      <w:ind w:left="1191"/>
    </w:pPr>
  </w:style>
  <w:style w:type="paragraph" w:customStyle="1" w:styleId="Listeavsnitt4">
    <w:name w:val="Listeavsnitt 4"/>
    <w:basedOn w:val="Listeavsnitt"/>
    <w:qFormat/>
    <w:rsid w:val="00B21C46"/>
    <w:pPr>
      <w:ind w:left="1588"/>
    </w:pPr>
  </w:style>
  <w:style w:type="paragraph" w:customStyle="1" w:styleId="Listeavsnitt5">
    <w:name w:val="Listeavsnitt 5"/>
    <w:basedOn w:val="Listeavsnitt"/>
    <w:qFormat/>
    <w:rsid w:val="00B21C46"/>
    <w:pPr>
      <w:ind w:left="1985"/>
    </w:pPr>
  </w:style>
  <w:style w:type="paragraph" w:customStyle="1" w:styleId="Petit">
    <w:name w:val="Petit"/>
    <w:basedOn w:val="Normal"/>
    <w:next w:val="Normal"/>
    <w:qFormat/>
    <w:rsid w:val="00B21C46"/>
    <w:rPr>
      <w:spacing w:val="6"/>
      <w:sz w:val="19"/>
    </w:rPr>
  </w:style>
  <w:style w:type="paragraph" w:customStyle="1" w:styleId="TrykkeriMerknad">
    <w:name w:val="TrykkeriMerknad"/>
    <w:basedOn w:val="Normal"/>
    <w:qFormat/>
    <w:rsid w:val="00B21C46"/>
    <w:pPr>
      <w:spacing w:before="60"/>
    </w:pPr>
    <w:rPr>
      <w:color w:val="BF4E14" w:themeColor="accent2" w:themeShade="BF"/>
      <w:spacing w:val="4"/>
      <w:sz w:val="26"/>
    </w:rPr>
  </w:style>
  <w:style w:type="paragraph" w:customStyle="1" w:styleId="ForfatterMerknad">
    <w:name w:val="ForfatterMerknad"/>
    <w:basedOn w:val="TrykkeriMerknad"/>
    <w:qFormat/>
    <w:rsid w:val="00B21C46"/>
    <w:pPr>
      <w:shd w:val="clear" w:color="auto" w:fill="FFFF99"/>
      <w:spacing w:line="240" w:lineRule="auto"/>
    </w:pPr>
    <w:rPr>
      <w:color w:val="80340D" w:themeColor="accent2" w:themeShade="80"/>
    </w:rPr>
  </w:style>
  <w:style w:type="paragraph" w:customStyle="1" w:styleId="UnOverskrift1">
    <w:name w:val="UnOverskrift 1"/>
    <w:basedOn w:val="Overskrift1"/>
    <w:next w:val="Normal"/>
    <w:qFormat/>
    <w:rsid w:val="00B21C46"/>
    <w:pPr>
      <w:numPr>
        <w:numId w:val="0"/>
      </w:numPr>
    </w:pPr>
  </w:style>
  <w:style w:type="paragraph" w:customStyle="1" w:styleId="UnOverskrift2">
    <w:name w:val="UnOverskrift 2"/>
    <w:basedOn w:val="Overskrift2"/>
    <w:next w:val="Normal"/>
    <w:qFormat/>
    <w:rsid w:val="00B21C46"/>
    <w:pPr>
      <w:numPr>
        <w:ilvl w:val="0"/>
        <w:numId w:val="0"/>
      </w:numPr>
    </w:pPr>
  </w:style>
  <w:style w:type="paragraph" w:customStyle="1" w:styleId="UnOverskrift3">
    <w:name w:val="UnOverskrift 3"/>
    <w:basedOn w:val="Overskrift3"/>
    <w:next w:val="Normal"/>
    <w:qFormat/>
    <w:rsid w:val="00B21C46"/>
    <w:pPr>
      <w:numPr>
        <w:ilvl w:val="0"/>
        <w:numId w:val="0"/>
      </w:numPr>
    </w:pPr>
  </w:style>
  <w:style w:type="paragraph" w:customStyle="1" w:styleId="UnOverskrift4">
    <w:name w:val="UnOverskrift 4"/>
    <w:basedOn w:val="Overskrift4"/>
    <w:next w:val="Normal"/>
    <w:qFormat/>
    <w:rsid w:val="00B21C46"/>
    <w:pPr>
      <w:numPr>
        <w:ilvl w:val="0"/>
        <w:numId w:val="0"/>
      </w:numPr>
    </w:pPr>
  </w:style>
  <w:style w:type="paragraph" w:customStyle="1" w:styleId="UnOverskrift5">
    <w:name w:val="UnOverskrift 5"/>
    <w:basedOn w:val="Overskrift5"/>
    <w:next w:val="Normal"/>
    <w:qFormat/>
    <w:rsid w:val="00B21C46"/>
    <w:pPr>
      <w:numPr>
        <w:ilvl w:val="0"/>
        <w:numId w:val="0"/>
      </w:numPr>
    </w:pPr>
  </w:style>
  <w:style w:type="paragraph" w:customStyle="1" w:styleId="PublTittel">
    <w:name w:val="PublTittel"/>
    <w:basedOn w:val="Normal"/>
    <w:qFormat/>
    <w:rsid w:val="00B21C46"/>
    <w:pPr>
      <w:spacing w:before="80"/>
    </w:pPr>
    <w:rPr>
      <w:sz w:val="48"/>
      <w:szCs w:val="48"/>
    </w:rPr>
  </w:style>
  <w:style w:type="paragraph" w:customStyle="1" w:styleId="Ingress">
    <w:name w:val="Ingress"/>
    <w:basedOn w:val="Normal"/>
    <w:qFormat/>
    <w:rsid w:val="00B21C46"/>
    <w:rPr>
      <w:i/>
    </w:rPr>
  </w:style>
  <w:style w:type="paragraph" w:customStyle="1" w:styleId="Note">
    <w:name w:val="Note"/>
    <w:basedOn w:val="Normal"/>
    <w:qFormat/>
    <w:rsid w:val="00B21C46"/>
    <w:rPr>
      <w:sz w:val="18"/>
    </w:rPr>
  </w:style>
  <w:style w:type="paragraph" w:customStyle="1" w:styleId="FigurAltTekst">
    <w:name w:val="FigurAltTekst"/>
    <w:basedOn w:val="Note"/>
    <w:qFormat/>
    <w:rsid w:val="00B21C46"/>
    <w:rPr>
      <w:color w:val="7030A0"/>
    </w:rPr>
  </w:style>
  <w:style w:type="paragraph" w:customStyle="1" w:styleId="meta-dep">
    <w:name w:val="meta-dep"/>
    <w:basedOn w:val="Normal"/>
    <w:next w:val="Normal"/>
    <w:qFormat/>
    <w:rsid w:val="00B21C46"/>
    <w:rPr>
      <w:rFonts w:ascii="Courier New" w:hAnsi="Courier New"/>
      <w:vanish/>
      <w:color w:val="C00000"/>
      <w:sz w:val="28"/>
    </w:rPr>
  </w:style>
  <w:style w:type="paragraph" w:customStyle="1" w:styleId="meta-depavd">
    <w:name w:val="meta-depavd"/>
    <w:basedOn w:val="meta-dep"/>
    <w:next w:val="Normal"/>
    <w:qFormat/>
    <w:rsid w:val="00B21C46"/>
  </w:style>
  <w:style w:type="paragraph" w:customStyle="1" w:styleId="meta-forf">
    <w:name w:val="meta-forf"/>
    <w:basedOn w:val="meta-dep"/>
    <w:next w:val="Normal"/>
    <w:qFormat/>
    <w:rsid w:val="00B21C46"/>
  </w:style>
  <w:style w:type="paragraph" w:customStyle="1" w:styleId="meta-spr">
    <w:name w:val="meta-spr"/>
    <w:basedOn w:val="meta-dep"/>
    <w:next w:val="Normal"/>
    <w:qFormat/>
    <w:rsid w:val="00B21C46"/>
  </w:style>
  <w:style w:type="paragraph" w:customStyle="1" w:styleId="meta-ingress">
    <w:name w:val="meta-ingress"/>
    <w:basedOn w:val="meta-dep"/>
    <w:next w:val="Normal"/>
    <w:qFormat/>
    <w:rsid w:val="00B21C46"/>
    <w:rPr>
      <w:color w:val="0A2F41" w:themeColor="accent1" w:themeShade="80"/>
      <w:sz w:val="24"/>
    </w:rPr>
  </w:style>
  <w:style w:type="paragraph" w:customStyle="1" w:styleId="meta-sperrefrist">
    <w:name w:val="meta-sperrefrist"/>
    <w:basedOn w:val="meta-dep"/>
    <w:next w:val="Normal"/>
    <w:qFormat/>
    <w:rsid w:val="00B21C46"/>
  </w:style>
  <w:style w:type="paragraph" w:customStyle="1" w:styleId="meta-objUrl">
    <w:name w:val="meta-objUrl"/>
    <w:basedOn w:val="meta-dep"/>
    <w:next w:val="Normal"/>
    <w:qFormat/>
    <w:rsid w:val="00B21C46"/>
    <w:rPr>
      <w:color w:val="7030A0"/>
    </w:rPr>
  </w:style>
  <w:style w:type="paragraph" w:customStyle="1" w:styleId="meta-dokFormat">
    <w:name w:val="meta-dokFormat"/>
    <w:basedOn w:val="meta-dep"/>
    <w:next w:val="Normal"/>
    <w:qFormat/>
    <w:rsid w:val="00B21C46"/>
    <w:rPr>
      <w:color w:val="7030A0"/>
    </w:rPr>
  </w:style>
  <w:style w:type="paragraph" w:customStyle="1" w:styleId="TabellHode-rad">
    <w:name w:val="TabellHode-rad"/>
    <w:basedOn w:val="Normal"/>
    <w:qFormat/>
    <w:rsid w:val="00B21C46"/>
    <w:pPr>
      <w:shd w:val="clear" w:color="auto" w:fill="D9F2D0" w:themeFill="accent6" w:themeFillTint="33"/>
    </w:pPr>
  </w:style>
  <w:style w:type="paragraph" w:customStyle="1" w:styleId="TabellHode-kolonne">
    <w:name w:val="TabellHode-kolonne"/>
    <w:basedOn w:val="TabellHode-rad"/>
    <w:qFormat/>
    <w:rsid w:val="00B21C46"/>
    <w:pPr>
      <w:shd w:val="clear" w:color="auto" w:fill="C1E4F5" w:themeFill="accent1" w:themeFillTint="33"/>
    </w:pPr>
  </w:style>
  <w:style w:type="paragraph" w:styleId="Indeks1">
    <w:name w:val="index 1"/>
    <w:basedOn w:val="Normal"/>
    <w:next w:val="Normal"/>
    <w:autoRedefine/>
    <w:uiPriority w:val="99"/>
    <w:semiHidden/>
    <w:unhideWhenUsed/>
    <w:rsid w:val="00B21C46"/>
    <w:pPr>
      <w:spacing w:after="0" w:line="240" w:lineRule="auto"/>
      <w:ind w:left="240" w:hanging="240"/>
    </w:pPr>
  </w:style>
  <w:style w:type="paragraph" w:styleId="Indeks2">
    <w:name w:val="index 2"/>
    <w:basedOn w:val="Normal"/>
    <w:next w:val="Normal"/>
    <w:autoRedefine/>
    <w:uiPriority w:val="99"/>
    <w:semiHidden/>
    <w:unhideWhenUsed/>
    <w:rsid w:val="00B21C46"/>
    <w:pPr>
      <w:spacing w:after="0" w:line="240" w:lineRule="auto"/>
      <w:ind w:left="480" w:hanging="240"/>
    </w:pPr>
  </w:style>
  <w:style w:type="paragraph" w:styleId="Indeks3">
    <w:name w:val="index 3"/>
    <w:basedOn w:val="Normal"/>
    <w:next w:val="Normal"/>
    <w:autoRedefine/>
    <w:uiPriority w:val="99"/>
    <w:semiHidden/>
    <w:unhideWhenUsed/>
    <w:rsid w:val="00B21C46"/>
    <w:pPr>
      <w:spacing w:after="0" w:line="240" w:lineRule="auto"/>
      <w:ind w:left="720" w:hanging="240"/>
    </w:pPr>
  </w:style>
  <w:style w:type="paragraph" w:styleId="Indeks4">
    <w:name w:val="index 4"/>
    <w:basedOn w:val="Normal"/>
    <w:next w:val="Normal"/>
    <w:autoRedefine/>
    <w:uiPriority w:val="99"/>
    <w:semiHidden/>
    <w:unhideWhenUsed/>
    <w:rsid w:val="00B21C46"/>
    <w:pPr>
      <w:spacing w:after="0" w:line="240" w:lineRule="auto"/>
      <w:ind w:left="960" w:hanging="240"/>
    </w:pPr>
  </w:style>
  <w:style w:type="paragraph" w:styleId="Indeks5">
    <w:name w:val="index 5"/>
    <w:basedOn w:val="Normal"/>
    <w:next w:val="Normal"/>
    <w:autoRedefine/>
    <w:uiPriority w:val="99"/>
    <w:semiHidden/>
    <w:unhideWhenUsed/>
    <w:rsid w:val="00B21C46"/>
    <w:pPr>
      <w:spacing w:after="0" w:line="240" w:lineRule="auto"/>
      <w:ind w:left="1200" w:hanging="240"/>
    </w:pPr>
  </w:style>
  <w:style w:type="paragraph" w:styleId="Indeks6">
    <w:name w:val="index 6"/>
    <w:basedOn w:val="Normal"/>
    <w:next w:val="Normal"/>
    <w:autoRedefine/>
    <w:uiPriority w:val="99"/>
    <w:semiHidden/>
    <w:unhideWhenUsed/>
    <w:rsid w:val="00B21C46"/>
    <w:pPr>
      <w:spacing w:after="0" w:line="240" w:lineRule="auto"/>
      <w:ind w:left="1440" w:hanging="240"/>
    </w:pPr>
  </w:style>
  <w:style w:type="paragraph" w:styleId="Indeks7">
    <w:name w:val="index 7"/>
    <w:basedOn w:val="Normal"/>
    <w:next w:val="Normal"/>
    <w:autoRedefine/>
    <w:uiPriority w:val="99"/>
    <w:semiHidden/>
    <w:unhideWhenUsed/>
    <w:rsid w:val="00B21C46"/>
    <w:pPr>
      <w:spacing w:after="0" w:line="240" w:lineRule="auto"/>
      <w:ind w:left="1680" w:hanging="240"/>
    </w:pPr>
  </w:style>
  <w:style w:type="paragraph" w:styleId="Indeks8">
    <w:name w:val="index 8"/>
    <w:basedOn w:val="Normal"/>
    <w:next w:val="Normal"/>
    <w:autoRedefine/>
    <w:uiPriority w:val="99"/>
    <w:semiHidden/>
    <w:unhideWhenUsed/>
    <w:rsid w:val="00B21C46"/>
    <w:pPr>
      <w:spacing w:after="0" w:line="240" w:lineRule="auto"/>
      <w:ind w:left="1920" w:hanging="240"/>
    </w:pPr>
  </w:style>
  <w:style w:type="paragraph" w:styleId="Indeks9">
    <w:name w:val="index 9"/>
    <w:basedOn w:val="Normal"/>
    <w:next w:val="Normal"/>
    <w:autoRedefine/>
    <w:uiPriority w:val="99"/>
    <w:semiHidden/>
    <w:unhideWhenUsed/>
    <w:rsid w:val="00B21C46"/>
    <w:pPr>
      <w:spacing w:after="0" w:line="240" w:lineRule="auto"/>
      <w:ind w:left="2160" w:hanging="240"/>
    </w:pPr>
  </w:style>
  <w:style w:type="paragraph" w:styleId="INNH1">
    <w:name w:val="toc 1"/>
    <w:basedOn w:val="Normal"/>
    <w:next w:val="Normal"/>
    <w:uiPriority w:val="39"/>
    <w:rsid w:val="00B21C46"/>
    <w:pPr>
      <w:tabs>
        <w:tab w:val="right" w:leader="dot" w:pos="8306"/>
      </w:tabs>
      <w:ind w:right="1134"/>
    </w:pPr>
  </w:style>
  <w:style w:type="paragraph" w:styleId="INNH2">
    <w:name w:val="toc 2"/>
    <w:basedOn w:val="Normal"/>
    <w:next w:val="Normal"/>
    <w:uiPriority w:val="39"/>
    <w:rsid w:val="00B21C46"/>
    <w:pPr>
      <w:tabs>
        <w:tab w:val="right" w:leader="dot" w:pos="8306"/>
      </w:tabs>
      <w:ind w:left="199" w:right="1134"/>
    </w:pPr>
  </w:style>
  <w:style w:type="paragraph" w:styleId="INNH3">
    <w:name w:val="toc 3"/>
    <w:basedOn w:val="Normal"/>
    <w:next w:val="Normal"/>
    <w:uiPriority w:val="39"/>
    <w:rsid w:val="00B21C46"/>
    <w:pPr>
      <w:tabs>
        <w:tab w:val="right" w:leader="dot" w:pos="8306"/>
      </w:tabs>
      <w:ind w:left="403" w:right="1134"/>
    </w:pPr>
  </w:style>
  <w:style w:type="paragraph" w:styleId="INNH4">
    <w:name w:val="toc 4"/>
    <w:basedOn w:val="Normal"/>
    <w:next w:val="Normal"/>
    <w:semiHidden/>
    <w:rsid w:val="00B21C46"/>
    <w:pPr>
      <w:tabs>
        <w:tab w:val="right" w:leader="dot" w:pos="8306"/>
      </w:tabs>
      <w:ind w:left="600"/>
    </w:pPr>
  </w:style>
  <w:style w:type="paragraph" w:styleId="INNH5">
    <w:name w:val="toc 5"/>
    <w:basedOn w:val="Normal"/>
    <w:next w:val="Normal"/>
    <w:semiHidden/>
    <w:rsid w:val="00B21C46"/>
    <w:pPr>
      <w:tabs>
        <w:tab w:val="right" w:leader="dot" w:pos="8306"/>
      </w:tabs>
      <w:ind w:left="800"/>
    </w:pPr>
  </w:style>
  <w:style w:type="paragraph" w:styleId="INNH6">
    <w:name w:val="toc 6"/>
    <w:basedOn w:val="Normal"/>
    <w:next w:val="Normal"/>
    <w:autoRedefine/>
    <w:uiPriority w:val="39"/>
    <w:semiHidden/>
    <w:unhideWhenUsed/>
    <w:rsid w:val="00B21C46"/>
    <w:pPr>
      <w:spacing w:after="100"/>
      <w:ind w:left="1200"/>
    </w:pPr>
  </w:style>
  <w:style w:type="paragraph" w:styleId="INNH7">
    <w:name w:val="toc 7"/>
    <w:basedOn w:val="Normal"/>
    <w:next w:val="Normal"/>
    <w:autoRedefine/>
    <w:uiPriority w:val="39"/>
    <w:semiHidden/>
    <w:unhideWhenUsed/>
    <w:rsid w:val="00B21C46"/>
    <w:pPr>
      <w:spacing w:after="100"/>
      <w:ind w:left="1440"/>
    </w:pPr>
  </w:style>
  <w:style w:type="paragraph" w:styleId="INNH8">
    <w:name w:val="toc 8"/>
    <w:basedOn w:val="Normal"/>
    <w:next w:val="Normal"/>
    <w:autoRedefine/>
    <w:uiPriority w:val="39"/>
    <w:semiHidden/>
    <w:unhideWhenUsed/>
    <w:rsid w:val="00B21C46"/>
    <w:pPr>
      <w:spacing w:after="100"/>
      <w:ind w:left="1680"/>
    </w:pPr>
  </w:style>
  <w:style w:type="paragraph" w:styleId="INNH9">
    <w:name w:val="toc 9"/>
    <w:basedOn w:val="Normal"/>
    <w:next w:val="Normal"/>
    <w:autoRedefine/>
    <w:uiPriority w:val="39"/>
    <w:semiHidden/>
    <w:unhideWhenUsed/>
    <w:rsid w:val="00B21C46"/>
    <w:pPr>
      <w:spacing w:after="100"/>
      <w:ind w:left="1920"/>
    </w:pPr>
  </w:style>
  <w:style w:type="paragraph" w:styleId="Vanliginnrykk">
    <w:name w:val="Normal Indent"/>
    <w:basedOn w:val="Normal"/>
    <w:uiPriority w:val="99"/>
    <w:semiHidden/>
    <w:unhideWhenUsed/>
    <w:rsid w:val="00B21C46"/>
    <w:pPr>
      <w:ind w:left="708"/>
    </w:pPr>
  </w:style>
  <w:style w:type="paragraph" w:styleId="Stikkordregisteroverskrift">
    <w:name w:val="index heading"/>
    <w:basedOn w:val="Normal"/>
    <w:next w:val="Indeks1"/>
    <w:uiPriority w:val="99"/>
    <w:semiHidden/>
    <w:unhideWhenUsed/>
    <w:rsid w:val="00B21C46"/>
    <w:rPr>
      <w:rFonts w:asciiTheme="majorHAnsi" w:eastAsiaTheme="majorEastAsia" w:hAnsiTheme="majorHAnsi" w:cstheme="majorBidi"/>
      <w:b/>
      <w:bCs/>
    </w:rPr>
  </w:style>
  <w:style w:type="paragraph" w:styleId="Bildetekst">
    <w:name w:val="caption"/>
    <w:basedOn w:val="Normal"/>
    <w:next w:val="Normal"/>
    <w:uiPriority w:val="35"/>
    <w:unhideWhenUsed/>
    <w:qFormat/>
    <w:rsid w:val="00B21C46"/>
    <w:pPr>
      <w:spacing w:line="240" w:lineRule="auto"/>
    </w:pPr>
    <w:rPr>
      <w:b/>
      <w:bCs/>
      <w:color w:val="156082" w:themeColor="accent1"/>
      <w:sz w:val="18"/>
      <w:szCs w:val="18"/>
    </w:rPr>
  </w:style>
  <w:style w:type="paragraph" w:styleId="Figurliste">
    <w:name w:val="table of figures"/>
    <w:basedOn w:val="Normal"/>
    <w:next w:val="Normal"/>
    <w:uiPriority w:val="99"/>
    <w:semiHidden/>
    <w:unhideWhenUsed/>
    <w:rsid w:val="00B21C46"/>
    <w:pPr>
      <w:spacing w:after="0"/>
    </w:pPr>
  </w:style>
  <w:style w:type="paragraph" w:styleId="Konvoluttadresse">
    <w:name w:val="envelope address"/>
    <w:basedOn w:val="Normal"/>
    <w:uiPriority w:val="99"/>
    <w:semiHidden/>
    <w:unhideWhenUsed/>
    <w:rsid w:val="00B21C46"/>
    <w:pPr>
      <w:framePr w:w="7920" w:h="1980" w:hRule="exact" w:hSpace="141" w:wrap="auto" w:hAnchor="page" w:xAlign="center" w:yAlign="bottom"/>
      <w:spacing w:after="0" w:line="240" w:lineRule="auto"/>
      <w:ind w:left="2880"/>
    </w:pPr>
    <w:rPr>
      <w:rFonts w:asciiTheme="majorHAnsi" w:eastAsiaTheme="majorEastAsia" w:hAnsiTheme="majorHAnsi" w:cstheme="majorBidi"/>
      <w:szCs w:val="24"/>
    </w:rPr>
  </w:style>
  <w:style w:type="paragraph" w:styleId="Avsenderadresse">
    <w:name w:val="envelope return"/>
    <w:basedOn w:val="Normal"/>
    <w:uiPriority w:val="99"/>
    <w:semiHidden/>
    <w:unhideWhenUsed/>
    <w:rsid w:val="00B21C46"/>
    <w:pPr>
      <w:spacing w:after="0" w:line="240" w:lineRule="auto"/>
    </w:pPr>
    <w:rPr>
      <w:rFonts w:asciiTheme="majorHAnsi" w:eastAsiaTheme="majorEastAsia" w:hAnsiTheme="majorHAnsi" w:cstheme="majorBidi"/>
      <w:szCs w:val="20"/>
    </w:rPr>
  </w:style>
  <w:style w:type="character" w:styleId="Linjenummer">
    <w:name w:val="line number"/>
    <w:basedOn w:val="Standardskriftforavsnitt"/>
    <w:uiPriority w:val="99"/>
    <w:semiHidden/>
    <w:unhideWhenUsed/>
    <w:rsid w:val="00B21C46"/>
  </w:style>
  <w:style w:type="character" w:styleId="Sidetall">
    <w:name w:val="page number"/>
    <w:basedOn w:val="Standardskriftforavsnitt"/>
    <w:rsid w:val="00B21C46"/>
  </w:style>
  <w:style w:type="character" w:styleId="Sluttnotereferanse">
    <w:name w:val="endnote reference"/>
    <w:basedOn w:val="Standardskriftforavsnitt"/>
    <w:uiPriority w:val="99"/>
    <w:semiHidden/>
    <w:unhideWhenUsed/>
    <w:rsid w:val="00B21C46"/>
    <w:rPr>
      <w:vertAlign w:val="superscript"/>
    </w:rPr>
  </w:style>
  <w:style w:type="paragraph" w:styleId="Sluttnotetekst">
    <w:name w:val="endnote text"/>
    <w:basedOn w:val="Normal"/>
    <w:link w:val="SluttnotetekstTegn"/>
    <w:uiPriority w:val="99"/>
    <w:semiHidden/>
    <w:unhideWhenUsed/>
    <w:rsid w:val="00B21C46"/>
    <w:pPr>
      <w:spacing w:after="0" w:line="240" w:lineRule="auto"/>
    </w:pPr>
    <w:rPr>
      <w:szCs w:val="20"/>
    </w:rPr>
  </w:style>
  <w:style w:type="character" w:customStyle="1" w:styleId="SluttnotetekstTegn">
    <w:name w:val="Sluttnotetekst Tegn"/>
    <w:basedOn w:val="Standardskriftforavsnitt"/>
    <w:link w:val="Sluttnotetekst"/>
    <w:uiPriority w:val="99"/>
    <w:semiHidden/>
    <w:rsid w:val="00B21C46"/>
    <w:rPr>
      <w:rFonts w:ascii="Open Sans" w:eastAsia="Times New Roman" w:hAnsi="Open Sans"/>
      <w:kern w:val="0"/>
      <w:sz w:val="22"/>
      <w:szCs w:val="20"/>
      <w:lang w:eastAsia="nb-NO"/>
      <w14:ligatures w14:val="none"/>
    </w:rPr>
  </w:style>
  <w:style w:type="paragraph" w:styleId="Kildeliste">
    <w:name w:val="table of authorities"/>
    <w:basedOn w:val="Normal"/>
    <w:next w:val="Normal"/>
    <w:uiPriority w:val="99"/>
    <w:semiHidden/>
    <w:unhideWhenUsed/>
    <w:rsid w:val="00B21C46"/>
    <w:pPr>
      <w:spacing w:after="0"/>
      <w:ind w:left="240" w:hanging="240"/>
    </w:pPr>
  </w:style>
  <w:style w:type="paragraph" w:styleId="Makrotekst">
    <w:name w:val="macro"/>
    <w:link w:val="MakrotekstTegn"/>
    <w:uiPriority w:val="99"/>
    <w:semiHidden/>
    <w:unhideWhenUsed/>
    <w:rsid w:val="00B21C46"/>
    <w:pPr>
      <w:tabs>
        <w:tab w:val="left" w:pos="480"/>
        <w:tab w:val="left" w:pos="960"/>
        <w:tab w:val="left" w:pos="1440"/>
        <w:tab w:val="left" w:pos="1920"/>
        <w:tab w:val="left" w:pos="2400"/>
        <w:tab w:val="left" w:pos="2880"/>
        <w:tab w:val="left" w:pos="3360"/>
        <w:tab w:val="left" w:pos="3840"/>
        <w:tab w:val="left" w:pos="4320"/>
      </w:tabs>
      <w:spacing w:after="0" w:line="276" w:lineRule="auto"/>
    </w:pPr>
    <w:rPr>
      <w:rFonts w:ascii="Consolas" w:eastAsia="Times New Roman" w:hAnsi="Consolas"/>
      <w:kern w:val="0"/>
      <w:sz w:val="20"/>
      <w:szCs w:val="20"/>
      <w:lang w:eastAsia="nb-NO"/>
      <w14:ligatures w14:val="none"/>
    </w:rPr>
  </w:style>
  <w:style w:type="character" w:customStyle="1" w:styleId="MakrotekstTegn">
    <w:name w:val="Makrotekst Tegn"/>
    <w:basedOn w:val="Standardskriftforavsnitt"/>
    <w:link w:val="Makrotekst"/>
    <w:uiPriority w:val="99"/>
    <w:semiHidden/>
    <w:rsid w:val="00B21C46"/>
    <w:rPr>
      <w:rFonts w:ascii="Consolas" w:eastAsia="Times New Roman" w:hAnsi="Consolas"/>
      <w:kern w:val="0"/>
      <w:sz w:val="20"/>
      <w:szCs w:val="20"/>
      <w:lang w:eastAsia="nb-NO"/>
      <w14:ligatures w14:val="none"/>
    </w:rPr>
  </w:style>
  <w:style w:type="paragraph" w:styleId="Kildelisteoverskrift">
    <w:name w:val="toa heading"/>
    <w:basedOn w:val="Normal"/>
    <w:next w:val="Normal"/>
    <w:uiPriority w:val="99"/>
    <w:semiHidden/>
    <w:unhideWhenUsed/>
    <w:rsid w:val="00B21C46"/>
    <w:pPr>
      <w:spacing w:before="120"/>
    </w:pPr>
    <w:rPr>
      <w:rFonts w:asciiTheme="majorHAnsi" w:eastAsiaTheme="majorEastAsia" w:hAnsiTheme="majorHAnsi" w:cstheme="majorBidi"/>
      <w:b/>
      <w:bCs/>
      <w:szCs w:val="24"/>
    </w:rPr>
  </w:style>
  <w:style w:type="paragraph" w:styleId="Punktliste">
    <w:name w:val="List Bullet"/>
    <w:basedOn w:val="Normal"/>
    <w:rsid w:val="00B21C46"/>
    <w:pPr>
      <w:numPr>
        <w:numId w:val="2"/>
      </w:numPr>
      <w:spacing w:after="0"/>
    </w:pPr>
    <w:rPr>
      <w:spacing w:val="4"/>
    </w:rPr>
  </w:style>
  <w:style w:type="paragraph" w:styleId="Nummerertliste">
    <w:name w:val="List Number"/>
    <w:qFormat/>
    <w:rsid w:val="00B21C46"/>
    <w:pPr>
      <w:keepLines/>
      <w:numPr>
        <w:numId w:val="27"/>
      </w:numPr>
      <w:spacing w:after="0" w:line="288" w:lineRule="auto"/>
    </w:pPr>
    <w:rPr>
      <w:rFonts w:ascii="Open Sans" w:eastAsia="Batang" w:hAnsi="Open Sans"/>
      <w:kern w:val="0"/>
      <w:sz w:val="22"/>
      <w:szCs w:val="20"/>
      <w:lang w:eastAsia="nb-NO"/>
      <w14:ligatures w14:val="none"/>
    </w:rPr>
  </w:style>
  <w:style w:type="paragraph" w:styleId="Punktliste2">
    <w:name w:val="List Bullet 2"/>
    <w:basedOn w:val="Normal"/>
    <w:rsid w:val="00B21C46"/>
    <w:pPr>
      <w:numPr>
        <w:numId w:val="3"/>
      </w:numPr>
      <w:spacing w:after="0"/>
    </w:pPr>
    <w:rPr>
      <w:spacing w:val="4"/>
    </w:rPr>
  </w:style>
  <w:style w:type="paragraph" w:styleId="Punktliste3">
    <w:name w:val="List Bullet 3"/>
    <w:basedOn w:val="Normal"/>
    <w:rsid w:val="00B21C46"/>
    <w:pPr>
      <w:numPr>
        <w:numId w:val="4"/>
      </w:numPr>
      <w:spacing w:after="0"/>
    </w:pPr>
    <w:rPr>
      <w:spacing w:val="4"/>
    </w:rPr>
  </w:style>
  <w:style w:type="paragraph" w:styleId="Punktliste4">
    <w:name w:val="List Bullet 4"/>
    <w:basedOn w:val="Normal"/>
    <w:rsid w:val="00B21C46"/>
    <w:pPr>
      <w:numPr>
        <w:numId w:val="5"/>
      </w:numPr>
      <w:spacing w:after="0"/>
    </w:pPr>
  </w:style>
  <w:style w:type="paragraph" w:styleId="Punktliste5">
    <w:name w:val="List Bullet 5"/>
    <w:basedOn w:val="Normal"/>
    <w:rsid w:val="00B21C46"/>
    <w:pPr>
      <w:numPr>
        <w:numId w:val="6"/>
      </w:numPr>
      <w:spacing w:after="0"/>
    </w:pPr>
  </w:style>
  <w:style w:type="paragraph" w:styleId="Nummerertliste2">
    <w:name w:val="List Number 2"/>
    <w:basedOn w:val="Nummerertliste"/>
    <w:qFormat/>
    <w:rsid w:val="00B21C46"/>
    <w:pPr>
      <w:numPr>
        <w:ilvl w:val="1"/>
      </w:numPr>
    </w:pPr>
  </w:style>
  <w:style w:type="paragraph" w:styleId="Nummerertliste3">
    <w:name w:val="List Number 3"/>
    <w:basedOn w:val="Nummerertliste"/>
    <w:qFormat/>
    <w:rsid w:val="00B21C46"/>
    <w:pPr>
      <w:numPr>
        <w:ilvl w:val="2"/>
      </w:numPr>
    </w:pPr>
  </w:style>
  <w:style w:type="paragraph" w:styleId="Nummerertliste4">
    <w:name w:val="List Number 4"/>
    <w:basedOn w:val="Nummerertliste"/>
    <w:rsid w:val="00B21C46"/>
    <w:pPr>
      <w:numPr>
        <w:ilvl w:val="3"/>
      </w:numPr>
    </w:pPr>
  </w:style>
  <w:style w:type="paragraph" w:styleId="Nummerertliste5">
    <w:name w:val="List Number 5"/>
    <w:basedOn w:val="Nummerertliste"/>
    <w:qFormat/>
    <w:rsid w:val="00B21C46"/>
    <w:pPr>
      <w:numPr>
        <w:ilvl w:val="4"/>
      </w:numPr>
    </w:pPr>
  </w:style>
  <w:style w:type="paragraph" w:styleId="Hilsen">
    <w:name w:val="Closing"/>
    <w:basedOn w:val="Normal"/>
    <w:link w:val="HilsenTegn"/>
    <w:uiPriority w:val="99"/>
    <w:semiHidden/>
    <w:unhideWhenUsed/>
    <w:rsid w:val="00B21C46"/>
    <w:pPr>
      <w:spacing w:after="0" w:line="240" w:lineRule="auto"/>
      <w:ind w:left="4252"/>
    </w:pPr>
  </w:style>
  <w:style w:type="character" w:customStyle="1" w:styleId="HilsenTegn">
    <w:name w:val="Hilsen Tegn"/>
    <w:basedOn w:val="Standardskriftforavsnitt"/>
    <w:link w:val="Hilsen"/>
    <w:uiPriority w:val="99"/>
    <w:semiHidden/>
    <w:rsid w:val="00B21C46"/>
    <w:rPr>
      <w:rFonts w:ascii="Open Sans" w:eastAsia="Times New Roman" w:hAnsi="Open Sans"/>
      <w:kern w:val="0"/>
      <w:sz w:val="22"/>
      <w:szCs w:val="22"/>
      <w:lang w:eastAsia="nb-NO"/>
      <w14:ligatures w14:val="none"/>
    </w:rPr>
  </w:style>
  <w:style w:type="paragraph" w:styleId="Underskrift">
    <w:name w:val="Signature"/>
    <w:basedOn w:val="Normal"/>
    <w:link w:val="UnderskriftTegn"/>
    <w:uiPriority w:val="99"/>
    <w:semiHidden/>
    <w:unhideWhenUsed/>
    <w:rsid w:val="00B21C46"/>
    <w:pPr>
      <w:spacing w:after="0" w:line="240" w:lineRule="auto"/>
      <w:ind w:left="4252"/>
    </w:pPr>
  </w:style>
  <w:style w:type="character" w:customStyle="1" w:styleId="UnderskriftTegn">
    <w:name w:val="Underskrift Tegn"/>
    <w:basedOn w:val="Standardskriftforavsnitt"/>
    <w:link w:val="Underskrift"/>
    <w:uiPriority w:val="99"/>
    <w:semiHidden/>
    <w:rsid w:val="00B21C46"/>
    <w:rPr>
      <w:rFonts w:ascii="Open Sans" w:eastAsia="Times New Roman" w:hAnsi="Open Sans"/>
      <w:kern w:val="0"/>
      <w:sz w:val="22"/>
      <w:szCs w:val="22"/>
      <w:lang w:eastAsia="nb-NO"/>
      <w14:ligatures w14:val="none"/>
    </w:rPr>
  </w:style>
  <w:style w:type="paragraph" w:styleId="Brdtekst">
    <w:name w:val="Body Text"/>
    <w:basedOn w:val="Normal"/>
    <w:link w:val="BrdtekstTegn"/>
    <w:uiPriority w:val="99"/>
    <w:semiHidden/>
    <w:unhideWhenUsed/>
    <w:rsid w:val="00B21C46"/>
  </w:style>
  <w:style w:type="character" w:customStyle="1" w:styleId="BrdtekstTegn">
    <w:name w:val="Brødtekst Tegn"/>
    <w:basedOn w:val="Standardskriftforavsnitt"/>
    <w:link w:val="Brdtekst"/>
    <w:uiPriority w:val="99"/>
    <w:semiHidden/>
    <w:rsid w:val="00B21C46"/>
    <w:rPr>
      <w:rFonts w:ascii="Open Sans" w:eastAsia="Times New Roman" w:hAnsi="Open Sans"/>
      <w:kern w:val="0"/>
      <w:sz w:val="22"/>
      <w:szCs w:val="22"/>
      <w:lang w:eastAsia="nb-NO"/>
      <w14:ligatures w14:val="none"/>
    </w:rPr>
  </w:style>
  <w:style w:type="paragraph" w:styleId="Brdtekstinnrykk">
    <w:name w:val="Body Text Indent"/>
    <w:basedOn w:val="Normal"/>
    <w:link w:val="BrdtekstinnrykkTegn"/>
    <w:uiPriority w:val="99"/>
    <w:semiHidden/>
    <w:unhideWhenUsed/>
    <w:rsid w:val="00B21C46"/>
    <w:pPr>
      <w:ind w:left="283"/>
    </w:pPr>
  </w:style>
  <w:style w:type="character" w:customStyle="1" w:styleId="BrdtekstinnrykkTegn">
    <w:name w:val="Brødtekstinnrykk Tegn"/>
    <w:basedOn w:val="Standardskriftforavsnitt"/>
    <w:link w:val="Brdtekstinnrykk"/>
    <w:uiPriority w:val="99"/>
    <w:semiHidden/>
    <w:rsid w:val="00B21C46"/>
    <w:rPr>
      <w:rFonts w:ascii="Open Sans" w:eastAsia="Times New Roman" w:hAnsi="Open Sans"/>
      <w:kern w:val="0"/>
      <w:sz w:val="22"/>
      <w:szCs w:val="22"/>
      <w:lang w:eastAsia="nb-NO"/>
      <w14:ligatures w14:val="none"/>
    </w:rPr>
  </w:style>
  <w:style w:type="paragraph" w:styleId="Liste-forts">
    <w:name w:val="List Continue"/>
    <w:basedOn w:val="Normal"/>
    <w:uiPriority w:val="99"/>
    <w:semiHidden/>
    <w:unhideWhenUsed/>
    <w:rsid w:val="00B21C46"/>
    <w:pPr>
      <w:ind w:left="283"/>
      <w:contextualSpacing/>
    </w:pPr>
  </w:style>
  <w:style w:type="paragraph" w:styleId="Liste-forts2">
    <w:name w:val="List Continue 2"/>
    <w:basedOn w:val="Normal"/>
    <w:uiPriority w:val="99"/>
    <w:semiHidden/>
    <w:unhideWhenUsed/>
    <w:rsid w:val="00B21C46"/>
    <w:pPr>
      <w:ind w:left="566"/>
      <w:contextualSpacing/>
    </w:pPr>
  </w:style>
  <w:style w:type="paragraph" w:styleId="Liste-forts3">
    <w:name w:val="List Continue 3"/>
    <w:basedOn w:val="Normal"/>
    <w:uiPriority w:val="99"/>
    <w:semiHidden/>
    <w:unhideWhenUsed/>
    <w:rsid w:val="00B21C46"/>
    <w:pPr>
      <w:ind w:left="849"/>
      <w:contextualSpacing/>
    </w:pPr>
  </w:style>
  <w:style w:type="paragraph" w:styleId="Liste-forts4">
    <w:name w:val="List Continue 4"/>
    <w:basedOn w:val="Normal"/>
    <w:uiPriority w:val="99"/>
    <w:semiHidden/>
    <w:unhideWhenUsed/>
    <w:rsid w:val="00B21C46"/>
    <w:pPr>
      <w:ind w:left="1132"/>
      <w:contextualSpacing/>
    </w:pPr>
  </w:style>
  <w:style w:type="paragraph" w:styleId="Liste-forts5">
    <w:name w:val="List Continue 5"/>
    <w:basedOn w:val="Normal"/>
    <w:uiPriority w:val="99"/>
    <w:semiHidden/>
    <w:unhideWhenUsed/>
    <w:rsid w:val="00B21C46"/>
    <w:pPr>
      <w:ind w:left="1415"/>
      <w:contextualSpacing/>
    </w:pPr>
  </w:style>
  <w:style w:type="paragraph" w:styleId="Meldingshode">
    <w:name w:val="Message Header"/>
    <w:basedOn w:val="Normal"/>
    <w:link w:val="MeldingshodeTegn"/>
    <w:uiPriority w:val="99"/>
    <w:semiHidden/>
    <w:unhideWhenUsed/>
    <w:rsid w:val="00B21C46"/>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ldingshodeTegn">
    <w:name w:val="Meldingshode Tegn"/>
    <w:basedOn w:val="Standardskriftforavsnitt"/>
    <w:link w:val="Meldingshode"/>
    <w:uiPriority w:val="99"/>
    <w:semiHidden/>
    <w:rsid w:val="00B21C46"/>
    <w:rPr>
      <w:rFonts w:asciiTheme="majorHAnsi" w:eastAsiaTheme="majorEastAsia" w:hAnsiTheme="majorHAnsi" w:cstheme="majorBidi"/>
      <w:kern w:val="0"/>
      <w:sz w:val="22"/>
      <w:shd w:val="pct20" w:color="auto" w:fill="auto"/>
      <w:lang w:eastAsia="nb-NO"/>
      <w14:ligatures w14:val="none"/>
    </w:rPr>
  </w:style>
  <w:style w:type="paragraph" w:styleId="Innledendehilsen">
    <w:name w:val="Salutation"/>
    <w:basedOn w:val="Normal"/>
    <w:next w:val="Normal"/>
    <w:link w:val="InnledendehilsenTegn"/>
    <w:uiPriority w:val="99"/>
    <w:semiHidden/>
    <w:unhideWhenUsed/>
    <w:rsid w:val="00B21C46"/>
  </w:style>
  <w:style w:type="character" w:customStyle="1" w:styleId="InnledendehilsenTegn">
    <w:name w:val="Innledende hilsen Tegn"/>
    <w:basedOn w:val="Standardskriftforavsnitt"/>
    <w:link w:val="Innledendehilsen"/>
    <w:uiPriority w:val="99"/>
    <w:semiHidden/>
    <w:rsid w:val="00B21C46"/>
    <w:rPr>
      <w:rFonts w:ascii="Open Sans" w:eastAsia="Times New Roman" w:hAnsi="Open Sans"/>
      <w:kern w:val="0"/>
      <w:sz w:val="22"/>
      <w:szCs w:val="22"/>
      <w:lang w:eastAsia="nb-NO"/>
      <w14:ligatures w14:val="none"/>
    </w:rPr>
  </w:style>
  <w:style w:type="paragraph" w:styleId="Brdtekst-frsteinnrykk">
    <w:name w:val="Body Text First Indent"/>
    <w:basedOn w:val="Brdtekst"/>
    <w:link w:val="Brdtekst-frsteinnrykkTegn"/>
    <w:uiPriority w:val="99"/>
    <w:semiHidden/>
    <w:unhideWhenUsed/>
    <w:rsid w:val="00B21C46"/>
    <w:pPr>
      <w:ind w:firstLine="360"/>
    </w:pPr>
  </w:style>
  <w:style w:type="character" w:customStyle="1" w:styleId="Brdtekst-frsteinnrykkTegn">
    <w:name w:val="Brødtekst - første innrykk Tegn"/>
    <w:basedOn w:val="BrdtekstTegn"/>
    <w:link w:val="Brdtekst-frsteinnrykk"/>
    <w:uiPriority w:val="99"/>
    <w:semiHidden/>
    <w:rsid w:val="00B21C46"/>
    <w:rPr>
      <w:rFonts w:ascii="Open Sans" w:eastAsia="Times New Roman" w:hAnsi="Open Sans"/>
      <w:kern w:val="0"/>
      <w:sz w:val="22"/>
      <w:szCs w:val="22"/>
      <w:lang w:eastAsia="nb-NO"/>
      <w14:ligatures w14:val="none"/>
    </w:rPr>
  </w:style>
  <w:style w:type="paragraph" w:styleId="Brdtekst-frsteinnrykk2">
    <w:name w:val="Body Text First Indent 2"/>
    <w:basedOn w:val="Brdtekstinnrykk"/>
    <w:link w:val="Brdtekst-frsteinnrykk2Tegn"/>
    <w:uiPriority w:val="99"/>
    <w:semiHidden/>
    <w:unhideWhenUsed/>
    <w:rsid w:val="00B21C46"/>
    <w:pPr>
      <w:ind w:left="360" w:firstLine="360"/>
    </w:pPr>
  </w:style>
  <w:style w:type="character" w:customStyle="1" w:styleId="Brdtekst-frsteinnrykk2Tegn">
    <w:name w:val="Brødtekst - første innrykk 2 Tegn"/>
    <w:basedOn w:val="BrdtekstinnrykkTegn"/>
    <w:link w:val="Brdtekst-frsteinnrykk2"/>
    <w:uiPriority w:val="99"/>
    <w:semiHidden/>
    <w:rsid w:val="00B21C46"/>
    <w:rPr>
      <w:rFonts w:ascii="Open Sans" w:eastAsia="Times New Roman" w:hAnsi="Open Sans"/>
      <w:kern w:val="0"/>
      <w:sz w:val="22"/>
      <w:szCs w:val="22"/>
      <w:lang w:eastAsia="nb-NO"/>
      <w14:ligatures w14:val="none"/>
    </w:rPr>
  </w:style>
  <w:style w:type="paragraph" w:styleId="Notatoverskrift">
    <w:name w:val="Note Heading"/>
    <w:basedOn w:val="Normal"/>
    <w:next w:val="Normal"/>
    <w:link w:val="NotatoverskriftTegn"/>
    <w:uiPriority w:val="99"/>
    <w:semiHidden/>
    <w:unhideWhenUsed/>
    <w:rsid w:val="00B21C46"/>
    <w:pPr>
      <w:spacing w:after="0" w:line="240" w:lineRule="auto"/>
    </w:pPr>
  </w:style>
  <w:style w:type="character" w:customStyle="1" w:styleId="NotatoverskriftTegn">
    <w:name w:val="Notatoverskrift Tegn"/>
    <w:basedOn w:val="Standardskriftforavsnitt"/>
    <w:link w:val="Notatoverskrift"/>
    <w:uiPriority w:val="99"/>
    <w:semiHidden/>
    <w:rsid w:val="00B21C46"/>
    <w:rPr>
      <w:rFonts w:ascii="Open Sans" w:eastAsia="Times New Roman" w:hAnsi="Open Sans"/>
      <w:kern w:val="0"/>
      <w:sz w:val="22"/>
      <w:szCs w:val="22"/>
      <w:lang w:eastAsia="nb-NO"/>
      <w14:ligatures w14:val="none"/>
    </w:rPr>
  </w:style>
  <w:style w:type="paragraph" w:styleId="Brdtekst2">
    <w:name w:val="Body Text 2"/>
    <w:basedOn w:val="Normal"/>
    <w:link w:val="Brdtekst2Tegn"/>
    <w:uiPriority w:val="99"/>
    <w:semiHidden/>
    <w:unhideWhenUsed/>
    <w:rsid w:val="00B21C46"/>
    <w:pPr>
      <w:spacing w:line="480" w:lineRule="auto"/>
    </w:pPr>
  </w:style>
  <w:style w:type="character" w:customStyle="1" w:styleId="Brdtekst2Tegn">
    <w:name w:val="Brødtekst 2 Tegn"/>
    <w:basedOn w:val="Standardskriftforavsnitt"/>
    <w:link w:val="Brdtekst2"/>
    <w:uiPriority w:val="99"/>
    <w:semiHidden/>
    <w:rsid w:val="00B21C46"/>
    <w:rPr>
      <w:rFonts w:ascii="Open Sans" w:eastAsia="Times New Roman" w:hAnsi="Open Sans"/>
      <w:kern w:val="0"/>
      <w:sz w:val="22"/>
      <w:szCs w:val="22"/>
      <w:lang w:eastAsia="nb-NO"/>
      <w14:ligatures w14:val="none"/>
    </w:rPr>
  </w:style>
  <w:style w:type="paragraph" w:styleId="Brdtekst3">
    <w:name w:val="Body Text 3"/>
    <w:basedOn w:val="Normal"/>
    <w:link w:val="Brdtekst3Tegn"/>
    <w:uiPriority w:val="99"/>
    <w:semiHidden/>
    <w:unhideWhenUsed/>
    <w:rsid w:val="00B21C46"/>
    <w:rPr>
      <w:sz w:val="16"/>
      <w:szCs w:val="16"/>
    </w:rPr>
  </w:style>
  <w:style w:type="character" w:customStyle="1" w:styleId="Brdtekst3Tegn">
    <w:name w:val="Brødtekst 3 Tegn"/>
    <w:basedOn w:val="Standardskriftforavsnitt"/>
    <w:link w:val="Brdtekst3"/>
    <w:uiPriority w:val="99"/>
    <w:semiHidden/>
    <w:rsid w:val="00B21C46"/>
    <w:rPr>
      <w:rFonts w:ascii="Open Sans" w:eastAsia="Times New Roman" w:hAnsi="Open Sans"/>
      <w:kern w:val="0"/>
      <w:sz w:val="16"/>
      <w:szCs w:val="16"/>
      <w:lang w:eastAsia="nb-NO"/>
      <w14:ligatures w14:val="none"/>
    </w:rPr>
  </w:style>
  <w:style w:type="paragraph" w:styleId="Brdtekstinnrykk2">
    <w:name w:val="Body Text Indent 2"/>
    <w:basedOn w:val="Normal"/>
    <w:link w:val="Brdtekstinnrykk2Tegn"/>
    <w:uiPriority w:val="99"/>
    <w:semiHidden/>
    <w:unhideWhenUsed/>
    <w:rsid w:val="00B21C46"/>
    <w:pPr>
      <w:spacing w:line="480" w:lineRule="auto"/>
      <w:ind w:left="283"/>
    </w:pPr>
  </w:style>
  <w:style w:type="character" w:customStyle="1" w:styleId="Brdtekstinnrykk2Tegn">
    <w:name w:val="Brødtekstinnrykk 2 Tegn"/>
    <w:basedOn w:val="Standardskriftforavsnitt"/>
    <w:link w:val="Brdtekstinnrykk2"/>
    <w:uiPriority w:val="99"/>
    <w:semiHidden/>
    <w:rsid w:val="00B21C46"/>
    <w:rPr>
      <w:rFonts w:ascii="Open Sans" w:eastAsia="Times New Roman" w:hAnsi="Open Sans"/>
      <w:kern w:val="0"/>
      <w:sz w:val="22"/>
      <w:szCs w:val="22"/>
      <w:lang w:eastAsia="nb-NO"/>
      <w14:ligatures w14:val="none"/>
    </w:rPr>
  </w:style>
  <w:style w:type="paragraph" w:styleId="Brdtekstinnrykk3">
    <w:name w:val="Body Text Indent 3"/>
    <w:basedOn w:val="Normal"/>
    <w:link w:val="Brdtekstinnrykk3Tegn"/>
    <w:uiPriority w:val="99"/>
    <w:semiHidden/>
    <w:unhideWhenUsed/>
    <w:rsid w:val="00B21C46"/>
    <w:pPr>
      <w:ind w:left="283"/>
    </w:pPr>
    <w:rPr>
      <w:sz w:val="16"/>
      <w:szCs w:val="16"/>
    </w:rPr>
  </w:style>
  <w:style w:type="character" w:customStyle="1" w:styleId="Brdtekstinnrykk3Tegn">
    <w:name w:val="Brødtekstinnrykk 3 Tegn"/>
    <w:basedOn w:val="Standardskriftforavsnitt"/>
    <w:link w:val="Brdtekstinnrykk3"/>
    <w:uiPriority w:val="99"/>
    <w:semiHidden/>
    <w:rsid w:val="00B21C46"/>
    <w:rPr>
      <w:rFonts w:ascii="Open Sans" w:eastAsia="Times New Roman" w:hAnsi="Open Sans"/>
      <w:kern w:val="0"/>
      <w:sz w:val="16"/>
      <w:szCs w:val="16"/>
      <w:lang w:eastAsia="nb-NO"/>
      <w14:ligatures w14:val="none"/>
    </w:rPr>
  </w:style>
  <w:style w:type="paragraph" w:styleId="Blokktekst">
    <w:name w:val="Block Text"/>
    <w:basedOn w:val="Normal"/>
    <w:uiPriority w:val="99"/>
    <w:semiHidden/>
    <w:unhideWhenUsed/>
    <w:rsid w:val="00B21C46"/>
    <w:pPr>
      <w:pBdr>
        <w:top w:val="single" w:sz="2" w:space="10" w:color="156082" w:themeColor="accent1" w:shadow="1"/>
        <w:left w:val="single" w:sz="2" w:space="10" w:color="156082" w:themeColor="accent1" w:shadow="1"/>
        <w:bottom w:val="single" w:sz="2" w:space="10" w:color="156082" w:themeColor="accent1" w:shadow="1"/>
        <w:right w:val="single" w:sz="2" w:space="10" w:color="156082" w:themeColor="accent1" w:shadow="1"/>
      </w:pBdr>
      <w:ind w:left="1152" w:right="1152"/>
    </w:pPr>
    <w:rPr>
      <w:rFonts w:asciiTheme="minorHAnsi" w:eastAsiaTheme="minorEastAsia" w:hAnsiTheme="minorHAnsi"/>
      <w:i/>
      <w:iCs/>
      <w:color w:val="156082" w:themeColor="accent1"/>
    </w:rPr>
  </w:style>
  <w:style w:type="character" w:styleId="Hyperkobling">
    <w:name w:val="Hyperlink"/>
    <w:basedOn w:val="Standardskriftforavsnitt"/>
    <w:uiPriority w:val="99"/>
    <w:unhideWhenUsed/>
    <w:rsid w:val="00B21C46"/>
    <w:rPr>
      <w:color w:val="467886" w:themeColor="hyperlink"/>
      <w:u w:val="single"/>
    </w:rPr>
  </w:style>
  <w:style w:type="character" w:styleId="Fulgthyperkobling">
    <w:name w:val="FollowedHyperlink"/>
    <w:basedOn w:val="Standardskriftforavsnitt"/>
    <w:uiPriority w:val="99"/>
    <w:semiHidden/>
    <w:unhideWhenUsed/>
    <w:rsid w:val="00B21C46"/>
    <w:rPr>
      <w:color w:val="96607D" w:themeColor="followedHyperlink"/>
      <w:u w:val="single"/>
    </w:rPr>
  </w:style>
  <w:style w:type="paragraph" w:styleId="Dokumentkart">
    <w:name w:val="Document Map"/>
    <w:basedOn w:val="Normal"/>
    <w:link w:val="DokumentkartTegn"/>
    <w:uiPriority w:val="99"/>
    <w:semiHidden/>
    <w:unhideWhenUsed/>
    <w:rsid w:val="00B21C46"/>
    <w:pPr>
      <w:spacing w:after="0" w:line="240" w:lineRule="auto"/>
    </w:pPr>
    <w:rPr>
      <w:rFonts w:ascii="Tahoma" w:hAnsi="Tahoma" w:cs="Tahoma"/>
      <w:sz w:val="16"/>
      <w:szCs w:val="16"/>
    </w:rPr>
  </w:style>
  <w:style w:type="character" w:customStyle="1" w:styleId="DokumentkartTegn">
    <w:name w:val="Dokumentkart Tegn"/>
    <w:basedOn w:val="Standardskriftforavsnitt"/>
    <w:link w:val="Dokumentkart"/>
    <w:uiPriority w:val="99"/>
    <w:semiHidden/>
    <w:rsid w:val="00B21C46"/>
    <w:rPr>
      <w:rFonts w:ascii="Tahoma" w:eastAsia="Times New Roman" w:hAnsi="Tahoma" w:cs="Tahoma"/>
      <w:kern w:val="0"/>
      <w:sz w:val="16"/>
      <w:szCs w:val="16"/>
      <w:lang w:eastAsia="nb-NO"/>
      <w14:ligatures w14:val="none"/>
    </w:rPr>
  </w:style>
  <w:style w:type="paragraph" w:styleId="Rentekst">
    <w:name w:val="Plain Text"/>
    <w:basedOn w:val="Normal"/>
    <w:link w:val="RentekstTegn"/>
    <w:uiPriority w:val="99"/>
    <w:semiHidden/>
    <w:unhideWhenUsed/>
    <w:rsid w:val="00B21C46"/>
    <w:pPr>
      <w:spacing w:after="0" w:line="240" w:lineRule="auto"/>
    </w:pPr>
    <w:rPr>
      <w:rFonts w:ascii="Consolas" w:hAnsi="Consolas"/>
      <w:sz w:val="21"/>
      <w:szCs w:val="21"/>
    </w:rPr>
  </w:style>
  <w:style w:type="character" w:customStyle="1" w:styleId="RentekstTegn">
    <w:name w:val="Ren tekst Tegn"/>
    <w:basedOn w:val="Standardskriftforavsnitt"/>
    <w:link w:val="Rentekst"/>
    <w:uiPriority w:val="99"/>
    <w:semiHidden/>
    <w:rsid w:val="00B21C46"/>
    <w:rPr>
      <w:rFonts w:ascii="Consolas" w:eastAsia="Times New Roman" w:hAnsi="Consolas"/>
      <w:kern w:val="0"/>
      <w:sz w:val="21"/>
      <w:szCs w:val="21"/>
      <w:lang w:eastAsia="nb-NO"/>
      <w14:ligatures w14:val="none"/>
    </w:rPr>
  </w:style>
  <w:style w:type="paragraph" w:styleId="E-postsignatur">
    <w:name w:val="E-mail Signature"/>
    <w:basedOn w:val="Normal"/>
    <w:link w:val="E-postsignaturTegn"/>
    <w:uiPriority w:val="99"/>
    <w:semiHidden/>
    <w:unhideWhenUsed/>
    <w:rsid w:val="00B21C46"/>
    <w:pPr>
      <w:spacing w:after="0" w:line="240" w:lineRule="auto"/>
    </w:pPr>
  </w:style>
  <w:style w:type="character" w:customStyle="1" w:styleId="E-postsignaturTegn">
    <w:name w:val="E-postsignatur Tegn"/>
    <w:basedOn w:val="Standardskriftforavsnitt"/>
    <w:link w:val="E-postsignatur"/>
    <w:uiPriority w:val="99"/>
    <w:semiHidden/>
    <w:rsid w:val="00B21C46"/>
    <w:rPr>
      <w:rFonts w:ascii="Open Sans" w:eastAsia="Times New Roman" w:hAnsi="Open Sans"/>
      <w:kern w:val="0"/>
      <w:sz w:val="22"/>
      <w:szCs w:val="22"/>
      <w:lang w:eastAsia="nb-NO"/>
      <w14:ligatures w14:val="none"/>
    </w:rPr>
  </w:style>
  <w:style w:type="paragraph" w:styleId="NormalWeb">
    <w:name w:val="Normal (Web)"/>
    <w:basedOn w:val="Normal"/>
    <w:uiPriority w:val="99"/>
    <w:semiHidden/>
    <w:unhideWhenUsed/>
    <w:rsid w:val="00B21C46"/>
    <w:rPr>
      <w:rFonts w:cs="Times New Roman"/>
      <w:szCs w:val="24"/>
    </w:rPr>
  </w:style>
  <w:style w:type="character" w:styleId="HTML-akronym">
    <w:name w:val="HTML Acronym"/>
    <w:basedOn w:val="Standardskriftforavsnitt"/>
    <w:uiPriority w:val="99"/>
    <w:semiHidden/>
    <w:unhideWhenUsed/>
    <w:rsid w:val="00B21C46"/>
  </w:style>
  <w:style w:type="paragraph" w:styleId="HTML-adresse">
    <w:name w:val="HTML Address"/>
    <w:basedOn w:val="Normal"/>
    <w:link w:val="HTML-adresseTegn"/>
    <w:uiPriority w:val="99"/>
    <w:semiHidden/>
    <w:unhideWhenUsed/>
    <w:rsid w:val="00B21C46"/>
    <w:pPr>
      <w:spacing w:after="0" w:line="240" w:lineRule="auto"/>
    </w:pPr>
    <w:rPr>
      <w:i/>
      <w:iCs/>
    </w:rPr>
  </w:style>
  <w:style w:type="character" w:customStyle="1" w:styleId="HTML-adresseTegn">
    <w:name w:val="HTML-adresse Tegn"/>
    <w:basedOn w:val="Standardskriftforavsnitt"/>
    <w:link w:val="HTML-adresse"/>
    <w:uiPriority w:val="99"/>
    <w:semiHidden/>
    <w:rsid w:val="00B21C46"/>
    <w:rPr>
      <w:rFonts w:ascii="Open Sans" w:eastAsia="Times New Roman" w:hAnsi="Open Sans"/>
      <w:i/>
      <w:iCs/>
      <w:kern w:val="0"/>
      <w:sz w:val="22"/>
      <w:szCs w:val="22"/>
      <w:lang w:eastAsia="nb-NO"/>
      <w14:ligatures w14:val="none"/>
    </w:rPr>
  </w:style>
  <w:style w:type="character" w:styleId="HTML-sitat">
    <w:name w:val="HTML Cite"/>
    <w:basedOn w:val="Standardskriftforavsnitt"/>
    <w:uiPriority w:val="99"/>
    <w:semiHidden/>
    <w:unhideWhenUsed/>
    <w:rsid w:val="00B21C46"/>
    <w:rPr>
      <w:i/>
      <w:iCs/>
    </w:rPr>
  </w:style>
  <w:style w:type="character" w:styleId="HTML-kode">
    <w:name w:val="HTML Code"/>
    <w:basedOn w:val="Standardskriftforavsnitt"/>
    <w:uiPriority w:val="99"/>
    <w:semiHidden/>
    <w:unhideWhenUsed/>
    <w:rsid w:val="00B21C46"/>
    <w:rPr>
      <w:rFonts w:ascii="Consolas" w:hAnsi="Consolas"/>
      <w:sz w:val="20"/>
      <w:szCs w:val="20"/>
    </w:rPr>
  </w:style>
  <w:style w:type="character" w:styleId="HTML-definisjon">
    <w:name w:val="HTML Definition"/>
    <w:basedOn w:val="Standardskriftforavsnitt"/>
    <w:uiPriority w:val="99"/>
    <w:semiHidden/>
    <w:unhideWhenUsed/>
    <w:rsid w:val="00B21C46"/>
    <w:rPr>
      <w:i/>
      <w:iCs/>
    </w:rPr>
  </w:style>
  <w:style w:type="character" w:styleId="HTML-tastatur">
    <w:name w:val="HTML Keyboard"/>
    <w:basedOn w:val="Standardskriftforavsnitt"/>
    <w:uiPriority w:val="99"/>
    <w:semiHidden/>
    <w:unhideWhenUsed/>
    <w:rsid w:val="00B21C46"/>
    <w:rPr>
      <w:rFonts w:ascii="Consolas" w:hAnsi="Consolas"/>
      <w:sz w:val="20"/>
      <w:szCs w:val="20"/>
    </w:rPr>
  </w:style>
  <w:style w:type="paragraph" w:styleId="HTML-forhndsformatert">
    <w:name w:val="HTML Preformatted"/>
    <w:basedOn w:val="Normal"/>
    <w:link w:val="HTML-forhndsformatertTegn"/>
    <w:uiPriority w:val="99"/>
    <w:semiHidden/>
    <w:unhideWhenUsed/>
    <w:rsid w:val="00B21C46"/>
    <w:pPr>
      <w:spacing w:after="0" w:line="240" w:lineRule="auto"/>
    </w:pPr>
    <w:rPr>
      <w:rFonts w:ascii="Consolas" w:hAnsi="Consolas"/>
      <w:szCs w:val="20"/>
    </w:rPr>
  </w:style>
  <w:style w:type="character" w:customStyle="1" w:styleId="HTML-forhndsformatertTegn">
    <w:name w:val="HTML-forhåndsformatert Tegn"/>
    <w:basedOn w:val="Standardskriftforavsnitt"/>
    <w:link w:val="HTML-forhndsformatert"/>
    <w:uiPriority w:val="99"/>
    <w:semiHidden/>
    <w:rsid w:val="00B21C46"/>
    <w:rPr>
      <w:rFonts w:ascii="Consolas" w:eastAsia="Times New Roman" w:hAnsi="Consolas"/>
      <w:kern w:val="0"/>
      <w:sz w:val="22"/>
      <w:szCs w:val="20"/>
      <w:lang w:eastAsia="nb-NO"/>
      <w14:ligatures w14:val="none"/>
    </w:rPr>
  </w:style>
  <w:style w:type="character" w:styleId="HTML-eksempel">
    <w:name w:val="HTML Sample"/>
    <w:basedOn w:val="Standardskriftforavsnitt"/>
    <w:uiPriority w:val="99"/>
    <w:semiHidden/>
    <w:unhideWhenUsed/>
    <w:rsid w:val="00B21C46"/>
    <w:rPr>
      <w:rFonts w:ascii="Consolas" w:hAnsi="Consolas"/>
      <w:sz w:val="24"/>
      <w:szCs w:val="24"/>
    </w:rPr>
  </w:style>
  <w:style w:type="character" w:styleId="HTML-skrivemaskin">
    <w:name w:val="HTML Typewriter"/>
    <w:basedOn w:val="Standardskriftforavsnitt"/>
    <w:uiPriority w:val="99"/>
    <w:semiHidden/>
    <w:unhideWhenUsed/>
    <w:rsid w:val="00B21C46"/>
    <w:rPr>
      <w:rFonts w:ascii="Consolas" w:hAnsi="Consolas"/>
      <w:sz w:val="20"/>
      <w:szCs w:val="20"/>
    </w:rPr>
  </w:style>
  <w:style w:type="character" w:styleId="HTML-variabel">
    <w:name w:val="HTML Variable"/>
    <w:basedOn w:val="Standardskriftforavsnitt"/>
    <w:uiPriority w:val="99"/>
    <w:semiHidden/>
    <w:unhideWhenUsed/>
    <w:rsid w:val="00B21C46"/>
    <w:rPr>
      <w:i/>
      <w:iCs/>
    </w:rPr>
  </w:style>
  <w:style w:type="paragraph" w:styleId="Bobletekst">
    <w:name w:val="Balloon Text"/>
    <w:basedOn w:val="Normal"/>
    <w:link w:val="BobletekstTegn"/>
    <w:uiPriority w:val="99"/>
    <w:semiHidden/>
    <w:unhideWhenUsed/>
    <w:rsid w:val="00B21C46"/>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B21C46"/>
    <w:rPr>
      <w:rFonts w:ascii="Tahoma" w:eastAsia="Times New Roman" w:hAnsi="Tahoma" w:cs="Tahoma"/>
      <w:kern w:val="0"/>
      <w:sz w:val="16"/>
      <w:szCs w:val="16"/>
      <w:lang w:eastAsia="nb-NO"/>
      <w14:ligatures w14:val="none"/>
    </w:rPr>
  </w:style>
  <w:style w:type="character" w:styleId="Plassholdertekst">
    <w:name w:val="Placeholder Text"/>
    <w:basedOn w:val="Standardskriftforavsnitt"/>
    <w:uiPriority w:val="99"/>
    <w:semiHidden/>
    <w:rsid w:val="00B21C46"/>
    <w:rPr>
      <w:color w:val="808080"/>
    </w:rPr>
  </w:style>
  <w:style w:type="paragraph" w:styleId="Ingenmellomrom">
    <w:name w:val="No Spacing"/>
    <w:uiPriority w:val="1"/>
    <w:qFormat/>
    <w:rsid w:val="00B21C46"/>
    <w:pPr>
      <w:spacing w:after="0" w:line="240" w:lineRule="auto"/>
    </w:pPr>
    <w:rPr>
      <w:rFonts w:ascii="Calibri" w:eastAsia="Times New Roman" w:hAnsi="Calibri"/>
      <w:kern w:val="0"/>
      <w:szCs w:val="22"/>
      <w:lang w:eastAsia="nb-NO"/>
      <w14:ligatures w14:val="none"/>
    </w:rPr>
  </w:style>
  <w:style w:type="character" w:styleId="Svakutheving">
    <w:name w:val="Subtle Emphasis"/>
    <w:basedOn w:val="Standardskriftforavsnitt"/>
    <w:uiPriority w:val="19"/>
    <w:qFormat/>
    <w:rsid w:val="00B21C46"/>
    <w:rPr>
      <w:i/>
      <w:iCs/>
      <w:color w:val="808080" w:themeColor="text1" w:themeTint="7F"/>
    </w:rPr>
  </w:style>
  <w:style w:type="character" w:styleId="Svakreferanse">
    <w:name w:val="Subtle Reference"/>
    <w:basedOn w:val="Standardskriftforavsnitt"/>
    <w:uiPriority w:val="31"/>
    <w:qFormat/>
    <w:rsid w:val="00B21C46"/>
    <w:rPr>
      <w:smallCaps/>
      <w:color w:val="E97132" w:themeColor="accent2"/>
      <w:u w:val="single"/>
    </w:rPr>
  </w:style>
  <w:style w:type="character" w:styleId="Boktittel">
    <w:name w:val="Book Title"/>
    <w:basedOn w:val="Standardskriftforavsnitt"/>
    <w:uiPriority w:val="33"/>
    <w:qFormat/>
    <w:rsid w:val="00B21C46"/>
    <w:rPr>
      <w:b/>
      <w:bCs/>
      <w:smallCaps/>
      <w:spacing w:val="5"/>
    </w:rPr>
  </w:style>
  <w:style w:type="paragraph" w:styleId="Bibliografi">
    <w:name w:val="Bibliography"/>
    <w:basedOn w:val="Normal"/>
    <w:next w:val="Normal"/>
    <w:uiPriority w:val="37"/>
    <w:semiHidden/>
    <w:unhideWhenUsed/>
    <w:rsid w:val="00B21C46"/>
  </w:style>
  <w:style w:type="paragraph" w:styleId="Overskriftforinnholdsfortegnelse">
    <w:name w:val="TOC Heading"/>
    <w:basedOn w:val="Overskrift1"/>
    <w:next w:val="Normal"/>
    <w:uiPriority w:val="39"/>
    <w:unhideWhenUsed/>
    <w:qFormat/>
    <w:rsid w:val="00B21C46"/>
    <w:pPr>
      <w:numPr>
        <w:numId w:val="0"/>
      </w:numPr>
      <w:spacing w:before="480" w:after="0"/>
      <w:outlineLvl w:val="9"/>
    </w:pPr>
    <w:rPr>
      <w:rFonts w:eastAsiaTheme="majorEastAsia" w:cstheme="majorBidi"/>
      <w:bCs/>
      <w:kern w:val="0"/>
      <w:sz w:val="28"/>
      <w:szCs w:val="28"/>
    </w:rPr>
  </w:style>
  <w:style w:type="table" w:styleId="Listetabell5mrkuthevingsfarge5">
    <w:name w:val="List Table 5 Dark Accent 5"/>
    <w:basedOn w:val="Vanligtabell"/>
    <w:uiPriority w:val="50"/>
    <w:rsid w:val="00B21C46"/>
    <w:pPr>
      <w:spacing w:after="0" w:line="240" w:lineRule="auto"/>
    </w:pPr>
    <w:rPr>
      <w:color w:val="FFFFFF" w:themeColor="background1"/>
      <w:kern w:val="0"/>
      <w:sz w:val="22"/>
      <w:szCs w:val="22"/>
      <w14:ligatures w14:val="none"/>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StandardBoks">
    <w:name w:val="StandardBoks"/>
    <w:basedOn w:val="Vanligtabell"/>
    <w:uiPriority w:val="99"/>
    <w:rsid w:val="00B21C46"/>
    <w:pPr>
      <w:spacing w:after="0" w:line="240" w:lineRule="auto"/>
    </w:pPr>
    <w:rPr>
      <w:kern w:val="0"/>
      <w:sz w:val="22"/>
      <w:szCs w:val="22"/>
      <w14:ligatures w14:val="none"/>
    </w:rPr>
    <w:tblPr>
      <w:tblBorders>
        <w:top w:val="single" w:sz="36" w:space="0" w:color="FFFFFF" w:themeColor="background1"/>
        <w:bottom w:val="single" w:sz="36" w:space="0" w:color="FFFFFF" w:themeColor="background1"/>
      </w:tblBorders>
      <w:tblCellMar>
        <w:top w:w="57" w:type="dxa"/>
        <w:bottom w:w="57" w:type="dxa"/>
      </w:tblCellMar>
    </w:tblPr>
    <w:tcPr>
      <w:shd w:val="clear" w:color="auto" w:fill="BFBFBF" w:themeFill="background1" w:themeFillShade="BF"/>
      <w:tcMar>
        <w:top w:w="227" w:type="dxa"/>
        <w:left w:w="170" w:type="dxa"/>
        <w:bottom w:w="170" w:type="dxa"/>
        <w:right w:w="170" w:type="dxa"/>
      </w:tcMar>
    </w:tcPr>
  </w:style>
  <w:style w:type="table" w:styleId="Listetabell5mrkuthevingsfarge3">
    <w:name w:val="List Table 5 Dark Accent 3"/>
    <w:basedOn w:val="Vanligtabell"/>
    <w:uiPriority w:val="50"/>
    <w:rsid w:val="00B21C46"/>
    <w:pPr>
      <w:spacing w:after="0" w:line="240" w:lineRule="auto"/>
    </w:pPr>
    <w:rPr>
      <w:color w:val="FFFFFF" w:themeColor="background1"/>
      <w:kern w:val="0"/>
      <w:sz w:val="22"/>
      <w:szCs w:val="22"/>
      <w14:ligatures w14:val="none"/>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BlaaBoks">
    <w:name w:val="BlaaBoks"/>
    <w:basedOn w:val="StandardBoks"/>
    <w:uiPriority w:val="99"/>
    <w:rsid w:val="00B21C46"/>
    <w:tblPr/>
    <w:tcPr>
      <w:shd w:val="clear" w:color="auto" w:fill="83CAEB" w:themeFill="accent1" w:themeFillTint="66"/>
    </w:tcPr>
  </w:style>
  <w:style w:type="table" w:customStyle="1" w:styleId="GronnBoks">
    <w:name w:val="GronnBoks"/>
    <w:basedOn w:val="StandardBoks"/>
    <w:uiPriority w:val="99"/>
    <w:rsid w:val="00B21C46"/>
    <w:tblPr/>
    <w:tcPr>
      <w:shd w:val="clear" w:color="auto" w:fill="B3E5A1" w:themeFill="accent6" w:themeFillTint="66"/>
    </w:tcPr>
  </w:style>
  <w:style w:type="table" w:customStyle="1" w:styleId="RodBoks">
    <w:name w:val="RodBoks"/>
    <w:basedOn w:val="StandardBoks"/>
    <w:uiPriority w:val="99"/>
    <w:rsid w:val="00B21C46"/>
    <w:tblPr/>
    <w:tcPr>
      <w:shd w:val="clear" w:color="auto" w:fill="FFB3B3"/>
    </w:tcPr>
  </w:style>
  <w:style w:type="paragraph" w:customStyle="1" w:styleId="BoksGraaTittel">
    <w:name w:val="BoksGraaTittel"/>
    <w:basedOn w:val="Normal"/>
    <w:next w:val="Normal"/>
    <w:qFormat/>
    <w:rsid w:val="00B21C46"/>
    <w:pPr>
      <w:pBdr>
        <w:top w:val="single" w:sz="2" w:space="6" w:color="747474" w:themeColor="background2" w:themeShade="80"/>
        <w:left w:val="single" w:sz="2" w:space="6" w:color="747474" w:themeColor="background2" w:themeShade="80"/>
        <w:bottom w:val="single" w:sz="2" w:space="4" w:color="747474" w:themeColor="background2" w:themeShade="80"/>
        <w:right w:val="single" w:sz="2" w:space="6" w:color="747474" w:themeColor="background2" w:themeShade="80"/>
      </w:pBdr>
      <w:shd w:val="clear" w:color="auto" w:fill="747474" w:themeFill="background2" w:themeFillShade="80"/>
      <w:ind w:left="227" w:right="227"/>
    </w:pPr>
    <w:rPr>
      <w:b/>
      <w:color w:val="F2F2F2" w:themeColor="background1" w:themeShade="F2"/>
    </w:rPr>
  </w:style>
  <w:style w:type="paragraph" w:customStyle="1" w:styleId="BoksBlaaTittel">
    <w:name w:val="BoksBlaaTittel"/>
    <w:basedOn w:val="BoksGraaTittel"/>
    <w:next w:val="Normal"/>
    <w:qFormat/>
    <w:rsid w:val="00B21C46"/>
    <w:pPr>
      <w:pBdr>
        <w:top w:val="single" w:sz="2" w:space="6" w:color="0F4761" w:themeColor="accent1" w:themeShade="BF"/>
        <w:left w:val="single" w:sz="2" w:space="6" w:color="0F4761" w:themeColor="accent1" w:themeShade="BF"/>
        <w:bottom w:val="single" w:sz="2" w:space="4" w:color="0F4761" w:themeColor="accent1" w:themeShade="BF"/>
        <w:right w:val="single" w:sz="2" w:space="6" w:color="0F4761" w:themeColor="accent1" w:themeShade="BF"/>
      </w:pBdr>
      <w:shd w:val="clear" w:color="auto" w:fill="0F4761" w:themeFill="accent1" w:themeFillShade="BF"/>
    </w:pPr>
  </w:style>
  <w:style w:type="paragraph" w:customStyle="1" w:styleId="BoksRodTittel">
    <w:name w:val="BoksRodTittel"/>
    <w:basedOn w:val="BoksGraaTittel"/>
    <w:next w:val="Normal"/>
    <w:qFormat/>
    <w:rsid w:val="00B21C46"/>
    <w:pPr>
      <w:pBdr>
        <w:top w:val="single" w:sz="2" w:space="6" w:color="FF3300"/>
        <w:left w:val="single" w:sz="2" w:space="6" w:color="FF3300"/>
        <w:bottom w:val="single" w:sz="2" w:space="4" w:color="FF3300"/>
        <w:right w:val="single" w:sz="2" w:space="6" w:color="FF3300"/>
      </w:pBdr>
      <w:shd w:val="clear" w:color="auto" w:fill="FF3300"/>
    </w:pPr>
  </w:style>
  <w:style w:type="paragraph" w:customStyle="1" w:styleId="BoksGronnTittel">
    <w:name w:val="BoksGronnTittel"/>
    <w:basedOn w:val="BoksGraaTittel"/>
    <w:next w:val="Normal"/>
    <w:qFormat/>
    <w:rsid w:val="00B21C46"/>
    <w:pPr>
      <w:pBdr>
        <w:top w:val="single" w:sz="2" w:space="6" w:color="3A7C22" w:themeColor="accent6" w:themeShade="BF"/>
        <w:left w:val="single" w:sz="2" w:space="6" w:color="3A7C22" w:themeColor="accent6" w:themeShade="BF"/>
        <w:bottom w:val="single" w:sz="2" w:space="4" w:color="3A7C22" w:themeColor="accent6" w:themeShade="BF"/>
        <w:right w:val="single" w:sz="2" w:space="6" w:color="3A7C22" w:themeColor="accent6" w:themeShade="BF"/>
      </w:pBdr>
      <w:shd w:val="clear" w:color="auto" w:fill="3A7C22" w:themeFill="accent6" w:themeFillShade="BF"/>
    </w:pPr>
  </w:style>
  <w:style w:type="character" w:customStyle="1" w:styleId="understreket">
    <w:name w:val="understreket"/>
    <w:uiPriority w:val="1"/>
    <w:rsid w:val="00B21C46"/>
    <w:rPr>
      <w:u w:val="single"/>
    </w:rPr>
  </w:style>
  <w:style w:type="paragraph" w:customStyle="1" w:styleId="del-nr">
    <w:name w:val="del-nr"/>
    <w:basedOn w:val="Normal"/>
    <w:qFormat/>
    <w:rsid w:val="00B21C46"/>
    <w:pPr>
      <w:keepNext/>
      <w:keepLines/>
      <w:spacing w:before="360" w:after="0" w:line="240" w:lineRule="auto"/>
      <w:jc w:val="center"/>
    </w:pPr>
    <w:rPr>
      <w:rFonts w:ascii="Times New Roman" w:eastAsia="Batang" w:hAnsi="Times New Roman"/>
      <w:i/>
      <w:sz w:val="48"/>
      <w:szCs w:val="20"/>
    </w:rPr>
  </w:style>
  <w:style w:type="paragraph" w:customStyle="1" w:styleId="del-tittel">
    <w:name w:val="del-tittel"/>
    <w:uiPriority w:val="99"/>
    <w:rsid w:val="00B21C46"/>
    <w:pPr>
      <w:pageBreakBefore/>
      <w:autoSpaceDE w:val="0"/>
      <w:autoSpaceDN w:val="0"/>
      <w:adjustRightInd w:val="0"/>
      <w:spacing w:after="200" w:line="580" w:lineRule="atLeast"/>
      <w:jc w:val="center"/>
      <w:outlineLvl w:val="0"/>
    </w:pPr>
    <w:rPr>
      <w:rFonts w:ascii="Times New Roman" w:eastAsiaTheme="minorEastAsia" w:hAnsi="Times New Roman" w:cs="UniCentury Old Style"/>
      <w:i/>
      <w:iCs/>
      <w:color w:val="000000"/>
      <w:w w:val="0"/>
      <w:kern w:val="0"/>
      <w:sz w:val="46"/>
      <w:szCs w:val="46"/>
      <w:lang w:eastAsia="nb-NO"/>
      <w14:ligatures w14:val="none"/>
    </w:rPr>
  </w:style>
  <w:style w:type="paragraph" w:customStyle="1" w:styleId="tblRad">
    <w:name w:val="tblRad"/>
    <w:rsid w:val="00B21C46"/>
    <w:pPr>
      <w:keepNext/>
      <w:keepLines/>
      <w:overflowPunct w:val="0"/>
      <w:autoSpaceDE w:val="0"/>
      <w:autoSpaceDN w:val="0"/>
      <w:adjustRightInd w:val="0"/>
      <w:spacing w:after="0" w:line="240" w:lineRule="auto"/>
      <w:textAlignment w:val="baseline"/>
    </w:pPr>
    <w:rPr>
      <w:rFonts w:ascii="Times New Roman" w:eastAsia="Batang" w:hAnsi="Times New Roman" w:cs="Times New Roman"/>
      <w:noProof/>
      <w:kern w:val="0"/>
      <w:sz w:val="18"/>
      <w:szCs w:val="20"/>
      <w:lang w:eastAsia="nb-NO"/>
      <w14:ligatures w14:val="none"/>
    </w:rPr>
  </w:style>
  <w:style w:type="paragraph" w:customStyle="1" w:styleId="tbl2LinjeSum">
    <w:name w:val="tbl2LinjeSum"/>
    <w:basedOn w:val="tblRad"/>
    <w:rsid w:val="00B21C46"/>
  </w:style>
  <w:style w:type="paragraph" w:customStyle="1" w:styleId="tbl2LinjeSumBold">
    <w:name w:val="tbl2LinjeSumBold"/>
    <w:basedOn w:val="tblRad"/>
    <w:rsid w:val="00B21C46"/>
    <w:rPr>
      <w:b/>
    </w:rPr>
  </w:style>
  <w:style w:type="paragraph" w:customStyle="1" w:styleId="tblDelsum1">
    <w:name w:val="tblDelsum1"/>
    <w:basedOn w:val="tblRad"/>
    <w:rsid w:val="00B21C46"/>
    <w:rPr>
      <w:i/>
    </w:rPr>
  </w:style>
  <w:style w:type="paragraph" w:customStyle="1" w:styleId="tblDelsum1-Kapittel">
    <w:name w:val="tblDelsum1 - Kapittel"/>
    <w:basedOn w:val="tblDelsum1"/>
    <w:rsid w:val="00B21C46"/>
    <w:pPr>
      <w:keepNext w:val="0"/>
    </w:pPr>
  </w:style>
  <w:style w:type="paragraph" w:customStyle="1" w:styleId="tblDelsum2">
    <w:name w:val="tblDelsum2"/>
    <w:basedOn w:val="tblRad"/>
    <w:rsid w:val="00B21C46"/>
    <w:rPr>
      <w:b/>
      <w:i/>
    </w:rPr>
  </w:style>
  <w:style w:type="paragraph" w:customStyle="1" w:styleId="tblDelsum2-Kapittel">
    <w:name w:val="tblDelsum2 - Kapittel"/>
    <w:basedOn w:val="tblDelsum2"/>
    <w:rsid w:val="00B21C46"/>
    <w:pPr>
      <w:keepNext w:val="0"/>
    </w:pPr>
  </w:style>
  <w:style w:type="paragraph" w:customStyle="1" w:styleId="tblTabelloverskrift">
    <w:name w:val="tblTabelloverskrift"/>
    <w:rsid w:val="00B21C46"/>
    <w:pPr>
      <w:keepNext/>
      <w:keepLines/>
      <w:overflowPunct w:val="0"/>
      <w:autoSpaceDE w:val="0"/>
      <w:autoSpaceDN w:val="0"/>
      <w:adjustRightInd w:val="0"/>
      <w:spacing w:after="240" w:line="240" w:lineRule="auto"/>
      <w:textAlignment w:val="baseline"/>
    </w:pPr>
    <w:rPr>
      <w:rFonts w:ascii="Times New Roman" w:eastAsia="Batang" w:hAnsi="Times New Roman" w:cs="Times New Roman"/>
      <w:b/>
      <w:caps/>
      <w:noProof/>
      <w:kern w:val="0"/>
      <w:sz w:val="20"/>
      <w:szCs w:val="20"/>
      <w:lang w:eastAsia="nb-NO"/>
      <w14:ligatures w14:val="none"/>
    </w:rPr>
  </w:style>
  <w:style w:type="paragraph" w:customStyle="1" w:styleId="tblDeltMedTusen">
    <w:name w:val="tblDeltMedTusen"/>
    <w:basedOn w:val="tblTabelloverskrift"/>
    <w:rsid w:val="00B21C46"/>
    <w:pPr>
      <w:spacing w:after="0"/>
      <w:jc w:val="right"/>
    </w:pPr>
    <w:rPr>
      <w:b w:val="0"/>
      <w:caps w:val="0"/>
      <w:sz w:val="16"/>
    </w:rPr>
  </w:style>
  <w:style w:type="paragraph" w:customStyle="1" w:styleId="tblKategoriOverskrift">
    <w:name w:val="tblKategoriOverskrift"/>
    <w:basedOn w:val="tblRad"/>
    <w:rsid w:val="00B21C46"/>
    <w:pPr>
      <w:spacing w:before="120"/>
    </w:pPr>
    <w:rPr>
      <w:b/>
    </w:rPr>
  </w:style>
  <w:style w:type="paragraph" w:customStyle="1" w:styleId="tblKolonneoverskrift">
    <w:name w:val="tblKolonneoverskrift"/>
    <w:basedOn w:val="Normal"/>
    <w:rsid w:val="00B21C46"/>
    <w:pPr>
      <w:keepNext/>
      <w:keepLines/>
      <w:spacing w:after="0" w:line="240" w:lineRule="auto"/>
    </w:pPr>
    <w:rPr>
      <w:rFonts w:ascii="Times New Roman" w:eastAsia="Batang" w:hAnsi="Times New Roman" w:cs="Times New Roman"/>
      <w:noProof/>
      <w:sz w:val="20"/>
      <w:szCs w:val="20"/>
    </w:rPr>
  </w:style>
  <w:style w:type="paragraph" w:customStyle="1" w:styleId="tblTabelloverskrift-Vedtak">
    <w:name w:val="tblTabelloverskrift - Vedtak"/>
    <w:basedOn w:val="tblTabelloverskrift"/>
    <w:rsid w:val="00B21C46"/>
    <w:pPr>
      <w:spacing w:after="360"/>
      <w:jc w:val="center"/>
    </w:pPr>
    <w:rPr>
      <w:b w:val="0"/>
      <w:caps w:val="0"/>
    </w:rPr>
  </w:style>
  <w:style w:type="paragraph" w:customStyle="1" w:styleId="tblKolonneoverskrift-Vedtak">
    <w:name w:val="tblKolonneoverskrift - Vedtak"/>
    <w:basedOn w:val="tblTabelloverskrift-Vedtak"/>
    <w:rsid w:val="00B21C46"/>
    <w:pPr>
      <w:spacing w:after="0"/>
    </w:pPr>
  </w:style>
  <w:style w:type="paragraph" w:customStyle="1" w:styleId="tblOverskrift-Vedtak">
    <w:name w:val="tblOverskrift - Vedtak"/>
    <w:basedOn w:val="tblRad"/>
    <w:rsid w:val="00B21C46"/>
    <w:pPr>
      <w:spacing w:before="360"/>
      <w:jc w:val="center"/>
    </w:pPr>
  </w:style>
  <w:style w:type="paragraph" w:customStyle="1" w:styleId="tblRadBold">
    <w:name w:val="tblRadBold"/>
    <w:basedOn w:val="tblRad"/>
    <w:rsid w:val="00B21C46"/>
    <w:rPr>
      <w:b/>
    </w:rPr>
  </w:style>
  <w:style w:type="paragraph" w:customStyle="1" w:styleId="tblRadItalic">
    <w:name w:val="tblRadItalic"/>
    <w:basedOn w:val="tblRad"/>
    <w:rsid w:val="00B21C46"/>
    <w:rPr>
      <w:i/>
    </w:rPr>
  </w:style>
  <w:style w:type="paragraph" w:customStyle="1" w:styleId="tblRadItalicSiste">
    <w:name w:val="tblRadItalicSiste"/>
    <w:basedOn w:val="tblRadItalic"/>
    <w:rsid w:val="00B21C46"/>
  </w:style>
  <w:style w:type="paragraph" w:customStyle="1" w:styleId="tblRadMedLuft">
    <w:name w:val="tblRadMedLuft"/>
    <w:basedOn w:val="tblRad"/>
    <w:rsid w:val="00B21C46"/>
    <w:pPr>
      <w:spacing w:before="120"/>
    </w:pPr>
  </w:style>
  <w:style w:type="paragraph" w:customStyle="1" w:styleId="tblRadMedLuftSiste">
    <w:name w:val="tblRadMedLuftSiste"/>
    <w:basedOn w:val="tblRadMedLuft"/>
    <w:rsid w:val="00B21C46"/>
    <w:pPr>
      <w:spacing w:after="120"/>
    </w:pPr>
  </w:style>
  <w:style w:type="paragraph" w:customStyle="1" w:styleId="tblRadMedLuftSiste-Vedtak">
    <w:name w:val="tblRadMedLuftSiste - Vedtak"/>
    <w:basedOn w:val="tblRadMedLuftSiste"/>
    <w:rsid w:val="00B21C46"/>
    <w:pPr>
      <w:keepNext w:val="0"/>
    </w:pPr>
  </w:style>
  <w:style w:type="paragraph" w:customStyle="1" w:styleId="tblRadSiste">
    <w:name w:val="tblRadSiste"/>
    <w:basedOn w:val="tblRad"/>
    <w:rsid w:val="00B21C46"/>
  </w:style>
  <w:style w:type="paragraph" w:customStyle="1" w:styleId="tblSluttsum">
    <w:name w:val="tblSluttsum"/>
    <w:basedOn w:val="tblRad"/>
    <w:rsid w:val="00B21C46"/>
    <w:pPr>
      <w:spacing w:before="120"/>
    </w:pPr>
    <w:rPr>
      <w:b/>
      <w:i/>
    </w:rPr>
  </w:style>
  <w:style w:type="paragraph" w:customStyle="1" w:styleId="Stil1">
    <w:name w:val="Stil1"/>
    <w:basedOn w:val="Normal"/>
    <w:qFormat/>
    <w:rsid w:val="00B21C46"/>
    <w:pPr>
      <w:spacing w:after="100"/>
    </w:pPr>
  </w:style>
  <w:style w:type="paragraph" w:customStyle="1" w:styleId="Stil2">
    <w:name w:val="Stil2"/>
    <w:basedOn w:val="Normal"/>
    <w:autoRedefine/>
    <w:qFormat/>
    <w:rsid w:val="00B21C46"/>
    <w:pPr>
      <w:spacing w:after="100"/>
    </w:pPr>
  </w:style>
  <w:style w:type="paragraph" w:customStyle="1" w:styleId="Forside-departement">
    <w:name w:val="Forside-departement"/>
    <w:qFormat/>
    <w:rsid w:val="00B21C46"/>
    <w:pPr>
      <w:spacing w:after="0" w:line="280" w:lineRule="atLeast"/>
    </w:pPr>
    <w:rPr>
      <w:rFonts w:ascii="Open Sans" w:eastAsia="Times New Roman" w:hAnsi="Open Sans" w:cs="Open Sans"/>
      <w:kern w:val="0"/>
      <w:lang w:eastAsia="nb-NO"/>
      <w14:ligatures w14:val="none"/>
    </w:rPr>
  </w:style>
  <w:style w:type="paragraph" w:customStyle="1" w:styleId="Forside-rapport">
    <w:name w:val="Forside-rapport"/>
    <w:qFormat/>
    <w:rsid w:val="00B21C46"/>
    <w:pPr>
      <w:spacing w:line="259" w:lineRule="auto"/>
      <w:jc w:val="right"/>
    </w:pPr>
    <w:rPr>
      <w:rFonts w:ascii="Open Sans" w:eastAsia="Times New Roman" w:hAnsi="Open Sans" w:cs="Open Sans"/>
      <w:kern w:val="0"/>
      <w:lang w:eastAsia="nb-NO"/>
      <w14:ligatures w14:val="none"/>
    </w:rPr>
  </w:style>
  <w:style w:type="paragraph" w:customStyle="1" w:styleId="Forside-tittel">
    <w:name w:val="Forside-tittel"/>
    <w:next w:val="Forside-departement"/>
    <w:qFormat/>
    <w:rsid w:val="00B21C46"/>
    <w:pPr>
      <w:spacing w:after="0" w:line="240" w:lineRule="auto"/>
    </w:pPr>
    <w:rPr>
      <w:rFonts w:ascii="Open Sans" w:eastAsia="Times New Roman" w:hAnsi="Open Sans" w:cs="Open Sans"/>
      <w:color w:val="000000"/>
      <w:kern w:val="0"/>
      <w:sz w:val="66"/>
      <w:szCs w:val="6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Felles-publisering-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284307C44CA33046B59ABAA81CEFF375" ma:contentTypeVersion="2" ma:contentTypeDescription="Opprett et nytt dokument." ma:contentTypeScope="" ma:versionID="d0d4c84d510003d69e8ab2c857058de2">
  <xsd:schema xmlns:xsd="http://www.w3.org/2001/XMLSchema" xmlns:xs="http://www.w3.org/2001/XMLSchema" xmlns:p="http://schemas.microsoft.com/office/2006/metadata/properties" xmlns:ns2="b00675b6-a8dc-4ce8-8f46-cd05c3650c57" targetNamespace="http://schemas.microsoft.com/office/2006/metadata/properties" ma:root="true" ma:fieldsID="44b7de39ef63c624d6ecab461cb741d0" ns2:_="">
    <xsd:import namespace="b00675b6-a8dc-4ce8-8f46-cd05c3650c5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0675b6-a8dc-4ce8-8f46-cd05c3650c57" elementFormDefault="qualified">
    <xsd:import namespace="http://schemas.microsoft.com/office/2006/documentManagement/types"/>
    <xsd:import namespace="http://schemas.microsoft.com/office/infopath/2007/PartnerControls"/>
    <xsd:element name="SharedWithUsers" ma:index="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87DBA2-472A-4061-8518-1F89F1FDC6C7}">
  <ds:schemaRefs>
    <ds:schemaRef ds:uri="http://schemas.openxmlformats.org/officeDocument/2006/bibliography"/>
  </ds:schemaRefs>
</ds:datastoreItem>
</file>

<file path=customXml/itemProps2.xml><?xml version="1.0" encoding="utf-8"?>
<ds:datastoreItem xmlns:ds="http://schemas.openxmlformats.org/officeDocument/2006/customXml" ds:itemID="{9934A914-7207-491E-BA91-712A91CC4C6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A5D7008-3CCA-4F3A-98E9-49D560BED001}">
  <ds:schemaRefs>
    <ds:schemaRef ds:uri="http://schemas.microsoft.com/sharepoint/v3/contenttype/forms"/>
  </ds:schemaRefs>
</ds:datastoreItem>
</file>

<file path=customXml/itemProps4.xml><?xml version="1.0" encoding="utf-8"?>
<ds:datastoreItem xmlns:ds="http://schemas.openxmlformats.org/officeDocument/2006/customXml" ds:itemID="{6D6D554B-2486-41B2-BBB0-CEF3B2F9E1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0675b6-a8dc-4ce8-8f46-cd05c3650c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Felles-publisering-mal-V3.dotx</Template>
  <TotalTime>100</TotalTime>
  <Pages>1</Pages>
  <Words>8497</Words>
  <Characters>44020</Characters>
  <Application>Microsoft Office Word</Application>
  <DocSecurity>0</DocSecurity>
  <Lines>1257</Lines>
  <Paragraphs>700</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DSS</Company>
  <LinksUpToDate>false</LinksUpToDate>
  <CharactersWithSpaces>51817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Turid Alexandra Barkald</dc:creator>
  <cp:keywords/>
  <dc:description/>
  <cp:lastModifiedBy>Caroline Aasan</cp:lastModifiedBy>
  <cp:revision>10</cp:revision>
  <cp:lastPrinted>2026-10-07T08:16:00Z</cp:lastPrinted>
  <dcterms:created xsi:type="dcterms:W3CDTF">2026-10-12T11:34:00Z</dcterms:created>
  <dcterms:modified xsi:type="dcterms:W3CDTF">2026-10-12T13:25:00Z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0x010100284307C44CA33046B59ABAA81CEFF375</vt:lpwstr>
  </property>
  <property fmtid="{D5CDD505-2E9C-101B-9397-08002B2CF9AE}" pid="3" name="MSIP_Label_b22f7043-6caf-4431-9109-8eff758a1d8b_Enabled">
    <vt:lpwstr>true</vt:lpwstr>
  </property>
  <property fmtid="{D5CDD505-2E9C-101B-9397-08002B2CF9AE}" pid="4" name="MSIP_Label_b22f7043-6caf-4431-9109-8eff758a1d8b_SetDate">
    <vt:lpwstr>2026-10-12T11:34:04Z</vt:lpwstr>
  </property>
  <property fmtid="{D5CDD505-2E9C-101B-9397-08002B2CF9AE}" pid="5" name="MSIP_Label_b22f7043-6caf-4431-9109-8eff758a1d8b_Method">
    <vt:lpwstr>Standard</vt:lpwstr>
  </property>
  <property fmtid="{D5CDD505-2E9C-101B-9397-08002B2CF9AE}" pid="6" name="MSIP_Label_b22f7043-6caf-4431-9109-8eff758a1d8b_Name">
    <vt:lpwstr>Intern (DSS)</vt:lpwstr>
  </property>
  <property fmtid="{D5CDD505-2E9C-101B-9397-08002B2CF9AE}" pid="7" name="MSIP_Label_b22f7043-6caf-4431-9109-8eff758a1d8b_SiteId">
    <vt:lpwstr>f696e186-1c3b-44cd-bf76-5ace0e7007bd</vt:lpwstr>
  </property>
  <property fmtid="{D5CDD505-2E9C-101B-9397-08002B2CF9AE}" pid="8" name="MSIP_Label_b22f7043-6caf-4431-9109-8eff758a1d8b_ActionId">
    <vt:lpwstr>4e16d1eb-b1d0-4be1-9419-ebef1e5cafce</vt:lpwstr>
  </property>
  <property fmtid="{D5CDD505-2E9C-101B-9397-08002B2CF9AE}" pid="9" name="MSIP_Label_b22f7043-6caf-4431-9109-8eff758a1d8b_ContentBits">
    <vt:lpwstr>0</vt:lpwstr>
  </property>
  <property fmtid="{D5CDD505-2E9C-101B-9397-08002B2CF9AE}" pid="10" name="MSIP_Label_b22f7043-6caf-4431-9109-8eff758a1d8b_Tag">
    <vt:lpwstr>10, 3, 0, 1</vt:lpwstr>
  </property>
</Properties>
</file>