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DF7488" w14:textId="0C19CAEC" w:rsidR="00B334C6" w:rsidRPr="00B334C6" w:rsidRDefault="00B334C6" w:rsidP="00B334C6">
      <w:pPr>
        <w:pStyle w:val="PublTittel"/>
      </w:pPr>
      <w:r w:rsidRPr="00BA4E46">
        <w:t>Nasjonal kontroll med</w:t>
      </w:r>
      <w:r>
        <w:t xml:space="preserve"> </w:t>
      </w:r>
      <w:r w:rsidRPr="00BA4E46">
        <w:t>kritisk digital kommunikasjonsinfrastruktur</w:t>
      </w:r>
      <w:r>
        <w:t xml:space="preserve"> </w:t>
      </w:r>
      <w:r w:rsidRPr="00BA4E46">
        <w:t>– målbilde og</w:t>
      </w:r>
      <w:r>
        <w:t xml:space="preserve"> v</w:t>
      </w:r>
      <w:r w:rsidRPr="00BA4E46">
        <w:t>irkemidler</w:t>
      </w:r>
    </w:p>
    <w:p w14:paraId="319A9A07" w14:textId="4E504BDA" w:rsidR="00BA4E46" w:rsidRPr="004045C7" w:rsidRDefault="00BA4E46" w:rsidP="00BA4E46">
      <w:pPr>
        <w:pStyle w:val="Undertittel"/>
        <w:rPr>
          <w:b w:val="0"/>
          <w:bCs/>
        </w:rPr>
      </w:pPr>
      <w:r w:rsidRPr="004045C7">
        <w:rPr>
          <w:b w:val="0"/>
          <w:bCs/>
        </w:rPr>
        <w:t>E</w:t>
      </w:r>
      <w:r w:rsidR="00B334C6" w:rsidRPr="004045C7">
        <w:rPr>
          <w:b w:val="0"/>
          <w:bCs/>
        </w:rPr>
        <w:t xml:space="preserve">kspertutvalget for nasjonal kontroll med kritisk digital kommunikasjonsinfrastruktur – </w:t>
      </w:r>
      <w:r w:rsidR="00B334C6">
        <w:rPr>
          <w:b w:val="0"/>
          <w:bCs/>
        </w:rPr>
        <w:t>E</w:t>
      </w:r>
      <w:r w:rsidR="00B334C6" w:rsidRPr="004045C7">
        <w:rPr>
          <w:b w:val="0"/>
          <w:bCs/>
        </w:rPr>
        <w:t>komsikkerhetsutvalget</w:t>
      </w:r>
    </w:p>
    <w:p w14:paraId="6B479C75" w14:textId="62D95347" w:rsidR="009E110A" w:rsidRDefault="004B4E04" w:rsidP="005342B1">
      <w:r>
        <w:rPr>
          <w:noProof/>
        </w:rPr>
        <w:drawing>
          <wp:inline distT="0" distB="0" distL="0" distR="0" wp14:anchorId="7B0E52E9" wp14:editId="2EF5A6A0">
            <wp:extent cx="3657600" cy="2581275"/>
            <wp:effectExtent l="0" t="0" r="0" b="0"/>
            <wp:docPr id="1" name="Bilde 38" descr="Bilde av en montør som klatrer i en telefonstolpe mens han trekker en kabel opp i stol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38" descr="Bilde av en montør som klatrer i en telefonstolpe mens han trekker en kabel opp i stolp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6E239F64" w14:textId="3D970E55" w:rsidR="004B1A63" w:rsidRDefault="004B1A63" w:rsidP="00B334C6">
      <w:pPr>
        <w:pStyle w:val="del-tittel"/>
        <w:rPr>
          <w:rStyle w:val="Hyperkobling"/>
          <w:i w:val="0"/>
          <w:iCs w:val="0"/>
          <w:color w:val="000000"/>
          <w:u w:val="none"/>
        </w:rPr>
      </w:pPr>
      <w:r>
        <w:rPr>
          <w:rStyle w:val="Hyperkobling"/>
          <w:color w:val="000000"/>
          <w:u w:val="none"/>
        </w:rPr>
        <w:t>DEL I</w:t>
      </w:r>
      <w:r>
        <w:rPr>
          <w:rStyle w:val="Hyperkobling"/>
          <w:color w:val="000000"/>
          <w:u w:val="none"/>
        </w:rPr>
        <w:tab/>
        <w:t>Innledning</w:t>
      </w:r>
    </w:p>
    <w:p w14:paraId="3970F9EC" w14:textId="36421070" w:rsidR="009E110A" w:rsidRPr="009E110A" w:rsidRDefault="004B4E04" w:rsidP="009E110A">
      <w:r>
        <w:rPr>
          <w:noProof/>
        </w:rPr>
        <w:drawing>
          <wp:inline distT="0" distB="0" distL="0" distR="0" wp14:anchorId="6DFD0231" wp14:editId="0B90F83B">
            <wp:extent cx="3657600" cy="2581275"/>
            <wp:effectExtent l="0" t="0" r="0" b="0"/>
            <wp:docPr id="2" name="Bilde 37" descr="Oversiktsbilde av et mobiltårn omgitt av skog på Odderøya i Kristian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37" descr="Oversiktsbilde av et mobiltårn omgitt av skog på Odderøya i Kristiansan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67A6C107" w14:textId="77777777" w:rsidR="004B1A63" w:rsidRDefault="004B1A63" w:rsidP="006F4031">
      <w:pPr>
        <w:pStyle w:val="Overskrift1"/>
      </w:pPr>
      <w:r>
        <w:lastRenderedPageBreak/>
        <w:t>Sammendrag</w:t>
      </w:r>
    </w:p>
    <w:p w14:paraId="16A23027" w14:textId="09A601FB" w:rsidR="009E110A" w:rsidRPr="009E110A" w:rsidRDefault="004B4E04" w:rsidP="009E110A">
      <w:r>
        <w:rPr>
          <w:noProof/>
        </w:rPr>
        <w:drawing>
          <wp:inline distT="0" distB="0" distL="0" distR="0" wp14:anchorId="06AA3F54" wp14:editId="26C22F77">
            <wp:extent cx="3657600" cy="2581275"/>
            <wp:effectExtent l="0" t="0" r="0" b="0"/>
            <wp:docPr id="3" name="Bilde 36" descr="Naturbilde tatt på nattestid med sterk belysning fra begynnelse som ligger langs kystlinje og en himmel som også lyses opp av Nordl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6" descr="Naturbilde tatt på nattestid med sterk belysning fra begynnelse som ligger langs kystlinje og en himmel som også lyses opp av Nordly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03481392" w14:textId="77777777" w:rsidR="004B1A63" w:rsidRDefault="004B1A63" w:rsidP="00BA4E46">
      <w:r>
        <w:t>De aller fleste samfunnsfunksjoner av betydning for nasjonal sikkerhet og samfunnssikkerhet er avhengige av velfungerende digital kommunikasjon. De infrastrukturene som muliggjør slik digital kommunikasjon er spesielt kritiske, fordi konsekvensene dersom de ikke fungerer som forutsatt, er omfattende. Det er derfor viktig at staten har nødvendig grad av nasjonal kontroll med hvordan kritisk digital kommunikasjonsinfrastruktur utvikles, driftes og vedlikeholdes. Denne kontrollen må brukes til å sikre og beskytte kritiske digitale kommunikasjonstjenester gjennom hele krisespennet fra fred til krise og krig.</w:t>
      </w:r>
    </w:p>
    <w:p w14:paraId="7F237C56" w14:textId="32704641" w:rsidR="004B1A63" w:rsidRDefault="004B1A63">
      <w:r>
        <w:t>Krisespennet har blitt langt mer relevant i spørsmål knyttet til nasjonal kontroll enn hva som var tilfelle for bare få år siden. Russland sin fullskalainvasjon av Ukraina har ført til at norske myndigheter med større alvor må tenke igjennom hva den øvre delen av krisespennet krever av tiltak. Internasjonale spenninger øker behovet for kontroll over kritisk teknologi og kritisk digital infrastruktur, noe som er tydeliggjort i Totalberedskapskommisjonens</w:t>
      </w:r>
      <w:r w:rsidR="00015951" w:rsidRPr="00015951">
        <w:rPr>
          <w:rStyle w:val="Fotnotereferanse"/>
        </w:rPr>
        <w:footnoteReference w:id="1"/>
      </w:r>
      <w:r w:rsidR="008C76FB">
        <w:t xml:space="preserve"> </w:t>
      </w:r>
      <w:r>
        <w:t>rapport, og i den etterfølgende Totalberedskapsmeldingen</w:t>
      </w:r>
      <w:r w:rsidR="00015951" w:rsidRPr="00015951">
        <w:rPr>
          <w:rStyle w:val="Fotnotereferanse"/>
        </w:rPr>
        <w:footnoteReference w:id="2"/>
      </w:r>
      <w:r>
        <w:t>. Hos våre samarbeidspartnere EU og USA har det de siste årene blitt gjort mye for å styrke kontrollen og sikkerheten, særlig med utenlandske investeringer og viktige verdikjeder. Dette utvalgsarbeidet inngår derfor i en internasjonal trend for økt nasjonal kontroll med kritiske innsatsfaktorer.</w:t>
      </w:r>
    </w:p>
    <w:p w14:paraId="0F65E735" w14:textId="77777777" w:rsidR="004B1A63" w:rsidRDefault="004B1A63">
      <w:r>
        <w:t>Utvalget har sett på digital kommunikasjonsinfrastruktur som er viktig for statssikkerheten, har betydning for samfunnssikkerheten og som bærer tjenester som har høy betydning for kritiske samfunnsfunksjoner. Sikkerhetsloven gir hjemler som understøtter nasjonal kontroll innenfor deler av dette spennet, herunder eierskapskontroll, men utvalgets arbeid har omfattet et bredere spekter enn lovens nåværende rekkevidde. Utvalgets rapport må tolkes i lys av denne brede tilnærmingen.</w:t>
      </w:r>
    </w:p>
    <w:p w14:paraId="53639F50" w14:textId="77777777" w:rsidR="004B1A63" w:rsidRDefault="004B1A63">
      <w:r>
        <w:lastRenderedPageBreak/>
        <w:t>I utvalgets kartlegging av dagens situasjon knyttet til eierskap av kritisk digital infrastruktur, er det ikke avdekket eierforhold som i seg selv fremstår som spesielt problematiske. Riktignok er utenlandsk eierskap svært utbredt, men eierskapet er i all hovedsak knyttet til land vi har et sikkerhetspolitisk samarbeid med. Videre er det stor transparens i eierforholdene i den forstand at eierskap kan spores direkte tilbake til norsk eierskap eller kjent utenlandsk offentlig eller privat eierskap. Likevel er det slik at eierskapstransaksjoner knyttet til kritisk digital infrastruktur påvirker statens kontroll med de samme infrastrukturene. Slike transaksjoner kan i noen sammenhenger gi en betydelig fordel ved at kapital blir gjort tilgjengelig for videreutvikling av den norske infrastrukturen. De er på den måten ønsket. Samtidig kan slike transaksjoner også utfordre statens mulighet til å ha nasjonal kontroll med kritisk digital kommunikasjonsinfrastruktur.</w:t>
      </w:r>
    </w:p>
    <w:p w14:paraId="2FE3AFB5" w14:textId="77777777" w:rsidR="004B1A63" w:rsidRDefault="004B1A63">
      <w:pPr>
        <w:rPr>
          <w:spacing w:val="-2"/>
        </w:rPr>
      </w:pPr>
      <w:r>
        <w:t xml:space="preserve">Eierskapstransaksjoner er imidlertid bare én type økonomisk aktivitet som kan utfordre </w:t>
      </w:r>
      <w:r>
        <w:rPr>
          <w:spacing w:val="-4"/>
        </w:rPr>
        <w:t xml:space="preserve">nasjonal kontroll. Et annet eksempel kan være at tjenester som er avgjørende for å drifte eller </w:t>
      </w:r>
      <w:r>
        <w:rPr>
          <w:spacing w:val="-2"/>
        </w:rPr>
        <w:t>vedlikeholde kritisk digital kommunikasjonsinfrastruktur, settes ut til utenlandske aktører. Et tredje eksempel kan være avhengighet av arbeidskraft som ikke har tilknytning til landet, slik at man risikerer at arbeidskraften ikke er tilgjengelig under en internasjonal krise.</w:t>
      </w:r>
    </w:p>
    <w:p w14:paraId="4CD87EF5" w14:textId="77777777" w:rsidR="004B1A63" w:rsidRDefault="004B1A63">
      <w:r>
        <w:t>Krise- og krigssituasjoner er generelt svært uforutsigbare i sin natur. Tilgang til innsatsfaktorer som deles selv mellom nære geografiske og allierte land kan bli vanskeliggjort dersom innsatsfaktorene kun er dimensjonert for fredstid. Utvalget mener derfor at staten bør ha oppmerksomhet både på å identifisere direkte sikkerhetstruende økonomiske aktiviteter, og på virkningen av økonomiske aktiviteter som ikke anses å være direkte sikkerhetstruende, men som utilsiktet kan få en kontrollsvekkende effekt i en internasjonal krisesituasjon.</w:t>
      </w:r>
    </w:p>
    <w:p w14:paraId="288B4C6E" w14:textId="77777777" w:rsidR="004B1A63" w:rsidRDefault="004B1A63">
      <w:r>
        <w:t>En særlig kategori av utfordringer for nasjonal kontroll er knyttet til avhengighet til digitale infrastrukturer som på grunn av sin funksjon helt eller delvis befinner seg utenfor Norges grenser. Et eksempel er satellittbaserte systemer som blant annet benyttes til tidssynkronisering av kommunikasjonsnett. Mange slike internasjonale strukturer inngår som en integrert del av vår nasjonale kritiske digitale kommunikasjonsinfrastruktur. For slike strukturer må norske interesser ivaretas gjennom deltakelse og innflytelse i internasjonalt samarbeid. Nasjonal kontroll handler derfor langt på vei også om internasjonalt samarbeid.</w:t>
      </w:r>
    </w:p>
    <w:p w14:paraId="02FFE01F" w14:textId="77777777" w:rsidR="004B1A63" w:rsidRDefault="004B1A63">
      <w:r>
        <w:t>I dialogen med aktørene har det kommet fram et ønske om økt nordisk samarbeid på sikkerhetsområdet. Utvalget mener at det er viktig å benytte de nordiske landenes samlede ressurser på best mulig måte. Samarbeid mellom myndighetene i de nordiske landene kan styrke situasjonen for ekomtilbydere knyttet til teknologisk utvikling, tilgang på personell og økende krav til robusthet i infrastrukturen.</w:t>
      </w:r>
    </w:p>
    <w:p w14:paraId="2D45B5AB" w14:textId="77777777" w:rsidR="004B1A63" w:rsidRDefault="004B1A63">
      <w:r>
        <w:t>Etter utvalgets syn gir det ikke mening å gi en statisk tilstandsbeskrivelse av hva som er nødvendig nasjonal kontroll med kritisk digital infrastruktur. Endringshastigheten i de digitale infrastrukturene i seg selv, hvordan de blir brukt og hva de blir brukt til, er for stor til at en slik beskrivelse vil gi mening over tid. Likeledes vil endringer i selskapsstrukturer føre til at de mekanismene som gir nasjonal kontroll over hver enkelt infrastruktur også vil kunne endres over tid.</w:t>
      </w:r>
    </w:p>
    <w:p w14:paraId="665721A2" w14:textId="77777777" w:rsidR="004B1A63" w:rsidRDefault="004B1A63">
      <w:r>
        <w:lastRenderedPageBreak/>
        <w:t>Utvalget har derfor konsentrert seg om å foreslå tiltak knyttet til hvordan staten bør innrette sitt kontinuerlige arbeid med å opparbeide og opprettholde nødvendig nasjonal kontroll med kritisk digital infrastruktur. Disse tiltakene er i noen grad generiske og ikke direkte knyttet til egenskaper ved kritisk digital infrastruktur. De kan derfor vurderes til å ha overføringsverdi også til andre sektorer.</w:t>
      </w:r>
    </w:p>
    <w:p w14:paraId="37B243C1" w14:textId="77777777" w:rsidR="004B1A63" w:rsidRDefault="004B1A63">
      <w:r>
        <w:t>Et nødvendig utgangspunkt for et slikt kontinuerlig arbeid er en presis definisjon av begrepet nasjonal kontroll. Utvalget har lagt følgende definisjon til grunn for sine forslag til tiltak:</w:t>
      </w:r>
    </w:p>
    <w:p w14:paraId="4CDE1F46" w14:textId="77777777" w:rsidR="004B1A63" w:rsidRDefault="004B1A63">
      <w:r>
        <w:t>Nasjonal kontroll innebærer at staten, knyttet til kritisk digital kommunikasjonsinfrastruktur, har</w:t>
      </w:r>
    </w:p>
    <w:p w14:paraId="0062AA4F" w14:textId="2341289C" w:rsidR="004B1A63" w:rsidRDefault="004B1A63">
      <w:pPr>
        <w:pStyle w:val="Nummerertliste"/>
      </w:pPr>
      <w:r w:rsidRPr="00015951">
        <w:rPr>
          <w:rStyle w:val="halvfet"/>
        </w:rPr>
        <w:t>styringsevne</w:t>
      </w:r>
      <w:r>
        <w:t xml:space="preserve"> til å ta effektive beslutninger gjennom for eksempel regulering, eierskap eller avtaler</w:t>
      </w:r>
    </w:p>
    <w:p w14:paraId="642C3F10" w14:textId="745A3E04" w:rsidR="004B1A63" w:rsidRDefault="004B1A63">
      <w:pPr>
        <w:pStyle w:val="Nummerertliste"/>
      </w:pPr>
      <w:r w:rsidRPr="00015951">
        <w:rPr>
          <w:rStyle w:val="halvfet"/>
        </w:rPr>
        <w:t>handlefrihet</w:t>
      </w:r>
      <w:r>
        <w:t xml:space="preserve"> til å gjennomføre beslutningene mest mulig uavhengig av utenlandske aktører og innsatsfaktorer.</w:t>
      </w:r>
    </w:p>
    <w:p w14:paraId="107C22A8" w14:textId="77777777" w:rsidR="004B1A63" w:rsidRDefault="004B1A63">
      <w:r>
        <w:t>Nedenfor gis en kort gjennomgang av de mest sentrale tiltakene som utvalget foreslår. Utvalget vil presisere at det å etablere nødvendig nasjonal kontroll, og å forvalte denne kontrollen, er et langsiktig arbeid som krever proaktiv handling. Når en krise-, konflikt- eller krigssituasjon oppstår, må den nødvendige nasjonale styringsevnen og handlefriheten allerede være etablert.</w:t>
      </w:r>
    </w:p>
    <w:p w14:paraId="054A40BB" w14:textId="77777777" w:rsidR="004B1A63" w:rsidRDefault="004B1A63">
      <w:pPr>
        <w:pStyle w:val="Overskrift2"/>
        <w:spacing w:before="624"/>
      </w:pPr>
      <w:r>
        <w:t>Et kontinuerlig arbeid for å etablere og vedlikeholde et målbilde av nasjonal kontroll med kritisk digital infrastruktur</w:t>
      </w:r>
    </w:p>
    <w:p w14:paraId="0CA1F42B" w14:textId="527972BE" w:rsidR="004B1A63" w:rsidRDefault="004B1A63" w:rsidP="006F4031">
      <w:r>
        <w:rPr>
          <w:spacing w:val="-2"/>
        </w:rPr>
        <w:t xml:space="preserve">Utvalget har identifisert at det ikke finnes noen enhetlig definisjon eller samlet organisert oversikt over hva som utgjør kritisk digital infrastruktur som er av betydning for nasjonal sikkerhet eller for samfunnssikkerhet. Dette kan forklares ved at det er et dynamisk bilde som stadig endrer seg. I relevante departementer og underliggende etater, foreligger det samlet sett mye informasjon om infrastruktur, kritikalitet, eierforhold og så videre. Likevel er det etter utvalgets syn vanskelig å arbeide systematisk med nasjonal kontroll over kritisk digital infrastruktur, uten at det foreligger en omforent forståelse av hva infrastrukturen består av og hvem som kontrollerer den. Utvalget foreslår derfor at Digitaliserings- og forvaltningsdepartementet (DFD) definerer og vedlikeholder en helhetlig oversikt over kritisk digital kommunikasjonsinfrastruktur og selskapene som eier denne. Dette arbeidet kan integreres som del av departementets arbeid med å identifisere og holde vedlikeholde oversikt over virksomheter i henhold til sikkerhetsloven </w:t>
      </w:r>
      <w:r w:rsidR="00015951">
        <w:rPr>
          <w:spacing w:val="-2"/>
        </w:rPr>
        <w:t>§ </w:t>
      </w:r>
      <w:r w:rsidR="00015951">
        <w:rPr>
          <w:spacing w:val="-2"/>
        </w:rPr>
        <w:t>2</w:t>
      </w:r>
      <w:r>
        <w:rPr>
          <w:spacing w:val="-2"/>
        </w:rPr>
        <w:t>-1.</w:t>
      </w:r>
    </w:p>
    <w:p w14:paraId="3C20CBDF" w14:textId="77777777" w:rsidR="004B1A63" w:rsidRDefault="004B1A63">
      <w:pPr>
        <w:rPr>
          <w:spacing w:val="-6"/>
        </w:rPr>
      </w:pPr>
      <w:r>
        <w:rPr>
          <w:spacing w:val="-2"/>
        </w:rPr>
        <w:t xml:space="preserve">Det er også avgjørende at sektormyndighetene har tilgang til nødvendig informasjon om hvem som eier eller kontrollerer kritisk digital infrastruktur. Finansdepartementet (FIN) bør derfor utrede muligheten for større åpenhet i register over reelle rettighetshavere slik at </w:t>
      </w:r>
      <w:r>
        <w:rPr>
          <w:spacing w:val="-6"/>
        </w:rPr>
        <w:t>departementer med sektoransvar etter sikkerhetsloven får tilgang til informasjon fra registeret.</w:t>
      </w:r>
    </w:p>
    <w:p w14:paraId="5139F0F8" w14:textId="77777777" w:rsidR="004B1A63" w:rsidRDefault="004B1A63">
      <w:r>
        <w:t xml:space="preserve">Et kontinuerlig arbeid med nasjonal kontroll vil kreve at det finnes et målbilde over hva staten skal anse som nødvendig nasjonal kontroll med kritisk digital kommunikasjonsinfrastruktur. Dette målbildet må jevnlig vedlikeholdes og oppdateres i tråd med både teknisk og kommersiell utvikling på området. Utvalget mener at DFD bør etablere og vedlikeholde et målbilde for nasjonal kontroll over kritisk </w:t>
      </w:r>
      <w:r>
        <w:lastRenderedPageBreak/>
        <w:t>digital kommunikasjonsinfrastruktur. Målbildet bør omfatte nærmere definerte infrastrukturkategorier og funksjoner, og beskrive statens behov for styringsevne og handlefrihet i fred, krise og krig, innenfor disse kategoriene. Utvalget beskriver i kapittel 11 hvordan målbildet kan struktureres, og gir et eksempel på hvordan et målbilde kan formuleres i form av styringsevne og handlefrihet for en kategori av digital infrastruktur.</w:t>
      </w:r>
    </w:p>
    <w:p w14:paraId="36DE3475" w14:textId="77777777" w:rsidR="004B1A63" w:rsidRDefault="004B1A63">
      <w:r>
        <w:t>Et målbilde vil danne utgangspunkt for å vurdere nåsituasjonen, og et grunnlag for å vurdere om situasjonen er av en slik art at staten må kompensere med tiltak. Slike vurderinger må gjøres jevnlig i tråd med endringer i tekniske og organisasjonsmessige forhold. Utvalget mener derfor at DFD må sikre at det utvikles og løpende vedlikeholdes en analyse av nasjonal kontroll over alle kategorier av kritisk digital kommunikasjonsinfrastruktur. Dette innebærer å vurdere i hvilken grad statens tilgjengelige virkemidler gir den nødvendige styringsevne og handlefrihet som er definert i målbildet for den aktuelle kategorien av infrastrukturer. Slike analyser vil identifisere mulige gap mellom målbildet og realitetene. Utvalget mener at staten ved DFD må arbeide proaktivt med å identifisere gapene og risikoen med dem, planlegge og gjennomføre tiltak for å lukke gapene eller eventuelt akseptere risikoen.</w:t>
      </w:r>
    </w:p>
    <w:p w14:paraId="058F4898" w14:textId="77777777" w:rsidR="004B1A63" w:rsidRDefault="004B1A63">
      <w:r>
        <w:t>Utvalget ser et tydelig samsvar mellom det proaktive arbeidet som må gjøres for å identifisere og redusere gap mellom målbildet og realitetene, og det arbeidet som må gjøres for å håndtere potensielt kontrollsvekkende endringer i sektoren. Når eksempelvis en eierandel i et selskap som kontrollerer kritisk infrastruktur vurderes solgt til utlandet, vil DFD måtte analysere hva situasjonen vil være etter et mulig salg, opp mot det etablerte målbildet for nasjonal kontroll. En slik analyse vil tydeliggjøre i hvilken grad salget kan svekke den ønskede styringsevnen eller handlefriheten. Om svekkelsen er vesentlig kan avbøtende tiltak identifiseres gjennom analysen, eller salget kan stanses i tilfeller der lovverket åpner for dette. Det kontinuerlige arbeidet med å vedlikeholde et bilde av vår nasjonale kontroll med kritisk digital kommunikasjonsinfrastruktur, vil således også sette myndighetene bedre i stand til å vurdere de mest egnede tiltakene i slike situasjoner.</w:t>
      </w:r>
    </w:p>
    <w:p w14:paraId="64E0ABC2" w14:textId="77777777" w:rsidR="004B1A63" w:rsidRDefault="004B1A63">
      <w:pPr>
        <w:pStyle w:val="Overskrift2"/>
        <w:spacing w:before="624"/>
      </w:pPr>
      <w:r>
        <w:t>Tiltak som setter myndighetene bedre i stand til å identifisere situasjoner som potensielt kan svekke nasjonal kontroll</w:t>
      </w:r>
    </w:p>
    <w:p w14:paraId="1A2A28B1" w14:textId="77777777" w:rsidR="004B1A63" w:rsidRDefault="004B1A63" w:rsidP="006F4031">
      <w:r>
        <w:t>Den omfattende dynamikken i sektoren for elektronisk kommunikasjon gjør at det ofte oppstår teknologiske eller markedsmessige endringer som kan påvirke den nasjonale kontrollen, og der myndighetene må vurdere hvorvidt det er nødvendig å gripe inn med tiltak. Dette kan være situasjoner der en eierandel i et selskap som kontrollerer kritisk digital kommunikasjonsinfrastruktur, skal selges til utenlandske aktører, eller der sentrale kontrakter for utvikling, drift og vedlikehold av kritisk digital infrastruktur skal inngås. I slike situasjoner er det avgjørende at informasjon om den forestående hendelsen når frem til de relevante myndigheter tidsnok. Dette krever et regelverk som sikrer rettidig informasjon til myndighetene. Kravene til eierskapskontroll i sikkerhetsloven er et eksempel på dette. Utvalget mener i tillegg at DFD bør avklare om det sektorspesifikke regelverket er i stand til å også identifisere andre typer situasjoner der man står overfor kontrollsvekkende aktivitet i ekomsektoren.</w:t>
      </w:r>
    </w:p>
    <w:p w14:paraId="5E67C166" w14:textId="77777777" w:rsidR="004B1A63" w:rsidRDefault="004B1A63">
      <w:r>
        <w:lastRenderedPageBreak/>
        <w:t>En egenart ved ekomsektoren er at de anvendelsene som underbygger kritikaliteten til infrastrukturene ofte avhenger av innsatsfaktorer som ligger utenfor norsk jurisdiksjon. Utvalget observerer at selv om hver enkeltstående avhengighet isolert sett kan være uproblematisk, kan de samlet sett utgjøre et uønsket tap av nasjonal kontroll. For installasjoner og anvendelser som er avhengige av tilgang til infrastrukturer utenfor Norge, vil dette kunne være kritisk, særlig i den høye enden av krisespennet. Utvalget mener derfor at DFD bør vedlikeholde et faktagrunnlag knyttet til nasjonale avhengigheter av utenlandske innsatsfaktorer. Dette faktagrunnlaget bør danne basis for utvikling og vedlikehold av målbilde og virkemidler for nasjonal kontroll, herunder hvordan nasjonale beredskapstiltak og internasjonale beredskapsavtaler kan kompensere for kritiske avhengigheter til infrastruktur og innsatsfaktorer som ligger utenfor norsk jurisdiksjon.</w:t>
      </w:r>
    </w:p>
    <w:p w14:paraId="4D73619C" w14:textId="77777777" w:rsidR="004B1A63" w:rsidRDefault="004B1A63">
      <w:pPr>
        <w:pStyle w:val="Overskrift2"/>
        <w:spacing w:before="431"/>
      </w:pPr>
      <w:r>
        <w:t>Tiltak som bedrer nåsituasjonen knyttet til nasjonal kontroll</w:t>
      </w:r>
    </w:p>
    <w:p w14:paraId="50415417" w14:textId="599A6F63" w:rsidR="00015951" w:rsidRDefault="004B1A63" w:rsidP="006F4031">
      <w:r>
        <w:t xml:space="preserve">I eierskapsmeldingen fra 2022 angir Nærings- og fiskeridepartementet (NFD) seks ulike begrunnelser for statlig eierskap i selskaper, hvorav ett er </w:t>
      </w:r>
      <w:r w:rsidR="00015951">
        <w:t>«</w:t>
      </w:r>
      <w:r>
        <w:t>Samfunnssikkerhet og beredskap</w:t>
      </w:r>
      <w:r w:rsidR="00015951">
        <w:t>»</w:t>
      </w:r>
      <w:r>
        <w:t>. Denne begrunnelsen benyttes for flere av statens eierskap i selskaper som eier kritisk digital kommunikasjonsinfrastruktur. Eierskap i selskaper fremstår språklig sett som et svært sterkt virkemiddel for nasjonal kontroll med slike strukturer. Utvalget har imidlertid en klar oppfatning om at staten ved NFD i forvaltningen av eierskapet bør være tydeligere på hvordan hensynet til samfunnssikkerhet og beredskap veies mot hensynet til avkastning, andre aksjonærer og for eksempel statsstøtteregler.</w:t>
      </w:r>
    </w:p>
    <w:p w14:paraId="381EEB79" w14:textId="7467E176" w:rsidR="004B1A63" w:rsidRDefault="004B1A63">
      <w:r>
        <w:t>Det har over lengre tid pågått et arbeid for å vurdere og forberede opprettelsen av en nasjonal skytjeneste i Norge. I totalberedskapsmeldingen sier regjeringen at de vil planlegge en nasjonal skytjeneste for å sikre økt nasjonal kontroll med kritisk digital infrastruktur, viktige samfunnsfunksjoner og digitale verdier, og de har valgt et konsept for en slik tjeneste. Utvalget ser behov for etablering av nasjonal skyløsning ut fra behovet for nasjonal kontroll, og mener at dette arbeidet bør gis høy prioritet. Det anbefales at Justis- og beredskapsdepartement (JD) tydeliggjør videre ambisjonsnivå og plan, og stiller nødvendige ressurser tilgjengelig for arbeidet.</w:t>
      </w:r>
    </w:p>
    <w:p w14:paraId="153C5E52" w14:textId="77777777" w:rsidR="004B1A63" w:rsidRDefault="004B1A63">
      <w:pPr>
        <w:pStyle w:val="Overskrift2"/>
      </w:pPr>
      <w:r>
        <w:t>Tiltak som sikrer forutsigbarhet for aktørene</w:t>
      </w:r>
    </w:p>
    <w:p w14:paraId="47FB2FB4" w14:textId="77777777" w:rsidR="004B1A63" w:rsidRDefault="004B1A63" w:rsidP="006F4031">
      <w:r>
        <w:t>I dialogen med aktører fra bransjen har utvalget fra flere fått innspill om at statens arbeid med nasjonal kontroll må foregå på en måte som ikke fremstår som uforutsigbar for aktørene. En slik uforutsigbarhet kan i neste instans føre til at aktørene nøler med å initiere økonomisk sunne omstruktureringer, da det er vanskelig å forutse hvordan staten vil reagere. I den grad statens målbilde for nasjonal kontroll blir kommunisert til aktørene, vil et slikt målbilde i seg selv bidra betydelig til øket forutsigbarhet. Det er imidlertid også andre tiltak som vil kunne fremme forutsigbarhet, og som vi omtaler under.</w:t>
      </w:r>
    </w:p>
    <w:p w14:paraId="0A61E3E9" w14:textId="77777777" w:rsidR="004B1A63" w:rsidRDefault="004B1A63">
      <w:r>
        <w:t xml:space="preserve">Når en aktør vurderer erverv av eierandel i et norsk selskap, må man normalt legge til grunn at det er sunne bedriftsøkonomiske vurderinger som ligger bak. Et slikt oppkjøp kan føre til at kapital blir tilgjengelig for videreutvikling av norsk infrastruktur. Derfor bør myndighetenes arbeid for å sikre </w:t>
      </w:r>
      <w:r>
        <w:lastRenderedPageBreak/>
        <w:t>nasjonal kontroll med kritisk digital infrastruktur i så liten grad som mulig forstyrre aktørenes evne og vilje til slike investeringer.</w:t>
      </w:r>
    </w:p>
    <w:p w14:paraId="68711B1D" w14:textId="5E115A4A" w:rsidR="004B1A63" w:rsidRDefault="004B1A63">
      <w:r>
        <w:t xml:space="preserve">Sikkerhetsloven </w:t>
      </w:r>
      <w:r w:rsidR="00015951">
        <w:t>§ </w:t>
      </w:r>
      <w:r w:rsidR="00015951">
        <w:t>1</w:t>
      </w:r>
      <w:r>
        <w:t xml:space="preserve">0-3 gir staten mulighet til å fatte vedtak om stans i erverv av eierandeler i virksomheter dersom nasjonale sikkerhetsinteresser blir truet. Bestemmelsen er et viktig virkemiddel for å sikre nasjonal kontroll med kritisk digital kommunikasjonsinfrastruktur. Utvalget merker seg imidlertid at det er juridisk uenighet om hvorvidt bestemmelsen står seg mot de forpliktelsene Norge har i henhold til EØS-avtalen. JD bør derfor klarlegge om sikkerhetsloven </w:t>
      </w:r>
      <w:r w:rsidR="00015951">
        <w:t>§ </w:t>
      </w:r>
      <w:r w:rsidR="00015951">
        <w:t>1</w:t>
      </w:r>
      <w:r>
        <w:t>0-3 kan være i strid med EØS-avtalens forpliktelser.</w:t>
      </w:r>
    </w:p>
    <w:p w14:paraId="562A0D96" w14:textId="77777777" w:rsidR="004B1A63" w:rsidRPr="004B1A63" w:rsidRDefault="004B1A63" w:rsidP="004B1A63">
      <w:r w:rsidRPr="004B1A63">
        <w:t>Dersom vi ønsker tilgang til utenlandsk kapital til norsk digital kommunikasjonsinfrastruktur, vil det være viktig at Norge fremstår som et forutsigbart og gjenkjennelig marked for potensielle investorer. Det arbeidet som skal gjøres i Norge for å sikre nasjonal kontroll over virksomheter som forvalter kritisk digital kommunikasjonsinfrastruktur bør derfor gjøres tett harmonisert med hva sammenlignbare land gjør på området. DFD og JD bør i den utstrekning det er mulig og relevant se til at Norge gjennomfører EØS-relevant regelverk knyttet til digital kommunikasjonsinfrastruktur. Nytt regelverk bør innføres i så nær tid som mulig med tilsvarende regulering i EU.</w:t>
      </w:r>
    </w:p>
    <w:p w14:paraId="26581C78" w14:textId="77777777" w:rsidR="004B1A63" w:rsidRDefault="004B1A63">
      <w:pPr>
        <w:pStyle w:val="Overskrift2"/>
      </w:pPr>
      <w:r>
        <w:t>Rapportens oppbygging</w:t>
      </w:r>
    </w:p>
    <w:p w14:paraId="496833DD" w14:textId="77777777" w:rsidR="00015951" w:rsidRDefault="004B1A63" w:rsidP="006F4031">
      <w:r>
        <w:t>Utvalget har skrevet en omfattende rapport som omhandler mange aspekter av problemstillingen nasjonal kontroll med digital kommunikasjonsinfrastruktur. Rapporten er delt opp i fire hoveddeler. Nedenfor i del I redegjøres det nærmere for utvalgets mandat og sammensetning. Del II inneholder beskrivende kapitler som utgjør bakgrunnsfakta for utvalgets diskusjoner og forslag til tiltak. Del III er dedikert til det virkemiddelapparatet staten rår over, og som er relevant for å forstå statens kontroll med kritisk digital infrastruktur. Del IV gir en nærmere beskrivelse av på hvilken måte staten bør arbeide systematisk og målrettet med nasjonal kontroll, kritikalitet til infrastruktur utenfor norsk jurisdiksjon, samt beskrivelse av økonomiske og administrative konsekvenser for de tiltakene utvalget foreslår. En samlet oversikt over utvalgets forslag til tiltak er inntatt i vedlegg 1.</w:t>
      </w:r>
    </w:p>
    <w:p w14:paraId="11C95387" w14:textId="7543E9AB" w:rsidR="004B1A63" w:rsidRDefault="004B1A63" w:rsidP="008C76FB">
      <w:pPr>
        <w:pStyle w:val="Overskrift1"/>
      </w:pPr>
      <w:r>
        <w:t>Utvalgets mandat, sammensetning og arbeid</w:t>
      </w:r>
    </w:p>
    <w:p w14:paraId="59180724" w14:textId="0DE586FF" w:rsidR="0016021B" w:rsidRPr="0016021B" w:rsidRDefault="004B4E04" w:rsidP="0016021B">
      <w:r>
        <w:rPr>
          <w:noProof/>
        </w:rPr>
        <w:drawing>
          <wp:inline distT="0" distB="0" distL="0" distR="0" wp14:anchorId="1251B3EC" wp14:editId="6465EBD3">
            <wp:extent cx="3657600" cy="2581275"/>
            <wp:effectExtent l="0" t="0" r="0" b="0"/>
            <wp:docPr id="4" name="Bilde 35" descr="Bilde av en person som skriver på et tastatur til en bærbar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35" descr="Bilde av en person som skriver på et tastatur til en bærbar P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73962F37" w14:textId="77777777" w:rsidR="004B1A63" w:rsidRDefault="004B1A63">
      <w:pPr>
        <w:pStyle w:val="Overskrift2"/>
      </w:pPr>
      <w:r>
        <w:lastRenderedPageBreak/>
        <w:t>Utvalgets oppnevning og sammensetning</w:t>
      </w:r>
    </w:p>
    <w:p w14:paraId="639E54A1" w14:textId="77777777" w:rsidR="004B1A63" w:rsidRDefault="004B1A63" w:rsidP="006F4031">
      <w:r>
        <w:t>Utvalget ble oppnevnt av regjeringen i januar 2024 med oppdrag om å gi konkrete forslag til hvordan staten kan ivareta nasjonal kontroll med kritisk digital kommunikasjonsinfrastruktur.</w:t>
      </w:r>
    </w:p>
    <w:p w14:paraId="4C2183DF" w14:textId="77777777" w:rsidR="004B1A63" w:rsidRDefault="004B1A63">
      <w:r>
        <w:t>Utvalget har bestått av ni medlemmer, sammensatt av et bredt utvalg av eksperter fra akademia og privat og offentlig sektor:</w:t>
      </w:r>
    </w:p>
    <w:p w14:paraId="3CCCE49E" w14:textId="0C618909" w:rsidR="004B1A63" w:rsidRDefault="004B1A63">
      <w:pPr>
        <w:pStyle w:val="Liste"/>
      </w:pPr>
      <w:r>
        <w:t>Olav Lysne (leder). Direktør for Simula Metropolitan Center for Digital Engineering (SimulaMet) og professor ved OsloMet.</w:t>
      </w:r>
    </w:p>
    <w:p w14:paraId="1B6B5CBD" w14:textId="768EC083" w:rsidR="004B1A63" w:rsidRDefault="004B1A63">
      <w:pPr>
        <w:pStyle w:val="Liste"/>
      </w:pPr>
      <w:r>
        <w:t>Alexander Iversen. Sjefkonsulent for digital sikkerhet i DNV Cyber, DNV AS.</w:t>
      </w:r>
    </w:p>
    <w:p w14:paraId="00D18240" w14:textId="07EB98A2" w:rsidR="004B1A63" w:rsidRPr="005342B1" w:rsidRDefault="004B1A63">
      <w:pPr>
        <w:pStyle w:val="Liste"/>
        <w:rPr>
          <w:lang w:val="nn-NO"/>
        </w:rPr>
      </w:pPr>
      <w:r w:rsidRPr="005342B1">
        <w:rPr>
          <w:lang w:val="nn-NO"/>
        </w:rPr>
        <w:t>Anna Grinaker. Direktør for finansiell infrastruktur i Norges Bank.</w:t>
      </w:r>
    </w:p>
    <w:p w14:paraId="007E7E96" w14:textId="02584364" w:rsidR="004B1A63" w:rsidRDefault="004B1A63">
      <w:pPr>
        <w:pStyle w:val="Liste"/>
      </w:pPr>
      <w:r>
        <w:t>Bente Hoff. Avdelingsdirektør i Nasjonal sikkerhetsmyndighet.</w:t>
      </w:r>
    </w:p>
    <w:p w14:paraId="0FCAEFDA" w14:textId="0F900C26" w:rsidR="004B1A63" w:rsidRDefault="004B1A63">
      <w:pPr>
        <w:pStyle w:val="Liste"/>
      </w:pPr>
      <w:r>
        <w:t>Hanne Tangen Nilsen. Direktør for Sykehuspartner HF.</w:t>
      </w:r>
    </w:p>
    <w:p w14:paraId="77603560" w14:textId="32A542B7" w:rsidR="004B1A63" w:rsidRDefault="004B1A63">
      <w:pPr>
        <w:pStyle w:val="Liste"/>
      </w:pPr>
      <w:r>
        <w:t>Hilde Walmestad. Leder for kunde og nettdrift i nettselskapet Lede</w:t>
      </w:r>
    </w:p>
    <w:p w14:paraId="40EC97C0" w14:textId="7468D4AD" w:rsidR="004B1A63" w:rsidRDefault="004B1A63">
      <w:pPr>
        <w:pStyle w:val="Liste"/>
      </w:pPr>
      <w:r>
        <w:t>Kenneth Fjell. Professor ved Norges Handelshøyskole</w:t>
      </w:r>
    </w:p>
    <w:p w14:paraId="4F868A53" w14:textId="35D475D0" w:rsidR="004B1A63" w:rsidRDefault="004B1A63">
      <w:pPr>
        <w:pStyle w:val="Liste"/>
      </w:pPr>
      <w:r>
        <w:t>Toril Nag. Seniorpartner i HitecVision.</w:t>
      </w:r>
    </w:p>
    <w:p w14:paraId="7775695E" w14:textId="6B7375D0" w:rsidR="004B1A63" w:rsidRDefault="004B1A63">
      <w:pPr>
        <w:pStyle w:val="Liste"/>
      </w:pPr>
      <w:r>
        <w:t>Camilla Ongre. Seniorrådgiver i Nasjonal kommunikasjonsmyndighet.</w:t>
      </w:r>
    </w:p>
    <w:p w14:paraId="6E582578" w14:textId="77777777" w:rsidR="004B1A63" w:rsidRDefault="004B1A63">
      <w:r>
        <w:t>Camilla Ongre erstattet Pål Wien Espen som medlem i utvalget etter at han gikk av som direktør for Nasjonal kommunikasjonsmyndighet i mars 2024.</w:t>
      </w:r>
    </w:p>
    <w:p w14:paraId="46A26335" w14:textId="77777777" w:rsidR="004B1A63" w:rsidRDefault="004B1A63">
      <w:r>
        <w:t>Utvalgets sekretariat har bestått av følgende personer: Irene Åmot (sekretariatsleder og spesialrådgiver i Nasjonal kommunikasjonsmyndighet), Hans Jørgen Enger (underdirektør i Nasjonal kommunikasjonsmyndighet) og Andreas Løhren (seniorrådgiver i Digitaliserings- og forvaltningsdepartementet).</w:t>
      </w:r>
    </w:p>
    <w:p w14:paraId="5EC4B069" w14:textId="77777777" w:rsidR="004B1A63" w:rsidRDefault="004B1A63">
      <w:pPr>
        <w:pStyle w:val="Overskrift2"/>
      </w:pPr>
      <w:r>
        <w:t>Utvalgets mandat</w:t>
      </w:r>
    </w:p>
    <w:p w14:paraId="3AB082EA" w14:textId="77777777" w:rsidR="004B1A63" w:rsidRPr="00015951" w:rsidRDefault="004B1A63" w:rsidP="00172A10">
      <w:pPr>
        <w:rPr>
          <w:rStyle w:val="halvfet"/>
        </w:rPr>
      </w:pPr>
      <w:r w:rsidRPr="00015951">
        <w:rPr>
          <w:rStyle w:val="halvfet"/>
        </w:rPr>
        <w:t>Mandat for ekspertutvalg</w:t>
      </w:r>
    </w:p>
    <w:p w14:paraId="209B0B86" w14:textId="77777777" w:rsidR="004B1A63" w:rsidRPr="00015951" w:rsidRDefault="004B1A63" w:rsidP="00172A10">
      <w:pPr>
        <w:rPr>
          <w:rStyle w:val="halvfet"/>
        </w:rPr>
      </w:pPr>
      <w:r w:rsidRPr="00015951">
        <w:rPr>
          <w:rStyle w:val="halvfet"/>
        </w:rPr>
        <w:t>Nasjonal kontroll med kritisk digital kommunikasjonsinfrastruktur (ekomsikkerhetsutvalget)</w:t>
      </w:r>
    </w:p>
    <w:p w14:paraId="7715D637" w14:textId="77777777" w:rsidR="004B1A63" w:rsidRDefault="004B1A63">
      <w:pPr>
        <w:pStyle w:val="UnOverskrift3"/>
      </w:pPr>
      <w:r>
        <w:t>1. Sammendrag</w:t>
      </w:r>
    </w:p>
    <w:p w14:paraId="1BC7E136" w14:textId="77777777" w:rsidR="004B1A63" w:rsidRDefault="004B1A63" w:rsidP="006F4031">
      <w:r>
        <w:t>Norge er et av verdens mest digitaliserte land, og alle sektorer er i økende grad avhengig av digitale tjenester. Dette innebærer at den digitale infrastrukturen bærer stadig større verdier og mer kritiske tjenester for det norske samfunnet. Det er et klart budskap i Hurdalsplattformen at regjeringen skal vurdere i hvilke tilfeller staten bør ta eierskap til digital infrastruktur for å sikre disse verdiene. Den skjerpede sikkerhetspolitiske situasjonen i Europa aktualiserer dette ytterligere. Regjeringen setter derfor ned et ekspertutvalg for å vurdere hvordan staten kan ivareta nasjonal kontroll over kritisk digital kommunikasjonsinfrastruktur.</w:t>
      </w:r>
    </w:p>
    <w:p w14:paraId="5E179760" w14:textId="77777777" w:rsidR="004B1A63" w:rsidRDefault="004B1A63">
      <w:r>
        <w:rPr>
          <w:spacing w:val="-2"/>
        </w:rPr>
        <w:t>Utvalget skal på et overordnet nivå identifisere kritisk digital kommunikasjonsinfrastruktur.</w:t>
      </w:r>
      <w:r>
        <w:t xml:space="preserve"> Utvalget skal også identifisere selskaper som eier eller råder over slik infrastruktur og deres bakenforliggende eierforhold. I tillegg skal selskaper som er av avgjørende betydning for utbygging, drift og vedlikehold av infrastrukturen, og deres eiere, identifiseres.</w:t>
      </w:r>
    </w:p>
    <w:p w14:paraId="4A173802" w14:textId="77777777" w:rsidR="004B1A63" w:rsidRDefault="004B1A63">
      <w:r>
        <w:lastRenderedPageBreak/>
        <w:t>Ekspertutvalget skal videre vurdere i hvilken grad dagens regulering og øvrige virkemidler er tilstrekkelig til å ivareta nasjonal kontroll og forsvarlig sikkerhet. Utvalget skal identifisere eventuelle restbehov eller restrisiko, og foreslå løsninger for å redusere denne ytterligere, blant annet gjennom reguleringer, nasjonalt eierskap og andre virkemidler, og hvordan ulike virkemidler i så fall bør innrettes.</w:t>
      </w:r>
    </w:p>
    <w:p w14:paraId="77CC8169" w14:textId="77777777" w:rsidR="004B1A63" w:rsidRDefault="004B1A63">
      <w:pPr>
        <w:pStyle w:val="UnOverskrift3"/>
      </w:pPr>
      <w:r>
        <w:t>2. Mål med arbeidet</w:t>
      </w:r>
    </w:p>
    <w:p w14:paraId="7B8D8D6E" w14:textId="77777777" w:rsidR="004B1A63" w:rsidRDefault="004B1A63" w:rsidP="006F4031">
      <w:r>
        <w:t>Arbeidet deles inn i tre delmål:</w:t>
      </w:r>
    </w:p>
    <w:p w14:paraId="0077B192" w14:textId="37243459" w:rsidR="004B1A63" w:rsidRDefault="004B1A63">
      <w:pPr>
        <w:pStyle w:val="Liste"/>
      </w:pPr>
      <w:r>
        <w:t>Identifisere kritisk infrastruktur på et overordnet nivå</w:t>
      </w:r>
    </w:p>
    <w:p w14:paraId="0AE3E437" w14:textId="284590A2" w:rsidR="004B1A63" w:rsidRDefault="004B1A63">
      <w:pPr>
        <w:pStyle w:val="Liste"/>
      </w:pPr>
      <w:r>
        <w:t>Status for nasjonal kontroll og dagens virkemidler</w:t>
      </w:r>
    </w:p>
    <w:p w14:paraId="63B6D1F8" w14:textId="6135E2CC" w:rsidR="004B1A63" w:rsidRDefault="004B1A63">
      <w:pPr>
        <w:pStyle w:val="Liste"/>
      </w:pPr>
      <w:r>
        <w:t>Vurdere tiltak for styrket nasjonal kontroll</w:t>
      </w:r>
    </w:p>
    <w:p w14:paraId="77A20114" w14:textId="77777777" w:rsidR="004B1A63" w:rsidRDefault="004B1A63">
      <w:pPr>
        <w:pStyle w:val="UnOverskrift4"/>
      </w:pPr>
      <w:r>
        <w:t>2.1 Identifisere kritisk infrastruktur</w:t>
      </w:r>
    </w:p>
    <w:p w14:paraId="1D1046AB" w14:textId="77777777" w:rsidR="004B1A63" w:rsidRDefault="004B1A63" w:rsidP="006F4031">
      <w:r>
        <w:t>Ekspertutvalget skal til eget formål og på overordnet nivå lage en oversikt over kritisk digital kommunikasjonsinfrastruktur, av regional eller nasjonal betydning som:</w:t>
      </w:r>
    </w:p>
    <w:p w14:paraId="1473BEE7" w14:textId="27ECEB54" w:rsidR="004B1A63" w:rsidRDefault="004B1A63">
      <w:pPr>
        <w:pStyle w:val="Liste"/>
      </w:pPr>
      <w:r>
        <w:t>Er viktig for statssikkerheten</w:t>
      </w:r>
    </w:p>
    <w:p w14:paraId="376F60E9" w14:textId="4C17E5CE" w:rsidR="004B1A63" w:rsidRDefault="004B1A63">
      <w:pPr>
        <w:pStyle w:val="Liste"/>
      </w:pPr>
      <w:r>
        <w:t>Er av betydning for samfunnssikkerheten</w:t>
      </w:r>
    </w:p>
    <w:p w14:paraId="46E59EF0" w14:textId="3856FF0D" w:rsidR="004B1A63" w:rsidRDefault="004B1A63">
      <w:pPr>
        <w:pStyle w:val="Liste"/>
      </w:pPr>
      <w:r>
        <w:t>Bærer tjenester av høy betydning for kritiske samfunnsfunksjoner</w:t>
      </w:r>
    </w:p>
    <w:p w14:paraId="720F4449" w14:textId="77777777" w:rsidR="004B1A63" w:rsidRDefault="004B1A63">
      <w:r>
        <w:t>DFD vil dele vurderinger som er relevante for dette arbeidet.</w:t>
      </w:r>
    </w:p>
    <w:p w14:paraId="4EBBA253" w14:textId="77777777" w:rsidR="004B1A63" w:rsidRDefault="004B1A63">
      <w:r>
        <w:t>I tillegg skal ekspertutvalget identifisere selskaper av betydning for denne infrastrukturen, blant annet selskaper som:</w:t>
      </w:r>
    </w:p>
    <w:p w14:paraId="0F4F2318" w14:textId="579B4D28" w:rsidR="004B1A63" w:rsidRDefault="004B1A63">
      <w:pPr>
        <w:pStyle w:val="Liste"/>
      </w:pPr>
      <w:r>
        <w:t>Helt eller delvis eier eller råder over slik infrastruktur</w:t>
      </w:r>
    </w:p>
    <w:p w14:paraId="6A021A7F" w14:textId="251BC986" w:rsidR="004B1A63" w:rsidRDefault="004B1A63">
      <w:pPr>
        <w:pStyle w:val="Liste"/>
      </w:pPr>
      <w:r>
        <w:t>Har en viktig eller kritisk rolle for utbygging, drift og vedlikehold av infrastrukturen.</w:t>
      </w:r>
    </w:p>
    <w:p w14:paraId="6DBF5E9D" w14:textId="77777777" w:rsidR="004B1A63" w:rsidRDefault="004B1A63">
      <w:r>
        <w:t>I tillegg skal leverandører, underleverandører og entreprenører som er avgjørende betydning for utbygging, drift og vedlikehold av infrastrukturen, herunder utstyr og software, identifiseres. Behovet for reservedels-, beredskapslagre og beredskapsutstyr skal inngå i vurderingene.</w:t>
      </w:r>
    </w:p>
    <w:p w14:paraId="619D9D20" w14:textId="77777777" w:rsidR="004B1A63" w:rsidRDefault="004B1A63">
      <w:r>
        <w:t>Oversikten skal inkludere en vurdering av følgende typer infrastruktur (både hardware og software):</w:t>
      </w:r>
    </w:p>
    <w:p w14:paraId="76A1CAA2" w14:textId="7525980E" w:rsidR="004B1A63" w:rsidRDefault="004B1A63">
      <w:pPr>
        <w:pStyle w:val="Liste"/>
      </w:pPr>
      <w:r>
        <w:t>mobil- og bredbåndsnett</w:t>
      </w:r>
    </w:p>
    <w:p w14:paraId="37E7AC47" w14:textId="51FD8A82" w:rsidR="004B1A63" w:rsidRDefault="004B1A63">
      <w:pPr>
        <w:pStyle w:val="Liste"/>
      </w:pPr>
      <w:r>
        <w:t>transportnett</w:t>
      </w:r>
    </w:p>
    <w:p w14:paraId="4DC8EA59" w14:textId="46FAFD60" w:rsidR="004B1A63" w:rsidRDefault="004B1A63">
      <w:pPr>
        <w:pStyle w:val="Liste"/>
      </w:pPr>
      <w:r>
        <w:t>undersjøiske fiberkabler</w:t>
      </w:r>
    </w:p>
    <w:p w14:paraId="2FD327E8" w14:textId="485BDFD6" w:rsidR="004B1A63" w:rsidRDefault="004B1A63">
      <w:pPr>
        <w:pStyle w:val="Liste"/>
      </w:pPr>
      <w:r>
        <w:t>datasentre</w:t>
      </w:r>
    </w:p>
    <w:p w14:paraId="52AEC55F" w14:textId="29388605" w:rsidR="004B1A63" w:rsidRDefault="004B1A63">
      <w:pPr>
        <w:pStyle w:val="Liste"/>
      </w:pPr>
      <w:r>
        <w:t>satellittkommunikasjonssystemer</w:t>
      </w:r>
    </w:p>
    <w:p w14:paraId="15D6C267" w14:textId="03168C7F" w:rsidR="004B1A63" w:rsidRDefault="004B1A63">
      <w:pPr>
        <w:pStyle w:val="Liste"/>
      </w:pPr>
      <w:r>
        <w:t>særlig viktige anlegg som er viktig for hele krisespennet, blant annet fortifikatoriske anlegg/fjellanlegg</w:t>
      </w:r>
    </w:p>
    <w:p w14:paraId="6AECAAAE" w14:textId="77777777" w:rsidR="004B1A63" w:rsidRDefault="004B1A63">
      <w:r>
        <w:t>Utvalget skal legge til grunn samfunnets avhengighet til digitale tjenester i dag, og vurdere utviklingen av denne frem mot 2030, herunder etableringen av en sikker skyløsning for staten. Utvalget skal tydeliggjøre hvilke kriterier og definisjoner som er lagt til grunn for dette arbeidet</w:t>
      </w:r>
    </w:p>
    <w:p w14:paraId="145CB712" w14:textId="77777777" w:rsidR="004B1A63" w:rsidRDefault="004B1A63">
      <w:pPr>
        <w:pStyle w:val="UnOverskrift4"/>
      </w:pPr>
      <w:r>
        <w:lastRenderedPageBreak/>
        <w:t>2.2 Status for nasjonal kontroll og dagens virkemidler</w:t>
      </w:r>
    </w:p>
    <w:p w14:paraId="43E7E9B5" w14:textId="77777777" w:rsidR="004B1A63" w:rsidRDefault="004B1A63" w:rsidP="006F4031">
      <w:r>
        <w:t>Utvalget skal beskrive hvilke virkemidler myndighetene har for å ivareta nasjonal kontroll over digital infrastruktur, og i hvilken grad dagens virkemidler ivaretar behovet. Regulering og nasjonalt eierskap skal inngå i denne vurderingen.</w:t>
      </w:r>
    </w:p>
    <w:p w14:paraId="32FD9920" w14:textId="77777777" w:rsidR="004B1A63" w:rsidRDefault="004B1A63">
      <w:r>
        <w:t>Dagens eierstrukturer skal beskrives for selskapene som eier eller råder over kritisk infrastruktur. Det er viktig at ulike sider ved utenlandsk eierskap belyses, blant annet de markedsmessige, økonomiske, juridiske og sikkerhetsmessige. Utvalget skal vurdere hvilken innvirkning de ulike formene for eierskap (nasjonalt, statlig, offentlig og privat) har for nasjonal kontroll.</w:t>
      </w:r>
    </w:p>
    <w:p w14:paraId="45E82855" w14:textId="77777777" w:rsidR="004B1A63" w:rsidRDefault="004B1A63">
      <w:r>
        <w:t>Ekspertutvalget skal belyse ulike eierformer og transaksjoner, og vurdere hvordan disse kan utfordre nasjonal kontroll, blant annet:</w:t>
      </w:r>
    </w:p>
    <w:p w14:paraId="76601832" w14:textId="30D67B36" w:rsidR="004B1A63" w:rsidRDefault="004B1A63">
      <w:pPr>
        <w:pStyle w:val="Liste"/>
      </w:pPr>
      <w:r>
        <w:t>oppkjøp av andeler eller hele selskaper</w:t>
      </w:r>
    </w:p>
    <w:p w14:paraId="5F8D35C4" w14:textId="02AA2635" w:rsidR="004B1A63" w:rsidRDefault="004B1A63">
      <w:pPr>
        <w:pStyle w:val="Liste"/>
      </w:pPr>
      <w:r>
        <w:t>oppkjøp av mindre andeler av et selskap i flere omganger</w:t>
      </w:r>
    </w:p>
    <w:p w14:paraId="475486EE" w14:textId="1186A309" w:rsidR="004B1A63" w:rsidRDefault="004B1A63">
      <w:pPr>
        <w:pStyle w:val="Liste"/>
      </w:pPr>
      <w:r>
        <w:t>oppstykking og oppkjøp av verdiene i ulike selskaper</w:t>
      </w:r>
    </w:p>
    <w:p w14:paraId="10C9336D" w14:textId="49C59752" w:rsidR="004B1A63" w:rsidRDefault="004B1A63">
      <w:pPr>
        <w:pStyle w:val="Liste"/>
      </w:pPr>
      <w:r>
        <w:t>hvilken innflytelse et selskap og dets eiere har over forvaltningen av selskapet ved ulike eierstrukturer,</w:t>
      </w:r>
    </w:p>
    <w:p w14:paraId="11C6A3B5" w14:textId="2228CE68" w:rsidR="004B1A63" w:rsidRDefault="004B1A63">
      <w:pPr>
        <w:pStyle w:val="Liste"/>
      </w:pPr>
      <w:r>
        <w:t>komplekse eierkjeder og endret eierskap; dersom det er flere selskaper i eierstrukturen, eierskifte bakover i eierstrukturen</w:t>
      </w:r>
    </w:p>
    <w:p w14:paraId="0C8318B2" w14:textId="4DFF19DE" w:rsidR="004B1A63" w:rsidRDefault="004B1A63">
      <w:pPr>
        <w:pStyle w:val="Liste"/>
      </w:pPr>
      <w:r>
        <w:t>styringsstrukturer</w:t>
      </w:r>
    </w:p>
    <w:p w14:paraId="1C571226" w14:textId="77777777" w:rsidR="004B1A63" w:rsidRDefault="004B1A63">
      <w:r>
        <w:t>Digitale kommunikasjonsnett bygger på internasjonale standarder og et sterkt globalt økosystem med rask teknologisk utvikling. Innovasjon i bransjen er viktig, og Norge ligger langt fremme med digitalisering og utbygging av slik infrastruktur, med høy grad av dekning og kapasitet i mobil- og bredbåndsnettene. Utvalget skal vurdere hvilken effekt virkemidlene for nasjonal kontroll kan ha for videre utvikling og innovasjon. Forslagene fra utvalget skal ta hensyn til behovet for videre utvikling og innovasjon, og skal i størst mulig grad legge til rette for dette. Utvalget skal også ta hensyn til sikkerhetssidene ved lange, komplekse og internasjonale digitale verdikjeder.</w:t>
      </w:r>
    </w:p>
    <w:p w14:paraId="535FF918" w14:textId="77777777" w:rsidR="004B1A63" w:rsidRDefault="004B1A63">
      <w:r>
        <w:t>Utvalget skal beskrive hvordan reguleringsregimer eller andre hensyn til nasjonal kontroll er ivaretatt i nordiske land.</w:t>
      </w:r>
    </w:p>
    <w:p w14:paraId="23E3FDE3" w14:textId="77777777" w:rsidR="004B1A63" w:rsidRDefault="004B1A63">
      <w:pPr>
        <w:pStyle w:val="UnOverskrift4"/>
      </w:pPr>
      <w:r>
        <w:t>2.3 Vurdere tiltak for styrket nasjonal kontroll</w:t>
      </w:r>
    </w:p>
    <w:p w14:paraId="7C8FC414" w14:textId="77777777" w:rsidR="004B1A63" w:rsidRDefault="004B1A63" w:rsidP="006F4031">
      <w:r>
        <w:t>Utvalget skal foreslå konkrete tiltak for videre arbeid med nasjonal kontroll over kritisk infrastruktur. Tiltakene som foreslås skal begrunnes og være konkrete. Konsekvensene av tiltakene, herunder kostnader, nyttevirkninger og konsekvenser for videre utvikling og innovasjon, skal belyses.</w:t>
      </w:r>
    </w:p>
    <w:p w14:paraId="32623292" w14:textId="77777777" w:rsidR="004B1A63" w:rsidRDefault="004B1A63">
      <w:r>
        <w:t>Utvalget oppfordres til å gjøre seg kjent med relevante deler av Investeringskontrollutvalgets rapport, som ble levert i desember 2023. Utvalget ble oppnevnt av NFD om eierskapskontroll i virksomheter som ikke er underlagt sikkerhetsloven. I tillegg oppfordres utvalget til å gjøre seg kjent med lov om endringer i sikkerhetsloven (eierskapskontroll og lovens virkeområde) av 20. juni 2023.</w:t>
      </w:r>
    </w:p>
    <w:p w14:paraId="7C3AD5E4" w14:textId="77777777" w:rsidR="004B1A63" w:rsidRDefault="004B1A63">
      <w:pPr>
        <w:pStyle w:val="UnOverskrift3"/>
      </w:pPr>
      <w:r>
        <w:lastRenderedPageBreak/>
        <w:t>3. Tidsplan for arbeidet</w:t>
      </w:r>
    </w:p>
    <w:p w14:paraId="2414A76D" w14:textId="488AC9E2" w:rsidR="004B1A63" w:rsidRDefault="004B1A63">
      <w:r>
        <w:t xml:space="preserve">Ekspertgruppen etableres 1-2 måneder etter besluttet sammensetning. Arbeidet er omfattende, og har en ambisiøs tidsplan på 12 måneder, med en muntlig rapportering i form av </w:t>
      </w:r>
      <w:r w:rsidR="00015951">
        <w:t>«</w:t>
      </w:r>
      <w:r>
        <w:t>forankringsmøter</w:t>
      </w:r>
      <w:r w:rsidR="00015951">
        <w:t>»</w:t>
      </w:r>
      <w:r>
        <w:t xml:space="preserve"> med departementet etter 3, 5 og 9 måneder. Ekspertgruppen skal levere utkast til rapport etter 9 måneder og endelig rapport 12 måneder etter oppstart, som skissert i tidsplanen. Leveranse av endelig rapport blir 1. februar 2025</w:t>
      </w:r>
      <w:r w:rsidR="00015951" w:rsidRPr="00015951">
        <w:rPr>
          <w:rStyle w:val="Fotnotereferanse"/>
        </w:rPr>
        <w:footnoteReference w:id="3"/>
      </w:r>
      <w:r>
        <w:t>:</w:t>
      </w:r>
    </w:p>
    <w:p w14:paraId="4767C994" w14:textId="6FE172B3" w:rsidR="004B1A63" w:rsidRDefault="004B4E04">
      <w:r>
        <w:rPr>
          <w:noProof/>
        </w:rPr>
        <w:drawing>
          <wp:inline distT="0" distB="0" distL="0" distR="0" wp14:anchorId="7341739C" wp14:editId="533D4088">
            <wp:extent cx="3657600" cy="1562100"/>
            <wp:effectExtent l="0" t="0" r="0" b="0"/>
            <wp:docPr id="5"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1562100"/>
                    </a:xfrm>
                    <a:prstGeom prst="rect">
                      <a:avLst/>
                    </a:prstGeom>
                    <a:noFill/>
                    <a:ln>
                      <a:noFill/>
                    </a:ln>
                  </pic:spPr>
                </pic:pic>
              </a:graphicData>
            </a:graphic>
          </wp:inline>
        </w:drawing>
      </w:r>
    </w:p>
    <w:p w14:paraId="73AD0974" w14:textId="77777777" w:rsidR="004B1A63" w:rsidRDefault="004B1A63">
      <w:r>
        <w:t>Eventuelle spørsmål kan avklares med departementet underveis i arbeidet.</w:t>
      </w:r>
    </w:p>
    <w:p w14:paraId="5050AD69" w14:textId="77777777" w:rsidR="004B1A63" w:rsidRDefault="004B1A63">
      <w:pPr>
        <w:pStyle w:val="UnOverskrift3"/>
      </w:pPr>
      <w:r>
        <w:t>4. Leveranse:</w:t>
      </w:r>
    </w:p>
    <w:p w14:paraId="4219822A" w14:textId="77777777" w:rsidR="004B1A63" w:rsidRDefault="004B1A63">
      <w:r>
        <w:t>Arbeidet skal resultere i en rapport, der resultatene fra alle tre delmålene beskrives:</w:t>
      </w:r>
    </w:p>
    <w:p w14:paraId="67A36A1C" w14:textId="1A03825F" w:rsidR="004B1A63" w:rsidRDefault="004B1A63">
      <w:pPr>
        <w:pStyle w:val="Liste"/>
      </w:pPr>
      <w:r>
        <w:t>Identifisere kritisk infrastruktur på et overordnet nivå</w:t>
      </w:r>
    </w:p>
    <w:p w14:paraId="032AA0BF" w14:textId="7733296E" w:rsidR="004B1A63" w:rsidRDefault="004B1A63">
      <w:pPr>
        <w:pStyle w:val="Liste"/>
      </w:pPr>
      <w:r>
        <w:t>Status for nasjonal kontroll og dagens virkemidler</w:t>
      </w:r>
    </w:p>
    <w:p w14:paraId="15657A6F" w14:textId="473FC9D6" w:rsidR="004B1A63" w:rsidRDefault="004B1A63">
      <w:pPr>
        <w:pStyle w:val="Liste"/>
      </w:pPr>
      <w:r>
        <w:t>Vurdere tiltak for styrket nasjonal kontroll</w:t>
      </w:r>
    </w:p>
    <w:p w14:paraId="7116ACE5" w14:textId="77777777" w:rsidR="004B1A63" w:rsidRDefault="004B1A63">
      <w:r>
        <w:t>Materiale som er gradert utarbeides i separat(e) vedlegg.</w:t>
      </w:r>
    </w:p>
    <w:p w14:paraId="0DF3C35B" w14:textId="77777777" w:rsidR="004B1A63" w:rsidRDefault="004B1A63">
      <w:r>
        <w:t xml:space="preserve">Utredningsinstruksen skal legges til grunn for arbeidet til ekspertutvalget: </w:t>
      </w:r>
      <w:hyperlink r:id="rId13" w:history="1">
        <w:r>
          <w:rPr>
            <w:rStyle w:val="Hyperkobling"/>
          </w:rPr>
          <w:t>Utredningsinstruksen – regjeringen.no</w:t>
        </w:r>
      </w:hyperlink>
      <w:r>
        <w:t>.</w:t>
      </w:r>
    </w:p>
    <w:p w14:paraId="5B9A3EC4" w14:textId="089FFE9A" w:rsidR="004B1A63" w:rsidRDefault="004B1A63">
      <w:r>
        <w:t xml:space="preserve">Det vises videre til </w:t>
      </w:r>
      <w:r w:rsidR="00015951">
        <w:t xml:space="preserve">Meld. St. </w:t>
      </w:r>
      <w:r w:rsidR="00015951">
        <w:t>6</w:t>
      </w:r>
      <w:r>
        <w:t xml:space="preserve"> (2022–2023) eierskapsmeldingen: </w:t>
      </w:r>
      <w:hyperlink r:id="rId14" w:history="1">
        <w:r w:rsidR="00015951">
          <w:rPr>
            <w:rStyle w:val="Hyperkobling"/>
          </w:rPr>
          <w:t xml:space="preserve">Meld. St. </w:t>
        </w:r>
        <w:r w:rsidR="00015951">
          <w:rPr>
            <w:rStyle w:val="Hyperkobling"/>
          </w:rPr>
          <w:t>6</w:t>
        </w:r>
        <w:r>
          <w:rPr>
            <w:rStyle w:val="Hyperkobling"/>
          </w:rPr>
          <w:t xml:space="preserve"> (2022–2023) – regjeringen.no</w:t>
        </w:r>
      </w:hyperlink>
      <w:r>
        <w:t xml:space="preserve">. Videre vises det til </w:t>
      </w:r>
      <w:r w:rsidR="00015951">
        <w:t xml:space="preserve">Meld. St. </w:t>
      </w:r>
      <w:r w:rsidR="00015951">
        <w:t>9</w:t>
      </w:r>
      <w:r>
        <w:t xml:space="preserve"> (2022–2023) om nasjonal kontroll og digital motstandskraft for å ivareta nasjonal sikkerhet. </w:t>
      </w:r>
      <w:hyperlink r:id="rId15" w:history="1">
        <w:r w:rsidR="00015951">
          <w:rPr>
            <w:rStyle w:val="Hyperkobling"/>
          </w:rPr>
          <w:t xml:space="preserve">Meld. St. </w:t>
        </w:r>
        <w:r w:rsidR="00015951">
          <w:rPr>
            <w:rStyle w:val="Hyperkobling"/>
          </w:rPr>
          <w:t>9</w:t>
        </w:r>
        <w:r>
          <w:rPr>
            <w:rStyle w:val="Hyperkobling"/>
          </w:rPr>
          <w:t xml:space="preserve"> (2022–2023) – regjeringen.no</w:t>
        </w:r>
      </w:hyperlink>
    </w:p>
    <w:p w14:paraId="4766D4B2" w14:textId="77777777" w:rsidR="004B1A63" w:rsidRDefault="004B1A63">
      <w:pPr>
        <w:pStyle w:val="Overskrift2"/>
      </w:pPr>
      <w:r>
        <w:t>Utvalgets tolkning av mandatet</w:t>
      </w:r>
    </w:p>
    <w:p w14:paraId="4EFA954B" w14:textId="77777777" w:rsidR="004B1A63" w:rsidRDefault="004B1A63" w:rsidP="006F4031">
      <w:r>
        <w:t>Utvalget har fått et meget omfattende mandat som i sin videste tolkning vil overskride rammene for et utvalgsarbeid. Det har derfor vært nødvendig å gjøre avgrensninger og prioriteringer for å kunne ferdigstille arbeidet innenfor de rammene som var til rådighet. I denne seksjonen beskrives de mest sentrale av disse avgrensningene og prioriteringene.</w:t>
      </w:r>
    </w:p>
    <w:p w14:paraId="7E3E35E9" w14:textId="77777777" w:rsidR="004B1A63" w:rsidRDefault="004B1A63">
      <w:r>
        <w:lastRenderedPageBreak/>
        <w:t>På overordnet nivå sier mandatet at utvalget skal vurdere hvordan staten kan ivareta nasjonal kontroll over kritisk digital kommunikasjonsinfrastruktur. Utvalget har på denne bakgrunn valgt å konsentrere seg om hva som gir staten nasjonal kontroll, og avgrense mot hva den nasjonale kontrollen skal benyttes til. Utvalget ser her på nasjonal kontroll som statens evne til å skaffe beslutningsgrunnlag, evne til å ta eller påvirke beslutninger, og handlefrihet til å sette beslutninger ut i live.</w:t>
      </w:r>
    </w:p>
    <w:p w14:paraId="33A7196A" w14:textId="77777777" w:rsidR="004B1A63" w:rsidRDefault="004B1A63">
      <w:r>
        <w:t>Eksempelvis tar utvalget ikke stilling til hvorvidt enkelte grupper av selskaper skal pålegges å opprette beredskapslager for en gitt type komponenter. Statens evne til å identifisere behovet for et slikt lager, påvirke en beslutning om at et beredskapslager skal opprettes, samt evne til å sørge for at en slik beslutning får effekt, tolkes imidlertid å ligge innenfor utvalgets mandat. I noen tilfeller er det krevende å trekke en klar grense mellom grep som gir nasjonal kontroll, og hva staten i en gitt situasjon kan ønske å benytte den nasjonale kontrollen til. Når det har oppstått tvilstilfeller har utvalget søkt å legge seg på en restriktiv linje. Tiltak som ikke i vesentlig grad påvirker statens kontroll har vi derfor latt ligge, selv om de isolert sett kan være gode i et sikkerhetsperspektiv.</w:t>
      </w:r>
    </w:p>
    <w:p w14:paraId="2C86D565" w14:textId="77777777" w:rsidR="004B1A63" w:rsidRDefault="004B1A63">
      <w:r>
        <w:t>Utvalget har også fått i oppgave å identifisere kritisk digital kommunikasjonsinfrastruktur og å identifisere selskaper som eier eller råder over slik infrastruktur. Vi har sett denne delen av oppgaven i lys av mandatets to andre hovedoppgaver, som er å redegjøre for status for nasjonal kontroll og vurdere tiltak for styrket nasjonal kontroll. Vi har ansett disse to siste oppgavene som viktigst i vårt mandat.</w:t>
      </w:r>
    </w:p>
    <w:p w14:paraId="4BB54E05" w14:textId="77777777" w:rsidR="004B1A63" w:rsidRDefault="004B1A63">
      <w:r>
        <w:t>Heller enn å gi en fullt utarbeidet og begrunnet oversikt over hva som kan karakteriseres som kritisk infrastruktur, har utvalget konsentrert seg om å lage en oversikt som danner et hensiktsmessig grunnlag for vårt eget arbeid med tiltak for nasjonal kontroll. Vi har derfor på et overordnet nivå definert kategorier av infrastruktur som er viktig for statssikkerheten, av betydning for samfunnssikkerheten eller som bærer tjenester av høy betydning for kritiske samfunnsfunksjoner. Videre har vi identifisert virksomheter av betydning for disse klassene av infrastrukturer. Med utgangspunkt i disse virksomhetene har vi analysert dagens nasjonale kontroll med de kritiske delene av selskapenes virksomhet. Denne generiske analysen danner grunnlag for våre forslag til tiltak for styrket nasjonal kontroll.</w:t>
      </w:r>
    </w:p>
    <w:p w14:paraId="057EF6DA" w14:textId="77777777" w:rsidR="004B1A63" w:rsidRDefault="004B1A63">
      <w:pPr>
        <w:rPr>
          <w:spacing w:val="-2"/>
        </w:rPr>
      </w:pPr>
      <w:r>
        <w:rPr>
          <w:spacing w:val="-2"/>
        </w:rPr>
        <w:t>En sentral begrunnelse for at utvalget ble opprettet, lå i et antall konkrete saker der salg av aksjeposter i enkeltselskaper ble vurdert. I disse sakene måtte norske myndigheter ta stilling til hvorvidt endringen i eierskapet ville utgjøre en risiko av betydning for samfunnssikkerheten og kritiske samfunnsfunksjoner. Disse sakene dreiet seg om eierskap, men den risikoen som oppstår gjennom sikkerhetstruende endringer i eierskap, er bare ett forhold som kan svekke nasjonal kontroll i kritisk digital kommunikasjonsinfrastruktur. Utvalget har derfor sett bredere på ulike forhold som kan svekke nasjonal kontroll, hvilken styringsevne og handlefrihet staten trenger for å opprettholde nasjonal kontroll og hvilke ulike virkemidler som kan brukes for å oppnå dette.</w:t>
      </w:r>
    </w:p>
    <w:p w14:paraId="72D0C549" w14:textId="77777777" w:rsidR="004B1A63" w:rsidRDefault="004B1A63">
      <w:r>
        <w:t xml:space="preserve">Utvalget har ikke gjort noen klare avgrensninger knyttet til krisespennet. De virkemidlene vi foreslår må i all hovedsak gjennomføres i fredstid, men effekten av dem vil være viktigst ved en eskalering oppover i krisespennet. Videre har vi ikke avgrenset oss mot noen deler av trusselbildet i den forstand at vi ser nasjonal kontroll som et virkemiddel for å bygge nasjonal sikkerhet i møte med alle relevante trusler. Likevel er det slik at de truslene som utfordrer nasjonal kontroll, står i en særstilling i vårt </w:t>
      </w:r>
      <w:r>
        <w:lastRenderedPageBreak/>
        <w:t>arbeid. Sikkerhetstruende økonomisk virksomhet som gir en grad av kontroll over selskaper som eier kritisk digital kommunikasjonsinfrastruktur, har derfor blitt viet spesiell oppmerksomhet.</w:t>
      </w:r>
    </w:p>
    <w:p w14:paraId="4E2D7549" w14:textId="77777777" w:rsidR="004B1A63" w:rsidRDefault="004B1A63">
      <w:pPr>
        <w:rPr>
          <w:spacing w:val="-2"/>
        </w:rPr>
      </w:pPr>
      <w:r>
        <w:rPr>
          <w:spacing w:val="-2"/>
        </w:rPr>
        <w:t>En diskusjon om nasjonal kontroll med digital infrastruktur er ufullstendig uten en vurdering av det internasjonale bildet. Dette berøres i noen grad av mandatet ved at det omtaler internasjonalt samarbeid, et sterkt globalt økosystem og komplekse internasjonale verdikjeder. Det er et faktum at norske kritiske systemer og norsk kritisk infrastruktur er tett sammenvevd med internasjonale systemer som ikke er underlagt norsk jurisdiksjon. Nasjonal påvirkningsevne på disse systemene må skje gjennom internasjonalt samarbeid. Rapporten inneholder et eget kapittel som omhandler slike systemer.</w:t>
      </w:r>
    </w:p>
    <w:p w14:paraId="40F93D6C" w14:textId="77777777" w:rsidR="004B1A63" w:rsidRDefault="004B1A63">
      <w:pPr>
        <w:pStyle w:val="Overskrift2"/>
        <w:spacing w:before="425"/>
      </w:pPr>
      <w:r>
        <w:t>Utredninger med grenseflater mot mandatet for dette utvalget</w:t>
      </w:r>
    </w:p>
    <w:p w14:paraId="34B63226" w14:textId="77777777" w:rsidR="004B1A63" w:rsidRDefault="004B1A63" w:rsidP="006F4031">
      <w:r>
        <w:t>Utvalget har benyttet en rekke ulike kilder i sitt arbeid, både når det gjelder bakgrunnsinformasjon og vurderinger knyttet til nasjonal kontroll, eierskap og innflytelse i virksomheter og ulike trusler.</w:t>
      </w:r>
    </w:p>
    <w:p w14:paraId="4CAEB472" w14:textId="77777777" w:rsidR="004B1A63" w:rsidRDefault="004B1A63">
      <w:r>
        <w:t>Som det fremgår av mandatet, ble utvalget oppfordret til å gjøre seg kjent med Investeringskontrollutvalgets rapport NOU 2023: 28</w:t>
      </w:r>
      <w:r w:rsidRPr="00015951">
        <w:rPr>
          <w:rStyle w:val="kursiv"/>
        </w:rPr>
        <w:t xml:space="preserve"> Investeringskontroll – En åpen økonomi i usikre tider</w:t>
      </w:r>
      <w:r>
        <w:t>. Flere av de vurderinger og beskrivelser av regelverk som fremkommer i NOU-en er relevant for dette utvalget</w:t>
      </w:r>
    </w:p>
    <w:p w14:paraId="654D4EAE" w14:textId="78E4EFAC" w:rsidR="004B1A63" w:rsidRDefault="004B1A63">
      <w:r>
        <w:t xml:space="preserve">Andre relevante dokumenter har vært </w:t>
      </w:r>
      <w:r w:rsidR="00015951">
        <w:t xml:space="preserve">Meld. St. </w:t>
      </w:r>
      <w:r w:rsidR="00015951">
        <w:t>9</w:t>
      </w:r>
      <w:r>
        <w:t xml:space="preserve"> (2022–2023) </w:t>
      </w:r>
      <w:r w:rsidRPr="00015951">
        <w:rPr>
          <w:rStyle w:val="kursiv"/>
        </w:rPr>
        <w:t>Nasjonal kontroll og digital motstandskraft for å ivareta nasjonal sikkerhet – Så åpent som mulig, så sikkert som nødvendig</w:t>
      </w:r>
      <w:r>
        <w:t xml:space="preserve">, Forsvarets forskningsinstitutt rapport 20/03149 </w:t>
      </w:r>
      <w:r w:rsidRPr="00015951">
        <w:rPr>
          <w:rStyle w:val="kursiv"/>
        </w:rPr>
        <w:t>Utenlandske investeringer og andre økonomiske virkemidler – når truer de nasjonal sikkerhet?,</w:t>
      </w:r>
      <w:r>
        <w:t xml:space="preserve"> Totalberedskapskommisjonen NOU 2023: 17 </w:t>
      </w:r>
      <w:r w:rsidRPr="00015951">
        <w:rPr>
          <w:rStyle w:val="kursiv"/>
        </w:rPr>
        <w:t>Nå er det alvor – rustet for en usikker fremtid</w:t>
      </w:r>
      <w:r>
        <w:t xml:space="preserve"> og </w:t>
      </w:r>
      <w:r w:rsidR="00015951">
        <w:t xml:space="preserve">Meld. St. </w:t>
      </w:r>
      <w:r w:rsidR="00015951">
        <w:t>9</w:t>
      </w:r>
      <w:r>
        <w:t xml:space="preserve"> (2024–2025) </w:t>
      </w:r>
      <w:r w:rsidRPr="00015951">
        <w:rPr>
          <w:rStyle w:val="kursiv"/>
        </w:rPr>
        <w:t>Totalberedskapsmeldingen – Forberedt på kriser og krig</w:t>
      </w:r>
      <w:r>
        <w:t>.</w:t>
      </w:r>
    </w:p>
    <w:p w14:paraId="61D05E2C" w14:textId="77777777" w:rsidR="004B1A63" w:rsidRDefault="004B1A63">
      <w:r>
        <w:t>Når det gjelder Totalberedskapsmeldingen, ble denne meldingen ble lagt frem helt på tampen av utvalgets arbeid. Utvalget har derfor ikke hatt mulighet til å vurdere alt innholdet eller alle forslagene i meldingen.</w:t>
      </w:r>
    </w:p>
    <w:p w14:paraId="11B9AC95" w14:textId="77777777" w:rsidR="004B1A63" w:rsidRDefault="004B1A63">
      <w:pPr>
        <w:pStyle w:val="Overskrift2"/>
      </w:pPr>
      <w:r>
        <w:t>Utvalgets møter og reiser</w:t>
      </w:r>
    </w:p>
    <w:p w14:paraId="1B1E8781" w14:textId="77777777" w:rsidR="004B1A63" w:rsidRDefault="004B1A63" w:rsidP="006F4031">
      <w:r>
        <w:t>Utvalget startet arbeidet 2. februar 2024 og har avholdt 12 møter av en til to dagers varighet. Møtene har vært fysiske og avholdt i Oslo-området, men med mulighet for digital deltakelse. Det har i tillegg vært gjennomført digitale møter mellom enkelte utvalgsmedlemmer og utvalgsleder underveis i arbeidet.</w:t>
      </w:r>
    </w:p>
    <w:p w14:paraId="7D411C41" w14:textId="77777777" w:rsidR="004B1A63" w:rsidRDefault="004B1A63">
      <w:r>
        <w:t>Utvalget har i løpet av arbeidet hatt digitale møter med Telenor, Tampnet, Space Norway, Green Mountain, Helsenett og Nasjonal sikkerhetsmyndighet, Cyberforsvaret og Nkom.</w:t>
      </w:r>
    </w:p>
    <w:p w14:paraId="45E5D2E3" w14:textId="77777777" w:rsidR="004B1A63" w:rsidRDefault="004B1A63">
      <w:pPr>
        <w:pStyle w:val="Overskrift2"/>
        <w:spacing w:before="482"/>
      </w:pPr>
      <w:r>
        <w:rPr>
          <w:spacing w:val="-3"/>
        </w:rPr>
        <w:t>Skriftlige innspill og utredninger bestilt av utvalget</w:t>
      </w:r>
    </w:p>
    <w:p w14:paraId="1CD83040" w14:textId="77777777" w:rsidR="004B1A63" w:rsidRDefault="004B1A63" w:rsidP="006F4031">
      <w:r>
        <w:t xml:space="preserve">Utvalget gjennomførte våren 2024 en informasjonsinnhenting for å få innsikt i hvordan ulike deler av ekomsektoren selv vurderer problemstillinger knyttet til eierskapstransaksjoner og da særlig knyttet </w:t>
      </w:r>
      <w:r>
        <w:lastRenderedPageBreak/>
        <w:t>til utenlandsk eierskap. Utvalget ba også om tilbakemeldinger om leverandører som ekomtilbyderne selv anser som viktige med tanke på utbygging, drift og vedlikehold av den kritiske digitale kommunikasjonsinfrastrukturen.</w:t>
      </w:r>
    </w:p>
    <w:p w14:paraId="2CBFBC4D" w14:textId="77777777" w:rsidR="004B1A63" w:rsidRDefault="004B1A63">
      <w:r>
        <w:t>Spørreundersøkelsen er nærmere omtalt i vedlegg 5.</w:t>
      </w:r>
    </w:p>
    <w:p w14:paraId="52A7A087" w14:textId="77777777" w:rsidR="004B1A63" w:rsidRDefault="004B1A63">
      <w:r>
        <w:t>Utvalget har mottatt innspill fra Universitetet i Oslo som drifter et av samtrafikkpunktene for internettrafikk (NIX) i Norge, og Norsk Datasenterindustri. Innspillene omhandler temaer som omtales i denne rapporten, for eksempel utviklingen av datasentre i Norge, behov for infrastruktur knyttet til nøyaktig tid og synkronisering av frekvensbånd i mobilnett, forhold for å sikre basis internettjenester i Norge dersom deler av nettet er nede eller isolert, samt beredskap rundt fysisk infrastruktur.</w:t>
      </w:r>
    </w:p>
    <w:p w14:paraId="03C62A9F" w14:textId="77777777" w:rsidR="004B1A63" w:rsidRDefault="004B1A63">
      <w:r>
        <w:t>Utvalget har underveis innhentet tre utredninger som benyttes aktivt i denne rapporten:</w:t>
      </w:r>
    </w:p>
    <w:p w14:paraId="645DC57D" w14:textId="25F873F2" w:rsidR="004B1A63" w:rsidRDefault="004B1A63" w:rsidP="00015951">
      <w:pPr>
        <w:pStyle w:val="Nummerertliste"/>
        <w:numPr>
          <w:ilvl w:val="0"/>
          <w:numId w:val="61"/>
        </w:numPr>
      </w:pPr>
      <w:r>
        <w:t>En fremtidsanalyse for utviklingstrekk og trender for kritisk digital infrastruktur frem mot 2030, gjennomført som et samarbeid mellom Oslo Economics og Norsk utenrikspolitisk institutt (NUPI).</w:t>
      </w:r>
    </w:p>
    <w:p w14:paraId="7C6E414C" w14:textId="77777777" w:rsidR="004B1A63" w:rsidRDefault="004B1A63" w:rsidP="00015951">
      <w:pPr>
        <w:pStyle w:val="Nummerertliste"/>
        <w:numPr>
          <w:ilvl w:val="0"/>
          <w:numId w:val="61"/>
        </w:numPr>
      </w:pPr>
      <w:r>
        <w:t>Denne rapporten analyserer hvordan teknologiske- og markedsmessige trender og geopolitisk utvikling kan påvirke nasjonal kritisk infrastruktur i årene fremover, også i lys av samfunnets avhengigheter til digitale tjenester. Rapporten er behandlet i kapittel 7.</w:t>
      </w:r>
    </w:p>
    <w:p w14:paraId="2CCBE83D" w14:textId="4EAAA468" w:rsidR="004B1A63" w:rsidRDefault="004B1A63" w:rsidP="00015951">
      <w:pPr>
        <w:pStyle w:val="Nummerertliste"/>
        <w:numPr>
          <w:ilvl w:val="0"/>
          <w:numId w:val="61"/>
        </w:numPr>
      </w:pPr>
      <w:r>
        <w:t>En eierskapsanalyse for å avdekke reelle (utenlandske) eiere til selskaper som eier kritisk digital kommunikasjonsinfrastruktur eller underleverandører til disse, gjennomført av Menon Economics.</w:t>
      </w:r>
    </w:p>
    <w:p w14:paraId="259927BB" w14:textId="77777777" w:rsidR="004B1A63" w:rsidRDefault="004B1A63" w:rsidP="00015951">
      <w:pPr>
        <w:pStyle w:val="Nummerertliste"/>
        <w:numPr>
          <w:ilvl w:val="0"/>
          <w:numId w:val="61"/>
        </w:numPr>
      </w:pPr>
      <w:r>
        <w:t>I rapporten har det særlig vært fokus på å bringe på det rene utenlandsk eierskap gjennom flere ledd i eierskapskjeden, i tillegg til at det også for eksempel gjøres vurderinger av risiko knyttet til utenlandsk eierskap. Rapporten er behandlet i kapittel 6.</w:t>
      </w:r>
    </w:p>
    <w:p w14:paraId="7F95F3EA" w14:textId="4AA25E2C" w:rsidR="004B1A63" w:rsidRDefault="004B1A63" w:rsidP="00015951">
      <w:pPr>
        <w:pStyle w:val="Nummerertliste"/>
        <w:numPr>
          <w:ilvl w:val="0"/>
          <w:numId w:val="61"/>
        </w:numPr>
      </w:pPr>
      <w:r>
        <w:t>En juridisk vurdering av rettslige rammer for kontroll med kritisk digital infrastruktur, foretatt av professor Christoffer Conrad Eriksen ved Institutt for offentlig rett, Det juridiske fakultet, Universitetet i Oslo.</w:t>
      </w:r>
    </w:p>
    <w:p w14:paraId="36BB670C" w14:textId="77777777" w:rsidR="004B1A63" w:rsidRDefault="004B1A63">
      <w:r>
        <w:t>Utredningen tar for seg hvilke forutsetninger som må til for at norske myndigheter kan pålegge og håndheve vilkår som fastsettes overfor utenlandske selskaper som blir eier av eller får kontroll over kritisk digital kommunikasjonsinfrastruktur i Norge. Vurderinger fra rapporten er benyttet i kapittel 9 og 13.</w:t>
      </w:r>
    </w:p>
    <w:p w14:paraId="4E6D07C2" w14:textId="77777777" w:rsidR="004B1A63" w:rsidRDefault="004B1A63">
      <w:r>
        <w:t>I denne rapporten vil vi heretter referere til de tre utredningene som følger: OE/NUPI (2024), Menon (2024) og Eriksen (2024).</w:t>
      </w:r>
    </w:p>
    <w:p w14:paraId="47CF737E" w14:textId="77777777" w:rsidR="004B1A63" w:rsidRDefault="004B1A63">
      <w:r>
        <w:t>De tre utredningene er inntatt som vedlegg 2-4 i denne rapporten.</w:t>
      </w:r>
    </w:p>
    <w:p w14:paraId="0537F00D" w14:textId="77777777" w:rsidR="004B1A63" w:rsidRDefault="004B1A63" w:rsidP="00B334C6">
      <w:pPr>
        <w:pStyle w:val="del-tittel"/>
      </w:pPr>
      <w:r>
        <w:lastRenderedPageBreak/>
        <w:t>DEL II Om kritisk digital kommunikasjonsinfrastruktur og nasjonal kontroll</w:t>
      </w:r>
    </w:p>
    <w:p w14:paraId="60070E26" w14:textId="1CDA1711" w:rsidR="0016021B" w:rsidRPr="0016021B" w:rsidRDefault="004B4E04" w:rsidP="0016021B">
      <w:r>
        <w:rPr>
          <w:noProof/>
        </w:rPr>
        <w:drawing>
          <wp:inline distT="0" distB="0" distL="0" distR="0" wp14:anchorId="3EE842AA" wp14:editId="55E47718">
            <wp:extent cx="3657600" cy="2581275"/>
            <wp:effectExtent l="0" t="0" r="0" b="0"/>
            <wp:docPr id="6" name="Bilde 33" descr="Bilde av Tromsø vinterlys, tatt fra avstand som også viser sjø og majestetiske fjell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33" descr="Bilde av Tromsø vinterlys, tatt fra avstand som også viser sjø og majestetiske fjell i bakgrunn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4E00DDFE" w14:textId="77777777" w:rsidR="004B1A63" w:rsidRDefault="004B1A63" w:rsidP="009A50E9">
      <w:pPr>
        <w:pStyle w:val="Overskrift1"/>
      </w:pPr>
      <w:r>
        <w:t>Om ekomsektoren</w:t>
      </w:r>
    </w:p>
    <w:p w14:paraId="43BCB526" w14:textId="45C5BF82" w:rsidR="0016021B" w:rsidRPr="0016021B" w:rsidRDefault="004B4E04" w:rsidP="0016021B">
      <w:r>
        <w:rPr>
          <w:noProof/>
        </w:rPr>
        <w:drawing>
          <wp:inline distT="0" distB="0" distL="0" distR="0" wp14:anchorId="3FB08C32" wp14:editId="4314E388">
            <wp:extent cx="3657600" cy="2581275"/>
            <wp:effectExtent l="0" t="0" r="0" b="0"/>
            <wp:docPr id="7" name="Bilde 32" descr="Bilde av mange lyssatte fiberpar på blå bakgr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32" descr="Bilde av mange lyssatte fiberpar på blå bakgrun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125126C1" w14:textId="77777777" w:rsidR="004B1A63" w:rsidRDefault="004B1A63">
      <w:pPr>
        <w:pStyle w:val="Overskrift2"/>
      </w:pPr>
      <w:r>
        <w:t>Innledning</w:t>
      </w:r>
    </w:p>
    <w:p w14:paraId="4E48668C" w14:textId="0AD0BE02" w:rsidR="004B1A63" w:rsidRDefault="004B1A63" w:rsidP="006F4031">
      <w:r>
        <w:t xml:space="preserve">Den norske ekomsektoren leverer elektroniske kommunikasjonsnett og -tjenester til hele landet. Sammen med datasentre danner disse nettene og tjenestene det som gjerne omtales som </w:t>
      </w:r>
      <w:r w:rsidRPr="00015951">
        <w:rPr>
          <w:rStyle w:val="kursiv"/>
        </w:rPr>
        <w:t>den digitale grunnmuren</w:t>
      </w:r>
      <w:r>
        <w:t>.</w:t>
      </w:r>
      <w:r w:rsidR="00015951" w:rsidRPr="00015951">
        <w:rPr>
          <w:rStyle w:val="Fotnotereferanse"/>
        </w:rPr>
        <w:footnoteReference w:id="4"/>
      </w:r>
      <w:r>
        <w:t xml:space="preserve"> Denne </w:t>
      </w:r>
      <w:r w:rsidR="00015951">
        <w:t>«</w:t>
      </w:r>
      <w:r>
        <w:t>grunnmuren</w:t>
      </w:r>
      <w:r w:rsidR="00015951">
        <w:t>»</w:t>
      </w:r>
      <w:r>
        <w:t xml:space="preserve"> består av en rekke ulike tilbyderes infrastruktur, og de som leverer tjenestene sine via nettene, kan selv være eiere av nettene eller aktører som tilbyr tjenester basert på kjøp av tilgang til nett og tjenester fra andre.</w:t>
      </w:r>
    </w:p>
    <w:p w14:paraId="4A92D7AF" w14:textId="77777777" w:rsidR="004B1A63" w:rsidRDefault="004B1A63">
      <w:r>
        <w:lastRenderedPageBreak/>
        <w:t>I denne delen av rapporten gir vi en innføring i ekomsektoren for å vise på et helt overordnet nivå hvordan sektoren ser ut i dag, og hvordan den økende digitaliseringen av samfunnet vårt og ikke minst konkurranse om å levere ekomtjenester, har bidratt til å utvikle sektoren.</w:t>
      </w:r>
    </w:p>
    <w:p w14:paraId="7E6931B5" w14:textId="77777777" w:rsidR="004B1A63" w:rsidRDefault="004B1A63">
      <w:r>
        <w:t>Utvalget har på ingen måte tatt mål av seg å gi en komplett beskrivelse av sektoren, da dette ikke er en del av mandatet, men heller sette sektoren inn i en ramme før vi ser nærmere på de ulike aktørene som i dag eier eller kontrollerer kritisk digital kommunikasjonsinfrastruktur.</w:t>
      </w:r>
    </w:p>
    <w:p w14:paraId="24A4E47E" w14:textId="77777777" w:rsidR="004B1A63" w:rsidRDefault="004B1A63">
      <w:pPr>
        <w:pStyle w:val="Overskrift2"/>
      </w:pPr>
      <w:r>
        <w:t>Noen korte fakta om ekomsektoren</w:t>
      </w:r>
    </w:p>
    <w:p w14:paraId="64DE7370" w14:textId="77777777" w:rsidR="004B1A63" w:rsidRDefault="004B1A63" w:rsidP="006F4031">
      <w:r>
        <w:t>Nasjonal kommunikasjonsmyndighet (Nkom) samler inn og offentliggjør årlig informasjon om utviklingen i ekomsektoren. I etterkant av liberaliseringen av det gamle telemonopolet siste halvdel av 1990-tallet, har den norske ekomsektoren utviklet seg med etablering av en rekke tjenestetilbud og tilbydere som konkurrerer om å tilby sine tjenester til offentlige og private kunder. Tidligere krav om konsesjon ble med ekomloven fra 2003 erstattet av en generell tillatelse gjennom det rettslige rammeverket, samt en registreringsplikt hos Nkom. Individuelle tillatelser ble begrenset til å omfatte frekvenstillatelser og nummer innenfor nasjonal nummerplan.</w:t>
      </w:r>
    </w:p>
    <w:p w14:paraId="44FF7C55" w14:textId="77777777" w:rsidR="004B1A63" w:rsidRDefault="004B1A63">
      <w:r>
        <w:t>Ser vi på nøkkeltall for sektoren, viser disse at ekomsektoren i 2023 samlet omsatte for i underkant av 39 milliarder kroner. Tallene er hentet inn fra 150 større og mindre tilbydere og tar utgangspunkt i tilbydernes fakturering av egne kunder, men inkluderer for eksempel ikke TV-abonnement eller utleie eller salg av utstyr som for eksempel mobiltelefoner.</w:t>
      </w:r>
    </w:p>
    <w:p w14:paraId="1851B142" w14:textId="77777777" w:rsidR="004B1A63" w:rsidRDefault="004B1A63">
      <w:r>
        <w:t>Den norske ekomsektoren har gjort betydelige investeringer for å bygge ut infrastruktur i hele landet. Investeringsandelen målt mot omsetning har i en årrekke ligget på over 1/3. Det er særlig investeringer i mobilnett (4G og 5G), samt fiberbredbånd som har bidratt til de høye investeringstallene i de senere årene. Det ble foretatt investeringer i varige driftsmidler for elektroniske kommunikasjonsnett og -tjenester på mer enn 12,6 milliarder kroner i 2023, og samlet rundt 63,6 milliarder kroner for årene 2019-2023.</w:t>
      </w:r>
    </w:p>
    <w:p w14:paraId="1109E56E" w14:textId="77777777" w:rsidR="004B1A63" w:rsidRDefault="004B1A63">
      <w:r>
        <w:t>I tillegg kommer investeringer i datasentre. Dette er tall Nkom foreløpig ikke har tilgang til, men i en rapport estimerer Norsk Datasenterindustri investeringer på 20-30 milliarder kroner per år i årene fremover.</w:t>
      </w:r>
    </w:p>
    <w:p w14:paraId="43B36622" w14:textId="77777777" w:rsidR="004B1A63" w:rsidRDefault="004B1A63">
      <w:r w:rsidRPr="00015951">
        <w:rPr>
          <w:rStyle w:val="kursiv"/>
        </w:rPr>
        <w:t>Romindustrien</w:t>
      </w:r>
      <w:r>
        <w:t xml:space="preserve"> er heller ikke inkludert i disse tallene. På dette området er særlig introduksjonen av lavbane-satellitter (LEO – Low Earth Orbit) interessant fordi de vil kunne gi konnektivitet i områder som ikke er dekket av eksisterende fastnett eller mobilnett.</w:t>
      </w:r>
    </w:p>
    <w:p w14:paraId="5461F088" w14:textId="77777777" w:rsidR="004B1A63" w:rsidRDefault="004B1A63">
      <w:r>
        <w:t xml:space="preserve">Knyttet til vurderingen av kritisk digital kommunikasjonsinfrastruktur, er det viktig å påpeke at det ikke nødvendigvis er et én-til-én-forhold mellom de som eier eller kontrollerer infrastruktur og de som tilbyr tjenester som leveres over infrastrukturen. Ekomsektoren består av en rekke tilbydere som baserer sitt tilbud på grossisttilgang hos ulike infrastruktureiere og på den måten konkurrerer om offentlige og private kontrakter. Dette innebærer at en samfunnskritisk tjeneste kan leveres over </w:t>
      </w:r>
      <w:r>
        <w:lastRenderedPageBreak/>
        <w:t>infrastrukturen til en infrastruktureier uten at denne nødvendigvis er kjent med kritikaliteten til virksomheter som benytter tjenestene som leveres over infrastrukturen.</w:t>
      </w:r>
    </w:p>
    <w:p w14:paraId="4C556480" w14:textId="77777777" w:rsidR="004B1A63" w:rsidRDefault="004B1A63">
      <w:pPr>
        <w:pStyle w:val="Overskrift2"/>
        <w:spacing w:before="425"/>
      </w:pPr>
      <w:r>
        <w:t>Markedsmessig utvikling – konsolidering og konvergens mellom nett og tjenester</w:t>
      </w:r>
    </w:p>
    <w:p w14:paraId="02FD6D34" w14:textId="77777777" w:rsidR="004B1A63" w:rsidRDefault="004B1A63" w:rsidP="006F4031">
      <w:r>
        <w:t>Det norske ekommarkedet består i dag av en rekke ulike selskaper som tilbyr tilgang til digitale kommunikasjonsnett og -tjenester, og dette landskapet er stadig i endring etter hvert som selskaper kjøpes opp eller avvikles, eller nye selskaper etableres. Forretningsmodellene bak de enkelte selskapene kan variere, avhengig av om eier for eksempel har en finansiell tilnærming til drift med ønske om fremtidig oppkjøp i tankene eller er en mer industriell og langsiktig eier.</w:t>
      </w:r>
    </w:p>
    <w:p w14:paraId="4F530A2E" w14:textId="77777777" w:rsidR="004B1A63" w:rsidRDefault="004B1A63">
      <w:r>
        <w:t>Telenor har en solid markedsposisjon i det norske markedet, med utgangspunkt i selskapets landsdekkende mobil- og bredbåndsinfrastruktur. Denne posisjonen har i de senere årene blitt utfordret av både Telia og ice (nå Lyse Tele). Gjennom oppkjøp av andre selskap har Telia og Lyse Tele kontroll over infrastruktur som innebærer at de har både fastnett og mobilnett i Norge (dekningen er dog ikke nødvendigvis helt lik). Denne utviklingen bidrar for eksempel til at alle de tre selskapene kan tilby komplette løsninger i både bedriftsmarkedet og privatmarkedet, og er i ferd med å oppfylle den politiske målsettingen om å ha tre fullverdige mobilnett i Norge.</w:t>
      </w:r>
    </w:p>
    <w:p w14:paraId="3FBA5996" w14:textId="77777777" w:rsidR="004B1A63" w:rsidRDefault="004B1A63">
      <w:r>
        <w:t>I markedet for fast bredbånd er Altibox-partnerne og GlobalConnect viktige aktører med utstrakt bredbåndsinfrastruktur som danner grunnlag for solide markedsposisjoner i privat- og bedriftsmarkedene.</w:t>
      </w:r>
    </w:p>
    <w:p w14:paraId="6B0B95EC" w14:textId="77777777" w:rsidR="004B1A63" w:rsidRDefault="004B1A63">
      <w:r>
        <w:t>Telenor er fortsatt den klart største aktøren i det norske markedet målt i total omsetning. Selskapets andel av samlet omsetning var på 43,8 prosent første halvår 2024, med Telia på andreplass med 23,5 prosent av samlet omsetning.</w:t>
      </w:r>
    </w:p>
    <w:p w14:paraId="3683750C" w14:textId="77777777" w:rsidR="004B1A63" w:rsidRDefault="004B1A63">
      <w:r>
        <w:t>På tjeneste- og infrastruktursiden ser vi at det har vært en utvikling ved at flere tjenester som tidligere ble levert i ulike nett og med ulik teknologi, nå smelter sammen og leveres via internett-teknologi (pakke-svitsjede nett). Dette gir mulighet for sømløs overgang mellom ulike typer nett (fast/trådløst) for tjenester mange benytter seg av i det daglige. For arbeidslivets del er det for eksempel kan det være en fordel å kunne flytte samtaler på Teams mellom ulike enheter (PC til mobil) dersom man er nødt til å ta deler av et møte på farten.</w:t>
      </w:r>
    </w:p>
    <w:p w14:paraId="6C2E2001" w14:textId="77777777" w:rsidR="004B1A63" w:rsidRDefault="004B1A63">
      <w:pPr>
        <w:pStyle w:val="Overskrift2"/>
        <w:spacing w:before="425"/>
      </w:pPr>
      <w:r>
        <w:t>Nye aktører med egen infrastruktur – en internasjonal sektor i stadig endring</w:t>
      </w:r>
    </w:p>
    <w:p w14:paraId="408EAD9D" w14:textId="77777777" w:rsidR="004B1A63" w:rsidRDefault="004B1A63" w:rsidP="006F4031">
      <w:r>
        <w:t xml:space="preserve">Ekomsektoren er i sin natur internasjonal. Dette vises godt ved at flere aktører har etablert tjenestetilbud med egen infrastruktur i flere ulike land, men ikke minst fordi </w:t>
      </w:r>
      <w:r w:rsidRPr="00015951">
        <w:rPr>
          <w:rStyle w:val="kursiv"/>
        </w:rPr>
        <w:t>innholdet</w:t>
      </w:r>
      <w:r>
        <w:t xml:space="preserve"> vi konsumerer og tjenestene vi benytter oss av, leveres av store internasjonale selskaper som Alphabet (Google), Amazon, Microsoft, Meta (Facebook) og ByteDance (TikTok) med opphav utenfor Europas grenser.</w:t>
      </w:r>
    </w:p>
    <w:p w14:paraId="3CA74590" w14:textId="77777777" w:rsidR="004B1A63" w:rsidRDefault="004B1A63">
      <w:r>
        <w:lastRenderedPageBreak/>
        <w:t>I Norden er Telenor, Telia og GlobalConnect eksempler på aktører som minst har et skandinavisk fotavtrykk for sine nettverk. I Europa for øvrig finnes flere eksempler på multinasjonale selskaper som drifter nett og tjenester i flere av medlemsstatene i EU og med forgreninger til andre deler av verden. Mens Telenor i en årrekke har hatt virksomhet i Asia, er for eksempel Deutsche Telekom blant de største mobilnettaktørene i USA, i tillegg til at selskapet har aktivitet i Canada.</w:t>
      </w:r>
    </w:p>
    <w:p w14:paraId="782483DE" w14:textId="6A2CBEA2" w:rsidR="004B1A63" w:rsidRDefault="004B1A63">
      <w:r>
        <w:t xml:space="preserve">Fremveksten av store internasjonale innholdsleverandører endrer måten bransjen og kundene tilnærmer seg tjenester og informasjon som leveres over ekomnettene, på. I Nkoms rapport </w:t>
      </w:r>
      <w:r w:rsidR="00015951">
        <w:t>«</w:t>
      </w:r>
      <w:r>
        <w:t>Internett i Norge – Årsrapport 2024</w:t>
      </w:r>
      <w:r w:rsidR="00015951">
        <w:t>»</w:t>
      </w:r>
      <w:r>
        <w:t xml:space="preserve"> fremgår det for eksempel at man på et aggregert nivå har en årlig vekst i internettrafikken på om lag 20-30 prosent. Strømmetjenester er den største trafikkdriveren og står for omtrent 70 prosent av trafikken i nettene. I et 10-15 års perspektiv går det derfor an å trekke frem spesielt to viktige trender – fremveksten av sjøkabler og etablering av en ny datasenternæring i Norge. Disse to trendene henger tett sammen. Kombinasjonen sjøkabler og lokale datasentre gir brukerne rask tilgang til data med lav responstid.</w:t>
      </w:r>
    </w:p>
    <w:p w14:paraId="2BE3E4B2" w14:textId="0066A2D3" w:rsidR="004B1A63" w:rsidRDefault="004B1A63">
      <w:r>
        <w:t>De siste 10 årene er det etablert eller under planlegging flere store sjøfiberkabler som knytter Norge til Europa og verden for øvrig. Denne type internasjonal konnektivitet bidrar til både redundante og diversifiserte internettforbindelser for datatrafikken innad samt til/fra Norge, men kan også sees i sammenheng med det politiske siktemålet om å gjøre Norge til et attraktivt land å investere og bygge datasenter i.</w:t>
      </w:r>
      <w:r w:rsidR="00015951" w:rsidRPr="00015951">
        <w:rPr>
          <w:rStyle w:val="Fotnotereferanse"/>
        </w:rPr>
        <w:footnoteReference w:id="5"/>
      </w:r>
      <w:r>
        <w:t xml:space="preserve"> Altibox Carrier, Bulk og Tampnet er eksempler på aktører som har etablert internasjonale sjøfiberforbindelser til/fra Norge.</w:t>
      </w:r>
    </w:p>
    <w:p w14:paraId="60C93CAE" w14:textId="77777777" w:rsidR="004B1A63" w:rsidRDefault="004B1A63">
      <w:r>
        <w:t>Flere regjeringer har vært pådrivere for å legge til rette for etablering av datasentre i Norge. Regjeringen Gahr Støre ved digitaliserings- og forvaltningsminister Karianne Oldernes Tung har varslet at det skal legges frem en ny datasenterstrategi våren 2025. Datasenternæringen er i fremvekst, og flere eksisterende datasenteraktører som for eksempel Bulk, Lefdal Mine Datacenter, Green Mountain og Stack er omtalt i denne rapporten.</w:t>
      </w:r>
    </w:p>
    <w:p w14:paraId="2329CC02" w14:textId="18864FE5" w:rsidR="004B1A63" w:rsidRDefault="004B1A63">
      <w:r>
        <w:t>I tillegg er det naturlig å se på en tredje trend innen teknologiutvikling, nemlig utviklingen innen satellittkommunikasjonstjenester. Fremveksten av lavbane-satellitter er med på å kunne gi gode bredbåndstjenester i områder som hittil ikke har vært dekket av annen teknologi. Satellittkommunikasjonsløsninger basert på geo-stasjonære satellitter som er posisjonert mye lengre ut i verdensrommet har sine klare begrensninger knyttet til ned- og opplastingshastighet, i tillegg til lang responstid, men dette bildet endres nå.</w:t>
      </w:r>
      <w:r w:rsidR="00015951" w:rsidRPr="00015951">
        <w:rPr>
          <w:rStyle w:val="Fotnotereferanse"/>
        </w:rPr>
        <w:footnoteReference w:id="6"/>
      </w:r>
      <w:r>
        <w:t xml:space="preserve"> Både amerikanske Starlink og Project Kuiper (Amazon) er aktive her, men </w:t>
      </w:r>
      <w:r>
        <w:lastRenderedPageBreak/>
        <w:t>også europeiske Eutelsat OneWeb er eksempel på europeisk selskap. I tillegg kommer EUs IRIS-program</w:t>
      </w:r>
      <w:r w:rsidR="00015951" w:rsidRPr="00015951">
        <w:rPr>
          <w:rStyle w:val="Fotnotereferanse"/>
        </w:rPr>
        <w:footnoteReference w:id="7"/>
      </w:r>
      <w:r>
        <w:t xml:space="preserve"> der man har avsatt 2,4 milliarder euro i perioden 2023-2027 for å skape et sikkert satellittbasert kommunikasjonsalternativ for i medlemslandene, men som også tar sikte på å kunne tilby kommersielle kommunikasjonstjenester.</w:t>
      </w:r>
    </w:p>
    <w:p w14:paraId="158438AE" w14:textId="77777777" w:rsidR="004B1A63" w:rsidRDefault="004B1A63" w:rsidP="009A50E9">
      <w:pPr>
        <w:pStyle w:val="Overskrift1"/>
      </w:pPr>
      <w:r>
        <w:t>Nasjonal kontroll med digital infrastruktur</w:t>
      </w:r>
    </w:p>
    <w:p w14:paraId="44B70DCF" w14:textId="56126798" w:rsidR="0016021B" w:rsidRPr="0016021B" w:rsidRDefault="004B4E04" w:rsidP="0016021B">
      <w:r>
        <w:rPr>
          <w:noProof/>
        </w:rPr>
        <w:drawing>
          <wp:inline distT="0" distB="0" distL="0" distR="0" wp14:anchorId="49677DEC" wp14:editId="74030787">
            <wp:extent cx="3657600" cy="2581275"/>
            <wp:effectExtent l="0" t="0" r="0" b="0"/>
            <wp:docPr id="8" name="Bilde 31" descr="Bilde av mann som sager bort trær som har veltet over stolper med ledningsnett. Bildet er tatt på vinterstid med snødekte tr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31" descr="Bilde av mann som sager bort trær som har veltet over stolper med ledningsnett. Bildet er tatt på vinterstid med snødekte træ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0C7F176C" w14:textId="77777777" w:rsidR="004B1A63" w:rsidRDefault="004B1A63">
      <w:pPr>
        <w:pStyle w:val="Overskrift2"/>
      </w:pPr>
      <w:r>
        <w:t>Hva er nasjonal kontroll</w:t>
      </w:r>
    </w:p>
    <w:p w14:paraId="02B24428" w14:textId="77777777" w:rsidR="004B1A63" w:rsidRDefault="004B1A63">
      <w:pPr>
        <w:pStyle w:val="Overskrift3"/>
        <w:spacing w:before="0"/>
      </w:pPr>
      <w:r>
        <w:t>Innledning</w:t>
      </w:r>
    </w:p>
    <w:p w14:paraId="0BED75AC" w14:textId="435D370E" w:rsidR="004B1A63" w:rsidRDefault="004B1A63">
      <w:r>
        <w:t>Problemstillinger rundt nasjonal kontroll ble for alvor satt på spissen i forbindelse med Russlands fullskala angrepskrig mot Ukraina. Kort tid etter invasjonen i 2022 ble Elon Musk-eide SpaceX sin satellittjeneste Starlink tilgjengeliggjort for Ukraina. Også en rekke satellitterminaler ble anskaffet og donert, slik at ukrainske myndigheter kunne opprettholde kommunikasjon når deres egen telekom- og kraftinfrastruktur ble angrepet. Det er rapportert at Ukraina hadde stor nytte av dette. I ettertid var Musk imidlertid involvert i flere kontroverser, blant annet ved å nekte Ukraina tilgang til Starlink for offensive militæroperasjoner.</w:t>
      </w:r>
      <w:r w:rsidR="00015951" w:rsidRPr="00015951">
        <w:rPr>
          <w:rStyle w:val="Fotnotereferanse"/>
        </w:rPr>
        <w:footnoteReference w:id="8"/>
      </w:r>
      <w:r>
        <w:t xml:space="preserve"> I dette tilfellet manglet Ukraina egnede kommunikasjonstjenester under egen nasjonal kontroll og var prisgitt én enkelt aktør utenfor egen jurisdiksjon, og som kunne sette egne betingelser for tilgang på tjenesten.</w:t>
      </w:r>
    </w:p>
    <w:p w14:paraId="2FC7F15F" w14:textId="08358449" w:rsidR="004B1A63" w:rsidRDefault="004B1A63">
      <w:r>
        <w:t xml:space="preserve">Et motsatt eksempel var hvordan Ukraina håndterte sine offentlige data i forbindelse med invasjonen. Tidligere ble disse lagret på lokale servere i Ukraina, under nasjonal kontroll. Imidlertid ble disse datasentrene vurdert som mulige mål for militære angrep. Rett før invasjonen ble det åpnet for at kritiske offentlige data kunne migreres over på offentlige skytjenester, blant annet på Microsofts </w:t>
      </w:r>
      <w:r>
        <w:lastRenderedPageBreak/>
        <w:t>skyplattform</w:t>
      </w:r>
      <w:r w:rsidR="00015951" w:rsidRPr="00015951">
        <w:rPr>
          <w:rStyle w:val="Fotnotereferanse"/>
        </w:rPr>
        <w:footnoteReference w:id="9"/>
      </w:r>
      <w:r>
        <w:t xml:space="preserve">, slik at dataene kunne flyttes ut av Ukraina og spres på datasentre i Europa. I dette tilfellet var det fordelaktig å </w:t>
      </w:r>
      <w:r w:rsidR="00015951">
        <w:t>«</w:t>
      </w:r>
      <w:r>
        <w:t>redusere</w:t>
      </w:r>
      <w:r w:rsidR="00015951">
        <w:t>»</w:t>
      </w:r>
      <w:r>
        <w:t xml:space="preserve"> den nasjonale kontrollen med dataene for å beskytte dem.</w:t>
      </w:r>
    </w:p>
    <w:p w14:paraId="2483A897" w14:textId="7673FF15" w:rsidR="004B1A63" w:rsidRDefault="004B1A63">
      <w:r>
        <w:t xml:space="preserve">Konseptet med å kunne evakuere kritisk data ut av landet i forbindelse med krise og krig er ikke nytt. I 2017 signerte statsministrene i Estland og Luxembourg avtale om å etablere en estisk </w:t>
      </w:r>
      <w:r w:rsidR="00015951">
        <w:t>«</w:t>
      </w:r>
      <w:r>
        <w:t>data-ambassade</w:t>
      </w:r>
      <w:r w:rsidR="00015951">
        <w:t>»</w:t>
      </w:r>
      <w:r>
        <w:t xml:space="preserve"> i Luxembourg, i form av datasentre, med tilsvarende juridisk beskyttelse som en fysisk ambassade.</w:t>
      </w:r>
      <w:r w:rsidR="00015951" w:rsidRPr="00015951">
        <w:rPr>
          <w:rStyle w:val="Fotnotereferanse"/>
        </w:rPr>
        <w:footnoteReference w:id="10"/>
      </w:r>
      <w:r>
        <w:t xml:space="preserve"> Her lagrer Estland backup av viktige offentlige data, som eiendomsregistre, folkeregister osv.</w:t>
      </w:r>
      <w:r w:rsidR="00015951" w:rsidRPr="00015951">
        <w:rPr>
          <w:rStyle w:val="Fotnotereferanse"/>
        </w:rPr>
        <w:footnoteReference w:id="11"/>
      </w:r>
    </w:p>
    <w:p w14:paraId="69E76056" w14:textId="77777777" w:rsidR="004B1A63" w:rsidRDefault="004B1A63">
      <w:r>
        <w:t>Innenfor elektronisk kommunikasjon vil ulike sikkerhetstiltak måtte tilpasses behovet for kommunikasjonens tilgjengelighet, integritet og konfidensialitet. For eksempel vil det i en ekstremværsituasjon være viktigere å sikre at mobilkommunikasjon er tilgjengelig for redningspersonell og innbyggere, enn at den er avlyttingssikker. Ved utveksling av informasjon som kan skade nasjonale sikkerhetsinteresser om den kommer på avveie, så vil det å sikre kommunikasjonens konfidensialitet som oftest være det viktigste behovet.</w:t>
      </w:r>
    </w:p>
    <w:p w14:paraId="6C67C3A1" w14:textId="77777777" w:rsidR="004B1A63" w:rsidRDefault="004B1A63">
      <w:r>
        <w:t>Ofte kan hensynene til elektronisk kommunikasjons tilgjengelighet, integritet og konfidensialitet komme i konflikt med hverandre. I tillegg må sikkerhet hele tiden avveies mot andre viktige samfunnshensyn. Digital infrastruktur er i hovedsak eid og driftet av private aktører i et fritt konkurransemarked, og en del av en teknologisk kompleks sektor som krever tunge investeringer. I et lite land som Norge er derfor utenlandske investeringer og partnerskap, samt tilgang til utenlandsk teknologi og kompetanse, avgjørende for å sikre konkurransekraft, innovasjon og utvikling.</w:t>
      </w:r>
    </w:p>
    <w:p w14:paraId="63C8EDB9" w14:textId="5117D4D3" w:rsidR="004B1A63" w:rsidRDefault="004B1A63">
      <w:r>
        <w:t>Å legge til rette for konkurranse, innovasjon og teknologisk utvikling står ikke i motstrid med behovet for sikkerhet, heller tvert imot. For eksempel har norske myndigheter besluttet at dagens Nødnett, som er en separat og fullt ut statlig eid sambandsinfrastruktur for nød- og beredskapsetater, skal fases ut, og erstattes med nytt konsept for nød- og beredskapstjenester som kombinerer statlig eierskap med kjøp fra kommersielle mobiloperatører</w:t>
      </w:r>
      <w:r w:rsidR="00015951" w:rsidRPr="00015951">
        <w:rPr>
          <w:rStyle w:val="Fotnotereferanse"/>
        </w:rPr>
        <w:footnoteReference w:id="12"/>
      </w:r>
      <w:r>
        <w:t>:</w:t>
      </w:r>
    </w:p>
    <w:p w14:paraId="2E54C453" w14:textId="51D852AF" w:rsidR="004B1A63" w:rsidRPr="00015951" w:rsidRDefault="00015951">
      <w:pPr>
        <w:pStyle w:val="blokksit"/>
      </w:pPr>
      <w:r>
        <w:t>«</w:t>
      </w:r>
      <w:r w:rsidR="004B1A63" w:rsidRPr="00015951">
        <w:t>Kombinasjonen utnytter styrkene fra offentlig og privat sektor. Staten vil benytte ulike virkemidler, som eierskap, sikkerhetsloven, regulering, tilsyn og avtaler for å oppnå tilstrekkelig grad av nasjonal kontroll og forsvarlig sikkerhet i nytt nødnett.</w:t>
      </w:r>
      <w:r>
        <w:t>»</w:t>
      </w:r>
    </w:p>
    <w:p w14:paraId="04FC7022" w14:textId="77777777" w:rsidR="004B1A63" w:rsidRDefault="004B1A63">
      <w:r>
        <w:t xml:space="preserve">Den sentrale utfordringen er derfor å vurdere behovet for sikkerhet og nasjonal kontroll sammen med hensynet til konkurranse, innovasjon og utvikling. Som for sikkerhetstiltak for øvrig, er nasjonal kontroll et virkemiddel som kan ha stor betydning for sikkerheten i noen tilfeller, men begrenset eller </w:t>
      </w:r>
      <w:r>
        <w:lastRenderedPageBreak/>
        <w:t>ingen effekt i andre tilfeller. I noen tilfeller kan det sågar være hensiktsmessig at infrastruktur eller tjenester er plassert utenfor Norge, for å ivareta nasjonale sikkerhetsinteresser.</w:t>
      </w:r>
    </w:p>
    <w:p w14:paraId="636682DE" w14:textId="77777777" w:rsidR="004B1A63" w:rsidRDefault="004B1A63">
      <w:pPr>
        <w:pStyle w:val="Overskrift3"/>
      </w:pPr>
      <w:r>
        <w:t>Ulike definisjoner og beskrivelser</w:t>
      </w:r>
    </w:p>
    <w:p w14:paraId="6EB77987" w14:textId="10D03EC6" w:rsidR="004B1A63" w:rsidRDefault="004B1A63">
      <w:r>
        <w:t xml:space="preserve">Nasjonal kontroll er ett av flere virkemidler for å oppnå nasjonal sikkerhet. </w:t>
      </w:r>
      <w:r w:rsidR="00015951">
        <w:t xml:space="preserve">Meld. St. </w:t>
      </w:r>
      <w:r w:rsidR="00015951">
        <w:t>9</w:t>
      </w:r>
      <w:r>
        <w:t xml:space="preserve"> (2022–2023) omtaler nasjonal kontroll sammen med en rekke andre virkemidler for å bygge digital motstandskraft. Andre virkemidler omfatter eksportkontroll, sikker teknisk design, hendelseshåndtering, spesialistkompetanse, veiledningsressurser mv. Dette kapitlet ser nærmere på begrepet nasjonal kontroll.</w:t>
      </w:r>
    </w:p>
    <w:p w14:paraId="2B00AC4B" w14:textId="560AD08E" w:rsidR="004B1A63" w:rsidRDefault="004B1A63" w:rsidP="008D2BE4">
      <w:pPr>
        <w:spacing w:after="227"/>
      </w:pPr>
      <w:r>
        <w:t xml:space="preserve">Nasjonal kontroll er ikke entydig definert. Siden ekomsikkerhetsutvalget har blitt nedsatt som et av tiltakene i </w:t>
      </w:r>
      <w:r w:rsidR="00015951">
        <w:t xml:space="preserve">Meld. St. </w:t>
      </w:r>
      <w:r w:rsidR="00015951">
        <w:t>9</w:t>
      </w:r>
      <w:r>
        <w:t xml:space="preserve"> (2022–2023), er det naturlig å ta utgangspunkt i beskrivelsen av begrepet nasjonal kontroll i denne stortingsmeldingen. Her er begrepet knyttet til </w:t>
      </w:r>
      <w:r w:rsidRPr="00015951">
        <w:rPr>
          <w:rStyle w:val="kursiv"/>
        </w:rPr>
        <w:t xml:space="preserve">evnen til å ivareta nasjonale sikkerhetsinteresser. </w:t>
      </w:r>
      <w:r>
        <w:t>Nasjonale sikkerhetsinteresser</w:t>
      </w:r>
      <w:r w:rsidRPr="00015951">
        <w:rPr>
          <w:rStyle w:val="kursiv"/>
        </w:rPr>
        <w:t xml:space="preserve"> </w:t>
      </w:r>
      <w:r>
        <w:t xml:space="preserve">er i sikkerhetsloven </w:t>
      </w:r>
      <w:r w:rsidR="00015951">
        <w:t>§ </w:t>
      </w:r>
      <w:r w:rsidR="00015951">
        <w:t>1</w:t>
      </w:r>
      <w:r>
        <w:t>-5 nr. 1 er definert som følger:</w:t>
      </w:r>
    </w:p>
    <w:tbl>
      <w:tblPr>
        <w:tblStyle w:val="StandardBoks"/>
        <w:tblW w:w="0" w:type="auto"/>
        <w:tblLook w:val="04A0" w:firstRow="1" w:lastRow="0" w:firstColumn="1" w:lastColumn="0" w:noHBand="0" w:noVBand="1"/>
      </w:tblPr>
      <w:tblGrid>
        <w:gridCol w:w="10466"/>
      </w:tblGrid>
      <w:tr w:rsidR="001276DC" w14:paraId="7D249CD7" w14:textId="77777777" w:rsidTr="00015951">
        <w:tc>
          <w:tcPr>
            <w:tcW w:w="10606" w:type="dxa"/>
          </w:tcPr>
          <w:p w14:paraId="6DBDA142" w14:textId="759A240B" w:rsidR="00015951" w:rsidRDefault="001276DC" w:rsidP="001276DC">
            <w:pPr>
              <w:pStyle w:val="tittel-ramme"/>
            </w:pPr>
            <w:r>
              <w:t xml:space="preserve">Definisjon av nasjonale sikkerhetsinteresser i sikkerhetsloven </w:t>
            </w:r>
            <w:r w:rsidR="00015951">
              <w:t>§ </w:t>
            </w:r>
            <w:r w:rsidR="00015951">
              <w:t>1</w:t>
            </w:r>
            <w:r>
              <w:t>-5 nr. 1.</w:t>
            </w:r>
          </w:p>
          <w:p w14:paraId="69BAF5B2" w14:textId="3D9A911C" w:rsidR="001276DC" w:rsidRDefault="001276DC" w:rsidP="00B51BAF">
            <w:pPr>
              <w:pStyle w:val="Nummerertliste"/>
              <w:numPr>
                <w:ilvl w:val="0"/>
                <w:numId w:val="41"/>
              </w:numPr>
            </w:pPr>
            <w:r>
              <w:t>nasjonale sikkerhetsinteresser: landets suverenitet, territorielle integritet og demokratiske styreform og overordnede sikkerhetspolitiske interesser knyttet til</w:t>
            </w:r>
          </w:p>
          <w:p w14:paraId="44708F72" w14:textId="7897E046" w:rsidR="001276DC" w:rsidRDefault="001276DC" w:rsidP="001276DC">
            <w:pPr>
              <w:pStyle w:val="alfaliste3"/>
            </w:pPr>
            <w:r>
              <w:t>de øverste statsorganers virksomhet, sikkerhet og handlefrihet</w:t>
            </w:r>
          </w:p>
          <w:p w14:paraId="2D3BE3D4" w14:textId="3804B4EB" w:rsidR="001276DC" w:rsidRDefault="001276DC" w:rsidP="001276DC">
            <w:pPr>
              <w:pStyle w:val="alfaliste3"/>
            </w:pPr>
            <w:r>
              <w:t>forsvar, sikkerhet og beredskap</w:t>
            </w:r>
          </w:p>
          <w:p w14:paraId="6DA00691" w14:textId="7F9F2DD3" w:rsidR="001276DC" w:rsidRDefault="001276DC" w:rsidP="001276DC">
            <w:pPr>
              <w:pStyle w:val="alfaliste3"/>
            </w:pPr>
            <w:r>
              <w:t>forholdet til andre stater og internasjonale organisasjoner</w:t>
            </w:r>
          </w:p>
          <w:p w14:paraId="5062E629" w14:textId="7DC05756" w:rsidR="001276DC" w:rsidRDefault="001276DC" w:rsidP="001276DC">
            <w:pPr>
              <w:pStyle w:val="alfaliste3"/>
            </w:pPr>
            <w:r>
              <w:t>økonomisk stabilitet og handlefrihet</w:t>
            </w:r>
          </w:p>
        </w:tc>
      </w:tr>
    </w:tbl>
    <w:p w14:paraId="53DE769D" w14:textId="40F71B01" w:rsidR="004B1A63" w:rsidRDefault="004B1A63">
      <w:pPr>
        <w:spacing w:before="454"/>
      </w:pPr>
      <w:r>
        <w:t xml:space="preserve">Det følger av </w:t>
      </w:r>
      <w:r w:rsidR="00015951">
        <w:t xml:space="preserve">Prop. </w:t>
      </w:r>
      <w:r w:rsidR="00015951">
        <w:t>153</w:t>
      </w:r>
      <w:r w:rsidR="00015951">
        <w:t xml:space="preserve"> </w:t>
      </w:r>
      <w:r w:rsidR="00015951">
        <w:t>L (2016</w:t>
      </w:r>
      <w:r>
        <w:t xml:space="preserve">–2017) </w:t>
      </w:r>
      <w:r w:rsidRPr="00015951">
        <w:rPr>
          <w:rStyle w:val="kursiv"/>
        </w:rPr>
        <w:t>Lov om nasjonal sikkerhet</w:t>
      </w:r>
      <w:r>
        <w:t xml:space="preserve"> at nasjonale sikkerhetsinteresser omfatter primært </w:t>
      </w:r>
      <w:r w:rsidRPr="00015951">
        <w:rPr>
          <w:rStyle w:val="kursiv"/>
        </w:rPr>
        <w:t>statssikkerhet,</w:t>
      </w:r>
      <w:r>
        <w:t xml:space="preserve"> men også de deler av </w:t>
      </w:r>
      <w:r w:rsidRPr="00015951">
        <w:rPr>
          <w:rStyle w:val="kursiv"/>
        </w:rPr>
        <w:t>samfunnssikkerheten</w:t>
      </w:r>
      <w:r>
        <w:t xml:space="preserve"> som har vesentlig betydning for Norges evne til å ivareta sikkerhetsinteressene. Loven fanger derfor i større grad enn tidligere lov opp samfunnssikkerhetsperspektivet i tillegg til statssikkerheten. Det uttales i den nevnte proposisjonen at det i dagens samfunn har blitt vanskeligere å trekke en klar linje mellom statssikkerhet og samfunnssikkerhet, gitt både det komplekse trusselbildet, og de komplekse og gjensidige avhengighetene på tvers av samfunnssektorer, privat og offentlig virksomhet, og sivil og militær virksomhet. På samme bakgrunn vurderer utvalget at også sektorreguleringen i ekomsektoren delvis griper inn i forhold som omhandler nasjonale sikkerhetsinteresser, ved at flere av kravene i ekomloven og forskriften er knyttet til å ivareta </w:t>
      </w:r>
      <w:r w:rsidR="00015951">
        <w:t>«</w:t>
      </w:r>
      <w:r>
        <w:t>nasjonal sikkerhet</w:t>
      </w:r>
      <w:r w:rsidR="00015951">
        <w:t>»</w:t>
      </w:r>
      <w:r>
        <w:t>.</w:t>
      </w:r>
    </w:p>
    <w:p w14:paraId="187935D0" w14:textId="77777777" w:rsidR="004B1A63" w:rsidRDefault="004B1A63">
      <w:r>
        <w:t xml:space="preserve">Ifølge mandatet skal utvalget se på digital kommunikasjonsinfrastruktur som er viktig både for statssikkerheten, har betydning for samfunnssikkerheten og som bærer tjenester som har betydning for kritiske samfunnsfunksjoner. Derfor vil utvalget i rapporten bruke begrepet </w:t>
      </w:r>
      <w:r w:rsidRPr="00015951">
        <w:rPr>
          <w:rStyle w:val="kursiv"/>
        </w:rPr>
        <w:t>nasjonale sikkerhetsinteresser</w:t>
      </w:r>
      <w:r>
        <w:t xml:space="preserve"> i en bredere forstand, slik at det ikke bare er strengt avgrenset til definisjonen i sikkerhetsloven, men også kan omfatte nasjonal sikkerhet slik det omtalt i ekomloven. I utvalgets mandat er nasjonal kontroll tett knyttet til eierskap. Mandatet viser til Hurdalsplattformens budskap om at regjeringen skal vurdere i hvilke tilfeller staten bør ta eierskap til digital infrastruktur for å sikre verdiene som </w:t>
      </w:r>
      <w:r>
        <w:lastRenderedPageBreak/>
        <w:t>bæres over infrastrukturen. Her er kartlegging av dagens eierstrukturer til gjeldende digital infrastruktur et sentralt moment. Videre skal utvalget vurdere hvordan nasjonal kontroll påvirkes av ulike eierformer og eierskapstransaksjoner.</w:t>
      </w:r>
    </w:p>
    <w:p w14:paraId="7D1218B1" w14:textId="77777777" w:rsidR="004B1A63" w:rsidRDefault="004B1A63">
      <w:r>
        <w:t>Men utvalget skal ikke se utelukkende på eierskap som virkemiddel for nasjonal kontroll med digital infrastruktur. Det spesifiseres i mandatet at også andre virkemidler skal vurderes, som for eksempel regulering i lov og forskrift og nasjonalt eierskap (kommune, fylkeskommune og privat norsk eierskap). Stortingsmeldingen peker på ytterligere virkemidler, som offentlig-privat/sivil-militært og internasjonalt samarbeid, råd og veiledning, og det å ha tilstrekkelig oversikt over verdiene.</w:t>
      </w:r>
    </w:p>
    <w:p w14:paraId="3A4A3DFB" w14:textId="54B334D5" w:rsidR="004B1A63" w:rsidRDefault="004B1A63">
      <w:r>
        <w:t xml:space="preserve">I </w:t>
      </w:r>
      <w:r w:rsidR="00015951">
        <w:t>«</w:t>
      </w:r>
      <w:r>
        <w:t>Konseptvalgutredning for nasjonal skytjeneste</w:t>
      </w:r>
      <w:r w:rsidR="00015951">
        <w:t>»</w:t>
      </w:r>
      <w:r>
        <w:t xml:space="preserve"> (NSM, 2023), fremgår det at begrepet nasjonal kontroll brukes for å </w:t>
      </w:r>
      <w:r w:rsidR="00015951">
        <w:t>«</w:t>
      </w:r>
      <w:r w:rsidRPr="00015951">
        <w:rPr>
          <w:rStyle w:val="kursiv"/>
        </w:rPr>
        <w:t>beskrive en tilstand der staten kan ivareta sin handlefrihet og styringsevne gjennom hele krisespekteret</w:t>
      </w:r>
      <w:r w:rsidR="00015951">
        <w:t>»</w:t>
      </w:r>
      <w:r>
        <w:t xml:space="preserve">, og at </w:t>
      </w:r>
      <w:r w:rsidR="00015951" w:rsidRPr="00015951">
        <w:rPr>
          <w:rStyle w:val="kursiv"/>
        </w:rPr>
        <w:t>«</w:t>
      </w:r>
      <w:r w:rsidRPr="00015951">
        <w:rPr>
          <w:rStyle w:val="kursiv"/>
        </w:rPr>
        <w:t>fravær av nasjonal kontroll kan kjennetegnes ved at staten står i et avhengighetsforhold til eksterne aktører utenfor norsk jurisdiksjon</w:t>
      </w:r>
      <w:r w:rsidR="00015951" w:rsidRPr="00015951">
        <w:rPr>
          <w:rStyle w:val="kursiv"/>
        </w:rPr>
        <w:t>»</w:t>
      </w:r>
      <w:r w:rsidRPr="00015951">
        <w:rPr>
          <w:rStyle w:val="kursiv"/>
        </w:rPr>
        <w:t>.</w:t>
      </w:r>
    </w:p>
    <w:p w14:paraId="4D388D71" w14:textId="2AF48F69" w:rsidR="004B1A63" w:rsidRDefault="004B1A63">
      <w:r>
        <w:t xml:space="preserve">Videre beskriver NSMs temarapport </w:t>
      </w:r>
      <w:r w:rsidR="00015951">
        <w:t>«</w:t>
      </w:r>
      <w:r>
        <w:t>Nasjonal kontroll av IKT-tjenester</w:t>
      </w:r>
      <w:r w:rsidR="00015951">
        <w:t>»</w:t>
      </w:r>
      <w:r>
        <w:t xml:space="preserve"> (2023) at begrepet, i konteksten av IKT-tjenester, i praksis kan innebære at</w:t>
      </w:r>
    </w:p>
    <w:p w14:paraId="0D96F7EE" w14:textId="0F7011B4" w:rsidR="004B1A63" w:rsidRPr="00015951" w:rsidRDefault="00015951">
      <w:pPr>
        <w:pStyle w:val="blokksit"/>
        <w:rPr>
          <w:rStyle w:val="kursiv"/>
        </w:rPr>
      </w:pPr>
      <w:r>
        <w:t>«</w:t>
      </w:r>
      <w:r w:rsidR="004B1A63" w:rsidRPr="00015951">
        <w:t>[…] utvalgte norske data og tjenester er underlagt reell norsk teknisk og juridisk kontroll, og at man med høy sannsynlighet kan utelukke at utenlandske selskaper og andre land har teknisk tilgang til norske data og tjenester. Dette innebærer at det ikke skal være teknisk mulig for noen utenfor Norge (inkludert utenlandske leverandører og andre lands myndigheter) å lese, manipulere eller sabotere norske data og tjenester. […] Data og tjenester skal fungere godt i hele krisespekteret […].</w:t>
      </w:r>
      <w:r>
        <w:t>»</w:t>
      </w:r>
    </w:p>
    <w:p w14:paraId="73B20AB3" w14:textId="77777777" w:rsidR="004B1A63" w:rsidRDefault="004B1A63">
      <w:pPr>
        <w:pStyle w:val="Overskrift3"/>
      </w:pPr>
      <w:r>
        <w:t>Tilstøtende begreper – autonomi og suverenitet</w:t>
      </w:r>
    </w:p>
    <w:p w14:paraId="1051596F" w14:textId="77777777" w:rsidR="004B1A63" w:rsidRDefault="004B1A63">
      <w:r>
        <w:t xml:space="preserve">Det finnes også tilstøtende begreper til nasjonal kontroll som har dels overlappende betydning. Et slikt begrep er </w:t>
      </w:r>
      <w:r w:rsidRPr="00015951">
        <w:rPr>
          <w:rStyle w:val="kursiv"/>
        </w:rPr>
        <w:t>nasjonal autonomi</w:t>
      </w:r>
      <w:r>
        <w:t xml:space="preserve">. Autonomi betyr </w:t>
      </w:r>
      <w:r w:rsidRPr="00015951">
        <w:rPr>
          <w:rStyle w:val="kursiv"/>
        </w:rPr>
        <w:t>selvstyre</w:t>
      </w:r>
      <w:r>
        <w:t>, og brukes i mange ulike sammenhenger, fra et lands selvråderett, til tekniske systemer som tar beslutninger uten menneskelig intervensjon, og til et menneskes individualitet og evne til å ta egne beslutninger.</w:t>
      </w:r>
    </w:p>
    <w:p w14:paraId="1BE0BA16" w14:textId="6ACFC735" w:rsidR="004B1A63" w:rsidRDefault="004B1A63">
      <w:r>
        <w:t xml:space="preserve">I kontekst av elektronisk kommunikasjon, er nasjonal autonomi omtalt i en egen bestemmelse, </w:t>
      </w:r>
      <w:r w:rsidR="00015951">
        <w:t>§ </w:t>
      </w:r>
      <w:r w:rsidR="00015951">
        <w:t>2</w:t>
      </w:r>
      <w:r>
        <w:t>-9, i forskrift om elektronisk kommunikasjon og elektroniske kommunikasjonstjenester (ekomforskriften):</w:t>
      </w:r>
    </w:p>
    <w:p w14:paraId="174FB1C4" w14:textId="055F1BF2" w:rsidR="004B1A63" w:rsidRPr="00015951" w:rsidRDefault="00015951">
      <w:pPr>
        <w:pStyle w:val="blokksit"/>
        <w:rPr>
          <w:rStyle w:val="kursiv"/>
        </w:rPr>
      </w:pPr>
      <w:r>
        <w:t>«</w:t>
      </w:r>
      <w:r w:rsidR="004B1A63" w:rsidRPr="00015951">
        <w:t>Nasjonal kommunikasjonsmyndighet kan i krise- og beredskapssituasjon pålegge tilbyder å utføre drift og vedlikehold av tjenestetilbudet med personell og tekniske løsninger som er lokalisert på norsk territorium.</w:t>
      </w:r>
      <w:r>
        <w:t>»</w:t>
      </w:r>
    </w:p>
    <w:p w14:paraId="67636286" w14:textId="3084B589" w:rsidR="004B1A63" w:rsidRDefault="004B1A63">
      <w:r>
        <w:t xml:space="preserve">Et annet tilstøtende begrep er </w:t>
      </w:r>
      <w:r w:rsidRPr="00015951">
        <w:rPr>
          <w:rStyle w:val="kursiv"/>
        </w:rPr>
        <w:t>digital suverenitet.</w:t>
      </w:r>
      <w:r>
        <w:t xml:space="preserve"> Begrepet har blant annet blitt brukt i forbindelse med EUs felleseuropeiske visjon for digital omstilling </w:t>
      </w:r>
      <w:r w:rsidR="00015951">
        <w:t>«</w:t>
      </w:r>
      <w:r>
        <w:t>Det digitale tiåret 2030</w:t>
      </w:r>
      <w:r w:rsidR="00015951">
        <w:t>»</w:t>
      </w:r>
      <w:r>
        <w:t>, hvor målet blant annet er å styrke europeisk konkurransekraft og Europas digitale suverenitet og digitale sikkerhet og slik gjøre seg mindre avhengig av USA og Asia.</w:t>
      </w:r>
    </w:p>
    <w:p w14:paraId="6AC7A2F7" w14:textId="44AC9111" w:rsidR="004B1A63" w:rsidRDefault="004B1A63">
      <w:r>
        <w:lastRenderedPageBreak/>
        <w:t>For å bidra til å nå disse målene har EU blant annet etablert et investeringsprogram DIGITAL</w:t>
      </w:r>
      <w:r w:rsidR="00015951" w:rsidRPr="00015951">
        <w:rPr>
          <w:rStyle w:val="Fotnotereferanse"/>
        </w:rPr>
        <w:footnoteReference w:id="13"/>
      </w:r>
      <w:r w:rsidR="00015951" w:rsidRPr="00015951">
        <w:rPr>
          <w:rStyle w:val="skrift-hevet"/>
        </w:rPr>
        <w:t xml:space="preserve"> </w:t>
      </w:r>
      <w:r w:rsidR="00015951" w:rsidRPr="00015951">
        <w:rPr>
          <w:rStyle w:val="Fotnotereferanse"/>
        </w:rPr>
        <w:footnoteReference w:id="14"/>
      </w:r>
      <w:r>
        <w:t>, som har seks satsingsområder: 1) tungregning og superdatamaskiner, 2) skyteknologi, data og kunstig intelligens, 3) digital sikkerhet, 4) avansert digital kompetanse, 5) anvendelse av digitale teknologier, og 6) halvledere (mikrobrikker). Norge deltar i dette programmet.</w:t>
      </w:r>
    </w:p>
    <w:p w14:paraId="07C3DA57" w14:textId="2C4E0736" w:rsidR="004B1A63" w:rsidRDefault="004B1A63">
      <w:r>
        <w:t xml:space="preserve">I sammenheng med den store utbredelsen av skytjenester brukes suverenitets-begrepet også i formen </w:t>
      </w:r>
      <w:r w:rsidR="00015951">
        <w:t>«</w:t>
      </w:r>
      <w:r>
        <w:t>sovereign cloud</w:t>
      </w:r>
      <w:r w:rsidR="00015951">
        <w:t>»</w:t>
      </w:r>
      <w:r>
        <w:t>. Med dette menes i de fleste sammenhenger en skytjeneste-infrastruktur som sikrer at data lagres og skytjenester prosesseres innenfor et lands grenser og jurisdiksjon.</w:t>
      </w:r>
    </w:p>
    <w:p w14:paraId="7F9BF1C6" w14:textId="77777777" w:rsidR="004B1A63" w:rsidRDefault="004B1A63">
      <w:pPr>
        <w:pStyle w:val="Overskrift3"/>
      </w:pPr>
      <w:r>
        <w:t>Utvalgets definisjon av nasjonal kontroll med digital infrastruktur</w:t>
      </w:r>
    </w:p>
    <w:p w14:paraId="1C9745A6" w14:textId="77777777" w:rsidR="004B1A63" w:rsidRDefault="004B1A63">
      <w:r>
        <w:t>Som angitt i mandatet skal eierskap være sentralt i utvalgets vurderinger av nasjonal kontroll. Samtidig er det helt avgjørende at eierskap som virkemiddel sees i sammenheng med øvrige virkemidler for å ivareta nasjonal kontroll, slik som regulering, avtaler, internasjonalt samarbeid osv.</w:t>
      </w:r>
    </w:p>
    <w:p w14:paraId="7257A993" w14:textId="77777777" w:rsidR="004B1A63" w:rsidRDefault="004B1A63">
      <w:r>
        <w:t xml:space="preserve">På den ene side har utvalget dermed et </w:t>
      </w:r>
      <w:r w:rsidRPr="00015951">
        <w:rPr>
          <w:rStyle w:val="kursiv"/>
        </w:rPr>
        <w:t>bredere</w:t>
      </w:r>
      <w:r>
        <w:t xml:space="preserve"> perspektiv enn for eksempel investeringskontrollutvalget, som ser utelukkende på screening av utenlandske investeringer. På en annen side har utvalget et </w:t>
      </w:r>
      <w:r w:rsidRPr="00015951">
        <w:rPr>
          <w:rStyle w:val="kursiv"/>
        </w:rPr>
        <w:t xml:space="preserve">spissere </w:t>
      </w:r>
      <w:r>
        <w:t>fokus, hva gjelder den sektorspesifikke avgrensningen til digital kommunikasjonsinfrastruktur.</w:t>
      </w:r>
    </w:p>
    <w:p w14:paraId="2811560E" w14:textId="77777777" w:rsidR="004B1A63" w:rsidRDefault="004B1A63">
      <w:r>
        <w:t>Begrepene nasjonal kontroll, nasjonal autonomi og digital suverenitet tar opp i seg de samme momentene, er dels overlappende og ser også ut til å brukes om hverandre i ulike sammenhenger.</w:t>
      </w:r>
    </w:p>
    <w:p w14:paraId="3C1F0F0F" w14:textId="77777777" w:rsidR="004B1A63" w:rsidRDefault="004B1A63">
      <w:r>
        <w:t>Digital suverenitet er et generisk begrep som kan brukes til å omtale alt fra en enkelt virksomhets kontroll med sin egen digitale infrastruktur og egne data, til EUs digitale suverenitet overfor andre stormakter.</w:t>
      </w:r>
    </w:p>
    <w:p w14:paraId="0E91803A" w14:textId="3CB8A240" w:rsidR="004B1A63" w:rsidRDefault="004B1A63">
      <w:r>
        <w:t xml:space="preserve">Nasjonal autonomi i kontekst av digital kommunikasjonsinfrastruktur virker å være nærmere knyttet til en teknisk implementasjon, jf. </w:t>
      </w:r>
      <w:r w:rsidR="00015951">
        <w:t>§ </w:t>
      </w:r>
      <w:r w:rsidR="00015951">
        <w:t>2</w:t>
      </w:r>
      <w:r>
        <w:t>-9 om nasjonal autonomi i ekomforskriften. Det vil si, at drift og vedlikehold av infrastruktur/tjenester skal gjennomføres med personell og tekniske løsninger som er lokalisert på norsk territorium.</w:t>
      </w:r>
    </w:p>
    <w:p w14:paraId="7EF0F95F" w14:textId="77777777" w:rsidR="004B1A63" w:rsidRDefault="004B1A63">
      <w:r>
        <w:t xml:space="preserve">Slik utvalget vurderer det, omhandler nasjonal kontroll på sin side to sentrale aspekter; statens </w:t>
      </w:r>
      <w:r w:rsidRPr="00015951">
        <w:rPr>
          <w:rStyle w:val="kursiv"/>
        </w:rPr>
        <w:t>styringsevne</w:t>
      </w:r>
      <w:r>
        <w:t xml:space="preserve">, og statens </w:t>
      </w:r>
      <w:r w:rsidRPr="00015951">
        <w:rPr>
          <w:rStyle w:val="kursiv"/>
        </w:rPr>
        <w:t>handlefrihet</w:t>
      </w:r>
      <w:r>
        <w:t xml:space="preserve">. Styringsevne kan sees på som den myndigheten og det mandatet staten har til å fatte effektive beslutninger om digital infrastruktur gjennom for eksempel eierskap, regulering eller avtaler. Handlefrihet beskriver den fleksibiliteten og det handlingsrommet som staten </w:t>
      </w:r>
      <w:r>
        <w:lastRenderedPageBreak/>
        <w:t>har til å få implementert og gjennomført disse beslutningene uten å bli begrenset av utenlandske aktører eller andre eksterne faktorer.</w:t>
      </w:r>
    </w:p>
    <w:p w14:paraId="7D9BBC93" w14:textId="77777777" w:rsidR="004B1A63" w:rsidRDefault="004B1A63">
      <w:r>
        <w:t>Forholdet mellom styringsevne og handlefrihet kan illustreres i figur 4.1.</w:t>
      </w:r>
    </w:p>
    <w:p w14:paraId="5A9E5866" w14:textId="77777777" w:rsidR="004B1A63" w:rsidRDefault="004B1A63">
      <w:pPr>
        <w:pStyle w:val="figur-tittel"/>
      </w:pPr>
      <w:r>
        <w:t>Nasjonal kontroll som produkt av styringsevne og handlefrihet</w:t>
      </w:r>
    </w:p>
    <w:p w14:paraId="07B22AC8" w14:textId="5EEA925B" w:rsidR="004B1A63" w:rsidRDefault="004B4E04">
      <w:r>
        <w:rPr>
          <w:noProof/>
        </w:rPr>
        <w:drawing>
          <wp:inline distT="0" distB="0" distL="0" distR="0" wp14:anchorId="7A7113CF" wp14:editId="05EFE32B">
            <wp:extent cx="3657600" cy="2438400"/>
            <wp:effectExtent l="0" t="0" r="0" b="0"/>
            <wp:docPr id="9"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0B3FBCB6" w14:textId="77777777" w:rsidR="004B1A63" w:rsidRDefault="004B1A63">
      <w:r>
        <w:t xml:space="preserve">Forholdet mellom styringsevne og handlefrihet kan for eksempel illustreres med autonomi-bestemmelsen i ekomforskriften. Sett for eksempel at en norsk mobiloperatør i fremtiden etablerer produksjon av 5G-tjenester på en utenlandsk skyplattform. Autonomi-bestemmelsen er i seg selv ikke til hinder for dette, så lenge myndigheten ikke har gitt mobiloperatøren pålegg om å innføre nasjonal autonomi. Bestemmelsen gir derimot myndighetene nødvendig </w:t>
      </w:r>
      <w:r w:rsidRPr="00015951">
        <w:rPr>
          <w:rStyle w:val="kursiv"/>
        </w:rPr>
        <w:t xml:space="preserve">styringsevne </w:t>
      </w:r>
      <w:r>
        <w:t>til å kunne pålegge nasjonal autonomi dersom en krise- eller beredskapssituasjon inntreffer.</w:t>
      </w:r>
    </w:p>
    <w:p w14:paraId="27375B2D" w14:textId="77777777" w:rsidR="004B1A63" w:rsidRDefault="004B1A63">
      <w:r>
        <w:t>Hvis operatøren ikke på forhånd har forberedt drift av 5G-tjenestene med infrastruktur, ressurser og kompetanse i Norge, vil statens</w:t>
      </w:r>
      <w:r w:rsidRPr="00015951">
        <w:rPr>
          <w:rStyle w:val="kursiv"/>
        </w:rPr>
        <w:t xml:space="preserve"> handlefrihet</w:t>
      </w:r>
      <w:r>
        <w:t xml:space="preserve"> imidlertid være begrenset, og beslutningen om å innføre nasjonal autonomi vil ikke kunne gjennomføres i praksis. I dette tilfellet oppnås handlefrihet gjennom at det faktisk er forberedt tilgjengelige innsatsfaktorer på norsk jord som legger til rette for nasjonal drift av 5G-tjenestene i en krise- eller beredskapssituasjon. Dette kan være at skyplattformen er designet slik at den enkelt kan flyttes og kjøres fra norske datasentre, at mobiloperatøren har tilrettelagt for et nasjonalt operasjonssenter, og at det er sikret driftsressurser med nødvendig kompetanse i Norge. Eksemplet viser at både styringsevne og handlefrihet er nødvendig for å oppnå reell nasjonal kontroll.</w:t>
      </w:r>
    </w:p>
    <w:p w14:paraId="11B184A6" w14:textId="5C1D1B73" w:rsidR="004B1A63" w:rsidRPr="00015951" w:rsidRDefault="004B1A63">
      <w:pPr>
        <w:rPr>
          <w:rStyle w:val="kursiv"/>
        </w:rPr>
      </w:pPr>
      <w:r>
        <w:t>Det er viktig å påpeke at det i alle beskrivelser av nasjonal kontroll (og autonomi og suverenitet) er en erkjennelse av at kontrollen ikke kan være fullstendig (10</w:t>
      </w:r>
      <w:r w:rsidR="00015951">
        <w:t>0</w:t>
      </w:r>
      <w:r w:rsidR="00015951">
        <w:t> %</w:t>
      </w:r>
      <w:r>
        <w:t>). Alle digitale infrastrukturer, produkter og tjenester vil ha visse avhengigheter til funksjoner eller innsatsfaktorer, direkte eller i indirekte i leverandørkjeden, som reduserer den nasjonale kontrollen. Dette omtales nærmere i kap. 13</w:t>
      </w:r>
      <w:r w:rsidRPr="00015951">
        <w:rPr>
          <w:rStyle w:val="kursiv"/>
        </w:rPr>
        <w:t>.</w:t>
      </w:r>
    </w:p>
    <w:p w14:paraId="23DBBE9F" w14:textId="7B823BAA" w:rsidR="004B1A63" w:rsidRDefault="004B1A63" w:rsidP="00511740">
      <w:pPr>
        <w:spacing w:after="227"/>
      </w:pPr>
      <w:r>
        <w:t>Oppsummert legger utvalget derfor følgende definisjon av nasjonal kontroll i digital kommunikasjonsinfrastruktur til grunn:</w:t>
      </w:r>
    </w:p>
    <w:tbl>
      <w:tblPr>
        <w:tblStyle w:val="StandardBoks"/>
        <w:tblW w:w="0" w:type="auto"/>
        <w:tblLook w:val="04A0" w:firstRow="1" w:lastRow="0" w:firstColumn="1" w:lastColumn="0" w:noHBand="0" w:noVBand="1"/>
      </w:tblPr>
      <w:tblGrid>
        <w:gridCol w:w="10466"/>
      </w:tblGrid>
      <w:tr w:rsidR="00511740" w14:paraId="270D8D65" w14:textId="77777777" w:rsidTr="00015951">
        <w:tc>
          <w:tcPr>
            <w:tcW w:w="10606" w:type="dxa"/>
          </w:tcPr>
          <w:p w14:paraId="1C6DE7F7" w14:textId="77777777" w:rsidR="00015951" w:rsidRDefault="00511740" w:rsidP="00511740">
            <w:pPr>
              <w:pStyle w:val="tittel-ramme"/>
            </w:pPr>
            <w:r>
              <w:lastRenderedPageBreak/>
              <w:t>Nasjonal kontroll innebærer at staten, i tilknytning til kritisk digital kommunikasjonsinfrastruktur, har</w:t>
            </w:r>
          </w:p>
          <w:p w14:paraId="18C113CB" w14:textId="1EE042C3" w:rsidR="00511740" w:rsidRDefault="00511740" w:rsidP="00511740">
            <w:r>
              <w:t xml:space="preserve">1) </w:t>
            </w:r>
            <w:r w:rsidRPr="00015951">
              <w:rPr>
                <w:rStyle w:val="kursiv"/>
              </w:rPr>
              <w:t>styringsevne</w:t>
            </w:r>
            <w:r>
              <w:t xml:space="preserve"> til å ta effektive beslutninger gjennom for eksempel regulering, eierskap eller avtaler</w:t>
            </w:r>
          </w:p>
          <w:p w14:paraId="7CB0D5F8" w14:textId="5FD4A31B" w:rsidR="00511740" w:rsidRDefault="00511740" w:rsidP="00511740">
            <w:r>
              <w:t xml:space="preserve">2) </w:t>
            </w:r>
            <w:r w:rsidRPr="00015951">
              <w:rPr>
                <w:rStyle w:val="kursiv"/>
              </w:rPr>
              <w:t xml:space="preserve">handlefrihet </w:t>
            </w:r>
            <w:r>
              <w:t>til å gjennomføre beslutningene mest mulig uavhengig av utenlandske aktører og innsatsfaktorer.</w:t>
            </w:r>
          </w:p>
        </w:tc>
      </w:tr>
    </w:tbl>
    <w:p w14:paraId="402C9EFF" w14:textId="77777777" w:rsidR="004B1A63" w:rsidRDefault="004B1A63">
      <w:pPr>
        <w:pStyle w:val="Overskrift2"/>
      </w:pPr>
      <w:r>
        <w:t>Trussel- og risikobildet</w:t>
      </w:r>
    </w:p>
    <w:p w14:paraId="0ADC702F" w14:textId="77777777" w:rsidR="004B1A63" w:rsidRDefault="004B1A63" w:rsidP="006F4031">
      <w:r>
        <w:t>Det er et stort spenn av farer og trusler som kan ramme sektoren for digital infrastruktur. Dette omfatter både utilsiktede hendelser som naturhendelser, menneskelige feil og programvarefeil, og tilsiktede hendelser som fysisk sabotasje, cyberangrep og spionasje. For utvalgets arbeid avgrenses omtalen til det som anses mest relevant i kontekst av nasjonal kontroll. Det vil si, aktiviteter som truer de nasjonale sikkerhetsinteressene gjennom å svekke statens styringsevne eller handlefrihet, eller hvor den sikkerhetstruende effekten av aktiviteten forsterkes av manglende nasjonal kontroll.</w:t>
      </w:r>
    </w:p>
    <w:p w14:paraId="45C882DB" w14:textId="77777777" w:rsidR="004B1A63" w:rsidRDefault="004B1A63">
      <w:pPr>
        <w:pStyle w:val="Overskrift3"/>
      </w:pPr>
      <w:r>
        <w:t>Sikkerhetsmyndighetens vurderinger</w:t>
      </w:r>
    </w:p>
    <w:p w14:paraId="3850E5D9" w14:textId="3D56BB32" w:rsidR="004B1A63" w:rsidRDefault="004B1A63">
      <w:r>
        <w:t xml:space="preserve">Etterretningstjenestens rapport </w:t>
      </w:r>
      <w:r w:rsidR="00015951">
        <w:t>«</w:t>
      </w:r>
      <w:r>
        <w:t>Fokus 2024</w:t>
      </w:r>
      <w:r w:rsidR="00015951">
        <w:t>»</w:t>
      </w:r>
      <w:r w:rsidR="00015951" w:rsidRPr="00015951">
        <w:rPr>
          <w:rStyle w:val="Fotnotereferanse"/>
        </w:rPr>
        <w:footnoteReference w:id="15"/>
      </w:r>
      <w:r>
        <w:t xml:space="preserve"> peker på at Norge nå står overfor et mer alvorlig trusselbilde enn på flere tiår. Russlands militærmakt forblir den dimensjonerende militære trusselen mot Norges suverenitet, sentrale samfunnsfunksjoner og infrastruktur. E-tjenesten peker videre på både petroleums- og internettinfrastrukturene som særlig utsatt, herunder undersjøisk infrastruktur. Disse infrastrukturene har blitt kartlagt over flere år, og er potensielle mål for sabotasje. Russland har vist både vilje og evne til å ramme kritisk infrastruktur i konfliktsituasjoner.</w:t>
      </w:r>
    </w:p>
    <w:p w14:paraId="128E8AF4" w14:textId="77777777" w:rsidR="004B1A63" w:rsidRDefault="004B1A63">
      <w:r>
        <w:t>Når det gjelder innpass i vestlige verdikjeder og kritisk infrastruktur så har imidlertid sanksjonsregimet overfor Russland etter Ukraina-krigen gjort det vanskeligere for Russland å slippe inn. Det er derfor først og fremst Kina som i dag har evne og vilje til å forfølge en slik strategi, ifølge Etterretningstjenesten. Den peker på at slik innpass har høy verdi for fremmede makter, ved at det kan gi tilgang til sensitiv informasjon, gi mulighet til å kartlegge sårbarheter, og utnyttes til å forstyrre eller sabotere forsyningskjeder enten digitalt eller fysisk.</w:t>
      </w:r>
    </w:p>
    <w:p w14:paraId="0175734F" w14:textId="75A0338A" w:rsidR="004B1A63" w:rsidRDefault="004B1A63">
      <w:r>
        <w:t xml:space="preserve">Politiets sikkerhetstjeneste (PST) vurderer i sin </w:t>
      </w:r>
      <w:r w:rsidR="00015951">
        <w:t>«</w:t>
      </w:r>
      <w:r>
        <w:t>Nasjonal trusselvurdering 2024</w:t>
      </w:r>
      <w:r w:rsidR="00015951">
        <w:t>»</w:t>
      </w:r>
      <w:r w:rsidR="00015951" w:rsidRPr="00015951">
        <w:rPr>
          <w:rStyle w:val="Fotnotereferanse"/>
        </w:rPr>
        <w:footnoteReference w:id="16"/>
      </w:r>
      <w:r>
        <w:t xml:space="preserve"> at Russland og Kina vil fortsette å utgjøre de største truslene når det gjelder spionasje og sikkerhetstruende økonomisk virksomhet mot Norge. Russland og Kina forventes å bruke oppkjøp og investeringer i norske </w:t>
      </w:r>
      <w:r>
        <w:lastRenderedPageBreak/>
        <w:t>selskaper for strategiske fordeler. Selv om disse økonomiske tiltakene ofte er lovlige, kan de true nasjonale interesser når de utnyttes samlet sett. Russland fokuserer på å dekke militære og teknologiske behov, for eksempel gjennom oppkjøp av eiendom nær norske militære installasjoner. Kina søker kontroll over kritiske råvarer og verdikjeder, som sjeldne jordarter, som er viktige for høyteknologi og det grønne skiftet. Bruk av kinesisk teknologi i norsk infrastruktur kan også utgjøre en sikkerhetstrussel ved å åpne for skjulte bakdører, ifølge PST.</w:t>
      </w:r>
    </w:p>
    <w:p w14:paraId="11D547D0" w14:textId="77777777" w:rsidR="004B1A63" w:rsidRDefault="004B1A63">
      <w:r>
        <w:t>I tillegg til sikkerhetstruende økonomiske virkemidler, peker PST på at fremmede stater bruker en rekke andre metoder mot mål i Norge. Dette inkluderer cyberoperasjoner, rekruttering av menneskelige kilder, etterretning ved bruk av sivile fartøy, påvirkningsoperasjoner, sabotasje og fordekte anskaffelser.</w:t>
      </w:r>
    </w:p>
    <w:p w14:paraId="3E30AD30" w14:textId="407EB61F" w:rsidR="004B1A63" w:rsidRDefault="004B1A63">
      <w:r>
        <w:t xml:space="preserve">NSM fremhever i sin </w:t>
      </w:r>
      <w:r w:rsidR="00015951">
        <w:t>«</w:t>
      </w:r>
      <w:r>
        <w:t>Risiko 2024</w:t>
      </w:r>
      <w:r w:rsidR="00015951">
        <w:t>»</w:t>
      </w:r>
      <w:r>
        <w:t>-rapport</w:t>
      </w:r>
      <w:r w:rsidR="00015951" w:rsidRPr="00015951">
        <w:rPr>
          <w:rStyle w:val="Fotnotereferanse"/>
        </w:rPr>
        <w:footnoteReference w:id="17"/>
      </w:r>
      <w:r>
        <w:t xml:space="preserve"> at privat næringslivet har stor betydning for både nasjonal og internasjonal sikkerhet, og peker blant annet på den norske petroleumsnæringen, men også andre deler av næringslivet. Herunder sier NSM at endringer i eierstrukturer kan medføre risiko for at blant annet sikkerhetsgradert informasjon kan tilflyte uvedkommende. Videre er NSM bekymret for det kinesiske </w:t>
      </w:r>
      <w:r w:rsidR="00015951">
        <w:t>«</w:t>
      </w:r>
      <w:r>
        <w:t>fotavtrykket</w:t>
      </w:r>
      <w:r w:rsidR="00015951">
        <w:t>»</w:t>
      </w:r>
      <w:r>
        <w:t xml:space="preserve"> i nasjonale kritiske verdikjeder, noe som gir et handels- eller sikkerhetspolitisk maktmiddel som kan unyttes til å ramme grunnleggende nasjonale funksjoner i Norge. De viser til at flere vestlige land nå fører en strategi for å redusere avhengigheten av Kina i kritiske sektorer som forsvar, elektronisk kommunikasjon og energi, for å minimere slik risiko.</w:t>
      </w:r>
    </w:p>
    <w:p w14:paraId="6C70D95F" w14:textId="77777777" w:rsidR="004B1A63" w:rsidRDefault="004B1A63">
      <w:pPr>
        <w:pStyle w:val="Overskrift3"/>
      </w:pPr>
      <w:r>
        <w:t>Risiko- og sårbarhetsvurdering av ekomsektoren</w:t>
      </w:r>
    </w:p>
    <w:p w14:paraId="40500C3F" w14:textId="082BBF41" w:rsidR="004B1A63" w:rsidRDefault="004B1A63">
      <w:r>
        <w:t>Nkom gjennomfører jevnlig risiko- og sårbarhetsvurderinger for sektoren elektronisk kommunikasjon (EkomROS). Dette er sektorspesifikke vurderinger som bygger på de overordnede risiko- og trusselvurderingene til sikkerhetsmyndighetene. I EkomROS 2024</w:t>
      </w:r>
      <w:r w:rsidR="00015951" w:rsidRPr="00015951">
        <w:rPr>
          <w:rStyle w:val="Fotnotereferanse"/>
        </w:rPr>
        <w:footnoteReference w:id="18"/>
      </w:r>
      <w:r>
        <w:t xml:space="preserve"> peker Nkom på syv områder som anses som de største utfordringene, hvor særlig fire har relevans for nasjonal kontroll. Dette er avhengigheter og konsentrasjon i verdi- og leverandørkjeder, cyberangrep, innsidetrusselen og sabotasje (herunder sjøfiberkabler).</w:t>
      </w:r>
    </w:p>
    <w:p w14:paraId="59F294BE" w14:textId="77777777" w:rsidR="004B1A63" w:rsidRDefault="004B1A63">
      <w:r>
        <w:t>Nkom advarer om at den forverrede sikkerhetspolitiske situasjonen kan redusere tilgang til kritisk utstyr samt utenlandsk arbeidskraft som tar tid å sikkerhetsklarere. Avhengigheten til få leverandører for sentralt utstyr og programvare øker risikoen for omfattende skade dersom sårbarhetene utnyttes. Dette utgjør en sikkerhetsutfordring særlig for norske ekomtilbydere som er under sikkerhetsloven.</w:t>
      </w:r>
    </w:p>
    <w:p w14:paraId="4A411E48" w14:textId="77777777" w:rsidR="004B1A63" w:rsidRDefault="004B1A63">
      <w:pPr>
        <w:rPr>
          <w:spacing w:val="-2"/>
        </w:rPr>
      </w:pPr>
      <w:r>
        <w:rPr>
          <w:spacing w:val="-2"/>
        </w:rPr>
        <w:t xml:space="preserve">Cyberangrep utgjør en konstant trussel mot ekomnett og -tjenester, og den geopolitiske og teknologiske utviklingen påvirker dette trusselbildet. Økt bruk av skytjenester gir i mange tilfeller sikkerhetsfordeler, </w:t>
      </w:r>
      <w:r>
        <w:rPr>
          <w:spacing w:val="-2"/>
        </w:rPr>
        <w:lastRenderedPageBreak/>
        <w:t>men kan også introdusere nye sårbarheter. En utfordring er at skybaserte løsninger til dels innebærer å gi fra seg kontroll med hvor tjenester blir produsert og data lagret, hvem som har tilganger, og hvordan uønskede hendelser håndteres. Nkom er spesielt bekymret for destruktive angrep på styringssystemer, og viser blant annet til angrepet på den ukrainske mobiloperatøren Kievstar i 2023 som førte til at mer enn 24 millioner abonnenter ble rammet i over en uke.</w:t>
      </w:r>
    </w:p>
    <w:p w14:paraId="3F338127" w14:textId="77777777" w:rsidR="004B1A63" w:rsidRDefault="004B1A63">
      <w:r>
        <w:t>Når det gjelder sabotasjetrusselen, viser Nkom blant annet til at flere sjøfiberkabler har blitt skadet som følge av menneskelig aktivitet de siste årene. I Norge gjelder dette blant annet Svalbardfiberen, som ble utsatt for skader gjennom tråling i 2022. Det har også vært flere tilfeller i Østersjøen den siste tiden. Skader på undersjøisk infrastruktur er ofte utilsiktet som følge av fiskeriaktivitet eller ankring. Samtidig peker Nkom på at tilsiktede handlinger kan skjules som uhell slik at attribusjon mot en spesifikk aktør blir vanskelig, og viser blant annet til Russlands hybride virkemiddelbruk. Slike kamuflerte uhell kan brukes blant annet for å kartlegge de berørte landenes rettekapasitet og avdekke svakheter ved disse.</w:t>
      </w:r>
    </w:p>
    <w:p w14:paraId="35EE9C92" w14:textId="77777777" w:rsidR="004B1A63" w:rsidRDefault="004B1A63">
      <w:pPr>
        <w:pStyle w:val="Overskrift3"/>
      </w:pPr>
      <w:r>
        <w:t>Nærmere om sikkerhetstruende økonomiske aktivitet</w:t>
      </w:r>
    </w:p>
    <w:p w14:paraId="1DF959FE" w14:textId="3A62739E" w:rsidR="004B1A63" w:rsidRDefault="004B1A63">
      <w:r>
        <w:t>Som omtalt i PSTs og NSMs trussel- og risikovurderinger over, så er oppkjøp og investeringer i norske virksomheter et virkemiddel som andre stater benytter for å opparbeide seg strategiske fordeler som kan true våre nasjonale sikkerhetsinteresser. Forsvarets forskningsinstitutt (FFI) har i en rapport</w:t>
      </w:r>
      <w:r w:rsidR="00015951" w:rsidRPr="00015951">
        <w:rPr>
          <w:rStyle w:val="Fotnotereferanse"/>
        </w:rPr>
        <w:footnoteReference w:id="19"/>
      </w:r>
      <w:r>
        <w:t xml:space="preserve"> undersøkt hvordan andre staters økonomiske virkemidler kan true nasjonal sikkerhet og hvordan dette kan integreres i risiko- og sårbarhetsanalyser.</w:t>
      </w:r>
    </w:p>
    <w:p w14:paraId="01FE2DA9" w14:textId="32AE0946" w:rsidR="004B1A63" w:rsidRDefault="004B1A63">
      <w:r>
        <w:t xml:space="preserve">Begrepet </w:t>
      </w:r>
      <w:r w:rsidRPr="00015951">
        <w:rPr>
          <w:rStyle w:val="kursiv"/>
        </w:rPr>
        <w:t>sikkerhetstruende økonomisk aktivitet</w:t>
      </w:r>
      <w:r>
        <w:t xml:space="preserve"> er beskrevet i NSMs veiledninger knyttet til bestemmelsene i sikkerhetslovens kapittel 10 om eierskapskontroll. I veiledningen</w:t>
      </w:r>
      <w:r w:rsidR="00015951" w:rsidRPr="00015951">
        <w:rPr>
          <w:rStyle w:val="Fotnotereferanse"/>
        </w:rPr>
        <w:footnoteReference w:id="20"/>
      </w:r>
      <w:r>
        <w:t xml:space="preserve"> skriver NSM:</w:t>
      </w:r>
    </w:p>
    <w:p w14:paraId="0F2A4B58" w14:textId="0E103C2F" w:rsidR="004B1A63" w:rsidRPr="00015951" w:rsidRDefault="00015951">
      <w:pPr>
        <w:pStyle w:val="blokksit"/>
        <w:rPr>
          <w:rStyle w:val="kursiv"/>
        </w:rPr>
      </w:pPr>
      <w:r>
        <w:t>«</w:t>
      </w:r>
      <w:r w:rsidR="004B1A63" w:rsidRPr="00015951">
        <w:t xml:space="preserve">Flere stater bruker økonomiske virkemidler til andre formål enn forretninger. Utenlandske investeringer i og oppkjøp av norske virksomheter kan benyttes for å få innsikt i sensitiv informasjon og tilgang til teknologi og ressurser av strategisk betydning. Her benytter vi begrepet </w:t>
      </w:r>
      <w:r>
        <w:t>«</w:t>
      </w:r>
      <w:r w:rsidR="004B1A63" w:rsidRPr="00015951">
        <w:t>sikkerhetstruende økonomisk virksomhet</w:t>
      </w:r>
      <w:r>
        <w:t>»</w:t>
      </w:r>
      <w:r w:rsidR="004B1A63" w:rsidRPr="00015951">
        <w:t xml:space="preserve"> om sikkerhetstruende investeringer og oppkjøp.</w:t>
      </w:r>
    </w:p>
    <w:p w14:paraId="6499231F" w14:textId="77777777" w:rsidR="004B1A63" w:rsidRPr="00015951" w:rsidRDefault="004B1A63">
      <w:pPr>
        <w:pStyle w:val="blokksit"/>
        <w:rPr>
          <w:rStyle w:val="kursiv"/>
        </w:rPr>
      </w:pPr>
      <w:r w:rsidRPr="00015951">
        <w:t>Statens ønske om kontroll med eierskap i strategisk viktige sektorer kommer av økt bevissthet om at oppkjøp av norske virksomheter kan være sikkerhetstruende virksomhet.</w:t>
      </w:r>
    </w:p>
    <w:p w14:paraId="61E536EC" w14:textId="77777777" w:rsidR="004B1A63" w:rsidRPr="00015951" w:rsidRDefault="004B1A63">
      <w:pPr>
        <w:pStyle w:val="blokksit"/>
        <w:rPr>
          <w:rStyle w:val="kursiv"/>
        </w:rPr>
      </w:pPr>
      <w:r w:rsidRPr="00015951">
        <w:t xml:space="preserve">Med sikkerhetstruende virksomhet menes en tilsiktet handling som direkte eller indirekte kan skade nasjonale sikkerhetsinteresser. Et eksempel kan være at virksomheten i forbindelse med et oppkjøp </w:t>
      </w:r>
      <w:r w:rsidRPr="00015951">
        <w:lastRenderedPageBreak/>
        <w:t>blir gjort kjent med at kjøper har koblinger til en trusselaktør, for eksempel et land som representerer en etterretningstrussel mot Norge.</w:t>
      </w:r>
    </w:p>
    <w:p w14:paraId="3178F3B2" w14:textId="77777777" w:rsidR="004B1A63" w:rsidRPr="00015951" w:rsidRDefault="004B1A63">
      <w:pPr>
        <w:pStyle w:val="blokksit"/>
        <w:rPr>
          <w:rStyle w:val="kursiv"/>
        </w:rPr>
      </w:pPr>
      <w:r w:rsidRPr="00015951">
        <w:t>Sikkerhetstruende økonomisk virksomhet kan omfatte mange ulike typer aktiviteter. Det kan blant annet dreie seg om informasjonsinnhenting, påvirkning og skadeverk som søkes oppnådd gjennom at eksisterende eierskap styres eller manipuleres inn i posisjon, eller gjennom oppkjøp og overdragelser av eierskap som allerede er i posisjon.</w:t>
      </w:r>
    </w:p>
    <w:p w14:paraId="0829C617" w14:textId="2BA6C839" w:rsidR="004B1A63" w:rsidRPr="00015951" w:rsidRDefault="004B1A63">
      <w:pPr>
        <w:pStyle w:val="blokksit"/>
        <w:rPr>
          <w:rStyle w:val="kursiv"/>
        </w:rPr>
      </w:pPr>
      <w:r w:rsidRPr="00015951">
        <w:t>Strategiske investeringer og oppkjøp kan skje gjennom stråselskaper og komplekse selskapsstrukturer og kan dermed være vanskelig å avdekke. Videre kan det være vanskelig å skille strategiske oppkjøp med illegitime hensikter fra ordinær porteføljeforvaltning foretatt ut fra rene kommersielle hensyn. Det vil følgelig kunne være utfordrende å avdekke slik aktivitet, samt å vurdere risikoen knyttet til aktiviteten.</w:t>
      </w:r>
      <w:r w:rsidR="00015951">
        <w:t>»</w:t>
      </w:r>
    </w:p>
    <w:p w14:paraId="45A10C57" w14:textId="32E4625F" w:rsidR="004B1A63" w:rsidRDefault="004B1A63">
      <w:r>
        <w:t>FFI beskriver ulike typer økonomiske aktiviteter, både direkteinvesteringer i Norge som nyetableringer (</w:t>
      </w:r>
      <w:r w:rsidR="00015951">
        <w:t>«</w:t>
      </w:r>
      <w:r>
        <w:t>greenfield</w:t>
      </w:r>
      <w:r w:rsidR="00015951">
        <w:t>»</w:t>
      </w:r>
      <w:r>
        <w:t>), sammenslåinger og oppkjøp, men også import/eksport, sanksjoner og økonomisk spionasje og korrupsjon. Videre beskriver de ulike typer målsetninger som kan ligge bak slike sikkerhetstruende økonomiske aktiviteter, og hvor det å sikre nasjonal kontroll blir viktig. Ett mål er å fremtvinge</w:t>
      </w:r>
      <w:r w:rsidRPr="00015951">
        <w:rPr>
          <w:rStyle w:val="kursiv"/>
        </w:rPr>
        <w:t xml:space="preserve"> </w:t>
      </w:r>
      <w:r>
        <w:t>politisk endring gjennom å opparbeide seg en posisjon til å enten kortsiktig eller langsiktig kunne påvirke norske politiske prosesser og standpunkt. Et annet mål er å forsvare sin egen (militære) handlefrihet gjennom å få kontroll på kritiske innsatsfaktorer eller infrastruktur i Norge som man selv er avhengig av, for å opprettholde egen makt. Et tredje mål kan være å oppnå en strategisk fordel. Dette kan være gjennom tilgang på informasjon, teknologi eller andre ressurser, som igjen kan være springbrett for å gjennomføre alvorlige handlinger.</w:t>
      </w:r>
    </w:p>
    <w:p w14:paraId="4E6330FC" w14:textId="267BB9DB" w:rsidR="004B1A63" w:rsidRDefault="004B1A63">
      <w:r>
        <w:t xml:space="preserve">Når en trusselaktør har oppnådd en strategisk fordel overfor et annet land, er hensikten med dette å kunne </w:t>
      </w:r>
      <w:r w:rsidR="00015951">
        <w:t>«</w:t>
      </w:r>
      <w:r>
        <w:t>utløse</w:t>
      </w:r>
      <w:r w:rsidR="00015951">
        <w:t>»</w:t>
      </w:r>
      <w:r>
        <w:t xml:space="preserve"> fordelen i situasjoner som gir maksimal gevinst for aktøren. Dette kan være gjennom handlinger av både politisk, økonomisk eller militær art – og dermed i ytterste konsekvens ved væpnet konflikt og krig.</w:t>
      </w:r>
    </w:p>
    <w:p w14:paraId="4E5B030C" w14:textId="77777777" w:rsidR="004B1A63" w:rsidRDefault="004B1A63">
      <w:pPr>
        <w:pStyle w:val="Overskrift3"/>
      </w:pPr>
      <w:r>
        <w:t>Den ytterste enden av krisespekteret – konflikt og krig</w:t>
      </w:r>
    </w:p>
    <w:p w14:paraId="1490B27D" w14:textId="77777777" w:rsidR="004B1A63" w:rsidRDefault="004B1A63">
      <w:r>
        <w:t>Sikkerhetstruende økonomiske virkemidler som nevnt i kapittel 4.2.3 kan, sammen med en rekke andre sikkerhetstruende virkemidler, være motivert av å oppnå strategiske fordeler, som kan utløses i situasjoner der dette behøves. I ytterste konsekvens kan dette være i væpnet konflikt og krig. Når behovet for nasjonal kontroll skal vurderes i hele krisespekteret, er det derfor også viktig å se hen til scenarier i den ytterste enden av spekteret. Treffsikkerheten og effekten av angrep mot digital infrastruktur med både konvensjonelle og cyberbaserte våpen, kan da avhenge av hvilke etterretning og informasjon trusselaktøren sitter på. Dette informasjonstilfanget kan være opparbeidet over lang tid gjennom økonomiske eller andre typer virkemidler – enten rettet direkte mot den aktuelle infrastrukturen, eller indirekte via leverandør- og verdikjeder.</w:t>
      </w:r>
    </w:p>
    <w:p w14:paraId="0E1C11B2" w14:textId="0CD406E6" w:rsidR="004B1A63" w:rsidRDefault="004B1A63">
      <w:r>
        <w:lastRenderedPageBreak/>
        <w:t>I 2024 publiserte FFI en rapport</w:t>
      </w:r>
      <w:r w:rsidR="00015951" w:rsidRPr="00015951">
        <w:rPr>
          <w:rStyle w:val="Fotnotereferanse"/>
        </w:rPr>
        <w:footnoteReference w:id="21"/>
      </w:r>
      <w:r>
        <w:t xml:space="preserve"> som oppsummerer de viktigste erfaringene og læringspunktene fra krigen i Ukraina, og hvilken overføringsverdi dette har for det norske og vestlige lands forsvar. FFI tar blant annet opp Russlands hybridkrigføring, og på cyberangrep på ukrainske informasjonssystemer i forkant av invasjonen i 2022. Slike angrep må påregnes som en integrert del av en væpnet konflikt, hvor formålet kan være å ramme kommunikasjonen mellom militære og sivile myndigheter og mellom myndigheter og befolkningen, ramme beredskapstiltak og generelt slite ned tilliten i samfunnet.</w:t>
      </w:r>
    </w:p>
    <w:p w14:paraId="65DF9A8D" w14:textId="77777777" w:rsidR="004B1A63" w:rsidRDefault="004B1A63">
      <w:r>
        <w:t>Når det gjelder bruk av konvensjonelle våpen viser FFI til at Russland gjennom krigen i omfattende grad har brukt langtrekkende missiler og droner mot ukrainske mål, først militære mål, deretter forsvarsindustrimål, kommunikasjonsinfrastruktur, jernbane, drivstofflagre og raffinerier, og til slutt rene sivile mål og sivil infrastruktur. Det er også gjennomført cyberangrep mot mål i vestlige land som har sendt våpen og annen hjelp til Ukraina.</w:t>
      </w:r>
    </w:p>
    <w:p w14:paraId="4E38F89A" w14:textId="77777777" w:rsidR="004B1A63" w:rsidRDefault="004B1A63">
      <w:r>
        <w:t>FFI mener at Russlands handlingsmønster om bruk av hybride og irregulære virkemidler sammen med væpnet konflikt har høy signifikans og overførbarhet til norske forhold. De mener derfor at Norge må bygge opp både en militær og sivil motstandsdyktighet mot slike sammensatte trusler. Når det gjelder informasjonssystemer uttrykker de:</w:t>
      </w:r>
    </w:p>
    <w:p w14:paraId="7AA5FC91" w14:textId="2C3221D5" w:rsidR="004B1A63" w:rsidRPr="00015951" w:rsidRDefault="00015951">
      <w:pPr>
        <w:pStyle w:val="blokksit"/>
      </w:pPr>
      <w:r>
        <w:t>«</w:t>
      </w:r>
      <w:r w:rsidR="004B1A63" w:rsidRPr="00015951">
        <w:t>Konsekvensen er at det må legges stor vekt på å beskytte de informasjonssystemene norske myndigheter er avhengige av i krig og konflikt, både ved å gjøre systemene robuste og sørge for redundans som muliggjør bruk av alternative kommunikasjonskanaler.</w:t>
      </w:r>
      <w:r>
        <w:t>»</w:t>
      </w:r>
    </w:p>
    <w:p w14:paraId="4CD73199" w14:textId="1CEDE24F" w:rsidR="004B1A63" w:rsidRDefault="004B1A63">
      <w:r>
        <w:t xml:space="preserve">Utvalget vil presisere at robusthet og redundans må sees på som komplementære strategier, og viser da henholdsvis til omtalen av nasjonale fortifikatoriske anlegg i kapittel 5, og eksempelet med å etablere redundante systemer for datalagring og prosessering i </w:t>
      </w:r>
      <w:r w:rsidR="00015951">
        <w:t>«</w:t>
      </w:r>
      <w:r>
        <w:t>data-ambassader</w:t>
      </w:r>
      <w:r w:rsidR="00015951">
        <w:t>»</w:t>
      </w:r>
      <w:r>
        <w:t xml:space="preserve"> i utlandet, som nevnt i kapittel 4.1.1.</w:t>
      </w:r>
    </w:p>
    <w:p w14:paraId="76969C36" w14:textId="77777777" w:rsidR="004B1A63" w:rsidRDefault="004B1A63">
      <w:pPr>
        <w:pStyle w:val="Overskrift2"/>
        <w:spacing w:before="425"/>
      </w:pPr>
      <w:r>
        <w:t>Økonomiske aktivitet som kan ha kontrollsvekkende effekt</w:t>
      </w:r>
    </w:p>
    <w:p w14:paraId="0AF3B776" w14:textId="77777777" w:rsidR="004B1A63" w:rsidRDefault="004B1A63" w:rsidP="006F4031">
      <w:r>
        <w:t xml:space="preserve">For de aller fleste tilfeller av økonomiske aktiviteter knyttet til norsk digital infrastruktur som innebærer utenlandske aktører, må man anta at det ikke ligger noe direkte </w:t>
      </w:r>
      <w:r w:rsidRPr="00015951">
        <w:rPr>
          <w:rStyle w:val="kursiv"/>
        </w:rPr>
        <w:t>sikkerhetstruende</w:t>
      </w:r>
      <w:r>
        <w:t xml:space="preserve"> </w:t>
      </w:r>
      <w:r w:rsidRPr="00015951">
        <w:rPr>
          <w:rStyle w:val="kursiv"/>
        </w:rPr>
        <w:t>formål</w:t>
      </w:r>
      <w:r>
        <w:t xml:space="preserve"> bak. Den utenlandske aktøren vil som oftest ha et rent kommersielt motiv, eventuelt støttet opp under legitime handelspolitiske og innenrikspolitiske mål fra hjemstaten. Likevel, selv om den utenlandske aktørens motiv er legitimt, kan effekten av slike økonomiske aktiviteter samtidig svekke vår nasjonale styringsevne og handlefrihet. Dette kan typisk skje ved at det utilsiktet oppstår bortfall eller forstyrrelser i de utenlandske innsatsfaktorene man er avhengig av (f.eks. feilsituasjoner eller ressursknapphet). I slike situasjoner kan staten som kontrollerer innsatsfaktoren bli tvunget til å prioritere egne behov fremfor andre lands behov. Sågar kan endringer i det handelspolitiske eller sikkerhetspolitiske landskapet </w:t>
      </w:r>
      <w:r>
        <w:lastRenderedPageBreak/>
        <w:t>gjøre at den utenlandske staten finner grunnlag for å utnytte maktposisjonen også til andre formål. Dette peker også FFI på i sin rapport om sikkerhetstruende økonomiske virkemidler:</w:t>
      </w:r>
    </w:p>
    <w:p w14:paraId="42D1D673" w14:textId="1D223EEF" w:rsidR="004B1A63" w:rsidRPr="00015951" w:rsidRDefault="00015951">
      <w:pPr>
        <w:pStyle w:val="blokksit"/>
      </w:pPr>
      <w:r>
        <w:t>«</w:t>
      </w:r>
      <w:r w:rsidR="004B1A63" w:rsidRPr="00015951">
        <w:t>Samtidig kan det ikke utelukkes at selv om motivasjonen i utgangspunktet er ressurssikkerhet av innenrikspolitiske hensyn, så kan kontroll over selskaper og ressurser gi avsenderstaten makt som senere kan brukes også til andre formål.</w:t>
      </w:r>
      <w:r>
        <w:t>»</w:t>
      </w:r>
    </w:p>
    <w:p w14:paraId="071CD68B" w14:textId="77777777" w:rsidR="004B1A63" w:rsidRDefault="004B1A63">
      <w:r>
        <w:t>Utvalget vil i denne sammenheng peke på at den norske digitale kommunikasjonsinfrastrukturen både er kapitalkrevende, og avhengig av internasjonale innsatsfaktorer. Kapital, utstyr, teknologi, programvare og kompetanse må i stor grad skaffes til veie gjennom utenlandske investeringer, eller gjennom utenlandske leverandører og samarbeidspartnere. Nedenfor omtaler utvalget noen aktuelle typer økonomiske aktiviteter som observeres i sektoren for elektronisk kommunikasjon. Disse økonomiske aktivitetene kan i mange tilfeller bidra til å styrke sikkerheten, men kan også ha en kontrollsvekkende effekt, selv uten at det nødvendigvis ligger et sikkerhetstruende motiv bak.</w:t>
      </w:r>
    </w:p>
    <w:p w14:paraId="785F4106" w14:textId="77777777" w:rsidR="004B1A63" w:rsidRDefault="004B1A63">
      <w:pPr>
        <w:pStyle w:val="Overskrift3"/>
      </w:pPr>
      <w:r>
        <w:t>Konsolideringer</w:t>
      </w:r>
    </w:p>
    <w:p w14:paraId="794E7BA9" w14:textId="77777777" w:rsidR="004B1A63" w:rsidRDefault="004B1A63">
      <w:pPr>
        <w:rPr>
          <w:spacing w:val="-2"/>
        </w:rPr>
      </w:pPr>
      <w:r>
        <w:t xml:space="preserve">Det er i økende grad diskusjoner om behov for europeiske konsolideringer innenfor den europeiske (og nordiske) telekomsektoren, for å styrke den europeiske konkurranse- og innovasjonskraften, i møte med de stadig sterkere amerikanske og asiatiske teknologimotorene. Dette kan innebære at det i fremtiden blir færre og større selskaper innenfor sektoren i Norden og innenfor EØS, og for Norges del mer utenlandsk eierskap i nasjonal digital kommunikasjonsinfrastruktur. Disse utviklingstrekkene er beskrevet i mer detalj i kapittel 7. Konsolideringer vil typisk skje gjennom oppkjøp eller fusjoner av selskaper, altså eierskapstransaksjoner. Eierskap samt regulering av eierskap </w:t>
      </w:r>
      <w:r>
        <w:rPr>
          <w:spacing w:val="-2"/>
        </w:rPr>
        <w:t>(eierskapskontroll) er virkemidler for nasjonal kontroll som omtales i mer detalj i kapittel 8.</w:t>
      </w:r>
    </w:p>
    <w:p w14:paraId="52EB0598" w14:textId="77777777" w:rsidR="004B1A63" w:rsidRDefault="004B1A63">
      <w:pPr>
        <w:pStyle w:val="Overskrift3"/>
      </w:pPr>
      <w:r>
        <w:t>Nyetablering (greenfield)</w:t>
      </w:r>
    </w:p>
    <w:p w14:paraId="1D427429" w14:textId="77777777" w:rsidR="004B1A63" w:rsidRDefault="004B1A63">
      <w:r>
        <w:t>En nyetablering (greenfield-investering) refererer til utbygging av helt ny infrastruktur fra grunnen av, i motsetning til brownfield-investeringer som involverer oppgradering eller utvidelse av eksisterende infrastruktur. I sammenheng med kritisk digital kommunikasjonsinfrastruktur har vi for eksempel sett en betydelig datasenteretablering i Norge de siste årene.</w:t>
      </w:r>
    </w:p>
    <w:p w14:paraId="196EF781" w14:textId="087F79A4" w:rsidR="004B1A63" w:rsidRDefault="004B1A63">
      <w:r>
        <w:t>I forhold til nasjonal kontroll kan denne type etablering være tveegget. På den ene siden vil utenlandske aktørers etablering av datasenter i Norge bidra til å styrke den nasjonale kontrollen ved at tjenester produseres og data lagres på norsk jord. Regjeringens gjeldende politikk er også at Norge skal være attraktiv for datasenteretableringer som bidrar til verdiskaping i Norge.</w:t>
      </w:r>
      <w:r w:rsidR="00015951" w:rsidRPr="00015951">
        <w:rPr>
          <w:rStyle w:val="Fotnotereferanse"/>
        </w:rPr>
        <w:footnoteReference w:id="22"/>
      </w:r>
      <w:r>
        <w:t xml:space="preserve"> Et konkret eksempel </w:t>
      </w:r>
      <w:r>
        <w:lastRenderedPageBreak/>
        <w:t>på en slik større utenlandsk greenfield-investering er Googles planlagte etablering av datasenter i Skien.</w:t>
      </w:r>
      <w:r w:rsidR="00015951" w:rsidRPr="00015951">
        <w:rPr>
          <w:rStyle w:val="Fotnotereferanse"/>
        </w:rPr>
        <w:footnoteReference w:id="23"/>
      </w:r>
    </w:p>
    <w:p w14:paraId="5119C297" w14:textId="03A044FF" w:rsidR="004B1A63" w:rsidRDefault="004B1A63">
      <w:r>
        <w:t>På en annen side kan utenlandsk nyetablering sette nasjonale sikkerhets- eller samfunnsinteresser på prøve. De siste årene har det for eksempel vært flere eksempler på uønskede utenlandske datasenteretableringer, hovedsakelig knyttet til kryptoutvinning, noe som forsøkes å avbøtes blant annet gjennom krav i den nye ekomloven som ble vedtatt i 2024. Også TikToks etablering i Norge, via Green Mountains nyetablering av datasenter i Innlandet, var omstridt. Saken ble behandlet i det interdepartementale screeningnettverket, men det ble ikke funnet grunnlag for å stoppe prosessen.</w:t>
      </w:r>
      <w:r w:rsidR="00015951" w:rsidRPr="00015951">
        <w:rPr>
          <w:rStyle w:val="Fotnotereferanse"/>
        </w:rPr>
        <w:footnoteReference w:id="24"/>
      </w:r>
    </w:p>
    <w:p w14:paraId="644AF392" w14:textId="77777777" w:rsidR="004B1A63" w:rsidRDefault="004B1A63">
      <w:pPr>
        <w:pStyle w:val="Overskrift3"/>
      </w:pPr>
      <w:r>
        <w:t>Strategiske partnerskap</w:t>
      </w:r>
    </w:p>
    <w:p w14:paraId="2A6F0447" w14:textId="77777777" w:rsidR="004B1A63" w:rsidRDefault="004B1A63">
      <w:r>
        <w:t>Et strategisk partnerskap er et langsiktig samarbeid mellom selskaper som har kompetanse, ressurser og teknologi som utfyller hverandre. For selskaper som forvalter kritisk digital infrastruktur, som for eksempel mobiloperatører, kan et strategisk partnerskap med utenlandske teknologipartnere eller skytjenesteleverandører gi flere fordeler som tilgang til teknologi, ekspertise og innovasjon som kan hjelpe dem å holde tritt med den raske teknologiske utviklingen, utvikle nye tjenester og forretningsmodeller, styrke sikkerheten, effektivisere driften osv.</w:t>
      </w:r>
    </w:p>
    <w:p w14:paraId="0003E247" w14:textId="6262738D" w:rsidR="004B1A63" w:rsidRDefault="004B1A63">
      <w:r>
        <w:t>I Norge er det mange eksempler på strategiske partnerskap mellom operatører av digital infrastruktur og internasjonale teknologiselskaper. Dette inkluderer for eksempel Telenor og Google Cloud</w:t>
      </w:r>
      <w:r w:rsidR="00015951" w:rsidRPr="00015951">
        <w:rPr>
          <w:rStyle w:val="Fotnotereferanse"/>
        </w:rPr>
        <w:footnoteReference w:id="25"/>
      </w:r>
      <w:r>
        <w:t>, Telenor og NVIDIA</w:t>
      </w:r>
      <w:r w:rsidR="00015951" w:rsidRPr="00015951">
        <w:rPr>
          <w:rStyle w:val="Fotnotereferanse"/>
        </w:rPr>
        <w:footnoteReference w:id="26"/>
      </w:r>
      <w:r>
        <w:t>, Telia og Microsoft</w:t>
      </w:r>
      <w:r w:rsidR="00015951" w:rsidRPr="00015951">
        <w:rPr>
          <w:rStyle w:val="Fotnotereferanse"/>
        </w:rPr>
        <w:footnoteReference w:id="27"/>
      </w:r>
      <w:r>
        <w:t>, og Tampnet og OneWeb.</w:t>
      </w:r>
      <w:r w:rsidR="00015951" w:rsidRPr="00015951">
        <w:rPr>
          <w:rStyle w:val="Fotnotereferanse"/>
        </w:rPr>
        <w:footnoteReference w:id="28"/>
      </w:r>
    </w:p>
    <w:p w14:paraId="300C6009" w14:textId="77777777" w:rsidR="004B1A63" w:rsidRDefault="004B1A63">
      <w:r>
        <w:t xml:space="preserve">Hvordan det strategiske partnerskapet kan påvirke den nasjonale kontrollen med den digitale infrastrukturen varierer selvsagt, avhengig av hvordan partnerskapet er utformet og graden av operasjonell eller teknologisk integrasjon. Jo tettere den utenlandske aktøren er integrert i selskapets teknologi </w:t>
      </w:r>
      <w:r>
        <w:lastRenderedPageBreak/>
        <w:t>og drift, desto større kan deres innflytelse bli. Et partnerskap vil typisk være regulert gjennom en avtale, et virkemiddel for nasjonal kontroll som omtales i mer detalj i kapittel 9.</w:t>
      </w:r>
    </w:p>
    <w:p w14:paraId="65CD137C" w14:textId="77777777" w:rsidR="004B1A63" w:rsidRDefault="004B1A63">
      <w:pPr>
        <w:pStyle w:val="Overskrift3"/>
      </w:pPr>
      <w:r>
        <w:t>Fellesforetak og konsortium</w:t>
      </w:r>
    </w:p>
    <w:p w14:paraId="07715806" w14:textId="78768D12" w:rsidR="004B1A63" w:rsidRDefault="004B1A63">
      <w:r>
        <w:t>Et fellesforetak (</w:t>
      </w:r>
      <w:r w:rsidR="00015951">
        <w:t>«</w:t>
      </w:r>
      <w:r>
        <w:t>joint venture</w:t>
      </w:r>
      <w:r w:rsidR="00015951">
        <w:t>»</w:t>
      </w:r>
      <w:r>
        <w:t xml:space="preserve">) er et samarbeid der to eller flere selskaper etablerer en egen juridisk enhet for å nå et felles mål, for eksempel utviklings- og investeringsprosjekter. Partnerne deler på finansiering, kompetanse, fortjeneste og risiko i det nye selskapet. Graden av nasjonal kontroll påvirkes da av fordelingen av eierskap i det nye selskapet, og selvsagt opprinnelseslandet til selskapene som har inngått samarbeidet. For eksempel signerte i 2019 den finske telekomaktøren Cinia og den russiske telekomaktøren Megafon en intensjonsavtale om å bygge ut ny sjøfiberkabel som skulle forbinde Europa med Asia gjennom Nordøstpassasjen gjennom selskapet </w:t>
      </w:r>
      <w:r w:rsidR="00015951">
        <w:t>«</w:t>
      </w:r>
      <w:r>
        <w:t>Arctic Link Development Oy</w:t>
      </w:r>
      <w:r w:rsidR="00015951">
        <w:t>»</w:t>
      </w:r>
      <w:r>
        <w:t>. Senere koblet også et norsk selskap seg på prosjektet, et datterselskap av det offentlig eide selskapet Bredbåndsfylket, med tanke på ilandføring av kabelen i Nord-Norge. Utviklingsprosjektet ble imidlertid ikke gjennomført, og ble avsluttet i 2021.</w:t>
      </w:r>
      <w:r w:rsidR="00015951" w:rsidRPr="00015951">
        <w:rPr>
          <w:rStyle w:val="Fotnotereferanse"/>
        </w:rPr>
        <w:footnoteReference w:id="29"/>
      </w:r>
    </w:p>
    <w:p w14:paraId="224AA36A" w14:textId="77777777" w:rsidR="004B1A63" w:rsidRDefault="004B1A63">
      <w:pPr>
        <w:pStyle w:val="Overskrift3"/>
      </w:pPr>
      <w:r>
        <w:t>Salg av innhold i selskaper</w:t>
      </w:r>
    </w:p>
    <w:p w14:paraId="246BED0E" w14:textId="4AF972E7" w:rsidR="004B1A63" w:rsidRDefault="004B1A63">
      <w:r>
        <w:t>Som del av teknologi- og markedsutviklingen har tradisjonelle vertikalt integrerte telekomselskaper, som for eksempel Telenor, gjennom ulike faser foretatt salg av innhold i selskapene. Ved å skille ut eierskap til slike eiendeler i egne selskaper og eventuelt selge hele eller deler av det nye selskapet, kan selskapene redusere sin gjeld, øke likviditeten og bruke midlene til å investere i nye vekstområder. Det etableres da gjerne samarbeidsmodeller med det nye selskapet for å sikre fortsatt tilgang til infrastrukturen, uten å binde opp like store ressurser som når man eide den selv. Samtidig skapes det også et avhengighetsforhold til det nye selskapet som da blir en, potensielt kritisk, del av leverandør-/verdikjeden. For eksempel har nå alle tre norske mobiloperatører, Telia, Telenor og Lyse Tele /Ice flyttet operasjon av mobiltårn, inkludert utstyrshytter, strøm og kjøling, ut i egne mobiltårnselskaper, henholdsvis Telia Towers, Telenor Towers og Tårnselskapet. I 2023 ble også Telenors fibernett skilt ut i eget selskap, Telenor Fiber, hvorpå 30 prosent av selskapet ble solgt til det globale investeringsselskapet KKR og Oslo Pensjonsforsikring.</w:t>
      </w:r>
      <w:r w:rsidR="00015951" w:rsidRPr="00015951">
        <w:rPr>
          <w:rStyle w:val="Fotnotereferanse"/>
        </w:rPr>
        <w:footnoteReference w:id="30"/>
      </w:r>
      <w:r>
        <w:t xml:space="preserve"> Staten satte betingelser i forbindelse med denne transaksjonen, som omtales nærmere i kapittel 9.2.2.</w:t>
      </w:r>
    </w:p>
    <w:p w14:paraId="5B71F9DE" w14:textId="77777777" w:rsidR="004B1A63" w:rsidRDefault="004B1A63">
      <w:pPr>
        <w:pStyle w:val="Overskrift3"/>
      </w:pPr>
      <w:r>
        <w:t>Leverandørvalg og administrerte tjenester</w:t>
      </w:r>
    </w:p>
    <w:p w14:paraId="3E8B93F0" w14:textId="2CB7CD70" w:rsidR="004B1A63" w:rsidRDefault="004B1A63">
      <w:r>
        <w:t xml:space="preserve">Innenfor elektronisk kommunikasjon går også teknologiutviklingen svært raskt. Utvikling, innovasjon og effektiv drift krever mer og mer spesialisert kompetanse som norske aktører må innhente gjennom tettere integrert samarbeid med utenlandske utstyrsleverandører, som for eksempel Cisco, Juniper, </w:t>
      </w:r>
      <w:r>
        <w:lastRenderedPageBreak/>
        <w:t>Palo Alto, Nokia, Ericsson og Huawei. I økende grad drifter også leverandørene tjenestene i tilknytning til utstyret på vegne av kunden (administrerte tjenester – managed services). Dette er grunnet kompleksiteten i leveransene, og gjør det mer skalerbart og fleksibelt for kunden, som da kan fokusere på kjerneoppgaver. I norsk telekom-sammenheng er nok den mest omtalte leverandørvalgsaken knyttet til Telias og Telenors valg av leverandør for deres 5G mobilnett i perioden 2020-2021. Her satte sikkerhetskravene i ekomloven og sikkerhetsloven begrensninger for hvordan operatørene kunne benytte leverandører fra land som Norge ikke har sikkerhetsmessig samarbeid med.</w:t>
      </w:r>
      <w:r w:rsidR="00015951" w:rsidRPr="00015951">
        <w:rPr>
          <w:rStyle w:val="Fotnotereferanse"/>
        </w:rPr>
        <w:footnoteReference w:id="31"/>
      </w:r>
      <w:r>
        <w:t xml:space="preserve"> Dette omtales også nærmere i kapittel 9.6.</w:t>
      </w:r>
    </w:p>
    <w:p w14:paraId="0BB7334F" w14:textId="77777777" w:rsidR="004B1A63" w:rsidRDefault="004B1A63">
      <w:pPr>
        <w:pStyle w:val="Overskrift3"/>
      </w:pPr>
      <w:r>
        <w:t>Utkontraktering og offshoring</w:t>
      </w:r>
    </w:p>
    <w:p w14:paraId="0E381E5E" w14:textId="77777777" w:rsidR="004B1A63" w:rsidRDefault="004B1A63">
      <w:r>
        <w:t>Utkontraktering og offshoring av forretningsfunksjoner, som for eksempel IT utvikling og drift, IT-sikkerhetstjenester, nettverksovervåking, osv. er også en vanlig strategi for å optimalisere driften. Dette gjelder for stort sett alle typer virksomheter, inkludert operatører av kritisk digital infrastruktur. Slike leverandører har ofte spesialiserte ressurser som kan tilby kontinuerlig overvåking og en robust infrastruktur som møter høye sikkerhetsstandarder, geografisk spredning og redundans.</w:t>
      </w:r>
    </w:p>
    <w:p w14:paraId="19F1A643" w14:textId="6EBF4C48" w:rsidR="004B1A63" w:rsidRDefault="004B1A63">
      <w:r>
        <w:t>Avhengigheten til utenlandske leverandører av slike tjenester, og deres leverandørkjeder igjen, kan imidlertid også få negative konsekvenser for sikkerheten i den nasjonale digitale infrastrukturen. Utilsiktede feil i leverandørkjeder har potensiale til å spre seg raskt og få vidtrekkende konsekvenser gjennom at det kan ramme alle kunder som er avhengig av leverandøren samtidig, noe som forsterker omfanget og konsekvensene av avbruddet. Dette ble blant annet tydelig sommeren 2024 da en programvareoppdatering hos sikkerhetsleverandøren Crowdstrike førte til krasj av Windows-systemer, og som påvirket samfunnskritiske tjenester over hele verden</w:t>
      </w:r>
      <w:r w:rsidR="00015951" w:rsidRPr="00015951">
        <w:rPr>
          <w:rStyle w:val="Fotnotereferanse"/>
        </w:rPr>
        <w:footnoteReference w:id="32"/>
      </w:r>
      <w:r>
        <w:t xml:space="preserve"> – dog med begrensede konsekvenser i Norge. Et annet eksempel er </w:t>
      </w:r>
      <w:r w:rsidR="00015951">
        <w:t>«</w:t>
      </w:r>
      <w:r>
        <w:t>Nødnett-saken</w:t>
      </w:r>
      <w:r w:rsidR="00015951">
        <w:t>»</w:t>
      </w:r>
      <w:r>
        <w:t xml:space="preserve"> tilbake i 2016-2017, hvor det ble avdekket at IT-driftspersonell i India satt med uautoriserte tilganger til Nødnett gjennom Nødnetts sambandsleverandørkjede.</w:t>
      </w:r>
      <w:r w:rsidR="00015951" w:rsidRPr="00015951">
        <w:rPr>
          <w:rStyle w:val="Fotnotereferanse"/>
        </w:rPr>
        <w:footnoteReference w:id="33"/>
      </w:r>
      <w:r>
        <w:t xml:space="preserve"> Tilgangene var i strid med sikkerhetslovens bestemmelser, medførte fare for tap av nasjonal kontroll gjennom at skjermingsverdig informasjon om kritisk digital infrastruktur kunne komme på avveie, og en evne til å kunne ramme driften av Nødnett i Norge, fra India.</w:t>
      </w:r>
    </w:p>
    <w:p w14:paraId="66840EF6" w14:textId="77777777" w:rsidR="004B1A63" w:rsidRDefault="004B1A63">
      <w:pPr>
        <w:pStyle w:val="Overskrift2"/>
      </w:pPr>
      <w:r>
        <w:lastRenderedPageBreak/>
        <w:t>Aktuelle myndighetsprosesser</w:t>
      </w:r>
    </w:p>
    <w:p w14:paraId="733EDD2A" w14:textId="28C98C07" w:rsidR="004B1A63" w:rsidRDefault="004B1A63" w:rsidP="006F4031">
      <w:r>
        <w:t xml:space="preserve">Regjeringens digitaliseringsstrategi </w:t>
      </w:r>
      <w:r w:rsidR="00015951">
        <w:t>«</w:t>
      </w:r>
      <w:r>
        <w:t>Fremtidens digitale Norge – Nasjonal digitaliseringsstrategi 2024-2030</w:t>
      </w:r>
      <w:r w:rsidR="00015951">
        <w:t>»</w:t>
      </w:r>
      <w:r w:rsidR="00015951" w:rsidRPr="00015951">
        <w:rPr>
          <w:rStyle w:val="Fotnotereferanse"/>
        </w:rPr>
        <w:footnoteReference w:id="34"/>
      </w:r>
      <w:r>
        <w:t xml:space="preserve"> viser til at den strategiske retningen for å ivareta digital sikkerhet er nedfelt i </w:t>
      </w:r>
      <w:r w:rsidR="00015951">
        <w:t xml:space="preserve">Meld. St. </w:t>
      </w:r>
      <w:r w:rsidR="00015951">
        <w:t>9</w:t>
      </w:r>
      <w:r>
        <w:t xml:space="preserve"> (2022–2023).</w:t>
      </w:r>
      <w:r w:rsidRPr="00015951">
        <w:rPr>
          <w:rStyle w:val="kursiv"/>
        </w:rPr>
        <w:t xml:space="preserve"> </w:t>
      </w:r>
      <w:r>
        <w:t xml:space="preserve">Under digitaliseringsstrategiens mål om en sikker og fremtidsrettet digital infrastruktur fremgår det blant annet at regjeringen vil </w:t>
      </w:r>
      <w:r w:rsidR="00015951">
        <w:t>«</w:t>
      </w:r>
      <w:r w:rsidRPr="00015951">
        <w:rPr>
          <w:rStyle w:val="kursiv"/>
        </w:rPr>
        <w:t>sikre tilstrekkelig nasjonal kontroll med den delen av den digitale grunnmuren som understøtter kritiske samfunnsfunksjoner</w:t>
      </w:r>
      <w:r w:rsidR="00015951">
        <w:t>»</w:t>
      </w:r>
      <w:r>
        <w:t>. I den sammenheng har det de siste årene pågått flere myndighetsprosesser som har relevans i forhold til nasjonal kontroll med digital infrastruktur. Noen av disse omtales i det følgende.</w:t>
      </w:r>
    </w:p>
    <w:p w14:paraId="4DB78061" w14:textId="77777777" w:rsidR="004B1A63" w:rsidRDefault="004B1A63">
      <w:pPr>
        <w:pStyle w:val="Overskrift3"/>
      </w:pPr>
      <w:r>
        <w:t>Konseptvalgutredning om nasjonal sky</w:t>
      </w:r>
    </w:p>
    <w:p w14:paraId="13C4E747" w14:textId="23895EC1" w:rsidR="004B1A63" w:rsidRDefault="004B1A63">
      <w:r>
        <w:t>En konseptvalgutredning for nasjonal skytjeneste</w:t>
      </w:r>
      <w:r w:rsidR="00015951" w:rsidRPr="00015951">
        <w:rPr>
          <w:rStyle w:val="Fotnotereferanse"/>
        </w:rPr>
        <w:footnoteReference w:id="35"/>
      </w:r>
      <w:r>
        <w:t xml:space="preserve"> ble gjennomført av NSM på oppdrag fra JD i perioden februar 2022 til januar 2023. Bakgrunnen for utredningen var erkjennelsen av at avhengigheten av utenlandske skytjenester kan utgjøre en sårbarhet for visse datatyper og IKT-systemer i statsforvaltningen, som er viktige å beskytte og ha kontroll på for å ivareta nasjonale sikkerhetsinteresser. Utredningen gjaldt ikke sikkerhetsgradert informasjon, men skjermingsverdig ugradert informasjon (iht. sikkerhetsloven) og annen ugradert beskyttelsesverdig informasjon. Dette kan typisk være statlige IT-systemer og data knyttet til valgsystemet, personregistre, helseregistre, eiendomsregistre, infrastruktur- og transportsystemer mv.</w:t>
      </w:r>
    </w:p>
    <w:p w14:paraId="03E940B3" w14:textId="1EAACAFD" w:rsidR="004B1A63" w:rsidRDefault="004B1A63">
      <w:r>
        <w:t>I analysen estimerer NSM at om dagens utviklingstrender knyttet til bruk av skytjenester fortsetter, så vil om ti år om lag 8</w:t>
      </w:r>
      <w:r w:rsidR="00015951">
        <w:t>0</w:t>
      </w:r>
      <w:r w:rsidR="00015951">
        <w:t> %</w:t>
      </w:r>
      <w:r>
        <w:t xml:space="preserve"> av slike beskyttelsesverdige data og systemer ligge på skybaserte løsninger, de fleste helt eller delvis utenfor nasjonal jurisdiksjon. NSM mener derfor det er viktig å styrke den nasjonale kontrollen på disse løsningene for å sikre myndighetenes evne til å ivareta konfidensialiteten, tilgjengeligheten og integriteten i både fred, men også i krise og i væpnet konflikt. Konseptvalgutredningen vurderer ulike skybaserte løsningskonsepter som skal ivareta tilstrekkelig nasjonal kontroll, samtidig som de balanseres opp mot behovet for kostnadseffektivitet, funksjonalitet og innovasjon som følger av moderne (kommersielle) skyløsninger. NSM vurderer fem ulike konsepter hvor de anbefaler en harmonisering av regelverk og sterkere regulering av det offentliges bruk av skytjenester samt et kombinasjonskonsept bestående av 1) en statlig lukket skyløsning for de mest kritiske dataene og systemene, og 2) en lukket kommersiell sky for de øvrige data og systemer.</w:t>
      </w:r>
    </w:p>
    <w:p w14:paraId="2663C575" w14:textId="77777777" w:rsidR="004B1A63" w:rsidRDefault="004B1A63">
      <w:r>
        <w:t xml:space="preserve">Det inngår i statens prosjektmodell at konseptvalgutredninger skal kvalitetssikres av eksterne rådgivere. I kvalitetssikringsrapporten konkluderes det med at konseptet med en lukket kommersiell sky </w:t>
      </w:r>
      <w:r>
        <w:lastRenderedPageBreak/>
        <w:t>kommer best ut på de prissatte virkningene. En statlig lukket skyløsning vurderes å ville både koste vesentlig mer og gi dårligere funksjonalitet og innovasjon, men vil samtidig gi større nasjonal kontroll. Imidlertid påpeker kvalitetssikrerne at det ikke nødvendigvis er en direkte sammenheng mellom økt nasjonal kontroll og økt sikkerhet, og at en lukket kommersiell sky kan komme like godt eller bedre ut enn en statlig lukket skyløsning. De mener derfor det er betydelig usikkerhet knyttet til nytteverdien for en statlig lukket skyløsning sett opp mot ekstrakostnadene som en slik løsning vil innebære. Oppsummert anbefaler kvalitetssikrerne at det gjennomføres supplerende analyser før endelig beslutning om konsept tas.</w:t>
      </w:r>
    </w:p>
    <w:p w14:paraId="5C9AD658" w14:textId="08512AA7" w:rsidR="004B1A63" w:rsidRDefault="004B1A63">
      <w:r>
        <w:t>Regjeringen har deretter tatt beslutning om konsept og arbeidet er tatt videre.</w:t>
      </w:r>
      <w:r w:rsidR="00015951" w:rsidRPr="00015951">
        <w:rPr>
          <w:rStyle w:val="Fotnotereferanse"/>
        </w:rPr>
        <w:footnoteReference w:id="36"/>
      </w:r>
      <w:r>
        <w:t xml:space="preserve"> Konseptet innebærer en lukket skytjeneste hvor det gjennom sikkerhetsgraderte anskaffelser inngås en avtale med en eller noen få leverandører som skal utvikle, drifte og forvalte en nasjonal skytjeneste. Videre er det presisert at det skal stilles krav til nasjonal kontroll i leveransen.</w:t>
      </w:r>
    </w:p>
    <w:p w14:paraId="3B1DDAB1" w14:textId="77777777" w:rsidR="004B1A63" w:rsidRDefault="004B1A63">
      <w:pPr>
        <w:pStyle w:val="Overskrift3"/>
      </w:pPr>
      <w:r>
        <w:t>Langtidsplanen for Forsvaret og totalberedskapsmeldingen</w:t>
      </w:r>
    </w:p>
    <w:p w14:paraId="035B8149" w14:textId="77777777" w:rsidR="004B1A63" w:rsidRDefault="004B1A63">
      <w:r>
        <w:t xml:space="preserve">I desember 2021 nedsatte regjeringen Forsvarskommisjonen av 2021. Kommisjonens mandat var å vurdere sikkerhets- og forsvarspolitiske veivalg for Norge i et 10-20-års perspektiv. I januar 2022 ble Totalberedskapskommisjonen nedsatt, som en parallell prosess for å vurdere samfunnets samlede beredskapsressurser. De to utredningene ble avgitt i 2023, som henholdsvis NOU 2023: 14 </w:t>
      </w:r>
      <w:r w:rsidRPr="00015951">
        <w:rPr>
          <w:rStyle w:val="kursiv"/>
        </w:rPr>
        <w:t>Forsvarskommisjonen av 2021 – Forsvar for fred og frihet</w:t>
      </w:r>
      <w:r>
        <w:t xml:space="preserve"> og NOU 2023: 17 </w:t>
      </w:r>
      <w:r w:rsidRPr="00015951">
        <w:rPr>
          <w:rStyle w:val="kursiv"/>
        </w:rPr>
        <w:t>Nå er det alvor – Rustet for en usikker fremtid</w:t>
      </w:r>
      <w:r>
        <w:t>. Til sammen gir utredningene en omfattende gjennomgang av Norges sikkerhet og beredskap i et stadig mer komplekst trusselbilde.</w:t>
      </w:r>
    </w:p>
    <w:p w14:paraId="687B7DD9" w14:textId="77777777" w:rsidR="004B1A63" w:rsidRDefault="004B1A63">
      <w:r>
        <w:t>Forsvarskommisjonen tegner et alvorlig situasjonsbilde av dagens norske forsvarsevne. Etter en fredelig periode i vår del av verden etter den kalde krigen og frem til Russlands fullskala invasjon av Ukraina i 2022, så samsvarer ikke lenger dagens forsvarsevne med dagens sikkerhetspolitiske situasjon, og utviklingen som ventes de neste 10–20 årene. Kommisjonen peker derfor på tre sentrale erkjennelser som må ligge til grunn for videre politikkutforming: Norske myndigheter og befolkning må ta innover seg alvoret i situasjonen, myndighetene må handle raskt, og utfordringene stiller krav til en helhetlig politikk.</w:t>
      </w:r>
    </w:p>
    <w:p w14:paraId="6497CDBD" w14:textId="77777777" w:rsidR="004B1A63" w:rsidRDefault="004B1A63">
      <w:r>
        <w:t>I tillegg til de rent forsvarsfaglige anbefalingene, understreker Forsvarskommisjonen at Norge ikke kan forsvares utelukkende med militære virkemidler. Blant annet skriver de:</w:t>
      </w:r>
    </w:p>
    <w:p w14:paraId="2EBCB8AF" w14:textId="79508E89" w:rsidR="004B1A63" w:rsidRPr="00015951" w:rsidRDefault="00015951">
      <w:pPr>
        <w:pStyle w:val="blokksit"/>
      </w:pPr>
      <w:r>
        <w:t>«</w:t>
      </w:r>
      <w:r w:rsidR="004B1A63" w:rsidRPr="00015951">
        <w:t xml:space="preserve">Vårt totalforsvar er tilpasset en tid der trusselen om krig på eget territorium har vært ansett som liten. Reaksjonsevnen og utholdenheten er for dårlig til å møte dagens og fremtidens utfordringer. Norske myndigheter må systematisere arbeidet med nasjonalt og alliert planverk, slik at sivil og </w:t>
      </w:r>
      <w:r w:rsidR="004B1A63" w:rsidRPr="00015951">
        <w:lastRenderedPageBreak/>
        <w:t>militær side baserer seg på de samme planforutsetningene. Næringslivets rolle og ansvar for å bidra til å gjøre landet vårt tryggere blir viktigere.</w:t>
      </w:r>
      <w:r>
        <w:t>»</w:t>
      </w:r>
    </w:p>
    <w:p w14:paraId="1905D011" w14:textId="77777777" w:rsidR="004B1A63" w:rsidRDefault="004B1A63">
      <w:r>
        <w:t>Som del av dette mente Forsvarskommisjonen at den nasjonale kontrollen med digitale verdier bør styrkes, herunder i form av digital infrastruktur på norsk territorium, og at det bør etableres et minimumsnivå av tilgjengelighet og digital forsyningsevne.</w:t>
      </w:r>
    </w:p>
    <w:p w14:paraId="0F0BE263" w14:textId="451ADAEA" w:rsidR="004B1A63" w:rsidRDefault="004B1A63">
      <w:r>
        <w:t xml:space="preserve">5. april 2024 la regjeringen frem </w:t>
      </w:r>
      <w:r w:rsidR="00015951">
        <w:t xml:space="preserve">Prop. </w:t>
      </w:r>
      <w:r w:rsidR="00015951">
        <w:t>87</w:t>
      </w:r>
      <w:r w:rsidR="00015951">
        <w:t xml:space="preserve"> </w:t>
      </w:r>
      <w:r w:rsidR="00015951">
        <w:t>S (2023</w:t>
      </w:r>
      <w:r>
        <w:t xml:space="preserve">–2024) </w:t>
      </w:r>
      <w:r w:rsidRPr="00015951">
        <w:rPr>
          <w:rStyle w:val="kursiv"/>
        </w:rPr>
        <w:t>Forsvarsløftet – for Norges trygghet</w:t>
      </w:r>
      <w:r>
        <w:t>. Denne langtidsplanen innebærer en betydelig styrking av forsvarssektoren fra 2025 og frem til 2036. Gjennom et bredt forlik på Stortinget ble den endelige langtidsplanen fastsatt i juni 2024. Planen innebærer både en utbedring av kritiske mangler i dagens forsvar, og betydelige satsinger på flere områder. Dette omfatter styrkinger både på det maritime området, i Hæren og Heimevernet, på styrket luftvern og styrket overvåkning og kontroll, herunder på satellittområdet. I forholdet til samhandlingen med sivil side, peker langtidsplanen blant annet på at Norden nå er samlet i NATO og at dette muliggjør videreutviklingen av et totalforsvar i en nordisk kontekst. Videre legger planen vekt på å styrke samarbeidet med sivile myndigheter og sivilt næringsliv, og viser blant annet til de positive erfaringene med gjensidig støtte for å kartlegge og beskytte undersjøisk infrastruktur på norsk sokkel etter sabotasjen på Nord Stream-ledningene.</w:t>
      </w:r>
      <w:r w:rsidR="00015951" w:rsidRPr="00015951">
        <w:rPr>
          <w:rStyle w:val="Fotnotereferanse"/>
        </w:rPr>
        <w:footnoteReference w:id="37"/>
      </w:r>
      <w:r>
        <w:t xml:space="preserve"> Også når det gjelder forsvarets virksomhet i cyberdomenet, herunder beskyttelse og videreutvikling av forsvarets IKT-systemer, så påpekes behovet for å samarbeide tett med sivile aktører.</w:t>
      </w:r>
    </w:p>
    <w:p w14:paraId="55F8AB02" w14:textId="77777777" w:rsidR="004B1A63" w:rsidRDefault="004B1A63">
      <w:r>
        <w:t>På sivil side går Totalberedskapskommisjonens rapport nærmere inn på temaet nasjonal kontroll med digital infrastruktur. De peker på at ekomnett og -tjenester er bygget opp og dimensjonert for fredstid, og at sektoren er sårbar for langvarige forstyrrelser i internasjonale forsyningskjeder. Videre peker de på et underskudd av tilgang på teknologi- og sikkerhetskompetanse i Norge:</w:t>
      </w:r>
    </w:p>
    <w:p w14:paraId="3FC54AA9" w14:textId="186561D6" w:rsidR="004B1A63" w:rsidRPr="00015951" w:rsidRDefault="00015951">
      <w:pPr>
        <w:pStyle w:val="blokksit"/>
      </w:pPr>
      <w:r>
        <w:t>«</w:t>
      </w:r>
      <w:r w:rsidR="004B1A63" w:rsidRPr="00015951">
        <w:t>Gitt den sikkerhetspolitiske situasjonen i Europa og erfaringene vi har med koronapandemi og større globale hendelser, mener kommisjonen at det må utarbeides operasjonelle krav til nasjonal egenevne til produksjon, vedlikehold og gjenoppretting. Ved en større internasjonal krise vil utenlandske ressurser måtte benyttes i landet de befinner seg i. Det må derfor fastsettes hvilken grunnleggende kompetanse, hvilke funksjoner og hvilket utstyr som skal være tilgjengelig innenfor Norges grenser. Det vil ta tid for sektoren å tilpasse seg, og arbeidet må derfor sette i gang så raskt som mulig.</w:t>
      </w:r>
      <w:r>
        <w:t>»</w:t>
      </w:r>
    </w:p>
    <w:p w14:paraId="0ECE148F" w14:textId="77777777" w:rsidR="004B1A63" w:rsidRDefault="004B1A63">
      <w:r>
        <w:t>Blant annet anbefaler Totalberedskapskommisjonen at kravene til nasjonal autonomi operasjonaliseres, men også at man vurderer hvordan et styrket nordisk samarbeid kan styrke robustheten og motstandsdyktigheten i sektoren.</w:t>
      </w:r>
    </w:p>
    <w:p w14:paraId="12F7594A" w14:textId="78D80FAC" w:rsidR="004B1A63" w:rsidRDefault="004B1A63">
      <w:r>
        <w:t xml:space="preserve">Blant annet med grunnlag i NOU 2023: 17 la regjeringen 10. januar 2025 frem </w:t>
      </w:r>
      <w:r w:rsidR="00015951">
        <w:t xml:space="preserve">Meld. St. </w:t>
      </w:r>
      <w:r w:rsidR="00015951">
        <w:t>9</w:t>
      </w:r>
      <w:r>
        <w:t xml:space="preserve"> (2024–2025) </w:t>
      </w:r>
      <w:r w:rsidRPr="00015951">
        <w:rPr>
          <w:rStyle w:val="kursiv"/>
        </w:rPr>
        <w:t>Totalberedskapsmeldingen</w:t>
      </w:r>
      <w:r>
        <w:t xml:space="preserve">. Stortingsmeldingen identifiserer tre hovedmål for regjeringens arbeid med å styrke totalberedskapen. Dette er å sikre et sivilt samfunn som 1) er forberedt på krise og krig, 2) </w:t>
      </w:r>
      <w:r>
        <w:lastRenderedPageBreak/>
        <w:t xml:space="preserve">motstår sammensatte trusler, og 3) understøtter militær innsats. For å nå målene legger regjeringen frem syv strategiske retninger, hvor ett av de er å </w:t>
      </w:r>
      <w:r w:rsidR="00015951">
        <w:t>«</w:t>
      </w:r>
      <w:r w:rsidRPr="00015951">
        <w:rPr>
          <w:rStyle w:val="kursiv"/>
        </w:rPr>
        <w:t>styrke digital motstandskraft og nasjonal kontroll over kritisk infrastruktur og strategisk viktige virksomheter, naturressurser, eiendom og verdie</w:t>
      </w:r>
      <w:r>
        <w:t>r</w:t>
      </w:r>
      <w:r w:rsidR="00015951">
        <w:t>»</w:t>
      </w:r>
      <w:r>
        <w:t>. Regjeringen påpeker i meldingen at den nasjonale kontrollen skal innrettes slik at den ivaretar forutsigbarhet for næringslivet, og som bevarer Norge som en åpen økonomi.</w:t>
      </w:r>
    </w:p>
    <w:p w14:paraId="36292D39" w14:textId="77777777" w:rsidR="004B1A63" w:rsidRDefault="004B1A63">
      <w:pPr>
        <w:pStyle w:val="Overskrift3"/>
      </w:pPr>
      <w:r>
        <w:t>Proaktive og reaktive myndighetstiltak relatert til nasjonal kontroll</w:t>
      </w:r>
    </w:p>
    <w:p w14:paraId="64B8A62B" w14:textId="77777777" w:rsidR="004B1A63" w:rsidRDefault="004B1A63">
      <w:r>
        <w:t>Myndighetene har de siste årene håndtert flere konkrete saker relatert til digital kommunikasjonsinfrastruktur hvor nasjonal kontroll er et sentralt moment. Noen av disse aktivitetene er proaktive prosjekter initiert av myndighetene, andre er reaktive kontroller og tiltak av for eksempel utenlandsinvesteringer.</w:t>
      </w:r>
    </w:p>
    <w:p w14:paraId="1ACB9DE2" w14:textId="0DEFCC66" w:rsidR="004B1A63" w:rsidRDefault="004B1A63">
      <w:r>
        <w:t>Av proaktive grep så er kanskje satsingen innenfor norsk romvirksomhet det mest fremtredende. Romteknologi og satellitter er sentrale for kommunikasjon så vel som andre viktige samfunnsfunksjoner innenfor transport, energiforsyning, overvåking og værvarsling. Satellittjenestene spiller også en viktig rolle for Norge i suverenitetshevdelse, militær beredskap og etterretning. Viktige milepæler som styrker nasjonal kontroll i kommunikasjonssammenheng ble nådd i 2024. I august ble to norske bredbåndssatellitter i Arctic Satellite Broadband Mission fra statlig eide Space Norway skutt opp fra California i USA. I desember ble systemet satt i drift, og sikrer nå at Norge har kontroll over strategisk viktige kommunikasjonstjenester for blant annet Forsvaret i store områder i Arktis som før har vært uten dekning.</w:t>
      </w:r>
      <w:r w:rsidR="00015951" w:rsidRPr="00015951">
        <w:rPr>
          <w:rStyle w:val="Fotnotereferanse"/>
        </w:rPr>
        <w:footnoteReference w:id="38"/>
      </w:r>
      <w:r>
        <w:t xml:space="preserve"> Tidlig i 2024 gjennomførte også Space Norway oppkjøp av selskapet Telenor Satellite AS. Oppkjøpet forutsatte en kapitaltilførsel til Space Norway på 2,36 milliarder kroner, som ble godkjent av Stortinget like før jul 2023. Oppkjøpet ble av myndighetene vurdert både strategisk og markedsmessig fornuftig, samtidig som det bidrar til å sikre nasjonal kontroll over satellitter som er viktig for samfunnsviktige funksjoner.</w:t>
      </w:r>
      <w:r w:rsidR="00015951" w:rsidRPr="00015951">
        <w:rPr>
          <w:rStyle w:val="Fotnotereferanse"/>
        </w:rPr>
        <w:footnoteReference w:id="39"/>
      </w:r>
    </w:p>
    <w:p w14:paraId="1074ADE9" w14:textId="3F0174E6" w:rsidR="004B1A63" w:rsidRDefault="004B1A63">
      <w:r>
        <w:t>Innenfor ekomsektoren har det de siste årene også vært flere reaktive saker knyttet til screening av utenlandsinvesteringer og kontroll av andre typer økonomiske aktiviteter. Flere av disse omtales ulike steder i rapporten, og inkluderer blant annet myndighetenes presiseringer av begrensninger i valg av utstyrsleverandører til 5G-mobilnettene</w:t>
      </w:r>
      <w:r w:rsidR="00015951" w:rsidRPr="00015951">
        <w:rPr>
          <w:rStyle w:val="Fotnotereferanse"/>
        </w:rPr>
        <w:footnoteReference w:id="40"/>
      </w:r>
      <w:r>
        <w:t xml:space="preserve">, screening av Telenors salg av en minoritetseierandel av </w:t>
      </w:r>
      <w:r>
        <w:lastRenderedPageBreak/>
        <w:t>Telenor Fiber AS</w:t>
      </w:r>
      <w:r w:rsidR="00015951" w:rsidRPr="00015951">
        <w:rPr>
          <w:rStyle w:val="Fotnotereferanse"/>
        </w:rPr>
        <w:footnoteReference w:id="41"/>
      </w:r>
      <w:r>
        <w:t>, screening av GlobalConnects salg av kvalifisert eierandel til Mubadala</w:t>
      </w:r>
      <w:r w:rsidR="00015951" w:rsidRPr="00015951">
        <w:rPr>
          <w:rStyle w:val="Fotnotereferanse"/>
        </w:rPr>
        <w:footnoteReference w:id="42"/>
      </w:r>
      <w:r>
        <w:t>, og vurderinger av Green Mountains etablering av datasenter i Innlandet med TikTok som kunde.</w:t>
      </w:r>
      <w:r w:rsidR="00015951" w:rsidRPr="00015951">
        <w:rPr>
          <w:rStyle w:val="Fotnotereferanse"/>
        </w:rPr>
        <w:footnoteReference w:id="43"/>
      </w:r>
    </w:p>
    <w:p w14:paraId="67409012" w14:textId="77777777" w:rsidR="004B1A63" w:rsidRDefault="004B1A63">
      <w:pPr>
        <w:pStyle w:val="Overskrift2"/>
      </w:pPr>
      <w:r>
        <w:t>Oppsummering</w:t>
      </w:r>
    </w:p>
    <w:p w14:paraId="32E3E6DF" w14:textId="77777777" w:rsidR="004B1A63" w:rsidRDefault="004B1A63" w:rsidP="006F4031">
      <w:r>
        <w:t>Utvalget har beskrevet hvordan nasjonal kontroll med kritisk digital kommunikasjonsinfrastruktur vil være et viktig virkemiddel for å ivareta nasjonale sikkerhetsinteresser. Nasjonal kontroll handler da om at staten er posisjonert til å kunne opprettholde en selvstendig styringsevne til å ta effektive beslutninger om kritisk digital kommunikasjonsinfrastruktur, og handlefrihet til å operere mest mulig uavhengig av utenlandske innsatsfaktorer, ressurser og kompetanse.</w:t>
      </w:r>
    </w:p>
    <w:p w14:paraId="6C1CB4CD" w14:textId="77777777" w:rsidR="004B1A63" w:rsidRDefault="004B1A63">
      <w:r>
        <w:t>Sikkerhetsmyndighetenes trussel- og risikovurderinger, Forsvarskommisjonen og Totalberedskapskommisjonens analyser, og analysene til FFI, tegner et alvorlig bilde av den sikkerhetspolitiske situasjon i dag og i fremtiden. Disse vurderingene gir et tydelig signal om at denne styringsevnen og handlefriheten bør dimensjoneres etter scenarioer som befinner seg i den ytre enden av krisespekteret, som væpnet konflikt og krig.</w:t>
      </w:r>
    </w:p>
    <w:p w14:paraId="24511ABB" w14:textId="77777777" w:rsidR="004B1A63" w:rsidRDefault="004B1A63">
      <w:r>
        <w:t>Sikkerhetstruende økonomisk virksomhet er det som kanskje oftest knyttes til temaet nasjonal kontroll, og som kan svekke handlefriheten og styringsevnen. Dette inkluderer utenlandske investeringer i Norge hvor det kan ligge en skjult intensjon bak som kan true nasjonale sikkerhetsinteresser. Samlet vurderer utvalget at det er tre hovedmålsetninger som vil kunne ligge bak sikkerhetstruende økonomisk virksomhet fra utenlandske aktører. Det ene er makt og innflytelse over norsk kritisk digital infrastruktur for å kunne påvirke beslutningsprosesser som fremmer egen nasjons interesser. Det andre er å få tilgang på informasjon om for eksempel teknologi, infrastrukturtopologi, driftsforhold, beredskapstiltak, nøkkelpersonell osv. som har etterretningsverdi for den fremmede staten. Det tredje er å etablere evne til å kunne sabotere, hindre eller legge betingelser for norsk tilgang på kritisk digital infrastruktur i en krise- eller krigssituasjon.</w:t>
      </w:r>
    </w:p>
    <w:p w14:paraId="567B2DF5" w14:textId="77777777" w:rsidR="004B1A63" w:rsidRDefault="004B1A63">
      <w:r>
        <w:t>Utvalget anser at ettersom elektronisk kommunikasjon er en kritisk innsatsfaktor for nær alle andre samfunnsfunksjoner, vil det at andre stater opparbeider seg en posisjon til å kunne forsinke, nekte eller legge betingelser på vår egen tilgang til elektronisk kommunikasjon, være et kraftfullt virkemiddel for å svekke Norges evne i krise og krig.</w:t>
      </w:r>
    </w:p>
    <w:p w14:paraId="4E9EE86B" w14:textId="77777777" w:rsidR="004B1A63" w:rsidRDefault="004B1A63">
      <w:r>
        <w:t xml:space="preserve">For de aller fleste økonomiske aktiviteter som innebærer investeringer eller innflytelse fra utenlandske aktører, ligger det imidlertid ikke en skjult intensjon bak, men rene forretningsmessige </w:t>
      </w:r>
      <w:r>
        <w:lastRenderedPageBreak/>
        <w:t>motiver. Effekten av slike aktiviteter kan på den ene siden være at den styrker den nasjonale sikkerheten, for eksempel ved at det investeres mer i norsk digital infrastruktur som for eksempel bidrar til å bygge ut en sterkere og mer robust nasjonal infrastruktur som ellers ikke ville ha blitt bygd ut.</w:t>
      </w:r>
    </w:p>
    <w:p w14:paraId="41473799" w14:textId="77777777" w:rsidR="004B1A63" w:rsidRDefault="004B1A63">
      <w:r>
        <w:t xml:space="preserve">På den andre siden kan en utilsiktet effekt av slike aktiviteter være en svekkelse av den nasjonale kontrollen, enten direkte eller indirekte, og på kort sikt eller lang sikt. For det første, kan aktører som etablerer en større og større maktposisjon i norsk digital infrastruktur, senere finne grunnlag for å utnytte denne maktposisjonen til formål som kan true nasjonale sikkerhetsinteresser. Dette er også poengtert av FFI i rapporten om sikkerhetstruende økonomiske virkemidler. For det andre vil utvalget understreke at en utenlandsk maktposisjon også </w:t>
      </w:r>
      <w:r w:rsidRPr="00015951">
        <w:rPr>
          <w:rStyle w:val="kursiv"/>
        </w:rPr>
        <w:t>utilsiktet</w:t>
      </w:r>
      <w:r>
        <w:t xml:space="preserve"> kan ramme våre nasjonale sikkerhetsinteresser, ved at Norge får redusert handlefrihet. Selv der norsk digital infrastruktur har avhengigheter til kritiske innsatsfaktorer i allierte og vennligsinnede land, så kan det i en krise- og krigssituasjon for eksempel oppstå ressursunderskudd. Siste års hendelser og konflikter har illustrert hvor sårbare de globale verdikjedene er. Dette viser at tilgang til for eksempel reserveutstyr og materiell for digital infrastruktur etter just-in-time-prinsippet, ikke lenger kan tas for gitt.</w:t>
      </w:r>
    </w:p>
    <w:p w14:paraId="642CC38B" w14:textId="5B120B88" w:rsidR="004B1A63" w:rsidRDefault="004B1A63">
      <w:r>
        <w:t xml:space="preserve">Tilgang til felles innsatsfaktorer som deles mellom nære geografiske og allierte land kan også bli utilgjengelige, særlig dersom innsatsfaktorene kun er dimensjonert for </w:t>
      </w:r>
      <w:r w:rsidR="00015951">
        <w:t>«</w:t>
      </w:r>
      <w:r>
        <w:t>fredstid</w:t>
      </w:r>
      <w:r w:rsidR="00015951">
        <w:t>»</w:t>
      </w:r>
      <w:r>
        <w:t>. Dersom det oppstår hendelser som skaper underskudd på for eksempel kompetanse, utstyr eller rettekapasitet, kan man ikke se bort fra at landet som har førstehånds kontroll på ressursene, vil måtte prioritere å ivareta egne nasjonale behov fremfor andres. Dette påpekes også av totalberedskapskommisjonen.</w:t>
      </w:r>
    </w:p>
    <w:p w14:paraId="245698F8" w14:textId="77777777" w:rsidR="004B1A63" w:rsidRDefault="004B1A63">
      <w:r>
        <w:t xml:space="preserve">Krise- og krigssituasjoner er generelt svært uforutsigbare i sin natur, noe som gjør at en må ta høyde for at uventede virkninger kan oppstå. Utvalget mener derfor det er avgjørende at staten har oppmerksomhet </w:t>
      </w:r>
      <w:r w:rsidRPr="00015951">
        <w:rPr>
          <w:rStyle w:val="kursiv"/>
        </w:rPr>
        <w:t>både</w:t>
      </w:r>
      <w:r>
        <w:t xml:space="preserve"> på å identifisere sikkerhetstruende økonomiske aktiviteter, men </w:t>
      </w:r>
      <w:r w:rsidRPr="00015951">
        <w:rPr>
          <w:rStyle w:val="kursiv"/>
        </w:rPr>
        <w:t>også</w:t>
      </w:r>
      <w:r>
        <w:t xml:space="preserve"> virkningen av økonomiske aktiviteter som ikke anses å være direkte sikkerhetstruende, men som utilsiktet kan få en kontrollsvekkende effekt på kortere eller lengre sikt.</w:t>
      </w:r>
    </w:p>
    <w:p w14:paraId="29372408" w14:textId="77777777" w:rsidR="004B1A63" w:rsidRDefault="004B1A63" w:rsidP="000D289B">
      <w:pPr>
        <w:pStyle w:val="Overskrift1"/>
      </w:pPr>
      <w:r>
        <w:t>Selskaper som forvalter digital kommunikasjonsinfrastruktur</w:t>
      </w:r>
    </w:p>
    <w:p w14:paraId="736E95A3" w14:textId="75346E9A" w:rsidR="0016021B" w:rsidRPr="0016021B" w:rsidRDefault="004B4E04" w:rsidP="0016021B">
      <w:r>
        <w:rPr>
          <w:noProof/>
        </w:rPr>
        <w:drawing>
          <wp:inline distT="0" distB="0" distL="0" distR="0" wp14:anchorId="74280E1A" wp14:editId="5888F070">
            <wp:extent cx="3657600" cy="2581275"/>
            <wp:effectExtent l="0" t="0" r="0" b="0"/>
            <wp:docPr id="10" name="Bilde 29" descr="Bilde av en mobilmast som strekker seg opp mot en blå himmel på sommerstid. I toppen av masten er en rekke ulike mobilantenner som peker i ulike himmelretn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29" descr="Bilde av en mobilmast som strekker seg opp mot en blå himmel på sommerstid. I toppen av masten er en rekke ulike mobilantenner som peker i ulike himmelretning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436E1AC0" w14:textId="77777777" w:rsidR="004B1A63" w:rsidRDefault="004B1A63">
      <w:pPr>
        <w:pStyle w:val="Overskrift2"/>
      </w:pPr>
      <w:r>
        <w:lastRenderedPageBreak/>
        <w:t>Innledning</w:t>
      </w:r>
    </w:p>
    <w:p w14:paraId="72051B67" w14:textId="77777777" w:rsidR="004B1A63" w:rsidRDefault="004B1A63" w:rsidP="006F4031">
      <w:r>
        <w:t>Utvalget er bedt om å beskrive dagens eierskapsstrukturer i selskapene som eier eller råder over kritisk digital kommunikasjonsinfrastruktur. I tillegg skal selskaper som er av avgjørende betydning for utbygging, drift og vedlikehold av infrastrukturen, og deres eiere, identifiseres.</w:t>
      </w:r>
    </w:p>
    <w:p w14:paraId="48F92E96" w14:textId="72FFA9C8" w:rsidR="004B1A63" w:rsidRDefault="004B1A63">
      <w:r>
        <w:t>Dette kapittelet redegjør for hvilke infrastrukturkategorier utvalget har lagt til grunn som kritiske, og selskaper som eier kritisk infrastruktur innen disse kategoriene er identifisert. Hvilke underleverandører</w:t>
      </w:r>
      <w:r w:rsidR="00015951" w:rsidRPr="00015951">
        <w:rPr>
          <w:rStyle w:val="Fotnotereferanse"/>
        </w:rPr>
        <w:footnoteReference w:id="44"/>
      </w:r>
      <w:r>
        <w:t xml:space="preserve"> utvalget har sett nærmere på, samt beskrivelsen av eierskapsstrukturene i de identifiserte selskapene i dette kapittel og utvalgte underleverandører, fremgår av kapittel 6.</w:t>
      </w:r>
    </w:p>
    <w:p w14:paraId="1A7D0730" w14:textId="77777777" w:rsidR="004B1A63" w:rsidRDefault="004B1A63">
      <w:r>
        <w:t>Formålet med dette kapittelet er i første rekke å etablere rammene for den oversikt og status på eierskap som utvalget skal legge til grunn i sitt arbeid. Identifiserte infrastrukturkategorier og selskaper viser naturlig nok et øyeblikksbilde, og oversikten ville sett annerledes ut for 10 år siden, og vil se annerledes ut 10 år frem i tid.</w:t>
      </w:r>
    </w:p>
    <w:p w14:paraId="498975FB" w14:textId="77777777" w:rsidR="004B1A63" w:rsidRDefault="004B1A63">
      <w:pPr>
        <w:pStyle w:val="Overskrift2"/>
      </w:pPr>
      <w:r>
        <w:t>Vurdering av kritisk digital kommunikasjonsinfrastruktur</w:t>
      </w:r>
    </w:p>
    <w:p w14:paraId="39800B34" w14:textId="77777777" w:rsidR="004B1A63" w:rsidRDefault="004B1A63" w:rsidP="006F4031">
      <w:r>
        <w:t>Utvalget skal, til eget formål og på overordnet nivå, utarbeide en oversikt over kritisk digital kommunikasjonsinfrastruktur, av regional eller nasjonal betydning som:</w:t>
      </w:r>
    </w:p>
    <w:p w14:paraId="003AAEC0" w14:textId="58FF58FE" w:rsidR="004B1A63" w:rsidRDefault="004B1A63">
      <w:pPr>
        <w:pStyle w:val="Liste"/>
      </w:pPr>
      <w:r>
        <w:t>er viktig for statssikkerheten</w:t>
      </w:r>
    </w:p>
    <w:p w14:paraId="664E9B98" w14:textId="1B1E9D69" w:rsidR="004B1A63" w:rsidRDefault="004B1A63">
      <w:pPr>
        <w:pStyle w:val="Liste"/>
      </w:pPr>
      <w:r>
        <w:t>er av betydning for samfunnssikkerheten</w:t>
      </w:r>
    </w:p>
    <w:p w14:paraId="70B3F7A0" w14:textId="39464AFF" w:rsidR="004B1A63" w:rsidRDefault="004B1A63">
      <w:pPr>
        <w:pStyle w:val="Liste"/>
      </w:pPr>
      <w:r>
        <w:t>bærer tjenester av høy betydning for kritiske samfunnsfunksjoner</w:t>
      </w:r>
    </w:p>
    <w:p w14:paraId="432FA272" w14:textId="23B6BF6C" w:rsidR="004B1A63" w:rsidRPr="00015951" w:rsidRDefault="004B1A63">
      <w:pPr>
        <w:rPr>
          <w:rStyle w:val="kursiv"/>
        </w:rPr>
      </w:pPr>
      <w:r>
        <w:t xml:space="preserve">I denne vurderingen vil arbeidet med grunnleggende nasjonale funksjoner etter sikkerhetsloven være sentralt. Grunnleggende nasjonale funksjoner (GNF) er i loven definert som </w:t>
      </w:r>
      <w:r w:rsidR="00015951" w:rsidRPr="00015951">
        <w:rPr>
          <w:rStyle w:val="kursiv"/>
        </w:rPr>
        <w:t>«</w:t>
      </w:r>
      <w:r w:rsidRPr="00015951">
        <w:rPr>
          <w:rStyle w:val="kursiv"/>
        </w:rPr>
        <w:t>tjenester, produksjon og andre former for virksomhet som er av en slik betydning at et helt eller delvis bortfall av funksjonen vil få konsekvenser for statens evne til å ivareta nasjonale sikkerhetsinteresser</w:t>
      </w:r>
      <w:r w:rsidR="00015951" w:rsidRPr="00015951">
        <w:rPr>
          <w:rStyle w:val="kursiv"/>
        </w:rPr>
        <w:t>»</w:t>
      </w:r>
      <w:r w:rsidRPr="00015951">
        <w:rPr>
          <w:rStyle w:val="kursiv"/>
        </w:rPr>
        <w:t>.</w:t>
      </w:r>
      <w:r w:rsidR="00015951" w:rsidRPr="00015951">
        <w:rPr>
          <w:rStyle w:val="Fotnotereferanse"/>
        </w:rPr>
        <w:footnoteReference w:id="45"/>
      </w:r>
      <w:r>
        <w:t xml:space="preserve"> I ekomsektoren vil kritisk digital kommunikasjons-infrastruktur være avgjørende for å opprettholde følgende grunnleggende nasjonale funksjoner:</w:t>
      </w:r>
    </w:p>
    <w:p w14:paraId="1577C9DB" w14:textId="24680940" w:rsidR="004B1A63" w:rsidRDefault="004B1A63">
      <w:pPr>
        <w:pStyle w:val="Listebombe"/>
      </w:pPr>
      <w:r>
        <w:t>Evne til å ivareta talekommunikasjonstjenester basert på norsk nummerplan</w:t>
      </w:r>
    </w:p>
    <w:p w14:paraId="2F879340" w14:textId="60269AFC" w:rsidR="004B1A63" w:rsidRDefault="004B1A63">
      <w:pPr>
        <w:pStyle w:val="Listebombe"/>
      </w:pPr>
      <w:r>
        <w:t>Evne til å ivareta tekstbaserte meldingstjenester basert på norsk nummerplan</w:t>
      </w:r>
    </w:p>
    <w:p w14:paraId="7F28DD08" w14:textId="67F24AEA" w:rsidR="004B1A63" w:rsidRDefault="004B1A63">
      <w:pPr>
        <w:pStyle w:val="Listebombe"/>
      </w:pPr>
      <w:r>
        <w:t>Evne til å ivareta grunnleggende internettilgang</w:t>
      </w:r>
    </w:p>
    <w:p w14:paraId="5DB4737E" w14:textId="4E31FB5B" w:rsidR="004B1A63" w:rsidRDefault="004B1A63">
      <w:pPr>
        <w:pStyle w:val="Listebombe"/>
      </w:pPr>
      <w:r>
        <w:t>Evne til å ivareta datalagring og prosesseringskapasitet i Norge</w:t>
      </w:r>
    </w:p>
    <w:p w14:paraId="6EBF7EB7" w14:textId="7161D822" w:rsidR="004B1A63" w:rsidRDefault="004B1A63">
      <w:pPr>
        <w:pStyle w:val="Listebombe"/>
      </w:pPr>
      <w:r>
        <w:t>Satellittbasert kommunikasjon</w:t>
      </w:r>
    </w:p>
    <w:p w14:paraId="436D196F" w14:textId="78435D72" w:rsidR="004B1A63" w:rsidRDefault="004B1A63">
      <w:r>
        <w:t xml:space="preserve">I tillegg til rammeverket som definerer kritikalitet med bakgrunn i nasjonale sikkerhetsinteresser etter sikkerhetsloven, skal utvalget også inkludere infrastruktur som har betydning for samfunnssikkerhet og samfunnskritiske funksjoner. Etter utvalgets oppfatning omfatter dette de følgende to </w:t>
      </w:r>
      <w:r>
        <w:lastRenderedPageBreak/>
        <w:t>dimensjoner: betydningen av elektronisk kommunikasjon som en samfunnskritisk funksjon i seg selv</w:t>
      </w:r>
      <w:r w:rsidR="00015951" w:rsidRPr="00015951">
        <w:rPr>
          <w:rStyle w:val="Fotnotereferanse"/>
        </w:rPr>
        <w:footnoteReference w:id="46"/>
      </w:r>
      <w:r>
        <w:t xml:space="preserve"> og andre samfunnskritiske funksjoners avhengighet til elektronisk kommunikasjon.</w:t>
      </w:r>
    </w:p>
    <w:p w14:paraId="4B7580FA" w14:textId="036E9874" w:rsidR="004B1A63" w:rsidRDefault="004B1A63">
      <w:r>
        <w:t xml:space="preserve">Det gjeldende rammeverket for vurderinger knyttet til samfunnssikkerhet finnes i Direktoratet for samfunnssikkerhet og beredskap (DSB) sin rapport fra 2016 </w:t>
      </w:r>
      <w:hyperlink r:id="rId21" w:history="1">
        <w:r w:rsidR="00015951">
          <w:t>«</w:t>
        </w:r>
        <w:r>
          <w:t>Samfunnets kritiske funksjoner</w:t>
        </w:r>
        <w:r w:rsidR="00015951">
          <w:t>»</w:t>
        </w:r>
      </w:hyperlink>
      <w:r>
        <w:t>.</w:t>
      </w:r>
      <w:r w:rsidR="00015951" w:rsidRPr="00015951">
        <w:rPr>
          <w:rStyle w:val="Fotnotereferanse"/>
        </w:rPr>
        <w:footnoteReference w:id="47"/>
      </w:r>
      <w:r>
        <w:t xml:space="preserve"> Av rapporten fremgår det at </w:t>
      </w:r>
      <w:r w:rsidRPr="00015951">
        <w:rPr>
          <w:rStyle w:val="kursiv"/>
        </w:rPr>
        <w:t xml:space="preserve">med kritisk samfunnsfunksjon menes </w:t>
      </w:r>
      <w:r w:rsidR="00015951" w:rsidRPr="00015951">
        <w:rPr>
          <w:rStyle w:val="kursiv"/>
        </w:rPr>
        <w:t>«</w:t>
      </w:r>
      <w:r w:rsidRPr="00015951">
        <w:rPr>
          <w:rStyle w:val="kursiv"/>
        </w:rPr>
        <w:t>en funksjon som samfunnet ikke kan klare seg uten i syv døgn eller kortere, uten at dette truer befolkningens sikkerhet og/eller trygghet</w:t>
      </w:r>
      <w:r w:rsidR="00015951" w:rsidRPr="00015951">
        <w:rPr>
          <w:rStyle w:val="kursiv"/>
        </w:rPr>
        <w:t>»</w:t>
      </w:r>
      <w:r w:rsidRPr="00015951">
        <w:rPr>
          <w:rStyle w:val="kursiv"/>
        </w:rPr>
        <w:t xml:space="preserve">. </w:t>
      </w:r>
      <w:r>
        <w:t>Det er identifisert 14 kritiske samfunnsfunksjoner hvor ekomnett og -tjenester og satellittbaserte tjenester</w:t>
      </w:r>
      <w:r w:rsidR="00015951" w:rsidRPr="00015951">
        <w:rPr>
          <w:rStyle w:val="Fotnotereferanse"/>
        </w:rPr>
        <w:footnoteReference w:id="48"/>
      </w:r>
      <w:r>
        <w:t xml:space="preserve"> er inkludert.</w:t>
      </w:r>
    </w:p>
    <w:p w14:paraId="75E1E5DC" w14:textId="50921E60" w:rsidR="004B1A63" w:rsidRPr="00015951" w:rsidRDefault="004B1A63">
      <w:pPr>
        <w:rPr>
          <w:rStyle w:val="kursiv"/>
        </w:rPr>
      </w:pPr>
      <w:r>
        <w:t xml:space="preserve">I det første vedlegget til DSBs rapport fremgår en oversikt over ulike infrastrukturer de identifiserte samfunnsfunksjonene er avhengig av. Angitte infrastrukturer for elektronisk kommunikasjon er </w:t>
      </w:r>
      <w:r w:rsidR="00015951">
        <w:t>«</w:t>
      </w:r>
      <w:r>
        <w:t>kjernenett, regionalnett, aksessnett og svitsjer</w:t>
      </w:r>
      <w:r w:rsidR="00015951">
        <w:t>»</w:t>
      </w:r>
      <w:r>
        <w:t xml:space="preserve">. For satellittbaserte tjenester nevnes satellitter og bakkestasjoner. I det andre vedlegget til DSBs rapport redegjøres det for kritiske innsatsfaktorer og her fremkommer det at elektronisk kommunikasjon er </w:t>
      </w:r>
      <w:r w:rsidR="00015951">
        <w:t>«</w:t>
      </w:r>
      <w:r w:rsidRPr="00015951">
        <w:rPr>
          <w:rStyle w:val="kursiv"/>
        </w:rPr>
        <w:t>avgjørende for en rekke samfunnsfunksjoner: helse, redningstjenester, lov og orden, finans, transport osv.</w:t>
      </w:r>
      <w:r w:rsidR="00015951" w:rsidRPr="00015951">
        <w:rPr>
          <w:rStyle w:val="kursiv"/>
        </w:rPr>
        <w:t>»</w:t>
      </w:r>
      <w:r w:rsidRPr="00015951">
        <w:rPr>
          <w:rStyle w:val="kursiv"/>
        </w:rPr>
        <w:t xml:space="preserve"> </w:t>
      </w:r>
      <w:r>
        <w:t>Videre at:</w:t>
      </w:r>
      <w:r w:rsidRPr="00015951">
        <w:rPr>
          <w:rStyle w:val="kursiv"/>
        </w:rPr>
        <w:t xml:space="preserve"> </w:t>
      </w:r>
      <w:r w:rsidR="00015951" w:rsidRPr="00015951">
        <w:rPr>
          <w:rStyle w:val="kursiv"/>
        </w:rPr>
        <w:t>«</w:t>
      </w:r>
      <w:r w:rsidRPr="00015951">
        <w:rPr>
          <w:rStyle w:val="kursiv"/>
        </w:rPr>
        <w:t>De fleste innsatsfaktorene er avhengig av elektrisk energi og fungerende ekomtjenester som slik sett fremstår som enda viktigere i et samfunnsmessig perspektiv enn de øvrige</w:t>
      </w:r>
      <w:r w:rsidR="00015951" w:rsidRPr="00015951">
        <w:rPr>
          <w:rStyle w:val="kursiv"/>
        </w:rPr>
        <w:t>»</w:t>
      </w:r>
      <w:r w:rsidRPr="00015951">
        <w:rPr>
          <w:rStyle w:val="kursiv"/>
        </w:rPr>
        <w:t>.</w:t>
      </w:r>
    </w:p>
    <w:p w14:paraId="763C3077" w14:textId="1942694A" w:rsidR="004B1A63" w:rsidRDefault="004B1A63">
      <w:r>
        <w:t xml:space="preserve">I kontekst av nasjonal kontroll kan det være hensiktsmessig å illustrere hvordan ulike kategorier av digital kommunikasjonsinfrastruktur hører til i et </w:t>
      </w:r>
      <w:r w:rsidR="00015951">
        <w:t>«</w:t>
      </w:r>
      <w:r>
        <w:t>økosystem</w:t>
      </w:r>
      <w:r w:rsidR="00015951">
        <w:t>»</w:t>
      </w:r>
      <w:r>
        <w:t>, jf. figur 5.1.</w:t>
      </w:r>
    </w:p>
    <w:p w14:paraId="7E1C35B2" w14:textId="77777777" w:rsidR="004B1A63" w:rsidRDefault="004B1A63">
      <w:pPr>
        <w:pStyle w:val="figur-tittel"/>
      </w:pPr>
      <w:r>
        <w:t>Et økosystem for digital kommunikasjonsinfrastruktur, som viser kategorier av infrastrukturelementer gruppert som passiv infrastruktur, støtteinfrastruktur og tjenesteproduksjonsinfrastruktur. Innenfor alle kategoriene vil det være behov for personellressurser og kompetanse for planlegging og drift.</w:t>
      </w:r>
    </w:p>
    <w:p w14:paraId="15D1AB7C" w14:textId="41703786" w:rsidR="004B1A63" w:rsidRDefault="004B4E04">
      <w:r>
        <w:rPr>
          <w:noProof/>
        </w:rPr>
        <w:lastRenderedPageBreak/>
        <w:drawing>
          <wp:inline distT="0" distB="0" distL="0" distR="0" wp14:anchorId="43B11505" wp14:editId="6CEDF1C3">
            <wp:extent cx="3657600" cy="2790825"/>
            <wp:effectExtent l="0" t="0" r="0" b="0"/>
            <wp:docPr id="11"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57600" cy="2790825"/>
                    </a:xfrm>
                    <a:prstGeom prst="rect">
                      <a:avLst/>
                    </a:prstGeom>
                    <a:noFill/>
                    <a:ln>
                      <a:noFill/>
                    </a:ln>
                  </pic:spPr>
                </pic:pic>
              </a:graphicData>
            </a:graphic>
          </wp:inline>
        </w:drawing>
      </w:r>
    </w:p>
    <w:p w14:paraId="27AC6F18" w14:textId="77777777" w:rsidR="004B1A63" w:rsidRDefault="004B1A63">
      <w:r>
        <w:t>I økosystemet som vist i figuren vil det være avhengigheter på kryss og tvers. For eksempel vil produksjon av 5G mobiltjenester i et mobilnett være avhengig av både infrastrukturelementer som transportnettjenester, datasentertjenester, mobiltårn, klokkeinfrastruktur og fysiske fiberkabler, men også tilgang til personellressurser og kompetanse til drift, overvåkning, feilretting osv. Noen enkeltselskaper, som Telenor, forvalter infrastrukturelementer og ressurser i flere deler av dette økosystemet. Andre selskaper forvalter typisk én type infrastruktur eller funksjon, f.eks. fiberselskaper, datasenterselskaper, tårnselskaper og entreprenørselskaper.</w:t>
      </w:r>
    </w:p>
    <w:p w14:paraId="1D2EA44B" w14:textId="77777777" w:rsidR="004B1A63" w:rsidRDefault="004B1A63">
      <w:r>
        <w:t>Utvalget har i sitt arbeid ikke funnet det hensiktsmessig å utarbeide en komplett liste over infrastrukturelementer som er kritiske, men snarere trukket ut noen kategorier av infrastrukturelementer. Utvalget har derfor tatt utgangspunkt i følgende kategorier:</w:t>
      </w:r>
    </w:p>
    <w:p w14:paraId="21618A0B" w14:textId="17400DDB" w:rsidR="004B1A63" w:rsidRDefault="004B1A63">
      <w:pPr>
        <w:pStyle w:val="Liste"/>
      </w:pPr>
      <w:r>
        <w:t>Mobilnett</w:t>
      </w:r>
    </w:p>
    <w:p w14:paraId="35F995B3" w14:textId="7CDC3E0C" w:rsidR="004B1A63" w:rsidRDefault="004B1A63">
      <w:pPr>
        <w:pStyle w:val="Liste"/>
      </w:pPr>
      <w:r>
        <w:t>Bredbåndsnett</w:t>
      </w:r>
    </w:p>
    <w:p w14:paraId="42F0B55D" w14:textId="073697AF" w:rsidR="004B1A63" w:rsidRDefault="004B1A63">
      <w:pPr>
        <w:pStyle w:val="Liste"/>
      </w:pPr>
      <w:r>
        <w:t>Transportnett</w:t>
      </w:r>
    </w:p>
    <w:p w14:paraId="276A999D" w14:textId="6095C26F" w:rsidR="004B1A63" w:rsidRDefault="004B1A63">
      <w:pPr>
        <w:pStyle w:val="Liste"/>
      </w:pPr>
      <w:r>
        <w:t>Fiberkabler som forbinder oss til sokkelen og til utlandet, herunder undersjøiske fiberkabler</w:t>
      </w:r>
    </w:p>
    <w:p w14:paraId="3F93D3EF" w14:textId="7D1F6B77" w:rsidR="004B1A63" w:rsidRDefault="004B1A63">
      <w:pPr>
        <w:pStyle w:val="Liste"/>
      </w:pPr>
      <w:r>
        <w:t>Datasentre</w:t>
      </w:r>
    </w:p>
    <w:p w14:paraId="25363EA2" w14:textId="4B1AB4C8" w:rsidR="004B1A63" w:rsidRDefault="004B1A63">
      <w:pPr>
        <w:pStyle w:val="Liste"/>
      </w:pPr>
      <w:r>
        <w:t>Satellittkommunikasjonssystemer</w:t>
      </w:r>
    </w:p>
    <w:p w14:paraId="2D0D9948" w14:textId="4FCF56A5" w:rsidR="004B1A63" w:rsidRDefault="004B1A63">
      <w:pPr>
        <w:pStyle w:val="Liste"/>
      </w:pPr>
      <w:r>
        <w:t>Fortifikatoriske anlegg</w:t>
      </w:r>
    </w:p>
    <w:p w14:paraId="7DBE1D1E" w14:textId="71855059" w:rsidR="004B1A63" w:rsidRDefault="004B1A63">
      <w:pPr>
        <w:pStyle w:val="Liste"/>
      </w:pPr>
      <w:r>
        <w:t>Infrastruktur knyttet kritiske basalfunksjoner som DNS og NRDB</w:t>
      </w:r>
      <w:r w:rsidR="00015951" w:rsidRPr="00015951">
        <w:rPr>
          <w:rStyle w:val="Fotnotereferanse"/>
        </w:rPr>
        <w:footnoteReference w:id="49"/>
      </w:r>
    </w:p>
    <w:p w14:paraId="0170106C" w14:textId="5F5C06BC" w:rsidR="004B1A63" w:rsidRDefault="004B1A63">
      <w:pPr>
        <w:pStyle w:val="Liste"/>
      </w:pPr>
      <w:r>
        <w:t>Samtrafikkpunkter</w:t>
      </w:r>
    </w:p>
    <w:p w14:paraId="4332B0E9" w14:textId="77777777" w:rsidR="004B1A63" w:rsidRDefault="004B1A63">
      <w:r>
        <w:t xml:space="preserve">Kritisk digital kommunikasjonsinfrastruktur vil i utvalgsarbeidet således omfatte enhver struktur som faller inn under en av kategoriene over, og som er, eller snart vil bli, av vesentlig, kritisk eller avgjørende betydning for en eller flere av de overnevnte grunnleggende nasjonale funksjonene, eller for en funksjon som samfunnet ikke kan klare seg uten i syv døgn eller kortere, uten at det truer </w:t>
      </w:r>
      <w:r>
        <w:lastRenderedPageBreak/>
        <w:t>befolkningens sikkerhet eller trygghet. En struktur som kun har betydning innenfor et mindre geografisk område, faller utenfor mandatet.</w:t>
      </w:r>
    </w:p>
    <w:p w14:paraId="0AB9C4E6" w14:textId="77777777" w:rsidR="004B1A63" w:rsidRDefault="004B1A63">
      <w:pPr>
        <w:pStyle w:val="Overskrift2"/>
      </w:pPr>
      <w:r>
        <w:t>Identifiserte selskaper</w:t>
      </w:r>
    </w:p>
    <w:p w14:paraId="13C359DD" w14:textId="77777777" w:rsidR="004B1A63" w:rsidRDefault="004B1A63" w:rsidP="006F4031">
      <w:r>
        <w:t>Utvalget har ikke tatt mål av seg til å identifisere alle selskaper som eier infrastruktur som omfattes av kategoriene over. Oversikten er derfor ikke uttømmende, men utvalget mener at de identifiserte selskapene utgjør et representativt utvalg som er dekkende for formålet.</w:t>
      </w:r>
    </w:p>
    <w:p w14:paraId="485B3080" w14:textId="5341CF64" w:rsidR="004B1A63" w:rsidRDefault="004B1A63">
      <w:r>
        <w:t>Etter avklaring med DFD har utvalget avgrenset sitt arbeid mot offentlig eide tjenestenett og deres infrastrukturer</w:t>
      </w:r>
      <w:r w:rsidR="00015951" w:rsidRPr="00015951">
        <w:rPr>
          <w:rStyle w:val="Fotnotereferanse"/>
        </w:rPr>
        <w:footnoteReference w:id="50"/>
      </w:r>
      <w:r>
        <w:t xml:space="preserve"> da eierskapsproblemstillinger i mindre grad er direkte relevant når det gjelder disse aktørene. Utvalget har imidlertid hatt dialog og fått innspill til sitt arbeid også fra slike aktører.</w:t>
      </w:r>
    </w:p>
    <w:p w14:paraId="6D6087B2" w14:textId="77777777" w:rsidR="004B1A63" w:rsidRDefault="004B1A63">
      <w:r>
        <w:t xml:space="preserve">I sikkerhetsloven er det et skille mellom virksomheter som råder over kritisk infrastruktur som har henholdsvis </w:t>
      </w:r>
      <w:r w:rsidRPr="00015951">
        <w:rPr>
          <w:rStyle w:val="kursiv"/>
        </w:rPr>
        <w:t xml:space="preserve">avgjørende </w:t>
      </w:r>
      <w:r>
        <w:t xml:space="preserve">og </w:t>
      </w:r>
      <w:r w:rsidRPr="00015951">
        <w:rPr>
          <w:rStyle w:val="kursiv"/>
        </w:rPr>
        <w:t xml:space="preserve">vesentlig </w:t>
      </w:r>
      <w:r>
        <w:t>betydning for grunnleggende nasjonale funksjoner og nasjonale sikkerhetsinteresser.</w:t>
      </w:r>
    </w:p>
    <w:p w14:paraId="2B42B8C4" w14:textId="5D0F2A2C" w:rsidR="004B1A63" w:rsidRDefault="004B1A63">
      <w:r>
        <w:t>Det er den første kategorien som ved vedtak fattet av relevant sektordepartement underlegges sikkerhetslovens bestemmelser.</w:t>
      </w:r>
      <w:r w:rsidR="00015951" w:rsidRPr="00015951">
        <w:rPr>
          <w:rStyle w:val="Fotnotereferanse"/>
        </w:rPr>
        <w:footnoteReference w:id="51"/>
      </w:r>
      <w:r>
        <w:t xml:space="preserve"> Selskapene dette gjelder innen ekomsektoren er det naturlige utgangspunkt når man skal identifiserte aktører som eier eller råder over kritisk digital kommunikasjonsinfrastruktur. Disse er følgelig inkludert i oversikten under.</w:t>
      </w:r>
    </w:p>
    <w:p w14:paraId="39B70FD8" w14:textId="2393F065" w:rsidR="004B1A63" w:rsidRDefault="004B1A63">
      <w:r>
        <w:t xml:space="preserve">Når det gjelder virksomheter som råder over infrastruktur med </w:t>
      </w:r>
      <w:r w:rsidR="00015951">
        <w:t>«</w:t>
      </w:r>
      <w:r>
        <w:t>vesentlig betydning</w:t>
      </w:r>
      <w:r w:rsidR="00015951">
        <w:t>»</w:t>
      </w:r>
      <w:r>
        <w:t>, finnes det på nåværende tidspunkt ikke informasjon som utvalget kan benytte i sitt arbeid. Det fremgår av sikkerhetsloven</w:t>
      </w:r>
      <w:r w:rsidR="00015951" w:rsidRPr="00015951">
        <w:rPr>
          <w:rStyle w:val="Fotnotereferanse"/>
        </w:rPr>
        <w:footnoteReference w:id="52"/>
      </w:r>
      <w:r>
        <w:t xml:space="preserve"> at sektordepartementet skal identifisere og holde oversikt over virksomheter med </w:t>
      </w:r>
      <w:r w:rsidR="00015951">
        <w:t>«</w:t>
      </w:r>
      <w:r>
        <w:t>vesentlig betydning</w:t>
      </w:r>
      <w:r w:rsidR="00015951">
        <w:t>»</w:t>
      </w:r>
      <w:r>
        <w:t xml:space="preserve">. Dette er ment å være en dynamisk prosess, hvor oversikten oppdateres ved behov. Virksomheter av </w:t>
      </w:r>
      <w:r w:rsidR="00015951">
        <w:t>«</w:t>
      </w:r>
      <w:r>
        <w:t>vesentlig betydning</w:t>
      </w:r>
      <w:r w:rsidR="00015951">
        <w:t>»</w:t>
      </w:r>
      <w:r>
        <w:t xml:space="preserve"> er i utgangspunktet ikke underlagt sikkerhetslovens bestemmelser. Sektormyndigheten har imidlertid mulighet til å fatte vedtak om at sikkerhetsloven kapittel 10 om eierskapskontroll, skal gjelde for den enkelte virksomhet. DFD har hittil prioritert arbeidet med å definere sektorspesifikke grunnleggende nasjonale funksjoner, og utpeking og oppfølging knyttet til virksomheter med </w:t>
      </w:r>
      <w:r w:rsidR="00015951">
        <w:t>«</w:t>
      </w:r>
      <w:r>
        <w:t>avgjørende betydning</w:t>
      </w:r>
      <w:r w:rsidR="00015951">
        <w:t>»</w:t>
      </w:r>
      <w:r>
        <w:t xml:space="preserve">. Arbeidet med kartlegging av virksomheter med </w:t>
      </w:r>
      <w:r w:rsidR="00015951">
        <w:t>«</w:t>
      </w:r>
      <w:r>
        <w:t>vesentlig betydning</w:t>
      </w:r>
      <w:r w:rsidR="00015951">
        <w:t>»</w:t>
      </w:r>
      <w:r>
        <w:t xml:space="preserve"> er derfor ikke igangsatt.</w:t>
      </w:r>
    </w:p>
    <w:p w14:paraId="3EE7A6BD" w14:textId="77777777" w:rsidR="004B1A63" w:rsidRDefault="004B1A63">
      <w:r>
        <w:t>Utvalget har, i tillegg til selskapene som i dag er utpekt etter sikkerhetsloven, inkludert aktører for å sikre tilstrekkelig representativitet og bredde til også å ivareta samfunnssikkerhetsperspektivet. Videre er seleksjonen basert på aktørenes størrelse, betydning innenfor angjeldende infrastrukturkategori og regional betydning.</w:t>
      </w:r>
    </w:p>
    <w:p w14:paraId="57F46F42" w14:textId="17285B28" w:rsidR="004B1A63" w:rsidRDefault="004B1A63">
      <w:r>
        <w:lastRenderedPageBreak/>
        <w:t>Utvalget har inkludert alle de tre mobiloperatørene med egne nettverk i Norge.</w:t>
      </w:r>
      <w:r w:rsidR="00015951" w:rsidRPr="00015951">
        <w:rPr>
          <w:rStyle w:val="Fotnotereferanse"/>
        </w:rPr>
        <w:footnoteReference w:id="53"/>
      </w:r>
      <w:r>
        <w:t xml:space="preserve"> Siden alle disse har organisert sin passive infrastruktur i egne selskaper er også disse selskapene tatt med. I kategorien </w:t>
      </w:r>
      <w:r w:rsidRPr="00015951">
        <w:rPr>
          <w:rStyle w:val="halvfet"/>
        </w:rPr>
        <w:t>mobilnett</w:t>
      </w:r>
      <w:r>
        <w:t xml:space="preserve"> er derfor følgende selskap inkludert: Telenor ASA, Telenor Towers Norway AS, Telia Norge AS, Telia Towers Norway AS, Lyse Tele AS</w:t>
      </w:r>
      <w:r w:rsidR="00015951" w:rsidRPr="00015951">
        <w:rPr>
          <w:rStyle w:val="Fotnotereferanse"/>
        </w:rPr>
        <w:footnoteReference w:id="54"/>
      </w:r>
      <w:r>
        <w:t xml:space="preserve"> og Tårnselskapet AS.</w:t>
      </w:r>
    </w:p>
    <w:p w14:paraId="575D2592" w14:textId="77777777" w:rsidR="004B1A63" w:rsidRDefault="004B1A63">
      <w:r>
        <w:t xml:space="preserve">Utvalgte selskaper som eier </w:t>
      </w:r>
      <w:r w:rsidRPr="00015951">
        <w:rPr>
          <w:rStyle w:val="halvfet"/>
        </w:rPr>
        <w:t>bredbåndsinfrastruktur</w:t>
      </w:r>
      <w:r>
        <w:t xml:space="preserve"> er: Telenor ASA, Telia Norge AS, Lyse Tele AS, GlobalConnect AS, Eidsiva Bredbånd AS, Eviny Digital AS, NTE Telekom AS, Viken Fiber AS, Bredbåndsfylket AS og Ishavslink AS.</w:t>
      </w:r>
    </w:p>
    <w:p w14:paraId="2B772FC7" w14:textId="77777777" w:rsidR="004B1A63" w:rsidRDefault="004B1A63">
      <w:r w:rsidRPr="00015951">
        <w:rPr>
          <w:rStyle w:val="halvfet"/>
        </w:rPr>
        <w:t>Transportnett</w:t>
      </w:r>
      <w:r>
        <w:t xml:space="preserve"> er infrastruktur som forbinder ulike regionale og lokale nettverk sammen. I denne kategorien har utvalget tatt utgangspunkt i følgende selskaper: Bredbåndsfylket AS, Bulk Infrastructure Holding AS, Eviny Digital AS, GlobalConnect AS, KystTele AS, Lyse Tele AS, N0r5ke Fibre AS, NTE Telekom AS, Tampnet AS, Telenor ASA, Telia Norge AS, Viken Fiber AS og Stamfiber AS.</w:t>
      </w:r>
    </w:p>
    <w:p w14:paraId="1670A1B0" w14:textId="000A6594" w:rsidR="004B1A63" w:rsidRDefault="004B1A63">
      <w:r>
        <w:t xml:space="preserve">Når det gjelder infrastruktur som anvendes til internasjonal samtrafikk har utvalget definert kategorien </w:t>
      </w:r>
      <w:r w:rsidR="00015951">
        <w:t>«</w:t>
      </w:r>
      <w:r w:rsidRPr="00015951">
        <w:rPr>
          <w:rStyle w:val="halvfet"/>
        </w:rPr>
        <w:t>fiberkabler til utlandet</w:t>
      </w:r>
      <w:r w:rsidR="00015951" w:rsidRPr="00015951">
        <w:rPr>
          <w:rStyle w:val="Fotnotereferanse"/>
        </w:rPr>
        <w:footnoteReference w:id="55"/>
      </w:r>
      <w:r>
        <w:t>, inkludert undersjøiske fiberkabler</w:t>
      </w:r>
      <w:r w:rsidR="00015951">
        <w:t>»</w:t>
      </w:r>
      <w:r>
        <w:t xml:space="preserve"> Identifiserte selskaper er: Arelion Norway AS, Bredbåndsfylket AS, Bulk Infrastructure Holding AS, GlobalConnect AS, De-Cix Management GmbH, Lumen Technologies Norway AS, Lyse Tele AS, Space Norway AS, Tampnet AS, Telenor ASA og Telia Norge AS.</w:t>
      </w:r>
    </w:p>
    <w:p w14:paraId="79F79FD8" w14:textId="4E0ECE91" w:rsidR="004B1A63" w:rsidRDefault="004B1A63">
      <w:r w:rsidRPr="00015951">
        <w:rPr>
          <w:rStyle w:val="halvfet"/>
        </w:rPr>
        <w:t>Datasenter</w:t>
      </w:r>
      <w:r>
        <w:t xml:space="preserve"> er også en identifisert infrastrukturkategori. En datasentertjeneste er en tjeneste som legger til rette for innplassering, tilkobling og drift av IT – og nettverksutstyr for datalagring, dataprosessering og dataoverføring. Tjenesten omfatter i tillegg fysisk sikkerhet, strøm og kjøling, og kan inkludere andre relaterte tjenester.</w:t>
      </w:r>
      <w:r w:rsidR="00015951" w:rsidRPr="00015951">
        <w:rPr>
          <w:rStyle w:val="Fotnotereferanse"/>
        </w:rPr>
        <w:footnoteReference w:id="56"/>
      </w:r>
      <w:r>
        <w:t xml:space="preserve"> Når det gjelder selskaper som eier infrastruktur som anvendes til datasentertjenester har utvalget identifisert: Bulk Infrastructure Holding AS, Eidsiva Bredbånd AS, Green Mountain AS, Lefdal Mine Datacenter AS, Infrastructure Nordics 4 AS (Stack) og Orange Business Digital Norway AS.</w:t>
      </w:r>
    </w:p>
    <w:p w14:paraId="2BBC298A" w14:textId="77777777" w:rsidR="004B1A63" w:rsidRPr="005744AF" w:rsidRDefault="004B1A63">
      <w:pPr>
        <w:rPr>
          <w:lang w:val="en-US"/>
        </w:rPr>
      </w:pPr>
      <w:r w:rsidRPr="00015951">
        <w:rPr>
          <w:rStyle w:val="halvfet"/>
        </w:rPr>
        <w:t>Satellittbasert kommunikasjon</w:t>
      </w:r>
      <w:r>
        <w:t xml:space="preserve"> understøtter kommunikasjon på en rekke områder hvor andre ekomnett ikke har dekning. På et overordnet nivå blir satellittkommunikasjon i Norge brukt til kringkasting og datakommunikasjon. Utvalget har lagt til grunn et representativt utvalg av aktører som eier slik infrastruktur/tilbyr slik konnektivitet. </w:t>
      </w:r>
      <w:r w:rsidRPr="005744AF">
        <w:rPr>
          <w:lang w:val="en-US"/>
        </w:rPr>
        <w:t>Disse er: Inmarsat Solutions AS, Kongsberg Satellite Services AS, OneWeb Norway AS, Space Norway AS, Space Norway Satcom AS og Starlink Norway AS.</w:t>
      </w:r>
    </w:p>
    <w:p w14:paraId="6C926793" w14:textId="77777777" w:rsidR="004B1A63" w:rsidRPr="005342B1" w:rsidRDefault="004B1A63">
      <w:pPr>
        <w:rPr>
          <w:lang w:val="en-US"/>
        </w:rPr>
      </w:pPr>
      <w:r w:rsidRPr="00015951">
        <w:rPr>
          <w:rStyle w:val="halvfet"/>
          <w:lang w:val="en-US"/>
        </w:rPr>
        <w:t>Fortifikatoriske anlegg</w:t>
      </w:r>
      <w:r w:rsidRPr="005342B1">
        <w:rPr>
          <w:lang w:val="en-US"/>
        </w:rPr>
        <w:t xml:space="preserve"> forstås som et anlegg som i tillegg til naturlig fjelloverdekning eller armert betong (bunker), har beskyttelsestiltak mot CBR-elementer (kjemisk, biologisk og radioaktivt). Slike </w:t>
      </w:r>
      <w:r w:rsidRPr="005342B1">
        <w:rPr>
          <w:lang w:val="en-US"/>
        </w:rPr>
        <w:lastRenderedPageBreak/>
        <w:t>anlegg benyttes til innplassering og eventuelt samlokalisering av kjerneinfrastruktur for å kunne drifte ekomtjenester også i situasjoner høyt oppe i krisespennet. Det er kun Telenor som har slike anlegg innen sektoren og infrastrukturen eies av Telenor Towers Norway AS.</w:t>
      </w:r>
    </w:p>
    <w:p w14:paraId="479C6771" w14:textId="0518AF47" w:rsidR="004B1A63" w:rsidRPr="005342B1" w:rsidRDefault="004B1A63">
      <w:pPr>
        <w:rPr>
          <w:lang w:val="en-US"/>
        </w:rPr>
      </w:pPr>
      <w:r w:rsidRPr="005342B1">
        <w:rPr>
          <w:lang w:val="en-US"/>
        </w:rPr>
        <w:t xml:space="preserve">Norid AS og Nasjonal Referansedatabase AS (NRDB) er identifisert som selskaper som eier infrastruktur knyttet til kategorien </w:t>
      </w:r>
      <w:r w:rsidR="00015951">
        <w:rPr>
          <w:lang w:val="en-US"/>
        </w:rPr>
        <w:t>«</w:t>
      </w:r>
      <w:r w:rsidRPr="00015951">
        <w:rPr>
          <w:rStyle w:val="halvfet"/>
          <w:lang w:val="en-US"/>
        </w:rPr>
        <w:t>kritiske basalfunksjoner</w:t>
      </w:r>
      <w:r w:rsidR="00015951">
        <w:rPr>
          <w:lang w:val="en-US"/>
        </w:rPr>
        <w:t>»</w:t>
      </w:r>
      <w:r w:rsidRPr="005342B1">
        <w:rPr>
          <w:lang w:val="en-US"/>
        </w:rPr>
        <w:t>.</w:t>
      </w:r>
    </w:p>
    <w:p w14:paraId="56392966" w14:textId="45D037AC" w:rsidR="004B1A63" w:rsidRDefault="004B1A63">
      <w:r>
        <w:t>Norid AS er registerenhet for de norske landkodetoppdomenene</w:t>
      </w:r>
      <w:r w:rsidR="00015951" w:rsidRPr="00015951">
        <w:rPr>
          <w:rStyle w:val="Fotnotereferanse"/>
        </w:rPr>
        <w:footnoteReference w:id="57"/>
      </w:r>
      <w:r>
        <w:t xml:space="preserve"> og drifter navnetjenesten og registreringstjenesten for .no. Domenenavnsystemet (DNS) knytter IP-adresser til unike domenenavn. Når en bruker forsøker å kontakte en tjeneste på internett (nettsider, e-post mv.) utløser det en rekke oppslag i DNS for å finne den aktuelle IP-adressen. Navnetjenesten som Norid drifter er en nødvendig del av denne DNS-infrastrukturen under .no.</w:t>
      </w:r>
    </w:p>
    <w:p w14:paraId="69F6159A" w14:textId="77777777" w:rsidR="004B1A63" w:rsidRDefault="004B1A63">
      <w:r>
        <w:t>NRDB leverer tekniske fellesløsninger til ekomtilbydere, eksempelvis er NRDB mellomledd i prosessen med å portere kunders telefonnummer over til ny tilbyder ved tilbyderbytter. NRDB leverer også geografisk lokalisering og overføring av abonnementsinformasjon ved anrop til nødetatene (opprinnelsesmarkering). Ved bortfall av NRDB sine tjenester vil man fortsatt kunne ringe og motta samtaler. Man mister imidlertid mulighet for å gjennomføre nummerportering og på kort sikt også automatisk støtte til opprinnelsesmarkering.</w:t>
      </w:r>
    </w:p>
    <w:p w14:paraId="20A7B633" w14:textId="77777777" w:rsidR="004B1A63" w:rsidRDefault="004B1A63">
      <w:r>
        <w:t xml:space="preserve">Et </w:t>
      </w:r>
      <w:r w:rsidRPr="00015951">
        <w:rPr>
          <w:rStyle w:val="halvfet"/>
        </w:rPr>
        <w:t>samtrafikkpunkt</w:t>
      </w:r>
      <w:r>
        <w:t xml:space="preserve"> er et fysisk eller virtuelt knutepunkt i telenettene hvor ulike operatører kobler seg sammen for å utveksle nasjonal og internasjonal trafikk mellom ulike nettverk. Identifiserte selskaper i denne kategorien er: Bulk Infrastructure Holding AS, De-Cix Management GmbH, GlobalConnect AS, Infrastructure Nordics 4 AS (Stack), Lyse Tele AS, Orange Business Digital Norway AS, Telenor ASA, Telia Norge AS og Norwegian Internet Exchange (NIX).</w:t>
      </w:r>
    </w:p>
    <w:p w14:paraId="5D0582AA" w14:textId="2B8BCDC4" w:rsidR="004B1A63" w:rsidRDefault="004B1A63">
      <w:pPr>
        <w:pStyle w:val="tabell-tittel"/>
        <w:spacing w:before="0"/>
      </w:pPr>
      <w:r>
        <w:t>Oversikt over relevante virksomheter kategorisert etter infrastrukturtype</w:t>
      </w:r>
    </w:p>
    <w:tbl>
      <w:tblPr>
        <w:tblStyle w:val="StandardTabell"/>
        <w:tblW w:w="0" w:type="auto"/>
        <w:tblLayout w:type="fixed"/>
        <w:tblLook w:val="04A0" w:firstRow="1" w:lastRow="0" w:firstColumn="1" w:lastColumn="0" w:noHBand="0" w:noVBand="1"/>
      </w:tblPr>
      <w:tblGrid>
        <w:gridCol w:w="3146"/>
        <w:gridCol w:w="482"/>
        <w:gridCol w:w="482"/>
        <w:gridCol w:w="482"/>
        <w:gridCol w:w="709"/>
        <w:gridCol w:w="482"/>
        <w:gridCol w:w="708"/>
        <w:gridCol w:w="482"/>
        <w:gridCol w:w="482"/>
        <w:gridCol w:w="482"/>
      </w:tblGrid>
      <w:tr w:rsidR="00C26A9D" w14:paraId="0B041606" w14:textId="77777777" w:rsidTr="00E5635F">
        <w:trPr>
          <w:trHeight w:val="2437"/>
        </w:trPr>
        <w:tc>
          <w:tcPr>
            <w:tcW w:w="3146" w:type="dxa"/>
          </w:tcPr>
          <w:p w14:paraId="3772A02E" w14:textId="77777777" w:rsidR="004B1A63" w:rsidRDefault="004B1A63" w:rsidP="00A16B61">
            <w:pPr>
              <w:pStyle w:val="TabellHode-kolonne"/>
            </w:pPr>
            <w:r w:rsidRPr="00015951">
              <w:t>Selskap / infrastruktur</w:t>
            </w:r>
          </w:p>
        </w:tc>
        <w:tc>
          <w:tcPr>
            <w:tcW w:w="482" w:type="dxa"/>
            <w:textDirection w:val="btLr"/>
          </w:tcPr>
          <w:p w14:paraId="4377D82E" w14:textId="77777777" w:rsidR="004B1A63" w:rsidRDefault="004B1A63" w:rsidP="00A16B61">
            <w:pPr>
              <w:pStyle w:val="TabellHode-kolonne"/>
            </w:pPr>
            <w:r w:rsidRPr="00015951">
              <w:t>Mobilnett</w:t>
            </w:r>
          </w:p>
        </w:tc>
        <w:tc>
          <w:tcPr>
            <w:tcW w:w="482" w:type="dxa"/>
            <w:textDirection w:val="btLr"/>
          </w:tcPr>
          <w:p w14:paraId="67AD43E3" w14:textId="77777777" w:rsidR="004B1A63" w:rsidRDefault="004B1A63" w:rsidP="00A16B61">
            <w:pPr>
              <w:pStyle w:val="TabellHode-kolonne"/>
            </w:pPr>
            <w:r w:rsidRPr="00015951">
              <w:t>Bredbåndsinfrastruktur</w:t>
            </w:r>
          </w:p>
        </w:tc>
        <w:tc>
          <w:tcPr>
            <w:tcW w:w="482" w:type="dxa"/>
            <w:textDirection w:val="btLr"/>
          </w:tcPr>
          <w:p w14:paraId="7D1239DF" w14:textId="77777777" w:rsidR="004B1A63" w:rsidRDefault="004B1A63" w:rsidP="00A16B61">
            <w:pPr>
              <w:pStyle w:val="TabellHode-kolonne"/>
            </w:pPr>
            <w:r w:rsidRPr="00015951">
              <w:t>Transportnett</w:t>
            </w:r>
          </w:p>
        </w:tc>
        <w:tc>
          <w:tcPr>
            <w:tcW w:w="709" w:type="dxa"/>
            <w:textDirection w:val="btLr"/>
          </w:tcPr>
          <w:p w14:paraId="3F431B1F" w14:textId="77777777" w:rsidR="004B1A63" w:rsidRDefault="004B1A63" w:rsidP="00A16B61">
            <w:pPr>
              <w:pStyle w:val="TabellHode-kolonne"/>
            </w:pPr>
            <w:r w:rsidRPr="00015951">
              <w:t>Fiberkabler til utlandet (inkl. sjøfiber)</w:t>
            </w:r>
          </w:p>
        </w:tc>
        <w:tc>
          <w:tcPr>
            <w:tcW w:w="482" w:type="dxa"/>
            <w:textDirection w:val="btLr"/>
          </w:tcPr>
          <w:p w14:paraId="0C743886" w14:textId="77777777" w:rsidR="004B1A63" w:rsidRDefault="004B1A63" w:rsidP="00A16B61">
            <w:pPr>
              <w:pStyle w:val="TabellHode-kolonne"/>
            </w:pPr>
            <w:r w:rsidRPr="00015951">
              <w:t>Datasenter</w:t>
            </w:r>
          </w:p>
        </w:tc>
        <w:tc>
          <w:tcPr>
            <w:tcW w:w="708" w:type="dxa"/>
            <w:textDirection w:val="btLr"/>
          </w:tcPr>
          <w:p w14:paraId="61A9325C" w14:textId="77777777" w:rsidR="004B1A63" w:rsidRDefault="004B1A63" w:rsidP="00A16B61">
            <w:pPr>
              <w:pStyle w:val="TabellHode-kolonne"/>
            </w:pPr>
            <w:r w:rsidRPr="00015951">
              <w:t xml:space="preserve">Satellittbasert kommunikasjon </w:t>
            </w:r>
          </w:p>
        </w:tc>
        <w:tc>
          <w:tcPr>
            <w:tcW w:w="482" w:type="dxa"/>
            <w:textDirection w:val="btLr"/>
          </w:tcPr>
          <w:p w14:paraId="32FDF0C7" w14:textId="77777777" w:rsidR="004B1A63" w:rsidRDefault="004B1A63" w:rsidP="00A16B61">
            <w:pPr>
              <w:pStyle w:val="TabellHode-kolonne"/>
            </w:pPr>
            <w:r w:rsidRPr="00015951">
              <w:t>Fortifikatoriske anlegg</w:t>
            </w:r>
          </w:p>
        </w:tc>
        <w:tc>
          <w:tcPr>
            <w:tcW w:w="482" w:type="dxa"/>
            <w:textDirection w:val="btLr"/>
          </w:tcPr>
          <w:p w14:paraId="530AD7B6" w14:textId="77777777" w:rsidR="004B1A63" w:rsidRDefault="004B1A63" w:rsidP="00A16B61">
            <w:pPr>
              <w:pStyle w:val="TabellHode-kolonne"/>
            </w:pPr>
            <w:r w:rsidRPr="00015951">
              <w:t>Kritiske basalfunksjoner</w:t>
            </w:r>
          </w:p>
        </w:tc>
        <w:tc>
          <w:tcPr>
            <w:tcW w:w="482" w:type="dxa"/>
            <w:textDirection w:val="btLr"/>
          </w:tcPr>
          <w:p w14:paraId="62023DA7" w14:textId="77777777" w:rsidR="004B1A63" w:rsidRDefault="004B1A63" w:rsidP="00A16B61">
            <w:pPr>
              <w:pStyle w:val="TabellHode-kolonne"/>
            </w:pPr>
            <w:r w:rsidRPr="00015951">
              <w:t>Samtrafikkpunkter</w:t>
            </w:r>
          </w:p>
        </w:tc>
      </w:tr>
      <w:tr w:rsidR="00C26A9D" w14:paraId="201A8520" w14:textId="77777777" w:rsidTr="00E5635F">
        <w:trPr>
          <w:trHeight w:val="311"/>
        </w:trPr>
        <w:tc>
          <w:tcPr>
            <w:tcW w:w="3146" w:type="dxa"/>
          </w:tcPr>
          <w:p w14:paraId="36CD9C4D" w14:textId="77777777" w:rsidR="004B1A63" w:rsidRDefault="004B1A63" w:rsidP="00A16B61">
            <w:pPr>
              <w:pStyle w:val="TabellHode-rad"/>
            </w:pPr>
            <w:r>
              <w:t>Telenor</w:t>
            </w:r>
          </w:p>
        </w:tc>
        <w:tc>
          <w:tcPr>
            <w:tcW w:w="482" w:type="dxa"/>
          </w:tcPr>
          <w:p w14:paraId="08F211B0" w14:textId="77777777" w:rsidR="004B1A63" w:rsidRDefault="004B1A63" w:rsidP="00A16B61">
            <w:pPr>
              <w:jc w:val="center"/>
            </w:pPr>
            <w:r>
              <w:t>X</w:t>
            </w:r>
          </w:p>
        </w:tc>
        <w:tc>
          <w:tcPr>
            <w:tcW w:w="482" w:type="dxa"/>
          </w:tcPr>
          <w:p w14:paraId="499D4D00" w14:textId="77777777" w:rsidR="004B1A63" w:rsidRDefault="004B1A63" w:rsidP="00A16B61">
            <w:pPr>
              <w:jc w:val="center"/>
            </w:pPr>
            <w:r>
              <w:t>X</w:t>
            </w:r>
          </w:p>
        </w:tc>
        <w:tc>
          <w:tcPr>
            <w:tcW w:w="482" w:type="dxa"/>
          </w:tcPr>
          <w:p w14:paraId="329FDE74" w14:textId="77777777" w:rsidR="004B1A63" w:rsidRDefault="004B1A63" w:rsidP="00A16B61">
            <w:pPr>
              <w:jc w:val="center"/>
            </w:pPr>
            <w:r>
              <w:t>X</w:t>
            </w:r>
          </w:p>
        </w:tc>
        <w:tc>
          <w:tcPr>
            <w:tcW w:w="709" w:type="dxa"/>
          </w:tcPr>
          <w:p w14:paraId="3A25DFBC" w14:textId="77777777" w:rsidR="004B1A63" w:rsidRDefault="004B1A63" w:rsidP="00A16B61">
            <w:pPr>
              <w:jc w:val="center"/>
            </w:pPr>
            <w:r>
              <w:t>X</w:t>
            </w:r>
          </w:p>
        </w:tc>
        <w:tc>
          <w:tcPr>
            <w:tcW w:w="482" w:type="dxa"/>
          </w:tcPr>
          <w:p w14:paraId="5A04EFBC" w14:textId="0090F0E1" w:rsidR="004B1A63" w:rsidRDefault="004B1A63" w:rsidP="00A16B61">
            <w:pPr>
              <w:jc w:val="center"/>
            </w:pPr>
          </w:p>
        </w:tc>
        <w:tc>
          <w:tcPr>
            <w:tcW w:w="708" w:type="dxa"/>
          </w:tcPr>
          <w:p w14:paraId="0A6DE13B" w14:textId="53758AF4" w:rsidR="004B1A63" w:rsidRDefault="004B1A63" w:rsidP="00A16B61">
            <w:pPr>
              <w:jc w:val="center"/>
            </w:pPr>
          </w:p>
        </w:tc>
        <w:tc>
          <w:tcPr>
            <w:tcW w:w="482" w:type="dxa"/>
          </w:tcPr>
          <w:p w14:paraId="3466576C" w14:textId="5F609AB7" w:rsidR="004B1A63" w:rsidRDefault="004B1A63" w:rsidP="00A16B61">
            <w:pPr>
              <w:jc w:val="center"/>
            </w:pPr>
          </w:p>
        </w:tc>
        <w:tc>
          <w:tcPr>
            <w:tcW w:w="482" w:type="dxa"/>
          </w:tcPr>
          <w:p w14:paraId="55348C8C" w14:textId="181C4F40" w:rsidR="004B1A63" w:rsidRDefault="004B1A63" w:rsidP="00A16B61">
            <w:pPr>
              <w:jc w:val="center"/>
            </w:pPr>
          </w:p>
        </w:tc>
        <w:tc>
          <w:tcPr>
            <w:tcW w:w="482" w:type="dxa"/>
          </w:tcPr>
          <w:p w14:paraId="5C00A72E" w14:textId="77777777" w:rsidR="004B1A63" w:rsidRDefault="004B1A63" w:rsidP="00A16B61">
            <w:pPr>
              <w:jc w:val="center"/>
            </w:pPr>
            <w:r>
              <w:t>X</w:t>
            </w:r>
          </w:p>
        </w:tc>
      </w:tr>
      <w:tr w:rsidR="00C26A9D" w14:paraId="7E2860A3" w14:textId="77777777" w:rsidTr="00E5635F">
        <w:trPr>
          <w:trHeight w:val="311"/>
        </w:trPr>
        <w:tc>
          <w:tcPr>
            <w:tcW w:w="3146" w:type="dxa"/>
          </w:tcPr>
          <w:p w14:paraId="3471E84E" w14:textId="77777777" w:rsidR="004B1A63" w:rsidRDefault="004B1A63" w:rsidP="00A16B61">
            <w:pPr>
              <w:pStyle w:val="TabellHode-rad"/>
            </w:pPr>
            <w:r>
              <w:t xml:space="preserve">Telenor Towers Norway </w:t>
            </w:r>
          </w:p>
        </w:tc>
        <w:tc>
          <w:tcPr>
            <w:tcW w:w="482" w:type="dxa"/>
          </w:tcPr>
          <w:p w14:paraId="10E9BD59" w14:textId="77777777" w:rsidR="004B1A63" w:rsidRDefault="004B1A63" w:rsidP="00A16B61">
            <w:pPr>
              <w:jc w:val="center"/>
            </w:pPr>
            <w:r>
              <w:t>X</w:t>
            </w:r>
          </w:p>
        </w:tc>
        <w:tc>
          <w:tcPr>
            <w:tcW w:w="482" w:type="dxa"/>
          </w:tcPr>
          <w:p w14:paraId="7211BDF8" w14:textId="11190BE4" w:rsidR="004B1A63" w:rsidRDefault="004B1A63" w:rsidP="00A16B61">
            <w:pPr>
              <w:jc w:val="center"/>
            </w:pPr>
          </w:p>
        </w:tc>
        <w:tc>
          <w:tcPr>
            <w:tcW w:w="482" w:type="dxa"/>
          </w:tcPr>
          <w:p w14:paraId="2DB1CD9A" w14:textId="08E9E1CE" w:rsidR="004B1A63" w:rsidRDefault="004B1A63" w:rsidP="00A16B61">
            <w:pPr>
              <w:jc w:val="center"/>
            </w:pPr>
          </w:p>
        </w:tc>
        <w:tc>
          <w:tcPr>
            <w:tcW w:w="709" w:type="dxa"/>
          </w:tcPr>
          <w:p w14:paraId="19296630" w14:textId="0F884340" w:rsidR="004B1A63" w:rsidRDefault="004B1A63" w:rsidP="00A16B61">
            <w:pPr>
              <w:jc w:val="center"/>
            </w:pPr>
          </w:p>
        </w:tc>
        <w:tc>
          <w:tcPr>
            <w:tcW w:w="482" w:type="dxa"/>
          </w:tcPr>
          <w:p w14:paraId="6441FFB9" w14:textId="7988B68D" w:rsidR="004B1A63" w:rsidRDefault="004B1A63" w:rsidP="00A16B61">
            <w:pPr>
              <w:jc w:val="center"/>
            </w:pPr>
          </w:p>
        </w:tc>
        <w:tc>
          <w:tcPr>
            <w:tcW w:w="708" w:type="dxa"/>
          </w:tcPr>
          <w:p w14:paraId="52FC5690" w14:textId="0CD04A4B" w:rsidR="004B1A63" w:rsidRDefault="004B1A63" w:rsidP="00A16B61">
            <w:pPr>
              <w:jc w:val="center"/>
            </w:pPr>
          </w:p>
        </w:tc>
        <w:tc>
          <w:tcPr>
            <w:tcW w:w="482" w:type="dxa"/>
          </w:tcPr>
          <w:p w14:paraId="3591C3E8" w14:textId="77777777" w:rsidR="004B1A63" w:rsidRDefault="004B1A63" w:rsidP="00A16B61">
            <w:pPr>
              <w:jc w:val="center"/>
            </w:pPr>
            <w:r>
              <w:t>X</w:t>
            </w:r>
          </w:p>
        </w:tc>
        <w:tc>
          <w:tcPr>
            <w:tcW w:w="482" w:type="dxa"/>
          </w:tcPr>
          <w:p w14:paraId="34155CD8" w14:textId="2DBED785" w:rsidR="004B1A63" w:rsidRDefault="004B1A63" w:rsidP="00A16B61">
            <w:pPr>
              <w:jc w:val="center"/>
            </w:pPr>
          </w:p>
        </w:tc>
        <w:tc>
          <w:tcPr>
            <w:tcW w:w="482" w:type="dxa"/>
          </w:tcPr>
          <w:p w14:paraId="3297A1D6" w14:textId="0D5ECC9B" w:rsidR="004B1A63" w:rsidRDefault="004B1A63" w:rsidP="00A16B61">
            <w:pPr>
              <w:jc w:val="center"/>
            </w:pPr>
          </w:p>
        </w:tc>
      </w:tr>
      <w:tr w:rsidR="00C26A9D" w14:paraId="4AA09CCA" w14:textId="77777777" w:rsidTr="00E5635F">
        <w:trPr>
          <w:trHeight w:val="311"/>
        </w:trPr>
        <w:tc>
          <w:tcPr>
            <w:tcW w:w="3146" w:type="dxa"/>
          </w:tcPr>
          <w:p w14:paraId="6E103B82" w14:textId="77777777" w:rsidR="004B1A63" w:rsidRDefault="004B1A63" w:rsidP="00A16B61">
            <w:pPr>
              <w:pStyle w:val="TabellHode-rad"/>
            </w:pPr>
            <w:r>
              <w:t>Telia Norge</w:t>
            </w:r>
          </w:p>
        </w:tc>
        <w:tc>
          <w:tcPr>
            <w:tcW w:w="482" w:type="dxa"/>
          </w:tcPr>
          <w:p w14:paraId="7FC7D273" w14:textId="77777777" w:rsidR="004B1A63" w:rsidRDefault="004B1A63" w:rsidP="00A16B61">
            <w:pPr>
              <w:jc w:val="center"/>
            </w:pPr>
            <w:r>
              <w:t>X</w:t>
            </w:r>
          </w:p>
        </w:tc>
        <w:tc>
          <w:tcPr>
            <w:tcW w:w="482" w:type="dxa"/>
          </w:tcPr>
          <w:p w14:paraId="2FE17918" w14:textId="77777777" w:rsidR="004B1A63" w:rsidRDefault="004B1A63" w:rsidP="00A16B61">
            <w:pPr>
              <w:jc w:val="center"/>
            </w:pPr>
            <w:r>
              <w:t>X</w:t>
            </w:r>
          </w:p>
        </w:tc>
        <w:tc>
          <w:tcPr>
            <w:tcW w:w="482" w:type="dxa"/>
          </w:tcPr>
          <w:p w14:paraId="77EF562C" w14:textId="77777777" w:rsidR="004B1A63" w:rsidRDefault="004B1A63" w:rsidP="00A16B61">
            <w:pPr>
              <w:jc w:val="center"/>
            </w:pPr>
            <w:r>
              <w:t>X</w:t>
            </w:r>
          </w:p>
        </w:tc>
        <w:tc>
          <w:tcPr>
            <w:tcW w:w="709" w:type="dxa"/>
          </w:tcPr>
          <w:p w14:paraId="33C9C8A0" w14:textId="77777777" w:rsidR="004B1A63" w:rsidRDefault="004B1A63" w:rsidP="00A16B61">
            <w:pPr>
              <w:jc w:val="center"/>
            </w:pPr>
            <w:r>
              <w:t>X</w:t>
            </w:r>
          </w:p>
        </w:tc>
        <w:tc>
          <w:tcPr>
            <w:tcW w:w="482" w:type="dxa"/>
          </w:tcPr>
          <w:p w14:paraId="5F2278AA" w14:textId="08DC0E22" w:rsidR="004B1A63" w:rsidRDefault="004B1A63" w:rsidP="00A16B61">
            <w:pPr>
              <w:jc w:val="center"/>
            </w:pPr>
          </w:p>
        </w:tc>
        <w:tc>
          <w:tcPr>
            <w:tcW w:w="708" w:type="dxa"/>
          </w:tcPr>
          <w:p w14:paraId="487C0A18" w14:textId="7D16EE30" w:rsidR="004B1A63" w:rsidRDefault="004B1A63" w:rsidP="00A16B61">
            <w:pPr>
              <w:jc w:val="center"/>
            </w:pPr>
          </w:p>
        </w:tc>
        <w:tc>
          <w:tcPr>
            <w:tcW w:w="482" w:type="dxa"/>
          </w:tcPr>
          <w:p w14:paraId="599C099E" w14:textId="73BC9E59" w:rsidR="004B1A63" w:rsidRDefault="004B1A63" w:rsidP="00A16B61">
            <w:pPr>
              <w:jc w:val="center"/>
            </w:pPr>
          </w:p>
        </w:tc>
        <w:tc>
          <w:tcPr>
            <w:tcW w:w="482" w:type="dxa"/>
          </w:tcPr>
          <w:p w14:paraId="5229D680" w14:textId="2613A05D" w:rsidR="004B1A63" w:rsidRDefault="004B1A63" w:rsidP="00A16B61">
            <w:pPr>
              <w:jc w:val="center"/>
            </w:pPr>
          </w:p>
        </w:tc>
        <w:tc>
          <w:tcPr>
            <w:tcW w:w="482" w:type="dxa"/>
          </w:tcPr>
          <w:p w14:paraId="2A16E01E" w14:textId="77777777" w:rsidR="004B1A63" w:rsidRDefault="004B1A63" w:rsidP="00A16B61">
            <w:pPr>
              <w:jc w:val="center"/>
            </w:pPr>
            <w:r>
              <w:t>X</w:t>
            </w:r>
          </w:p>
        </w:tc>
      </w:tr>
      <w:tr w:rsidR="00C26A9D" w14:paraId="6884AF3F" w14:textId="77777777" w:rsidTr="00E5635F">
        <w:trPr>
          <w:trHeight w:val="311"/>
        </w:trPr>
        <w:tc>
          <w:tcPr>
            <w:tcW w:w="3146" w:type="dxa"/>
          </w:tcPr>
          <w:p w14:paraId="0EABCC93" w14:textId="77777777" w:rsidR="004B1A63" w:rsidRDefault="004B1A63" w:rsidP="00A16B61">
            <w:pPr>
              <w:pStyle w:val="TabellHode-rad"/>
            </w:pPr>
            <w:r>
              <w:lastRenderedPageBreak/>
              <w:t>Telia Towers Norway</w:t>
            </w:r>
          </w:p>
        </w:tc>
        <w:tc>
          <w:tcPr>
            <w:tcW w:w="482" w:type="dxa"/>
          </w:tcPr>
          <w:p w14:paraId="6FD3D90C" w14:textId="77777777" w:rsidR="004B1A63" w:rsidRDefault="004B1A63" w:rsidP="00A16B61">
            <w:pPr>
              <w:jc w:val="center"/>
            </w:pPr>
            <w:r>
              <w:t>X</w:t>
            </w:r>
          </w:p>
        </w:tc>
        <w:tc>
          <w:tcPr>
            <w:tcW w:w="482" w:type="dxa"/>
          </w:tcPr>
          <w:p w14:paraId="2D3AA3A9" w14:textId="59FBD624" w:rsidR="004B1A63" w:rsidRDefault="004B1A63" w:rsidP="00A16B61">
            <w:pPr>
              <w:jc w:val="center"/>
            </w:pPr>
          </w:p>
        </w:tc>
        <w:tc>
          <w:tcPr>
            <w:tcW w:w="482" w:type="dxa"/>
          </w:tcPr>
          <w:p w14:paraId="3DA55F70" w14:textId="2D53126C" w:rsidR="004B1A63" w:rsidRDefault="004B1A63" w:rsidP="00A16B61">
            <w:pPr>
              <w:jc w:val="center"/>
            </w:pPr>
          </w:p>
        </w:tc>
        <w:tc>
          <w:tcPr>
            <w:tcW w:w="709" w:type="dxa"/>
          </w:tcPr>
          <w:p w14:paraId="0C4B2BC0" w14:textId="66F68FED" w:rsidR="004B1A63" w:rsidRDefault="004B1A63" w:rsidP="00A16B61">
            <w:pPr>
              <w:jc w:val="center"/>
            </w:pPr>
          </w:p>
        </w:tc>
        <w:tc>
          <w:tcPr>
            <w:tcW w:w="482" w:type="dxa"/>
          </w:tcPr>
          <w:p w14:paraId="3ADA12FB" w14:textId="1BFC5702" w:rsidR="004B1A63" w:rsidRDefault="004B1A63" w:rsidP="00A16B61">
            <w:pPr>
              <w:jc w:val="center"/>
            </w:pPr>
          </w:p>
        </w:tc>
        <w:tc>
          <w:tcPr>
            <w:tcW w:w="708" w:type="dxa"/>
          </w:tcPr>
          <w:p w14:paraId="5B1703CB" w14:textId="3AA2AE62" w:rsidR="004B1A63" w:rsidRDefault="004B1A63" w:rsidP="00A16B61">
            <w:pPr>
              <w:jc w:val="center"/>
            </w:pPr>
          </w:p>
        </w:tc>
        <w:tc>
          <w:tcPr>
            <w:tcW w:w="482" w:type="dxa"/>
          </w:tcPr>
          <w:p w14:paraId="1CF97012" w14:textId="0E08CA75" w:rsidR="004B1A63" w:rsidRDefault="004B1A63" w:rsidP="00A16B61">
            <w:pPr>
              <w:jc w:val="center"/>
            </w:pPr>
          </w:p>
        </w:tc>
        <w:tc>
          <w:tcPr>
            <w:tcW w:w="482" w:type="dxa"/>
          </w:tcPr>
          <w:p w14:paraId="284D168B" w14:textId="024BB0B7" w:rsidR="004B1A63" w:rsidRDefault="004B1A63" w:rsidP="00A16B61">
            <w:pPr>
              <w:jc w:val="center"/>
            </w:pPr>
          </w:p>
        </w:tc>
        <w:tc>
          <w:tcPr>
            <w:tcW w:w="482" w:type="dxa"/>
          </w:tcPr>
          <w:p w14:paraId="30668839" w14:textId="2CC71787" w:rsidR="004B1A63" w:rsidRDefault="004B1A63" w:rsidP="00A16B61">
            <w:pPr>
              <w:jc w:val="center"/>
            </w:pPr>
          </w:p>
        </w:tc>
      </w:tr>
      <w:tr w:rsidR="00C26A9D" w14:paraId="54011488" w14:textId="77777777" w:rsidTr="00E5635F">
        <w:trPr>
          <w:trHeight w:val="311"/>
        </w:trPr>
        <w:tc>
          <w:tcPr>
            <w:tcW w:w="3146" w:type="dxa"/>
          </w:tcPr>
          <w:p w14:paraId="4543FB19" w14:textId="77777777" w:rsidR="004B1A63" w:rsidRDefault="004B1A63" w:rsidP="00A16B61">
            <w:pPr>
              <w:pStyle w:val="TabellHode-rad"/>
            </w:pPr>
            <w:r>
              <w:t>Lyse Tele</w:t>
            </w:r>
          </w:p>
        </w:tc>
        <w:tc>
          <w:tcPr>
            <w:tcW w:w="482" w:type="dxa"/>
          </w:tcPr>
          <w:p w14:paraId="5C04C78C" w14:textId="77777777" w:rsidR="004B1A63" w:rsidRDefault="004B1A63" w:rsidP="00A16B61">
            <w:pPr>
              <w:jc w:val="center"/>
            </w:pPr>
            <w:r>
              <w:t>X</w:t>
            </w:r>
          </w:p>
        </w:tc>
        <w:tc>
          <w:tcPr>
            <w:tcW w:w="482" w:type="dxa"/>
          </w:tcPr>
          <w:p w14:paraId="3E681B0E" w14:textId="77777777" w:rsidR="004B1A63" w:rsidRDefault="004B1A63" w:rsidP="00A16B61">
            <w:pPr>
              <w:jc w:val="center"/>
            </w:pPr>
            <w:r>
              <w:t>X</w:t>
            </w:r>
          </w:p>
        </w:tc>
        <w:tc>
          <w:tcPr>
            <w:tcW w:w="482" w:type="dxa"/>
          </w:tcPr>
          <w:p w14:paraId="3AE2AFB8" w14:textId="77777777" w:rsidR="004B1A63" w:rsidRDefault="004B1A63" w:rsidP="00A16B61">
            <w:pPr>
              <w:jc w:val="center"/>
            </w:pPr>
            <w:r>
              <w:t>X</w:t>
            </w:r>
          </w:p>
        </w:tc>
        <w:tc>
          <w:tcPr>
            <w:tcW w:w="709" w:type="dxa"/>
          </w:tcPr>
          <w:p w14:paraId="257BF233" w14:textId="77777777" w:rsidR="004B1A63" w:rsidRDefault="004B1A63" w:rsidP="00A16B61">
            <w:pPr>
              <w:jc w:val="center"/>
            </w:pPr>
            <w:r>
              <w:t>X</w:t>
            </w:r>
          </w:p>
        </w:tc>
        <w:tc>
          <w:tcPr>
            <w:tcW w:w="482" w:type="dxa"/>
          </w:tcPr>
          <w:p w14:paraId="1F074587" w14:textId="6CDE4E9D" w:rsidR="004B1A63" w:rsidRDefault="004B1A63" w:rsidP="00A16B61">
            <w:pPr>
              <w:jc w:val="center"/>
            </w:pPr>
          </w:p>
        </w:tc>
        <w:tc>
          <w:tcPr>
            <w:tcW w:w="708" w:type="dxa"/>
          </w:tcPr>
          <w:p w14:paraId="75030BF4" w14:textId="277AD333" w:rsidR="004B1A63" w:rsidRDefault="004B1A63" w:rsidP="00A16B61">
            <w:pPr>
              <w:jc w:val="center"/>
            </w:pPr>
          </w:p>
        </w:tc>
        <w:tc>
          <w:tcPr>
            <w:tcW w:w="482" w:type="dxa"/>
          </w:tcPr>
          <w:p w14:paraId="10EE8D86" w14:textId="2E05103D" w:rsidR="004B1A63" w:rsidRDefault="004B1A63" w:rsidP="00A16B61">
            <w:pPr>
              <w:jc w:val="center"/>
            </w:pPr>
          </w:p>
        </w:tc>
        <w:tc>
          <w:tcPr>
            <w:tcW w:w="482" w:type="dxa"/>
          </w:tcPr>
          <w:p w14:paraId="2AB80727" w14:textId="134CBD4B" w:rsidR="004B1A63" w:rsidRDefault="004B1A63" w:rsidP="00A16B61">
            <w:pPr>
              <w:jc w:val="center"/>
            </w:pPr>
          </w:p>
        </w:tc>
        <w:tc>
          <w:tcPr>
            <w:tcW w:w="482" w:type="dxa"/>
          </w:tcPr>
          <w:p w14:paraId="70F722DB" w14:textId="77777777" w:rsidR="004B1A63" w:rsidRDefault="004B1A63" w:rsidP="00A16B61">
            <w:pPr>
              <w:jc w:val="center"/>
            </w:pPr>
            <w:r>
              <w:t>X</w:t>
            </w:r>
          </w:p>
        </w:tc>
      </w:tr>
      <w:tr w:rsidR="00C26A9D" w14:paraId="79A4D02F" w14:textId="77777777" w:rsidTr="00E5635F">
        <w:trPr>
          <w:trHeight w:val="311"/>
        </w:trPr>
        <w:tc>
          <w:tcPr>
            <w:tcW w:w="3146" w:type="dxa"/>
          </w:tcPr>
          <w:p w14:paraId="487D91AD" w14:textId="77777777" w:rsidR="004B1A63" w:rsidRDefault="004B1A63" w:rsidP="00A16B61">
            <w:pPr>
              <w:pStyle w:val="TabellHode-rad"/>
            </w:pPr>
            <w:r>
              <w:t xml:space="preserve">Tårnselskapet </w:t>
            </w:r>
          </w:p>
        </w:tc>
        <w:tc>
          <w:tcPr>
            <w:tcW w:w="482" w:type="dxa"/>
          </w:tcPr>
          <w:p w14:paraId="144A85BF" w14:textId="77777777" w:rsidR="004B1A63" w:rsidRDefault="004B1A63" w:rsidP="00A16B61">
            <w:pPr>
              <w:jc w:val="center"/>
            </w:pPr>
            <w:r>
              <w:t>X</w:t>
            </w:r>
          </w:p>
        </w:tc>
        <w:tc>
          <w:tcPr>
            <w:tcW w:w="482" w:type="dxa"/>
          </w:tcPr>
          <w:p w14:paraId="09F9B972" w14:textId="0206A484" w:rsidR="004B1A63" w:rsidRDefault="004B1A63" w:rsidP="00A16B61">
            <w:pPr>
              <w:jc w:val="center"/>
            </w:pPr>
          </w:p>
        </w:tc>
        <w:tc>
          <w:tcPr>
            <w:tcW w:w="482" w:type="dxa"/>
          </w:tcPr>
          <w:p w14:paraId="4C4C01B6" w14:textId="53E20D41" w:rsidR="004B1A63" w:rsidRDefault="004B1A63" w:rsidP="00A16B61">
            <w:pPr>
              <w:jc w:val="center"/>
            </w:pPr>
          </w:p>
        </w:tc>
        <w:tc>
          <w:tcPr>
            <w:tcW w:w="709" w:type="dxa"/>
          </w:tcPr>
          <w:p w14:paraId="1AEA7EE8" w14:textId="22236463" w:rsidR="004B1A63" w:rsidRDefault="004B1A63" w:rsidP="00A16B61">
            <w:pPr>
              <w:jc w:val="center"/>
            </w:pPr>
          </w:p>
        </w:tc>
        <w:tc>
          <w:tcPr>
            <w:tcW w:w="482" w:type="dxa"/>
          </w:tcPr>
          <w:p w14:paraId="31135151" w14:textId="42CEF86A" w:rsidR="004B1A63" w:rsidRDefault="004B1A63" w:rsidP="00A16B61">
            <w:pPr>
              <w:jc w:val="center"/>
            </w:pPr>
          </w:p>
        </w:tc>
        <w:tc>
          <w:tcPr>
            <w:tcW w:w="708" w:type="dxa"/>
          </w:tcPr>
          <w:p w14:paraId="4D234B65" w14:textId="191CDB2B" w:rsidR="004B1A63" w:rsidRDefault="004B1A63" w:rsidP="00A16B61">
            <w:pPr>
              <w:jc w:val="center"/>
            </w:pPr>
          </w:p>
        </w:tc>
        <w:tc>
          <w:tcPr>
            <w:tcW w:w="482" w:type="dxa"/>
          </w:tcPr>
          <w:p w14:paraId="5E1039A8" w14:textId="0310C03D" w:rsidR="004B1A63" w:rsidRDefault="004B1A63" w:rsidP="00A16B61">
            <w:pPr>
              <w:jc w:val="center"/>
            </w:pPr>
          </w:p>
        </w:tc>
        <w:tc>
          <w:tcPr>
            <w:tcW w:w="482" w:type="dxa"/>
          </w:tcPr>
          <w:p w14:paraId="2F80C550" w14:textId="34AB9FCE" w:rsidR="004B1A63" w:rsidRDefault="004B1A63" w:rsidP="00A16B61">
            <w:pPr>
              <w:jc w:val="center"/>
            </w:pPr>
          </w:p>
        </w:tc>
        <w:tc>
          <w:tcPr>
            <w:tcW w:w="482" w:type="dxa"/>
          </w:tcPr>
          <w:p w14:paraId="7A1E5B63" w14:textId="371E6BCB" w:rsidR="004B1A63" w:rsidRDefault="004B1A63" w:rsidP="00A16B61">
            <w:pPr>
              <w:jc w:val="center"/>
            </w:pPr>
          </w:p>
        </w:tc>
      </w:tr>
      <w:tr w:rsidR="00C26A9D" w14:paraId="4A914932" w14:textId="77777777" w:rsidTr="00E5635F">
        <w:trPr>
          <w:trHeight w:hRule="exact" w:val="357"/>
        </w:trPr>
        <w:tc>
          <w:tcPr>
            <w:tcW w:w="7937" w:type="dxa"/>
            <w:gridSpan w:val="10"/>
          </w:tcPr>
          <w:p w14:paraId="42D39894" w14:textId="77777777" w:rsidR="004B1A63" w:rsidRDefault="004B1A63" w:rsidP="00A16B61">
            <w:pPr>
              <w:jc w:val="center"/>
              <w:rPr>
                <w:rFonts w:ascii="OpenSans-Italic" w:hAnsi="OpenSans-Italic"/>
              </w:rPr>
            </w:pPr>
          </w:p>
        </w:tc>
      </w:tr>
      <w:tr w:rsidR="00C26A9D" w14:paraId="530FC820" w14:textId="77777777" w:rsidTr="00E5635F">
        <w:trPr>
          <w:trHeight w:val="311"/>
        </w:trPr>
        <w:tc>
          <w:tcPr>
            <w:tcW w:w="3146" w:type="dxa"/>
          </w:tcPr>
          <w:p w14:paraId="42B1DE6D" w14:textId="77777777" w:rsidR="004B1A63" w:rsidRDefault="004B1A63" w:rsidP="00A16B61">
            <w:pPr>
              <w:pStyle w:val="TabellHode-rad"/>
            </w:pPr>
            <w:r>
              <w:t>GlobalConnect</w:t>
            </w:r>
          </w:p>
        </w:tc>
        <w:tc>
          <w:tcPr>
            <w:tcW w:w="482" w:type="dxa"/>
          </w:tcPr>
          <w:p w14:paraId="3CAEDE94" w14:textId="251A1FF1" w:rsidR="004B1A63" w:rsidRDefault="004B1A63" w:rsidP="00A16B61">
            <w:pPr>
              <w:jc w:val="center"/>
            </w:pPr>
          </w:p>
        </w:tc>
        <w:tc>
          <w:tcPr>
            <w:tcW w:w="482" w:type="dxa"/>
          </w:tcPr>
          <w:p w14:paraId="1B9DAB96" w14:textId="77777777" w:rsidR="004B1A63" w:rsidRDefault="004B1A63" w:rsidP="00A16B61">
            <w:pPr>
              <w:jc w:val="center"/>
            </w:pPr>
            <w:r>
              <w:t>X</w:t>
            </w:r>
          </w:p>
        </w:tc>
        <w:tc>
          <w:tcPr>
            <w:tcW w:w="482" w:type="dxa"/>
          </w:tcPr>
          <w:p w14:paraId="0ACC487A" w14:textId="77777777" w:rsidR="004B1A63" w:rsidRDefault="004B1A63" w:rsidP="00A16B61">
            <w:pPr>
              <w:jc w:val="center"/>
            </w:pPr>
            <w:r>
              <w:t>X</w:t>
            </w:r>
          </w:p>
        </w:tc>
        <w:tc>
          <w:tcPr>
            <w:tcW w:w="709" w:type="dxa"/>
          </w:tcPr>
          <w:p w14:paraId="5A051F86" w14:textId="77777777" w:rsidR="004B1A63" w:rsidRDefault="004B1A63" w:rsidP="00A16B61">
            <w:pPr>
              <w:jc w:val="center"/>
            </w:pPr>
            <w:r>
              <w:t>X</w:t>
            </w:r>
          </w:p>
        </w:tc>
        <w:tc>
          <w:tcPr>
            <w:tcW w:w="482" w:type="dxa"/>
          </w:tcPr>
          <w:p w14:paraId="11974228" w14:textId="7648282E" w:rsidR="004B1A63" w:rsidRDefault="004B1A63" w:rsidP="00A16B61">
            <w:pPr>
              <w:jc w:val="center"/>
            </w:pPr>
          </w:p>
        </w:tc>
        <w:tc>
          <w:tcPr>
            <w:tcW w:w="708" w:type="dxa"/>
          </w:tcPr>
          <w:p w14:paraId="72D1B046" w14:textId="493A5F6D" w:rsidR="004B1A63" w:rsidRDefault="004B1A63" w:rsidP="00A16B61">
            <w:pPr>
              <w:jc w:val="center"/>
            </w:pPr>
          </w:p>
        </w:tc>
        <w:tc>
          <w:tcPr>
            <w:tcW w:w="482" w:type="dxa"/>
          </w:tcPr>
          <w:p w14:paraId="71647306" w14:textId="5F6BB608" w:rsidR="004B1A63" w:rsidRDefault="004B1A63" w:rsidP="00A16B61">
            <w:pPr>
              <w:jc w:val="center"/>
            </w:pPr>
          </w:p>
        </w:tc>
        <w:tc>
          <w:tcPr>
            <w:tcW w:w="482" w:type="dxa"/>
          </w:tcPr>
          <w:p w14:paraId="359DA84A" w14:textId="42333E27" w:rsidR="004B1A63" w:rsidRDefault="004B1A63" w:rsidP="00A16B61">
            <w:pPr>
              <w:jc w:val="center"/>
            </w:pPr>
          </w:p>
        </w:tc>
        <w:tc>
          <w:tcPr>
            <w:tcW w:w="482" w:type="dxa"/>
          </w:tcPr>
          <w:p w14:paraId="7C4DE324" w14:textId="77777777" w:rsidR="004B1A63" w:rsidRDefault="004B1A63" w:rsidP="00A16B61">
            <w:pPr>
              <w:jc w:val="center"/>
            </w:pPr>
            <w:r>
              <w:t>X</w:t>
            </w:r>
          </w:p>
        </w:tc>
      </w:tr>
      <w:tr w:rsidR="00C26A9D" w14:paraId="43FF816D" w14:textId="77777777" w:rsidTr="00E5635F">
        <w:trPr>
          <w:trHeight w:val="311"/>
        </w:trPr>
        <w:tc>
          <w:tcPr>
            <w:tcW w:w="3146" w:type="dxa"/>
          </w:tcPr>
          <w:p w14:paraId="1F7D4AC5" w14:textId="77777777" w:rsidR="004B1A63" w:rsidRDefault="004B1A63" w:rsidP="00A16B61">
            <w:pPr>
              <w:pStyle w:val="TabellHode-rad"/>
            </w:pPr>
            <w:r>
              <w:t>Eidsiva bredbånd</w:t>
            </w:r>
          </w:p>
        </w:tc>
        <w:tc>
          <w:tcPr>
            <w:tcW w:w="482" w:type="dxa"/>
          </w:tcPr>
          <w:p w14:paraId="24AA248F" w14:textId="42E43190" w:rsidR="004B1A63" w:rsidRDefault="004B1A63" w:rsidP="00A16B61">
            <w:pPr>
              <w:jc w:val="center"/>
            </w:pPr>
          </w:p>
        </w:tc>
        <w:tc>
          <w:tcPr>
            <w:tcW w:w="482" w:type="dxa"/>
          </w:tcPr>
          <w:p w14:paraId="2E49563F" w14:textId="77777777" w:rsidR="004B1A63" w:rsidRDefault="004B1A63" w:rsidP="00A16B61">
            <w:pPr>
              <w:jc w:val="center"/>
            </w:pPr>
            <w:r>
              <w:t>X</w:t>
            </w:r>
          </w:p>
        </w:tc>
        <w:tc>
          <w:tcPr>
            <w:tcW w:w="482" w:type="dxa"/>
          </w:tcPr>
          <w:p w14:paraId="4E7E6FA0" w14:textId="474E4185" w:rsidR="004B1A63" w:rsidRDefault="004B1A63" w:rsidP="00A16B61">
            <w:pPr>
              <w:jc w:val="center"/>
            </w:pPr>
          </w:p>
        </w:tc>
        <w:tc>
          <w:tcPr>
            <w:tcW w:w="709" w:type="dxa"/>
          </w:tcPr>
          <w:p w14:paraId="638D2491" w14:textId="20346DD9" w:rsidR="004B1A63" w:rsidRDefault="004B1A63" w:rsidP="00A16B61">
            <w:pPr>
              <w:jc w:val="center"/>
            </w:pPr>
          </w:p>
        </w:tc>
        <w:tc>
          <w:tcPr>
            <w:tcW w:w="482" w:type="dxa"/>
          </w:tcPr>
          <w:p w14:paraId="38C0A78B" w14:textId="77777777" w:rsidR="004B1A63" w:rsidRDefault="004B1A63" w:rsidP="00A16B61">
            <w:pPr>
              <w:jc w:val="center"/>
            </w:pPr>
            <w:r>
              <w:t>X</w:t>
            </w:r>
          </w:p>
        </w:tc>
        <w:tc>
          <w:tcPr>
            <w:tcW w:w="708" w:type="dxa"/>
          </w:tcPr>
          <w:p w14:paraId="51E8434E" w14:textId="1666F234" w:rsidR="004B1A63" w:rsidRDefault="004B1A63" w:rsidP="00A16B61">
            <w:pPr>
              <w:jc w:val="center"/>
            </w:pPr>
          </w:p>
        </w:tc>
        <w:tc>
          <w:tcPr>
            <w:tcW w:w="482" w:type="dxa"/>
          </w:tcPr>
          <w:p w14:paraId="566AEFEF" w14:textId="77777777" w:rsidR="004B1A63" w:rsidRDefault="004B1A63" w:rsidP="00A16B61">
            <w:pPr>
              <w:jc w:val="center"/>
              <w:rPr>
                <w:rFonts w:ascii="OpenSans-Italic" w:hAnsi="OpenSans-Italic"/>
              </w:rPr>
            </w:pPr>
          </w:p>
        </w:tc>
        <w:tc>
          <w:tcPr>
            <w:tcW w:w="482" w:type="dxa"/>
          </w:tcPr>
          <w:p w14:paraId="5F83938A" w14:textId="06667C9A" w:rsidR="004B1A63" w:rsidRDefault="004B1A63" w:rsidP="00A16B61">
            <w:pPr>
              <w:jc w:val="center"/>
            </w:pPr>
          </w:p>
        </w:tc>
        <w:tc>
          <w:tcPr>
            <w:tcW w:w="482" w:type="dxa"/>
          </w:tcPr>
          <w:p w14:paraId="55C00EAA" w14:textId="24C6CCE7" w:rsidR="004B1A63" w:rsidRDefault="004B1A63" w:rsidP="00A16B61">
            <w:pPr>
              <w:jc w:val="center"/>
            </w:pPr>
          </w:p>
        </w:tc>
      </w:tr>
      <w:tr w:rsidR="00C26A9D" w14:paraId="6F58B757" w14:textId="77777777" w:rsidTr="00E5635F">
        <w:trPr>
          <w:trHeight w:val="311"/>
        </w:trPr>
        <w:tc>
          <w:tcPr>
            <w:tcW w:w="3146" w:type="dxa"/>
          </w:tcPr>
          <w:p w14:paraId="3C14FB21" w14:textId="77777777" w:rsidR="004B1A63" w:rsidRDefault="004B1A63" w:rsidP="00A16B61">
            <w:pPr>
              <w:pStyle w:val="TabellHode-rad"/>
            </w:pPr>
            <w:r>
              <w:t xml:space="preserve">Eviny Digital </w:t>
            </w:r>
          </w:p>
        </w:tc>
        <w:tc>
          <w:tcPr>
            <w:tcW w:w="482" w:type="dxa"/>
          </w:tcPr>
          <w:p w14:paraId="0BF2F43D" w14:textId="79AF9328" w:rsidR="004B1A63" w:rsidRDefault="004B1A63" w:rsidP="00A16B61">
            <w:pPr>
              <w:jc w:val="center"/>
            </w:pPr>
          </w:p>
        </w:tc>
        <w:tc>
          <w:tcPr>
            <w:tcW w:w="482" w:type="dxa"/>
          </w:tcPr>
          <w:p w14:paraId="02907412" w14:textId="77777777" w:rsidR="004B1A63" w:rsidRDefault="004B1A63" w:rsidP="00A16B61">
            <w:pPr>
              <w:jc w:val="center"/>
            </w:pPr>
            <w:r>
              <w:t>X</w:t>
            </w:r>
          </w:p>
        </w:tc>
        <w:tc>
          <w:tcPr>
            <w:tcW w:w="482" w:type="dxa"/>
          </w:tcPr>
          <w:p w14:paraId="7AC19AF2" w14:textId="77777777" w:rsidR="004B1A63" w:rsidRDefault="004B1A63" w:rsidP="00A16B61">
            <w:pPr>
              <w:jc w:val="center"/>
            </w:pPr>
            <w:r>
              <w:t>X</w:t>
            </w:r>
          </w:p>
        </w:tc>
        <w:tc>
          <w:tcPr>
            <w:tcW w:w="709" w:type="dxa"/>
          </w:tcPr>
          <w:p w14:paraId="70622FE6" w14:textId="5FAD4C2E" w:rsidR="004B1A63" w:rsidRDefault="004B1A63" w:rsidP="00A16B61">
            <w:pPr>
              <w:jc w:val="center"/>
            </w:pPr>
          </w:p>
        </w:tc>
        <w:tc>
          <w:tcPr>
            <w:tcW w:w="482" w:type="dxa"/>
          </w:tcPr>
          <w:p w14:paraId="01D47063" w14:textId="16507B39" w:rsidR="004B1A63" w:rsidRDefault="004B1A63" w:rsidP="00A16B61">
            <w:pPr>
              <w:jc w:val="center"/>
            </w:pPr>
          </w:p>
        </w:tc>
        <w:tc>
          <w:tcPr>
            <w:tcW w:w="708" w:type="dxa"/>
          </w:tcPr>
          <w:p w14:paraId="4DE833BF" w14:textId="2893EC83" w:rsidR="004B1A63" w:rsidRDefault="004B1A63" w:rsidP="00A16B61">
            <w:pPr>
              <w:jc w:val="center"/>
            </w:pPr>
          </w:p>
        </w:tc>
        <w:tc>
          <w:tcPr>
            <w:tcW w:w="482" w:type="dxa"/>
          </w:tcPr>
          <w:p w14:paraId="6015FF8D" w14:textId="4DE516E9" w:rsidR="004B1A63" w:rsidRDefault="004B1A63" w:rsidP="00A16B61">
            <w:pPr>
              <w:jc w:val="center"/>
            </w:pPr>
          </w:p>
        </w:tc>
        <w:tc>
          <w:tcPr>
            <w:tcW w:w="482" w:type="dxa"/>
          </w:tcPr>
          <w:p w14:paraId="46F9BAE9" w14:textId="68ACC0C2" w:rsidR="004B1A63" w:rsidRDefault="004B1A63" w:rsidP="00A16B61">
            <w:pPr>
              <w:jc w:val="center"/>
            </w:pPr>
          </w:p>
        </w:tc>
        <w:tc>
          <w:tcPr>
            <w:tcW w:w="482" w:type="dxa"/>
          </w:tcPr>
          <w:p w14:paraId="75844BB1" w14:textId="466BC3B1" w:rsidR="004B1A63" w:rsidRDefault="004B1A63" w:rsidP="00A16B61">
            <w:pPr>
              <w:jc w:val="center"/>
            </w:pPr>
          </w:p>
        </w:tc>
      </w:tr>
      <w:tr w:rsidR="00C26A9D" w14:paraId="3E001785" w14:textId="77777777" w:rsidTr="00E5635F">
        <w:trPr>
          <w:trHeight w:val="311"/>
        </w:trPr>
        <w:tc>
          <w:tcPr>
            <w:tcW w:w="3146" w:type="dxa"/>
          </w:tcPr>
          <w:p w14:paraId="397E7021" w14:textId="77777777" w:rsidR="004B1A63" w:rsidRDefault="004B1A63" w:rsidP="00A16B61">
            <w:pPr>
              <w:pStyle w:val="TabellHode-rad"/>
            </w:pPr>
            <w:r>
              <w:t>NTE Telekom</w:t>
            </w:r>
          </w:p>
        </w:tc>
        <w:tc>
          <w:tcPr>
            <w:tcW w:w="482" w:type="dxa"/>
          </w:tcPr>
          <w:p w14:paraId="42A06EA4" w14:textId="2F3F48C0" w:rsidR="004B1A63" w:rsidRDefault="004B1A63" w:rsidP="00A16B61">
            <w:pPr>
              <w:jc w:val="center"/>
            </w:pPr>
          </w:p>
        </w:tc>
        <w:tc>
          <w:tcPr>
            <w:tcW w:w="482" w:type="dxa"/>
          </w:tcPr>
          <w:p w14:paraId="1FC15C73" w14:textId="77777777" w:rsidR="004B1A63" w:rsidRDefault="004B1A63" w:rsidP="00A16B61">
            <w:pPr>
              <w:jc w:val="center"/>
            </w:pPr>
            <w:r>
              <w:t>X</w:t>
            </w:r>
          </w:p>
        </w:tc>
        <w:tc>
          <w:tcPr>
            <w:tcW w:w="482" w:type="dxa"/>
          </w:tcPr>
          <w:p w14:paraId="58047D92" w14:textId="77777777" w:rsidR="004B1A63" w:rsidRDefault="004B1A63" w:rsidP="00A16B61">
            <w:pPr>
              <w:jc w:val="center"/>
            </w:pPr>
            <w:r>
              <w:t>X</w:t>
            </w:r>
          </w:p>
        </w:tc>
        <w:tc>
          <w:tcPr>
            <w:tcW w:w="709" w:type="dxa"/>
          </w:tcPr>
          <w:p w14:paraId="3F52230E" w14:textId="29D6B35C" w:rsidR="004B1A63" w:rsidRDefault="004B1A63" w:rsidP="00A16B61">
            <w:pPr>
              <w:jc w:val="center"/>
            </w:pPr>
          </w:p>
        </w:tc>
        <w:tc>
          <w:tcPr>
            <w:tcW w:w="482" w:type="dxa"/>
          </w:tcPr>
          <w:p w14:paraId="4D17A1D5" w14:textId="2CABA072" w:rsidR="004B1A63" w:rsidRDefault="004B1A63" w:rsidP="00A16B61">
            <w:pPr>
              <w:jc w:val="center"/>
            </w:pPr>
          </w:p>
        </w:tc>
        <w:tc>
          <w:tcPr>
            <w:tcW w:w="708" w:type="dxa"/>
          </w:tcPr>
          <w:p w14:paraId="1EA848BD" w14:textId="4F370EF4" w:rsidR="004B1A63" w:rsidRDefault="004B1A63" w:rsidP="00A16B61">
            <w:pPr>
              <w:jc w:val="center"/>
            </w:pPr>
          </w:p>
        </w:tc>
        <w:tc>
          <w:tcPr>
            <w:tcW w:w="482" w:type="dxa"/>
          </w:tcPr>
          <w:p w14:paraId="38FB44C4" w14:textId="0E4582CE" w:rsidR="004B1A63" w:rsidRDefault="004B1A63" w:rsidP="00A16B61">
            <w:pPr>
              <w:jc w:val="center"/>
            </w:pPr>
          </w:p>
        </w:tc>
        <w:tc>
          <w:tcPr>
            <w:tcW w:w="482" w:type="dxa"/>
          </w:tcPr>
          <w:p w14:paraId="1A89DF55" w14:textId="1BB7DC59" w:rsidR="004B1A63" w:rsidRDefault="004B1A63" w:rsidP="00A16B61">
            <w:pPr>
              <w:jc w:val="center"/>
            </w:pPr>
          </w:p>
        </w:tc>
        <w:tc>
          <w:tcPr>
            <w:tcW w:w="482" w:type="dxa"/>
          </w:tcPr>
          <w:p w14:paraId="36498856" w14:textId="778D0F0E" w:rsidR="004B1A63" w:rsidRDefault="004B1A63" w:rsidP="00A16B61">
            <w:pPr>
              <w:jc w:val="center"/>
            </w:pPr>
          </w:p>
        </w:tc>
      </w:tr>
      <w:tr w:rsidR="00C26A9D" w14:paraId="73E1AFF5" w14:textId="77777777" w:rsidTr="00E5635F">
        <w:trPr>
          <w:trHeight w:val="311"/>
        </w:trPr>
        <w:tc>
          <w:tcPr>
            <w:tcW w:w="3146" w:type="dxa"/>
          </w:tcPr>
          <w:p w14:paraId="24931FB6" w14:textId="77777777" w:rsidR="004B1A63" w:rsidRDefault="004B1A63" w:rsidP="00A16B61">
            <w:pPr>
              <w:pStyle w:val="TabellHode-rad"/>
            </w:pPr>
            <w:r>
              <w:t>Viken fiber</w:t>
            </w:r>
          </w:p>
        </w:tc>
        <w:tc>
          <w:tcPr>
            <w:tcW w:w="482" w:type="dxa"/>
          </w:tcPr>
          <w:p w14:paraId="3B344D27" w14:textId="79878C49" w:rsidR="004B1A63" w:rsidRDefault="004B1A63" w:rsidP="00A16B61">
            <w:pPr>
              <w:jc w:val="center"/>
            </w:pPr>
          </w:p>
        </w:tc>
        <w:tc>
          <w:tcPr>
            <w:tcW w:w="482" w:type="dxa"/>
          </w:tcPr>
          <w:p w14:paraId="6080A84F" w14:textId="77777777" w:rsidR="004B1A63" w:rsidRDefault="004B1A63" w:rsidP="00A16B61">
            <w:pPr>
              <w:jc w:val="center"/>
            </w:pPr>
            <w:r>
              <w:t>X</w:t>
            </w:r>
          </w:p>
        </w:tc>
        <w:tc>
          <w:tcPr>
            <w:tcW w:w="482" w:type="dxa"/>
          </w:tcPr>
          <w:p w14:paraId="42C5C20E" w14:textId="77777777" w:rsidR="004B1A63" w:rsidRDefault="004B1A63" w:rsidP="00A16B61">
            <w:pPr>
              <w:jc w:val="center"/>
            </w:pPr>
            <w:r>
              <w:t>X</w:t>
            </w:r>
          </w:p>
        </w:tc>
        <w:tc>
          <w:tcPr>
            <w:tcW w:w="709" w:type="dxa"/>
          </w:tcPr>
          <w:p w14:paraId="37B26762" w14:textId="601DC4A1" w:rsidR="004B1A63" w:rsidRDefault="004B1A63" w:rsidP="00A16B61">
            <w:pPr>
              <w:jc w:val="center"/>
            </w:pPr>
          </w:p>
        </w:tc>
        <w:tc>
          <w:tcPr>
            <w:tcW w:w="482" w:type="dxa"/>
          </w:tcPr>
          <w:p w14:paraId="5234DB57" w14:textId="710D34EB" w:rsidR="004B1A63" w:rsidRDefault="004B1A63" w:rsidP="00A16B61">
            <w:pPr>
              <w:jc w:val="center"/>
            </w:pPr>
          </w:p>
        </w:tc>
        <w:tc>
          <w:tcPr>
            <w:tcW w:w="708" w:type="dxa"/>
          </w:tcPr>
          <w:p w14:paraId="50CF700C" w14:textId="22B412CF" w:rsidR="004B1A63" w:rsidRDefault="004B1A63" w:rsidP="00A16B61">
            <w:pPr>
              <w:jc w:val="center"/>
            </w:pPr>
          </w:p>
        </w:tc>
        <w:tc>
          <w:tcPr>
            <w:tcW w:w="482" w:type="dxa"/>
          </w:tcPr>
          <w:p w14:paraId="410A5539" w14:textId="7142575A" w:rsidR="004B1A63" w:rsidRDefault="004B1A63" w:rsidP="00A16B61">
            <w:pPr>
              <w:jc w:val="center"/>
            </w:pPr>
          </w:p>
        </w:tc>
        <w:tc>
          <w:tcPr>
            <w:tcW w:w="482" w:type="dxa"/>
          </w:tcPr>
          <w:p w14:paraId="447455E1" w14:textId="191E14D4" w:rsidR="004B1A63" w:rsidRDefault="004B1A63" w:rsidP="00A16B61">
            <w:pPr>
              <w:jc w:val="center"/>
            </w:pPr>
          </w:p>
        </w:tc>
        <w:tc>
          <w:tcPr>
            <w:tcW w:w="482" w:type="dxa"/>
          </w:tcPr>
          <w:p w14:paraId="3E0F8157" w14:textId="3211C9AE" w:rsidR="004B1A63" w:rsidRDefault="004B1A63" w:rsidP="00A16B61">
            <w:pPr>
              <w:jc w:val="center"/>
            </w:pPr>
          </w:p>
        </w:tc>
      </w:tr>
      <w:tr w:rsidR="00C26A9D" w14:paraId="1F90885A" w14:textId="77777777" w:rsidTr="00E5635F">
        <w:trPr>
          <w:trHeight w:val="311"/>
        </w:trPr>
        <w:tc>
          <w:tcPr>
            <w:tcW w:w="3146" w:type="dxa"/>
          </w:tcPr>
          <w:p w14:paraId="3428438A" w14:textId="77777777" w:rsidR="004B1A63" w:rsidRDefault="004B1A63" w:rsidP="00A16B61">
            <w:pPr>
              <w:pStyle w:val="TabellHode-rad"/>
            </w:pPr>
            <w:r>
              <w:t>Bredbåndsfylket</w:t>
            </w:r>
          </w:p>
        </w:tc>
        <w:tc>
          <w:tcPr>
            <w:tcW w:w="482" w:type="dxa"/>
          </w:tcPr>
          <w:p w14:paraId="07B3D097" w14:textId="6F72E8AE" w:rsidR="004B1A63" w:rsidRDefault="004B1A63" w:rsidP="00A16B61">
            <w:pPr>
              <w:jc w:val="center"/>
            </w:pPr>
          </w:p>
        </w:tc>
        <w:tc>
          <w:tcPr>
            <w:tcW w:w="482" w:type="dxa"/>
          </w:tcPr>
          <w:p w14:paraId="1855E0F6" w14:textId="77777777" w:rsidR="004B1A63" w:rsidRDefault="004B1A63" w:rsidP="00A16B61">
            <w:pPr>
              <w:jc w:val="center"/>
            </w:pPr>
            <w:r>
              <w:t>X</w:t>
            </w:r>
          </w:p>
        </w:tc>
        <w:tc>
          <w:tcPr>
            <w:tcW w:w="482" w:type="dxa"/>
          </w:tcPr>
          <w:p w14:paraId="31A4085F" w14:textId="26555E90" w:rsidR="004B1A63" w:rsidRDefault="004B1A63" w:rsidP="00A16B61">
            <w:pPr>
              <w:jc w:val="center"/>
            </w:pPr>
            <w:r>
              <w:t>X</w:t>
            </w:r>
          </w:p>
        </w:tc>
        <w:tc>
          <w:tcPr>
            <w:tcW w:w="709" w:type="dxa"/>
          </w:tcPr>
          <w:p w14:paraId="7CE1F787" w14:textId="34197DD3" w:rsidR="004B1A63" w:rsidRDefault="004B1A63" w:rsidP="00A16B61">
            <w:pPr>
              <w:jc w:val="center"/>
            </w:pPr>
            <w:r>
              <w:t>X</w:t>
            </w:r>
          </w:p>
        </w:tc>
        <w:tc>
          <w:tcPr>
            <w:tcW w:w="482" w:type="dxa"/>
          </w:tcPr>
          <w:p w14:paraId="03E20024" w14:textId="50FCD461" w:rsidR="004B1A63" w:rsidRDefault="004B1A63" w:rsidP="00A16B61">
            <w:pPr>
              <w:jc w:val="center"/>
            </w:pPr>
          </w:p>
        </w:tc>
        <w:tc>
          <w:tcPr>
            <w:tcW w:w="708" w:type="dxa"/>
          </w:tcPr>
          <w:p w14:paraId="102C0F91" w14:textId="0E6C6715" w:rsidR="004B1A63" w:rsidRDefault="004B1A63" w:rsidP="00A16B61">
            <w:pPr>
              <w:jc w:val="center"/>
            </w:pPr>
          </w:p>
        </w:tc>
        <w:tc>
          <w:tcPr>
            <w:tcW w:w="482" w:type="dxa"/>
          </w:tcPr>
          <w:p w14:paraId="055DE0C8" w14:textId="6FBB3BEF" w:rsidR="004B1A63" w:rsidRDefault="004B1A63" w:rsidP="00A16B61">
            <w:pPr>
              <w:jc w:val="center"/>
            </w:pPr>
          </w:p>
        </w:tc>
        <w:tc>
          <w:tcPr>
            <w:tcW w:w="482" w:type="dxa"/>
          </w:tcPr>
          <w:p w14:paraId="7D85077C" w14:textId="7CF73F93" w:rsidR="004B1A63" w:rsidRDefault="004B1A63" w:rsidP="00A16B61">
            <w:pPr>
              <w:jc w:val="center"/>
            </w:pPr>
          </w:p>
        </w:tc>
        <w:tc>
          <w:tcPr>
            <w:tcW w:w="482" w:type="dxa"/>
          </w:tcPr>
          <w:p w14:paraId="737D0E0A" w14:textId="344EDF11" w:rsidR="004B1A63" w:rsidRDefault="004B1A63" w:rsidP="00A16B61">
            <w:pPr>
              <w:jc w:val="center"/>
            </w:pPr>
          </w:p>
        </w:tc>
      </w:tr>
      <w:tr w:rsidR="00C26A9D" w14:paraId="0F5A090D" w14:textId="77777777" w:rsidTr="00E5635F">
        <w:trPr>
          <w:trHeight w:val="311"/>
        </w:trPr>
        <w:tc>
          <w:tcPr>
            <w:tcW w:w="3146" w:type="dxa"/>
          </w:tcPr>
          <w:p w14:paraId="06CB9BC5" w14:textId="77777777" w:rsidR="004B1A63" w:rsidRDefault="004B1A63" w:rsidP="00A16B61">
            <w:pPr>
              <w:pStyle w:val="TabellHode-rad"/>
            </w:pPr>
            <w:r>
              <w:t>Ishavslink</w:t>
            </w:r>
          </w:p>
        </w:tc>
        <w:tc>
          <w:tcPr>
            <w:tcW w:w="482" w:type="dxa"/>
          </w:tcPr>
          <w:p w14:paraId="4C239B73" w14:textId="50D061F9" w:rsidR="004B1A63" w:rsidRDefault="004B1A63" w:rsidP="00A16B61">
            <w:pPr>
              <w:jc w:val="center"/>
            </w:pPr>
          </w:p>
        </w:tc>
        <w:tc>
          <w:tcPr>
            <w:tcW w:w="482" w:type="dxa"/>
          </w:tcPr>
          <w:p w14:paraId="0D0F5E2D" w14:textId="77777777" w:rsidR="004B1A63" w:rsidRDefault="004B1A63" w:rsidP="00A16B61">
            <w:pPr>
              <w:jc w:val="center"/>
            </w:pPr>
            <w:r>
              <w:t>X</w:t>
            </w:r>
          </w:p>
        </w:tc>
        <w:tc>
          <w:tcPr>
            <w:tcW w:w="482" w:type="dxa"/>
          </w:tcPr>
          <w:p w14:paraId="219C9E32" w14:textId="654B5C48" w:rsidR="004B1A63" w:rsidRDefault="004B1A63" w:rsidP="00A16B61">
            <w:pPr>
              <w:jc w:val="center"/>
            </w:pPr>
          </w:p>
        </w:tc>
        <w:tc>
          <w:tcPr>
            <w:tcW w:w="709" w:type="dxa"/>
          </w:tcPr>
          <w:p w14:paraId="106DA056" w14:textId="1720134C" w:rsidR="004B1A63" w:rsidRDefault="004B1A63" w:rsidP="00A16B61">
            <w:pPr>
              <w:jc w:val="center"/>
            </w:pPr>
          </w:p>
        </w:tc>
        <w:tc>
          <w:tcPr>
            <w:tcW w:w="482" w:type="dxa"/>
          </w:tcPr>
          <w:p w14:paraId="58ACB13F" w14:textId="4490F59E" w:rsidR="004B1A63" w:rsidRDefault="004B1A63" w:rsidP="00A16B61">
            <w:pPr>
              <w:jc w:val="center"/>
            </w:pPr>
          </w:p>
        </w:tc>
        <w:tc>
          <w:tcPr>
            <w:tcW w:w="708" w:type="dxa"/>
          </w:tcPr>
          <w:p w14:paraId="7418ABF4" w14:textId="082B9248" w:rsidR="004B1A63" w:rsidRDefault="004B1A63" w:rsidP="00A16B61">
            <w:pPr>
              <w:jc w:val="center"/>
            </w:pPr>
          </w:p>
        </w:tc>
        <w:tc>
          <w:tcPr>
            <w:tcW w:w="482" w:type="dxa"/>
          </w:tcPr>
          <w:p w14:paraId="7189A952" w14:textId="0A978C82" w:rsidR="004B1A63" w:rsidRDefault="004B1A63" w:rsidP="00A16B61">
            <w:pPr>
              <w:jc w:val="center"/>
            </w:pPr>
          </w:p>
        </w:tc>
        <w:tc>
          <w:tcPr>
            <w:tcW w:w="482" w:type="dxa"/>
          </w:tcPr>
          <w:p w14:paraId="4931AE64" w14:textId="72F5FB1D" w:rsidR="004B1A63" w:rsidRDefault="004B1A63" w:rsidP="00A16B61">
            <w:pPr>
              <w:jc w:val="center"/>
            </w:pPr>
          </w:p>
        </w:tc>
        <w:tc>
          <w:tcPr>
            <w:tcW w:w="482" w:type="dxa"/>
          </w:tcPr>
          <w:p w14:paraId="11FC190F" w14:textId="61AF87F6" w:rsidR="004B1A63" w:rsidRDefault="004B1A63" w:rsidP="00A16B61">
            <w:pPr>
              <w:jc w:val="center"/>
            </w:pPr>
          </w:p>
        </w:tc>
      </w:tr>
      <w:tr w:rsidR="00C26A9D" w14:paraId="5C51F350" w14:textId="77777777" w:rsidTr="00E5635F">
        <w:trPr>
          <w:trHeight w:hRule="exact" w:val="357"/>
        </w:trPr>
        <w:tc>
          <w:tcPr>
            <w:tcW w:w="7937" w:type="dxa"/>
            <w:gridSpan w:val="10"/>
          </w:tcPr>
          <w:p w14:paraId="0C19FED5" w14:textId="77777777" w:rsidR="004B1A63" w:rsidRDefault="004B1A63" w:rsidP="00A16B61">
            <w:pPr>
              <w:jc w:val="center"/>
              <w:rPr>
                <w:rFonts w:ascii="OpenSans-Italic" w:hAnsi="OpenSans-Italic"/>
              </w:rPr>
            </w:pPr>
          </w:p>
        </w:tc>
      </w:tr>
      <w:tr w:rsidR="00C26A9D" w14:paraId="6B56B998" w14:textId="77777777" w:rsidTr="00E5635F">
        <w:trPr>
          <w:trHeight w:val="311"/>
        </w:trPr>
        <w:tc>
          <w:tcPr>
            <w:tcW w:w="3146" w:type="dxa"/>
          </w:tcPr>
          <w:p w14:paraId="4EF03E45" w14:textId="77777777" w:rsidR="004B1A63" w:rsidRDefault="004B1A63" w:rsidP="00A16B61">
            <w:pPr>
              <w:pStyle w:val="TabellHode-rad"/>
            </w:pPr>
            <w:r>
              <w:t>Bulk Infrastructure Holding</w:t>
            </w:r>
          </w:p>
        </w:tc>
        <w:tc>
          <w:tcPr>
            <w:tcW w:w="482" w:type="dxa"/>
          </w:tcPr>
          <w:p w14:paraId="7191C0B8" w14:textId="25FFCF19" w:rsidR="004B1A63" w:rsidRDefault="004B1A63" w:rsidP="00A16B61">
            <w:pPr>
              <w:jc w:val="center"/>
            </w:pPr>
          </w:p>
        </w:tc>
        <w:tc>
          <w:tcPr>
            <w:tcW w:w="482" w:type="dxa"/>
          </w:tcPr>
          <w:p w14:paraId="7F9B4302" w14:textId="61B8A6AE" w:rsidR="004B1A63" w:rsidRDefault="004B1A63" w:rsidP="00A16B61">
            <w:pPr>
              <w:jc w:val="center"/>
            </w:pPr>
          </w:p>
        </w:tc>
        <w:tc>
          <w:tcPr>
            <w:tcW w:w="482" w:type="dxa"/>
          </w:tcPr>
          <w:p w14:paraId="0266A0C9" w14:textId="77777777" w:rsidR="004B1A63" w:rsidRDefault="004B1A63" w:rsidP="00A16B61">
            <w:pPr>
              <w:jc w:val="center"/>
            </w:pPr>
            <w:r>
              <w:t>X</w:t>
            </w:r>
          </w:p>
        </w:tc>
        <w:tc>
          <w:tcPr>
            <w:tcW w:w="709" w:type="dxa"/>
          </w:tcPr>
          <w:p w14:paraId="3632F8A4" w14:textId="77777777" w:rsidR="004B1A63" w:rsidRDefault="004B1A63" w:rsidP="00A16B61">
            <w:pPr>
              <w:jc w:val="center"/>
            </w:pPr>
            <w:r>
              <w:t>X</w:t>
            </w:r>
          </w:p>
        </w:tc>
        <w:tc>
          <w:tcPr>
            <w:tcW w:w="482" w:type="dxa"/>
          </w:tcPr>
          <w:p w14:paraId="5C797934" w14:textId="77777777" w:rsidR="004B1A63" w:rsidRDefault="004B1A63" w:rsidP="00A16B61">
            <w:pPr>
              <w:jc w:val="center"/>
            </w:pPr>
            <w:r>
              <w:t>X</w:t>
            </w:r>
          </w:p>
        </w:tc>
        <w:tc>
          <w:tcPr>
            <w:tcW w:w="708" w:type="dxa"/>
          </w:tcPr>
          <w:p w14:paraId="3B2BB7A0" w14:textId="03DF4EAF" w:rsidR="004B1A63" w:rsidRDefault="004B1A63" w:rsidP="00A16B61">
            <w:pPr>
              <w:jc w:val="center"/>
            </w:pPr>
          </w:p>
        </w:tc>
        <w:tc>
          <w:tcPr>
            <w:tcW w:w="482" w:type="dxa"/>
          </w:tcPr>
          <w:p w14:paraId="17305902" w14:textId="28DA5183" w:rsidR="004B1A63" w:rsidRDefault="004B1A63" w:rsidP="00A16B61">
            <w:pPr>
              <w:jc w:val="center"/>
            </w:pPr>
          </w:p>
        </w:tc>
        <w:tc>
          <w:tcPr>
            <w:tcW w:w="482" w:type="dxa"/>
          </w:tcPr>
          <w:p w14:paraId="34D35A13" w14:textId="5A75E26F" w:rsidR="004B1A63" w:rsidRDefault="004B1A63" w:rsidP="00A16B61">
            <w:pPr>
              <w:jc w:val="center"/>
            </w:pPr>
          </w:p>
        </w:tc>
        <w:tc>
          <w:tcPr>
            <w:tcW w:w="482" w:type="dxa"/>
          </w:tcPr>
          <w:p w14:paraId="2B335528" w14:textId="77777777" w:rsidR="004B1A63" w:rsidRDefault="004B1A63" w:rsidP="00A16B61">
            <w:pPr>
              <w:jc w:val="center"/>
            </w:pPr>
            <w:r>
              <w:t>X</w:t>
            </w:r>
          </w:p>
        </w:tc>
      </w:tr>
      <w:tr w:rsidR="00C26A9D" w14:paraId="63E780A5" w14:textId="77777777" w:rsidTr="00E5635F">
        <w:trPr>
          <w:trHeight w:val="311"/>
        </w:trPr>
        <w:tc>
          <w:tcPr>
            <w:tcW w:w="3146" w:type="dxa"/>
          </w:tcPr>
          <w:p w14:paraId="791AE2CB" w14:textId="77777777" w:rsidR="004B1A63" w:rsidRDefault="004B1A63" w:rsidP="00A16B61">
            <w:pPr>
              <w:pStyle w:val="TabellHode-rad"/>
            </w:pPr>
            <w:r>
              <w:t>Kyst Tele</w:t>
            </w:r>
          </w:p>
        </w:tc>
        <w:tc>
          <w:tcPr>
            <w:tcW w:w="482" w:type="dxa"/>
          </w:tcPr>
          <w:p w14:paraId="177B7937" w14:textId="777C9FFA" w:rsidR="004B1A63" w:rsidRDefault="004B1A63" w:rsidP="00A16B61">
            <w:pPr>
              <w:jc w:val="center"/>
            </w:pPr>
          </w:p>
        </w:tc>
        <w:tc>
          <w:tcPr>
            <w:tcW w:w="482" w:type="dxa"/>
          </w:tcPr>
          <w:p w14:paraId="76E5E302" w14:textId="031229FE" w:rsidR="004B1A63" w:rsidRDefault="004B1A63" w:rsidP="00A16B61">
            <w:pPr>
              <w:jc w:val="center"/>
            </w:pPr>
          </w:p>
        </w:tc>
        <w:tc>
          <w:tcPr>
            <w:tcW w:w="482" w:type="dxa"/>
          </w:tcPr>
          <w:p w14:paraId="6C42AE1F" w14:textId="77777777" w:rsidR="004B1A63" w:rsidRDefault="004B1A63" w:rsidP="00A16B61">
            <w:pPr>
              <w:jc w:val="center"/>
            </w:pPr>
            <w:r>
              <w:t>X</w:t>
            </w:r>
          </w:p>
        </w:tc>
        <w:tc>
          <w:tcPr>
            <w:tcW w:w="709" w:type="dxa"/>
          </w:tcPr>
          <w:p w14:paraId="551ED8C4" w14:textId="6AE1A59A" w:rsidR="004B1A63" w:rsidRDefault="004B1A63" w:rsidP="00A16B61">
            <w:pPr>
              <w:jc w:val="center"/>
            </w:pPr>
          </w:p>
        </w:tc>
        <w:tc>
          <w:tcPr>
            <w:tcW w:w="482" w:type="dxa"/>
          </w:tcPr>
          <w:p w14:paraId="1B6EBAA3" w14:textId="6D9AE4DA" w:rsidR="004B1A63" w:rsidRDefault="004B1A63" w:rsidP="00A16B61">
            <w:pPr>
              <w:jc w:val="center"/>
            </w:pPr>
          </w:p>
        </w:tc>
        <w:tc>
          <w:tcPr>
            <w:tcW w:w="708" w:type="dxa"/>
          </w:tcPr>
          <w:p w14:paraId="01FAB41E" w14:textId="6A4A834B" w:rsidR="004B1A63" w:rsidRDefault="004B1A63" w:rsidP="00A16B61">
            <w:pPr>
              <w:jc w:val="center"/>
            </w:pPr>
          </w:p>
        </w:tc>
        <w:tc>
          <w:tcPr>
            <w:tcW w:w="482" w:type="dxa"/>
          </w:tcPr>
          <w:p w14:paraId="09DC9F85" w14:textId="479BB714" w:rsidR="004B1A63" w:rsidRDefault="004B1A63" w:rsidP="00A16B61">
            <w:pPr>
              <w:jc w:val="center"/>
            </w:pPr>
          </w:p>
        </w:tc>
        <w:tc>
          <w:tcPr>
            <w:tcW w:w="482" w:type="dxa"/>
          </w:tcPr>
          <w:p w14:paraId="6FE062C5" w14:textId="3BCB4425" w:rsidR="004B1A63" w:rsidRDefault="004B1A63" w:rsidP="00A16B61">
            <w:pPr>
              <w:jc w:val="center"/>
            </w:pPr>
          </w:p>
        </w:tc>
        <w:tc>
          <w:tcPr>
            <w:tcW w:w="482" w:type="dxa"/>
          </w:tcPr>
          <w:p w14:paraId="0E3A0BE8" w14:textId="00021D08" w:rsidR="004B1A63" w:rsidRDefault="004B1A63" w:rsidP="00A16B61">
            <w:pPr>
              <w:jc w:val="center"/>
            </w:pPr>
          </w:p>
        </w:tc>
      </w:tr>
      <w:tr w:rsidR="00C26A9D" w14:paraId="67763144" w14:textId="77777777" w:rsidTr="00E5635F">
        <w:trPr>
          <w:trHeight w:val="311"/>
        </w:trPr>
        <w:tc>
          <w:tcPr>
            <w:tcW w:w="3146" w:type="dxa"/>
          </w:tcPr>
          <w:p w14:paraId="433F3114" w14:textId="77777777" w:rsidR="004B1A63" w:rsidRDefault="004B1A63" w:rsidP="00A16B61">
            <w:pPr>
              <w:pStyle w:val="TabellHode-rad"/>
            </w:pPr>
            <w:r>
              <w:t>N0r5ke Fibre</w:t>
            </w:r>
          </w:p>
        </w:tc>
        <w:tc>
          <w:tcPr>
            <w:tcW w:w="482" w:type="dxa"/>
          </w:tcPr>
          <w:p w14:paraId="6A4A9EC2" w14:textId="6C206A5C" w:rsidR="004B1A63" w:rsidRDefault="004B1A63" w:rsidP="00A16B61">
            <w:pPr>
              <w:jc w:val="center"/>
            </w:pPr>
          </w:p>
        </w:tc>
        <w:tc>
          <w:tcPr>
            <w:tcW w:w="482" w:type="dxa"/>
          </w:tcPr>
          <w:p w14:paraId="4BB97827" w14:textId="329D3CF1" w:rsidR="004B1A63" w:rsidRDefault="004B1A63" w:rsidP="00A16B61">
            <w:pPr>
              <w:jc w:val="center"/>
            </w:pPr>
          </w:p>
        </w:tc>
        <w:tc>
          <w:tcPr>
            <w:tcW w:w="482" w:type="dxa"/>
          </w:tcPr>
          <w:p w14:paraId="25435DCA" w14:textId="77777777" w:rsidR="004B1A63" w:rsidRDefault="004B1A63" w:rsidP="00A16B61">
            <w:pPr>
              <w:jc w:val="center"/>
            </w:pPr>
            <w:r>
              <w:t>X</w:t>
            </w:r>
          </w:p>
        </w:tc>
        <w:tc>
          <w:tcPr>
            <w:tcW w:w="709" w:type="dxa"/>
          </w:tcPr>
          <w:p w14:paraId="2471DE42" w14:textId="5537B201" w:rsidR="004B1A63" w:rsidRDefault="004B1A63" w:rsidP="00A16B61">
            <w:pPr>
              <w:jc w:val="center"/>
            </w:pPr>
          </w:p>
        </w:tc>
        <w:tc>
          <w:tcPr>
            <w:tcW w:w="482" w:type="dxa"/>
          </w:tcPr>
          <w:p w14:paraId="3F685594" w14:textId="54B4C301" w:rsidR="004B1A63" w:rsidRDefault="004B1A63" w:rsidP="00A16B61">
            <w:pPr>
              <w:jc w:val="center"/>
            </w:pPr>
          </w:p>
        </w:tc>
        <w:tc>
          <w:tcPr>
            <w:tcW w:w="708" w:type="dxa"/>
          </w:tcPr>
          <w:p w14:paraId="20A7F32C" w14:textId="35A9D3C2" w:rsidR="004B1A63" w:rsidRDefault="004B1A63" w:rsidP="00A16B61">
            <w:pPr>
              <w:jc w:val="center"/>
            </w:pPr>
          </w:p>
        </w:tc>
        <w:tc>
          <w:tcPr>
            <w:tcW w:w="482" w:type="dxa"/>
          </w:tcPr>
          <w:p w14:paraId="6628A1BE" w14:textId="4F2D7D83" w:rsidR="004B1A63" w:rsidRDefault="004B1A63" w:rsidP="00A16B61">
            <w:pPr>
              <w:jc w:val="center"/>
            </w:pPr>
          </w:p>
        </w:tc>
        <w:tc>
          <w:tcPr>
            <w:tcW w:w="482" w:type="dxa"/>
          </w:tcPr>
          <w:p w14:paraId="3FD1F028" w14:textId="1F34E1BC" w:rsidR="004B1A63" w:rsidRDefault="004B1A63" w:rsidP="00A16B61">
            <w:pPr>
              <w:jc w:val="center"/>
            </w:pPr>
          </w:p>
        </w:tc>
        <w:tc>
          <w:tcPr>
            <w:tcW w:w="482" w:type="dxa"/>
          </w:tcPr>
          <w:p w14:paraId="73F70B37" w14:textId="4AC4A64A" w:rsidR="004B1A63" w:rsidRDefault="004B1A63" w:rsidP="00A16B61">
            <w:pPr>
              <w:jc w:val="center"/>
            </w:pPr>
          </w:p>
        </w:tc>
      </w:tr>
      <w:tr w:rsidR="00C26A9D" w14:paraId="3869A39F" w14:textId="77777777" w:rsidTr="00E5635F">
        <w:trPr>
          <w:trHeight w:val="311"/>
        </w:trPr>
        <w:tc>
          <w:tcPr>
            <w:tcW w:w="3146" w:type="dxa"/>
          </w:tcPr>
          <w:p w14:paraId="3C4CFA4F" w14:textId="77777777" w:rsidR="004B1A63" w:rsidRDefault="004B1A63" w:rsidP="00A16B61">
            <w:pPr>
              <w:pStyle w:val="TabellHode-rad"/>
            </w:pPr>
            <w:r>
              <w:t>Tampnet</w:t>
            </w:r>
          </w:p>
        </w:tc>
        <w:tc>
          <w:tcPr>
            <w:tcW w:w="482" w:type="dxa"/>
          </w:tcPr>
          <w:p w14:paraId="702B8528" w14:textId="752C392D" w:rsidR="004B1A63" w:rsidRDefault="004B1A63" w:rsidP="00A16B61">
            <w:pPr>
              <w:jc w:val="center"/>
            </w:pPr>
          </w:p>
        </w:tc>
        <w:tc>
          <w:tcPr>
            <w:tcW w:w="482" w:type="dxa"/>
          </w:tcPr>
          <w:p w14:paraId="50A05547" w14:textId="3C9A5A73" w:rsidR="004B1A63" w:rsidRDefault="004B1A63" w:rsidP="00A16B61">
            <w:pPr>
              <w:jc w:val="center"/>
            </w:pPr>
          </w:p>
        </w:tc>
        <w:tc>
          <w:tcPr>
            <w:tcW w:w="482" w:type="dxa"/>
          </w:tcPr>
          <w:p w14:paraId="31F4677A" w14:textId="77777777" w:rsidR="004B1A63" w:rsidRDefault="004B1A63" w:rsidP="00A16B61">
            <w:pPr>
              <w:jc w:val="center"/>
            </w:pPr>
            <w:r>
              <w:t>X</w:t>
            </w:r>
          </w:p>
        </w:tc>
        <w:tc>
          <w:tcPr>
            <w:tcW w:w="709" w:type="dxa"/>
          </w:tcPr>
          <w:p w14:paraId="08326F44" w14:textId="77777777" w:rsidR="004B1A63" w:rsidRDefault="004B1A63" w:rsidP="00A16B61">
            <w:pPr>
              <w:jc w:val="center"/>
            </w:pPr>
            <w:r>
              <w:t>X</w:t>
            </w:r>
          </w:p>
        </w:tc>
        <w:tc>
          <w:tcPr>
            <w:tcW w:w="482" w:type="dxa"/>
          </w:tcPr>
          <w:p w14:paraId="11E3432C" w14:textId="088CC539" w:rsidR="004B1A63" w:rsidRDefault="004B1A63" w:rsidP="00A16B61">
            <w:pPr>
              <w:jc w:val="center"/>
            </w:pPr>
          </w:p>
        </w:tc>
        <w:tc>
          <w:tcPr>
            <w:tcW w:w="708" w:type="dxa"/>
          </w:tcPr>
          <w:p w14:paraId="56949CB1" w14:textId="1B76CE36" w:rsidR="004B1A63" w:rsidRDefault="004B1A63" w:rsidP="00A16B61">
            <w:pPr>
              <w:jc w:val="center"/>
            </w:pPr>
          </w:p>
        </w:tc>
        <w:tc>
          <w:tcPr>
            <w:tcW w:w="482" w:type="dxa"/>
          </w:tcPr>
          <w:p w14:paraId="1E4C0480" w14:textId="37D1B16E" w:rsidR="004B1A63" w:rsidRDefault="004B1A63" w:rsidP="00A16B61">
            <w:pPr>
              <w:jc w:val="center"/>
            </w:pPr>
          </w:p>
        </w:tc>
        <w:tc>
          <w:tcPr>
            <w:tcW w:w="482" w:type="dxa"/>
          </w:tcPr>
          <w:p w14:paraId="65555FF0" w14:textId="02908B34" w:rsidR="004B1A63" w:rsidRDefault="004B1A63" w:rsidP="00A16B61">
            <w:pPr>
              <w:jc w:val="center"/>
            </w:pPr>
          </w:p>
        </w:tc>
        <w:tc>
          <w:tcPr>
            <w:tcW w:w="482" w:type="dxa"/>
          </w:tcPr>
          <w:p w14:paraId="174E784B" w14:textId="7E38ECE1" w:rsidR="004B1A63" w:rsidRDefault="004B1A63" w:rsidP="00A16B61">
            <w:pPr>
              <w:jc w:val="center"/>
            </w:pPr>
          </w:p>
        </w:tc>
      </w:tr>
      <w:tr w:rsidR="00C26A9D" w14:paraId="67FADA30" w14:textId="77777777" w:rsidTr="00E5635F">
        <w:trPr>
          <w:trHeight w:val="311"/>
        </w:trPr>
        <w:tc>
          <w:tcPr>
            <w:tcW w:w="3146" w:type="dxa"/>
          </w:tcPr>
          <w:p w14:paraId="47B6E473" w14:textId="77777777" w:rsidR="004B1A63" w:rsidRDefault="004B1A63" w:rsidP="00A16B61">
            <w:pPr>
              <w:pStyle w:val="TabellHode-rad"/>
            </w:pPr>
            <w:r>
              <w:t>Stamfiber</w:t>
            </w:r>
          </w:p>
        </w:tc>
        <w:tc>
          <w:tcPr>
            <w:tcW w:w="482" w:type="dxa"/>
          </w:tcPr>
          <w:p w14:paraId="4E66F9E0" w14:textId="68E46D46" w:rsidR="004B1A63" w:rsidRDefault="004B1A63" w:rsidP="00A16B61">
            <w:pPr>
              <w:jc w:val="center"/>
            </w:pPr>
          </w:p>
        </w:tc>
        <w:tc>
          <w:tcPr>
            <w:tcW w:w="482" w:type="dxa"/>
          </w:tcPr>
          <w:p w14:paraId="5F8CE801" w14:textId="1E40F8D0" w:rsidR="004B1A63" w:rsidRDefault="004B1A63" w:rsidP="00A16B61">
            <w:pPr>
              <w:jc w:val="center"/>
            </w:pPr>
          </w:p>
        </w:tc>
        <w:tc>
          <w:tcPr>
            <w:tcW w:w="482" w:type="dxa"/>
          </w:tcPr>
          <w:p w14:paraId="3BAD6234" w14:textId="77777777" w:rsidR="004B1A63" w:rsidRDefault="004B1A63" w:rsidP="00A16B61">
            <w:pPr>
              <w:jc w:val="center"/>
            </w:pPr>
            <w:r>
              <w:t>X</w:t>
            </w:r>
          </w:p>
        </w:tc>
        <w:tc>
          <w:tcPr>
            <w:tcW w:w="709" w:type="dxa"/>
          </w:tcPr>
          <w:p w14:paraId="059D37B1" w14:textId="3D9609FF" w:rsidR="004B1A63" w:rsidRDefault="004B1A63" w:rsidP="00A16B61">
            <w:pPr>
              <w:jc w:val="center"/>
            </w:pPr>
          </w:p>
        </w:tc>
        <w:tc>
          <w:tcPr>
            <w:tcW w:w="482" w:type="dxa"/>
          </w:tcPr>
          <w:p w14:paraId="7B6E29C2" w14:textId="400A4B96" w:rsidR="004B1A63" w:rsidRDefault="004B1A63" w:rsidP="00A16B61">
            <w:pPr>
              <w:jc w:val="center"/>
            </w:pPr>
          </w:p>
        </w:tc>
        <w:tc>
          <w:tcPr>
            <w:tcW w:w="708" w:type="dxa"/>
          </w:tcPr>
          <w:p w14:paraId="4C44FAFA" w14:textId="66028C10" w:rsidR="004B1A63" w:rsidRDefault="004B1A63" w:rsidP="00A16B61">
            <w:pPr>
              <w:jc w:val="center"/>
            </w:pPr>
          </w:p>
        </w:tc>
        <w:tc>
          <w:tcPr>
            <w:tcW w:w="482" w:type="dxa"/>
          </w:tcPr>
          <w:p w14:paraId="0D5D1A45" w14:textId="0AC42219" w:rsidR="004B1A63" w:rsidRDefault="004B1A63" w:rsidP="00A16B61">
            <w:pPr>
              <w:jc w:val="center"/>
            </w:pPr>
          </w:p>
        </w:tc>
        <w:tc>
          <w:tcPr>
            <w:tcW w:w="482" w:type="dxa"/>
          </w:tcPr>
          <w:p w14:paraId="47C58D8D" w14:textId="215CDC38" w:rsidR="004B1A63" w:rsidRDefault="004B1A63" w:rsidP="00A16B61">
            <w:pPr>
              <w:jc w:val="center"/>
            </w:pPr>
          </w:p>
        </w:tc>
        <w:tc>
          <w:tcPr>
            <w:tcW w:w="482" w:type="dxa"/>
          </w:tcPr>
          <w:p w14:paraId="00D434D1" w14:textId="02792099" w:rsidR="004B1A63" w:rsidRDefault="004B1A63" w:rsidP="00A16B61">
            <w:pPr>
              <w:jc w:val="center"/>
            </w:pPr>
          </w:p>
        </w:tc>
      </w:tr>
      <w:tr w:rsidR="00C26A9D" w14:paraId="26FAB785" w14:textId="77777777" w:rsidTr="00E5635F">
        <w:trPr>
          <w:trHeight w:val="311"/>
        </w:trPr>
        <w:tc>
          <w:tcPr>
            <w:tcW w:w="3146" w:type="dxa"/>
          </w:tcPr>
          <w:p w14:paraId="1D916059" w14:textId="77777777" w:rsidR="004B1A63" w:rsidRDefault="004B1A63" w:rsidP="00A16B61">
            <w:pPr>
              <w:pStyle w:val="TabellHode-rad"/>
            </w:pPr>
            <w:r>
              <w:t>Arelion Norway</w:t>
            </w:r>
          </w:p>
        </w:tc>
        <w:tc>
          <w:tcPr>
            <w:tcW w:w="482" w:type="dxa"/>
          </w:tcPr>
          <w:p w14:paraId="6D29ED67" w14:textId="7BE42F4C" w:rsidR="004B1A63" w:rsidRDefault="004B1A63" w:rsidP="00A16B61">
            <w:pPr>
              <w:jc w:val="center"/>
            </w:pPr>
          </w:p>
        </w:tc>
        <w:tc>
          <w:tcPr>
            <w:tcW w:w="482" w:type="dxa"/>
          </w:tcPr>
          <w:p w14:paraId="7C8575A9" w14:textId="7BF76CC5" w:rsidR="004B1A63" w:rsidRDefault="004B1A63" w:rsidP="00A16B61">
            <w:pPr>
              <w:jc w:val="center"/>
            </w:pPr>
          </w:p>
        </w:tc>
        <w:tc>
          <w:tcPr>
            <w:tcW w:w="482" w:type="dxa"/>
          </w:tcPr>
          <w:p w14:paraId="26FFCE4E" w14:textId="5E14C391" w:rsidR="004B1A63" w:rsidRDefault="004B1A63" w:rsidP="00A16B61">
            <w:pPr>
              <w:jc w:val="center"/>
            </w:pPr>
          </w:p>
        </w:tc>
        <w:tc>
          <w:tcPr>
            <w:tcW w:w="709" w:type="dxa"/>
          </w:tcPr>
          <w:p w14:paraId="3E9A4E31" w14:textId="77777777" w:rsidR="004B1A63" w:rsidRDefault="004B1A63" w:rsidP="00A16B61">
            <w:pPr>
              <w:jc w:val="center"/>
            </w:pPr>
            <w:r>
              <w:t>X</w:t>
            </w:r>
          </w:p>
        </w:tc>
        <w:tc>
          <w:tcPr>
            <w:tcW w:w="482" w:type="dxa"/>
          </w:tcPr>
          <w:p w14:paraId="40B68F0F" w14:textId="5D9F7135" w:rsidR="004B1A63" w:rsidRDefault="004B1A63" w:rsidP="00A16B61">
            <w:pPr>
              <w:jc w:val="center"/>
            </w:pPr>
          </w:p>
        </w:tc>
        <w:tc>
          <w:tcPr>
            <w:tcW w:w="708" w:type="dxa"/>
          </w:tcPr>
          <w:p w14:paraId="369B0373" w14:textId="48C6EECC" w:rsidR="004B1A63" w:rsidRDefault="004B1A63" w:rsidP="00A16B61">
            <w:pPr>
              <w:jc w:val="center"/>
            </w:pPr>
          </w:p>
        </w:tc>
        <w:tc>
          <w:tcPr>
            <w:tcW w:w="482" w:type="dxa"/>
          </w:tcPr>
          <w:p w14:paraId="73E013D0" w14:textId="12C3DB35" w:rsidR="004B1A63" w:rsidRDefault="004B1A63" w:rsidP="00A16B61">
            <w:pPr>
              <w:jc w:val="center"/>
            </w:pPr>
          </w:p>
        </w:tc>
        <w:tc>
          <w:tcPr>
            <w:tcW w:w="482" w:type="dxa"/>
          </w:tcPr>
          <w:p w14:paraId="766505E0" w14:textId="7EBD4496" w:rsidR="004B1A63" w:rsidRDefault="004B1A63" w:rsidP="00A16B61">
            <w:pPr>
              <w:jc w:val="center"/>
            </w:pPr>
          </w:p>
        </w:tc>
        <w:tc>
          <w:tcPr>
            <w:tcW w:w="482" w:type="dxa"/>
          </w:tcPr>
          <w:p w14:paraId="1C9F5132" w14:textId="3DFD2182" w:rsidR="004B1A63" w:rsidRDefault="004B1A63" w:rsidP="00A16B61">
            <w:pPr>
              <w:jc w:val="center"/>
            </w:pPr>
          </w:p>
        </w:tc>
      </w:tr>
      <w:tr w:rsidR="00C26A9D" w14:paraId="3F4D082F" w14:textId="77777777" w:rsidTr="00E5635F">
        <w:trPr>
          <w:trHeight w:val="311"/>
        </w:trPr>
        <w:tc>
          <w:tcPr>
            <w:tcW w:w="3146" w:type="dxa"/>
          </w:tcPr>
          <w:p w14:paraId="7B5F204F" w14:textId="77777777" w:rsidR="004B1A63" w:rsidRDefault="004B1A63" w:rsidP="00A16B61">
            <w:pPr>
              <w:pStyle w:val="TabellHode-rad"/>
            </w:pPr>
            <w:r>
              <w:t xml:space="preserve">De-Cix Management </w:t>
            </w:r>
          </w:p>
        </w:tc>
        <w:tc>
          <w:tcPr>
            <w:tcW w:w="482" w:type="dxa"/>
          </w:tcPr>
          <w:p w14:paraId="0B678358" w14:textId="32FB4B2C" w:rsidR="004B1A63" w:rsidRDefault="004B1A63" w:rsidP="00A16B61">
            <w:pPr>
              <w:jc w:val="center"/>
            </w:pPr>
          </w:p>
        </w:tc>
        <w:tc>
          <w:tcPr>
            <w:tcW w:w="482" w:type="dxa"/>
          </w:tcPr>
          <w:p w14:paraId="1D267833" w14:textId="6D7FB3BE" w:rsidR="004B1A63" w:rsidRDefault="004B1A63" w:rsidP="00A16B61">
            <w:pPr>
              <w:jc w:val="center"/>
            </w:pPr>
          </w:p>
        </w:tc>
        <w:tc>
          <w:tcPr>
            <w:tcW w:w="482" w:type="dxa"/>
          </w:tcPr>
          <w:p w14:paraId="67DDFCF7" w14:textId="571F7B48" w:rsidR="004B1A63" w:rsidRDefault="004B1A63" w:rsidP="00A16B61">
            <w:pPr>
              <w:jc w:val="center"/>
            </w:pPr>
          </w:p>
        </w:tc>
        <w:tc>
          <w:tcPr>
            <w:tcW w:w="709" w:type="dxa"/>
          </w:tcPr>
          <w:p w14:paraId="4A3E71A9" w14:textId="77777777" w:rsidR="004B1A63" w:rsidRDefault="004B1A63" w:rsidP="00A16B61">
            <w:pPr>
              <w:jc w:val="center"/>
            </w:pPr>
            <w:r>
              <w:t>X</w:t>
            </w:r>
          </w:p>
        </w:tc>
        <w:tc>
          <w:tcPr>
            <w:tcW w:w="482" w:type="dxa"/>
          </w:tcPr>
          <w:p w14:paraId="589B49BE" w14:textId="6DC94B5A" w:rsidR="004B1A63" w:rsidRDefault="004B1A63" w:rsidP="00A16B61">
            <w:pPr>
              <w:jc w:val="center"/>
            </w:pPr>
          </w:p>
        </w:tc>
        <w:tc>
          <w:tcPr>
            <w:tcW w:w="708" w:type="dxa"/>
          </w:tcPr>
          <w:p w14:paraId="5868E6B2" w14:textId="5E5C9F80" w:rsidR="004B1A63" w:rsidRDefault="004B1A63" w:rsidP="00A16B61">
            <w:pPr>
              <w:jc w:val="center"/>
            </w:pPr>
          </w:p>
        </w:tc>
        <w:tc>
          <w:tcPr>
            <w:tcW w:w="482" w:type="dxa"/>
          </w:tcPr>
          <w:p w14:paraId="4B67315A" w14:textId="225FC93E" w:rsidR="004B1A63" w:rsidRDefault="004B1A63" w:rsidP="00A16B61">
            <w:pPr>
              <w:jc w:val="center"/>
            </w:pPr>
          </w:p>
        </w:tc>
        <w:tc>
          <w:tcPr>
            <w:tcW w:w="482" w:type="dxa"/>
          </w:tcPr>
          <w:p w14:paraId="50DD18BE" w14:textId="4FB81DE6" w:rsidR="004B1A63" w:rsidRDefault="004B1A63" w:rsidP="00A16B61">
            <w:pPr>
              <w:jc w:val="center"/>
            </w:pPr>
          </w:p>
        </w:tc>
        <w:tc>
          <w:tcPr>
            <w:tcW w:w="482" w:type="dxa"/>
          </w:tcPr>
          <w:p w14:paraId="4D0B2310" w14:textId="77777777" w:rsidR="004B1A63" w:rsidRDefault="004B1A63" w:rsidP="00A16B61">
            <w:pPr>
              <w:jc w:val="center"/>
            </w:pPr>
            <w:r>
              <w:t>X</w:t>
            </w:r>
          </w:p>
        </w:tc>
      </w:tr>
      <w:tr w:rsidR="00C26A9D" w14:paraId="10FD48A9" w14:textId="77777777" w:rsidTr="00E5635F">
        <w:trPr>
          <w:trHeight w:val="311"/>
        </w:trPr>
        <w:tc>
          <w:tcPr>
            <w:tcW w:w="3146" w:type="dxa"/>
          </w:tcPr>
          <w:p w14:paraId="093FD815" w14:textId="77777777" w:rsidR="004B1A63" w:rsidRDefault="004B1A63" w:rsidP="00A16B61">
            <w:pPr>
              <w:pStyle w:val="TabellHode-rad"/>
            </w:pPr>
            <w:r>
              <w:t>Lumen Technologies Norway</w:t>
            </w:r>
          </w:p>
        </w:tc>
        <w:tc>
          <w:tcPr>
            <w:tcW w:w="482" w:type="dxa"/>
          </w:tcPr>
          <w:p w14:paraId="71514B68" w14:textId="655FDA3E" w:rsidR="004B1A63" w:rsidRDefault="004B1A63" w:rsidP="00A16B61">
            <w:pPr>
              <w:jc w:val="center"/>
            </w:pPr>
          </w:p>
        </w:tc>
        <w:tc>
          <w:tcPr>
            <w:tcW w:w="482" w:type="dxa"/>
          </w:tcPr>
          <w:p w14:paraId="56C6D44F" w14:textId="294466A0" w:rsidR="004B1A63" w:rsidRDefault="004B1A63" w:rsidP="00A16B61">
            <w:pPr>
              <w:jc w:val="center"/>
            </w:pPr>
          </w:p>
        </w:tc>
        <w:tc>
          <w:tcPr>
            <w:tcW w:w="482" w:type="dxa"/>
          </w:tcPr>
          <w:p w14:paraId="24CBBA89" w14:textId="4021C365" w:rsidR="004B1A63" w:rsidRDefault="004B1A63" w:rsidP="00A16B61">
            <w:pPr>
              <w:jc w:val="center"/>
            </w:pPr>
          </w:p>
        </w:tc>
        <w:tc>
          <w:tcPr>
            <w:tcW w:w="709" w:type="dxa"/>
          </w:tcPr>
          <w:p w14:paraId="36BFD976" w14:textId="77777777" w:rsidR="004B1A63" w:rsidRDefault="004B1A63" w:rsidP="00A16B61">
            <w:pPr>
              <w:jc w:val="center"/>
            </w:pPr>
            <w:r>
              <w:t>X</w:t>
            </w:r>
          </w:p>
        </w:tc>
        <w:tc>
          <w:tcPr>
            <w:tcW w:w="482" w:type="dxa"/>
          </w:tcPr>
          <w:p w14:paraId="7906467A" w14:textId="6A51C72A" w:rsidR="004B1A63" w:rsidRDefault="004B1A63" w:rsidP="00A16B61">
            <w:pPr>
              <w:jc w:val="center"/>
            </w:pPr>
          </w:p>
        </w:tc>
        <w:tc>
          <w:tcPr>
            <w:tcW w:w="708" w:type="dxa"/>
          </w:tcPr>
          <w:p w14:paraId="00CAA285" w14:textId="5E528F6A" w:rsidR="004B1A63" w:rsidRDefault="004B1A63" w:rsidP="00A16B61">
            <w:pPr>
              <w:jc w:val="center"/>
            </w:pPr>
          </w:p>
        </w:tc>
        <w:tc>
          <w:tcPr>
            <w:tcW w:w="482" w:type="dxa"/>
          </w:tcPr>
          <w:p w14:paraId="78C986E1" w14:textId="2054CAB3" w:rsidR="004B1A63" w:rsidRDefault="004B1A63" w:rsidP="00A16B61">
            <w:pPr>
              <w:jc w:val="center"/>
            </w:pPr>
          </w:p>
        </w:tc>
        <w:tc>
          <w:tcPr>
            <w:tcW w:w="482" w:type="dxa"/>
          </w:tcPr>
          <w:p w14:paraId="66485947" w14:textId="6FF0EBCC" w:rsidR="004B1A63" w:rsidRDefault="004B1A63" w:rsidP="00A16B61">
            <w:pPr>
              <w:jc w:val="center"/>
            </w:pPr>
          </w:p>
        </w:tc>
        <w:tc>
          <w:tcPr>
            <w:tcW w:w="482" w:type="dxa"/>
          </w:tcPr>
          <w:p w14:paraId="0095E19F" w14:textId="0892E8D9" w:rsidR="004B1A63" w:rsidRDefault="004B1A63" w:rsidP="00A16B61">
            <w:pPr>
              <w:jc w:val="center"/>
            </w:pPr>
          </w:p>
        </w:tc>
      </w:tr>
      <w:tr w:rsidR="00C26A9D" w14:paraId="2CCD9CD2" w14:textId="77777777" w:rsidTr="00E5635F">
        <w:trPr>
          <w:trHeight w:hRule="exact" w:val="357"/>
        </w:trPr>
        <w:tc>
          <w:tcPr>
            <w:tcW w:w="7937" w:type="dxa"/>
            <w:gridSpan w:val="10"/>
          </w:tcPr>
          <w:p w14:paraId="5FD94234" w14:textId="77777777" w:rsidR="004B1A63" w:rsidRDefault="004B1A63" w:rsidP="00A16B61">
            <w:pPr>
              <w:jc w:val="center"/>
              <w:rPr>
                <w:rFonts w:ascii="OpenSans-Italic" w:hAnsi="OpenSans-Italic"/>
              </w:rPr>
            </w:pPr>
          </w:p>
        </w:tc>
      </w:tr>
      <w:tr w:rsidR="00C26A9D" w14:paraId="350A26A8" w14:textId="77777777" w:rsidTr="00E5635F">
        <w:trPr>
          <w:trHeight w:val="311"/>
        </w:trPr>
        <w:tc>
          <w:tcPr>
            <w:tcW w:w="3146" w:type="dxa"/>
          </w:tcPr>
          <w:p w14:paraId="6705F0DD" w14:textId="77777777" w:rsidR="004B1A63" w:rsidRDefault="004B1A63" w:rsidP="00A16B61">
            <w:pPr>
              <w:pStyle w:val="TabellHode-rad"/>
            </w:pPr>
            <w:r>
              <w:t>Green Mountain</w:t>
            </w:r>
          </w:p>
        </w:tc>
        <w:tc>
          <w:tcPr>
            <w:tcW w:w="482" w:type="dxa"/>
          </w:tcPr>
          <w:p w14:paraId="69F6408C" w14:textId="06FB8A80" w:rsidR="004B1A63" w:rsidRDefault="004B1A63" w:rsidP="00A16B61">
            <w:pPr>
              <w:jc w:val="center"/>
            </w:pPr>
          </w:p>
        </w:tc>
        <w:tc>
          <w:tcPr>
            <w:tcW w:w="482" w:type="dxa"/>
          </w:tcPr>
          <w:p w14:paraId="27173B23" w14:textId="7AFD16C8" w:rsidR="004B1A63" w:rsidRDefault="004B1A63" w:rsidP="00A16B61">
            <w:pPr>
              <w:jc w:val="center"/>
            </w:pPr>
          </w:p>
        </w:tc>
        <w:tc>
          <w:tcPr>
            <w:tcW w:w="482" w:type="dxa"/>
          </w:tcPr>
          <w:p w14:paraId="4144865B" w14:textId="5A5FDF08" w:rsidR="004B1A63" w:rsidRDefault="004B1A63" w:rsidP="00A16B61">
            <w:pPr>
              <w:jc w:val="center"/>
            </w:pPr>
          </w:p>
        </w:tc>
        <w:tc>
          <w:tcPr>
            <w:tcW w:w="709" w:type="dxa"/>
          </w:tcPr>
          <w:p w14:paraId="7CE32653" w14:textId="2AFC10CC" w:rsidR="004B1A63" w:rsidRDefault="004B1A63" w:rsidP="00A16B61">
            <w:pPr>
              <w:jc w:val="center"/>
            </w:pPr>
          </w:p>
        </w:tc>
        <w:tc>
          <w:tcPr>
            <w:tcW w:w="482" w:type="dxa"/>
          </w:tcPr>
          <w:p w14:paraId="3142331E" w14:textId="77777777" w:rsidR="004B1A63" w:rsidRDefault="004B1A63" w:rsidP="00A16B61">
            <w:pPr>
              <w:jc w:val="center"/>
            </w:pPr>
            <w:r>
              <w:t>X</w:t>
            </w:r>
          </w:p>
        </w:tc>
        <w:tc>
          <w:tcPr>
            <w:tcW w:w="708" w:type="dxa"/>
          </w:tcPr>
          <w:p w14:paraId="53AFCE34" w14:textId="231D2240" w:rsidR="004B1A63" w:rsidRDefault="004B1A63" w:rsidP="00A16B61">
            <w:pPr>
              <w:jc w:val="center"/>
            </w:pPr>
          </w:p>
        </w:tc>
        <w:tc>
          <w:tcPr>
            <w:tcW w:w="482" w:type="dxa"/>
          </w:tcPr>
          <w:p w14:paraId="1A868599" w14:textId="2FB7B74F" w:rsidR="004B1A63" w:rsidRDefault="004B1A63" w:rsidP="00A16B61">
            <w:pPr>
              <w:jc w:val="center"/>
            </w:pPr>
          </w:p>
        </w:tc>
        <w:tc>
          <w:tcPr>
            <w:tcW w:w="482" w:type="dxa"/>
          </w:tcPr>
          <w:p w14:paraId="35BFF6DB" w14:textId="3600252C" w:rsidR="004B1A63" w:rsidRDefault="004B1A63" w:rsidP="00A16B61">
            <w:pPr>
              <w:jc w:val="center"/>
            </w:pPr>
          </w:p>
        </w:tc>
        <w:tc>
          <w:tcPr>
            <w:tcW w:w="482" w:type="dxa"/>
          </w:tcPr>
          <w:p w14:paraId="206DF2D9" w14:textId="3E9EC9CC" w:rsidR="004B1A63" w:rsidRDefault="004B1A63" w:rsidP="00A16B61">
            <w:pPr>
              <w:jc w:val="center"/>
            </w:pPr>
          </w:p>
        </w:tc>
      </w:tr>
      <w:tr w:rsidR="00C26A9D" w14:paraId="2779A22C" w14:textId="77777777" w:rsidTr="00E5635F">
        <w:trPr>
          <w:trHeight w:val="311"/>
        </w:trPr>
        <w:tc>
          <w:tcPr>
            <w:tcW w:w="3146" w:type="dxa"/>
          </w:tcPr>
          <w:p w14:paraId="6179BADE" w14:textId="77777777" w:rsidR="004B1A63" w:rsidRDefault="004B1A63" w:rsidP="00A16B61">
            <w:pPr>
              <w:pStyle w:val="TabellHode-rad"/>
            </w:pPr>
            <w:r>
              <w:t>Lefdal Mine Datacenter</w:t>
            </w:r>
          </w:p>
        </w:tc>
        <w:tc>
          <w:tcPr>
            <w:tcW w:w="482" w:type="dxa"/>
          </w:tcPr>
          <w:p w14:paraId="1602CD90" w14:textId="6CB07584" w:rsidR="004B1A63" w:rsidRDefault="004B1A63" w:rsidP="00A16B61">
            <w:pPr>
              <w:jc w:val="center"/>
            </w:pPr>
          </w:p>
        </w:tc>
        <w:tc>
          <w:tcPr>
            <w:tcW w:w="482" w:type="dxa"/>
          </w:tcPr>
          <w:p w14:paraId="0494CAE8" w14:textId="4899440F" w:rsidR="004B1A63" w:rsidRDefault="004B1A63" w:rsidP="00A16B61">
            <w:pPr>
              <w:jc w:val="center"/>
            </w:pPr>
          </w:p>
        </w:tc>
        <w:tc>
          <w:tcPr>
            <w:tcW w:w="482" w:type="dxa"/>
          </w:tcPr>
          <w:p w14:paraId="5B38E598" w14:textId="3AD4DE13" w:rsidR="004B1A63" w:rsidRDefault="004B1A63" w:rsidP="00A16B61">
            <w:pPr>
              <w:jc w:val="center"/>
            </w:pPr>
          </w:p>
        </w:tc>
        <w:tc>
          <w:tcPr>
            <w:tcW w:w="709" w:type="dxa"/>
          </w:tcPr>
          <w:p w14:paraId="30CCE4B7" w14:textId="13584497" w:rsidR="004B1A63" w:rsidRDefault="004B1A63" w:rsidP="00A16B61">
            <w:pPr>
              <w:jc w:val="center"/>
            </w:pPr>
          </w:p>
        </w:tc>
        <w:tc>
          <w:tcPr>
            <w:tcW w:w="482" w:type="dxa"/>
          </w:tcPr>
          <w:p w14:paraId="3F6F1AEB" w14:textId="77777777" w:rsidR="004B1A63" w:rsidRDefault="004B1A63" w:rsidP="00A16B61">
            <w:pPr>
              <w:jc w:val="center"/>
            </w:pPr>
            <w:r>
              <w:t>X</w:t>
            </w:r>
          </w:p>
        </w:tc>
        <w:tc>
          <w:tcPr>
            <w:tcW w:w="708" w:type="dxa"/>
          </w:tcPr>
          <w:p w14:paraId="24688C6E" w14:textId="3C4C057C" w:rsidR="004B1A63" w:rsidRDefault="004B1A63" w:rsidP="00A16B61">
            <w:pPr>
              <w:jc w:val="center"/>
            </w:pPr>
          </w:p>
        </w:tc>
        <w:tc>
          <w:tcPr>
            <w:tcW w:w="482" w:type="dxa"/>
          </w:tcPr>
          <w:p w14:paraId="59E01061" w14:textId="4B7B3B77" w:rsidR="004B1A63" w:rsidRDefault="004B1A63" w:rsidP="00A16B61">
            <w:pPr>
              <w:jc w:val="center"/>
            </w:pPr>
          </w:p>
        </w:tc>
        <w:tc>
          <w:tcPr>
            <w:tcW w:w="482" w:type="dxa"/>
          </w:tcPr>
          <w:p w14:paraId="03E150D4" w14:textId="51A520C4" w:rsidR="004B1A63" w:rsidRDefault="004B1A63" w:rsidP="00A16B61">
            <w:pPr>
              <w:jc w:val="center"/>
            </w:pPr>
          </w:p>
        </w:tc>
        <w:tc>
          <w:tcPr>
            <w:tcW w:w="482" w:type="dxa"/>
          </w:tcPr>
          <w:p w14:paraId="75E68498" w14:textId="46E6E58E" w:rsidR="004B1A63" w:rsidRDefault="004B1A63" w:rsidP="00A16B61">
            <w:pPr>
              <w:jc w:val="center"/>
            </w:pPr>
          </w:p>
        </w:tc>
      </w:tr>
      <w:tr w:rsidR="00C26A9D" w14:paraId="1FE8F24A" w14:textId="77777777" w:rsidTr="00E5635F">
        <w:trPr>
          <w:trHeight w:val="311"/>
        </w:trPr>
        <w:tc>
          <w:tcPr>
            <w:tcW w:w="3146" w:type="dxa"/>
          </w:tcPr>
          <w:p w14:paraId="004F3BA5" w14:textId="77777777" w:rsidR="004B1A63" w:rsidRDefault="004B1A63" w:rsidP="00A16B61">
            <w:pPr>
              <w:pStyle w:val="TabellHode-rad"/>
            </w:pPr>
            <w:r>
              <w:t>Infrastructure Nordics 4 (Stack)</w:t>
            </w:r>
          </w:p>
        </w:tc>
        <w:tc>
          <w:tcPr>
            <w:tcW w:w="482" w:type="dxa"/>
          </w:tcPr>
          <w:p w14:paraId="7AAFCB41" w14:textId="23015713" w:rsidR="004B1A63" w:rsidRDefault="004B1A63" w:rsidP="00A16B61">
            <w:pPr>
              <w:jc w:val="center"/>
            </w:pPr>
          </w:p>
        </w:tc>
        <w:tc>
          <w:tcPr>
            <w:tcW w:w="482" w:type="dxa"/>
          </w:tcPr>
          <w:p w14:paraId="45158429" w14:textId="05762941" w:rsidR="004B1A63" w:rsidRDefault="004B1A63" w:rsidP="00A16B61">
            <w:pPr>
              <w:jc w:val="center"/>
            </w:pPr>
          </w:p>
        </w:tc>
        <w:tc>
          <w:tcPr>
            <w:tcW w:w="482" w:type="dxa"/>
          </w:tcPr>
          <w:p w14:paraId="657BF162" w14:textId="211962AE" w:rsidR="004B1A63" w:rsidRDefault="004B1A63" w:rsidP="00A16B61">
            <w:pPr>
              <w:jc w:val="center"/>
            </w:pPr>
          </w:p>
        </w:tc>
        <w:tc>
          <w:tcPr>
            <w:tcW w:w="709" w:type="dxa"/>
          </w:tcPr>
          <w:p w14:paraId="5EE82A4C" w14:textId="65EB6C4C" w:rsidR="004B1A63" w:rsidRDefault="004B1A63" w:rsidP="00A16B61">
            <w:pPr>
              <w:jc w:val="center"/>
            </w:pPr>
          </w:p>
        </w:tc>
        <w:tc>
          <w:tcPr>
            <w:tcW w:w="482" w:type="dxa"/>
          </w:tcPr>
          <w:p w14:paraId="0BAB7C74" w14:textId="77777777" w:rsidR="004B1A63" w:rsidRDefault="004B1A63" w:rsidP="00A16B61">
            <w:pPr>
              <w:jc w:val="center"/>
            </w:pPr>
            <w:r>
              <w:t>X</w:t>
            </w:r>
          </w:p>
        </w:tc>
        <w:tc>
          <w:tcPr>
            <w:tcW w:w="708" w:type="dxa"/>
          </w:tcPr>
          <w:p w14:paraId="4CD2359F" w14:textId="13A69D91" w:rsidR="004B1A63" w:rsidRDefault="004B1A63" w:rsidP="00A16B61">
            <w:pPr>
              <w:jc w:val="center"/>
            </w:pPr>
          </w:p>
        </w:tc>
        <w:tc>
          <w:tcPr>
            <w:tcW w:w="482" w:type="dxa"/>
          </w:tcPr>
          <w:p w14:paraId="375FF98B" w14:textId="79F7841C" w:rsidR="004B1A63" w:rsidRDefault="004B1A63" w:rsidP="00A16B61">
            <w:pPr>
              <w:jc w:val="center"/>
            </w:pPr>
          </w:p>
        </w:tc>
        <w:tc>
          <w:tcPr>
            <w:tcW w:w="482" w:type="dxa"/>
          </w:tcPr>
          <w:p w14:paraId="77F508BC" w14:textId="27942E78" w:rsidR="004B1A63" w:rsidRDefault="004B1A63" w:rsidP="00A16B61">
            <w:pPr>
              <w:jc w:val="center"/>
            </w:pPr>
          </w:p>
        </w:tc>
        <w:tc>
          <w:tcPr>
            <w:tcW w:w="482" w:type="dxa"/>
          </w:tcPr>
          <w:p w14:paraId="0E5CF9D4" w14:textId="77777777" w:rsidR="004B1A63" w:rsidRDefault="004B1A63" w:rsidP="00A16B61">
            <w:pPr>
              <w:jc w:val="center"/>
            </w:pPr>
            <w:r>
              <w:t>X</w:t>
            </w:r>
          </w:p>
        </w:tc>
      </w:tr>
      <w:tr w:rsidR="00C26A9D" w14:paraId="6A91AC1B" w14:textId="77777777" w:rsidTr="00E5635F">
        <w:trPr>
          <w:trHeight w:val="311"/>
        </w:trPr>
        <w:tc>
          <w:tcPr>
            <w:tcW w:w="3146" w:type="dxa"/>
          </w:tcPr>
          <w:p w14:paraId="46A3C42B" w14:textId="77777777" w:rsidR="004B1A63" w:rsidRDefault="004B1A63" w:rsidP="00A16B61">
            <w:pPr>
              <w:pStyle w:val="TabellHode-rad"/>
            </w:pPr>
            <w:r>
              <w:t xml:space="preserve">Orange Business Digital Norway </w:t>
            </w:r>
          </w:p>
        </w:tc>
        <w:tc>
          <w:tcPr>
            <w:tcW w:w="482" w:type="dxa"/>
          </w:tcPr>
          <w:p w14:paraId="13A983CF" w14:textId="7AC774A7" w:rsidR="004B1A63" w:rsidRDefault="004B1A63" w:rsidP="00A16B61">
            <w:pPr>
              <w:jc w:val="center"/>
            </w:pPr>
          </w:p>
        </w:tc>
        <w:tc>
          <w:tcPr>
            <w:tcW w:w="482" w:type="dxa"/>
          </w:tcPr>
          <w:p w14:paraId="69325C09" w14:textId="50D31A4F" w:rsidR="004B1A63" w:rsidRDefault="004B1A63" w:rsidP="00A16B61">
            <w:pPr>
              <w:jc w:val="center"/>
            </w:pPr>
          </w:p>
        </w:tc>
        <w:tc>
          <w:tcPr>
            <w:tcW w:w="482" w:type="dxa"/>
          </w:tcPr>
          <w:p w14:paraId="4C01BC2E" w14:textId="4DA53B6A" w:rsidR="004B1A63" w:rsidRDefault="004B1A63" w:rsidP="00A16B61">
            <w:pPr>
              <w:jc w:val="center"/>
            </w:pPr>
          </w:p>
        </w:tc>
        <w:tc>
          <w:tcPr>
            <w:tcW w:w="709" w:type="dxa"/>
          </w:tcPr>
          <w:p w14:paraId="799D14A9" w14:textId="56E52EDE" w:rsidR="004B1A63" w:rsidRDefault="004B1A63" w:rsidP="00A16B61">
            <w:pPr>
              <w:jc w:val="center"/>
            </w:pPr>
          </w:p>
        </w:tc>
        <w:tc>
          <w:tcPr>
            <w:tcW w:w="482" w:type="dxa"/>
          </w:tcPr>
          <w:p w14:paraId="1A2EA370" w14:textId="77777777" w:rsidR="004B1A63" w:rsidRDefault="004B1A63" w:rsidP="00A16B61">
            <w:pPr>
              <w:jc w:val="center"/>
            </w:pPr>
            <w:r>
              <w:t>X</w:t>
            </w:r>
          </w:p>
        </w:tc>
        <w:tc>
          <w:tcPr>
            <w:tcW w:w="708" w:type="dxa"/>
          </w:tcPr>
          <w:p w14:paraId="0A40C5E6" w14:textId="3143E0ED" w:rsidR="004B1A63" w:rsidRDefault="004B1A63" w:rsidP="00A16B61">
            <w:pPr>
              <w:jc w:val="center"/>
            </w:pPr>
          </w:p>
        </w:tc>
        <w:tc>
          <w:tcPr>
            <w:tcW w:w="482" w:type="dxa"/>
          </w:tcPr>
          <w:p w14:paraId="71F4C398" w14:textId="1418BB9E" w:rsidR="004B1A63" w:rsidRDefault="004B1A63" w:rsidP="00A16B61">
            <w:pPr>
              <w:jc w:val="center"/>
            </w:pPr>
          </w:p>
        </w:tc>
        <w:tc>
          <w:tcPr>
            <w:tcW w:w="482" w:type="dxa"/>
          </w:tcPr>
          <w:p w14:paraId="5600A384" w14:textId="13E255DF" w:rsidR="004B1A63" w:rsidRDefault="004B1A63" w:rsidP="00A16B61">
            <w:pPr>
              <w:jc w:val="center"/>
            </w:pPr>
          </w:p>
        </w:tc>
        <w:tc>
          <w:tcPr>
            <w:tcW w:w="482" w:type="dxa"/>
          </w:tcPr>
          <w:p w14:paraId="718DDE2F" w14:textId="77777777" w:rsidR="004B1A63" w:rsidRDefault="004B1A63" w:rsidP="00A16B61">
            <w:pPr>
              <w:jc w:val="center"/>
            </w:pPr>
            <w:r>
              <w:t>X</w:t>
            </w:r>
          </w:p>
        </w:tc>
      </w:tr>
      <w:tr w:rsidR="00C26A9D" w14:paraId="001E5DE9" w14:textId="77777777" w:rsidTr="00E5635F">
        <w:trPr>
          <w:trHeight w:hRule="exact" w:val="357"/>
        </w:trPr>
        <w:tc>
          <w:tcPr>
            <w:tcW w:w="7937" w:type="dxa"/>
            <w:gridSpan w:val="10"/>
          </w:tcPr>
          <w:p w14:paraId="71846B89" w14:textId="77777777" w:rsidR="004B1A63" w:rsidRDefault="004B1A63" w:rsidP="00A16B61">
            <w:pPr>
              <w:jc w:val="center"/>
              <w:rPr>
                <w:rFonts w:ascii="OpenSans-Italic" w:hAnsi="OpenSans-Italic"/>
              </w:rPr>
            </w:pPr>
          </w:p>
        </w:tc>
      </w:tr>
      <w:tr w:rsidR="00C26A9D" w14:paraId="27268582" w14:textId="77777777" w:rsidTr="00E5635F">
        <w:trPr>
          <w:trHeight w:val="311"/>
        </w:trPr>
        <w:tc>
          <w:tcPr>
            <w:tcW w:w="3146" w:type="dxa"/>
          </w:tcPr>
          <w:p w14:paraId="28055FEE" w14:textId="77777777" w:rsidR="004B1A63" w:rsidRDefault="004B1A63" w:rsidP="00A16B61">
            <w:pPr>
              <w:pStyle w:val="TabellHode-rad"/>
            </w:pPr>
            <w:r>
              <w:t>Space Norway</w:t>
            </w:r>
          </w:p>
        </w:tc>
        <w:tc>
          <w:tcPr>
            <w:tcW w:w="482" w:type="dxa"/>
          </w:tcPr>
          <w:p w14:paraId="713DEE59" w14:textId="6D050BB3" w:rsidR="004B1A63" w:rsidRDefault="004B1A63" w:rsidP="00A16B61">
            <w:pPr>
              <w:jc w:val="center"/>
            </w:pPr>
          </w:p>
        </w:tc>
        <w:tc>
          <w:tcPr>
            <w:tcW w:w="482" w:type="dxa"/>
          </w:tcPr>
          <w:p w14:paraId="6FEDC018" w14:textId="759EBB00" w:rsidR="004B1A63" w:rsidRDefault="004B1A63" w:rsidP="00A16B61">
            <w:pPr>
              <w:jc w:val="center"/>
            </w:pPr>
          </w:p>
        </w:tc>
        <w:tc>
          <w:tcPr>
            <w:tcW w:w="482" w:type="dxa"/>
          </w:tcPr>
          <w:p w14:paraId="0EEF4AFD" w14:textId="6578DB45" w:rsidR="004B1A63" w:rsidRDefault="004B1A63" w:rsidP="00A16B61">
            <w:pPr>
              <w:jc w:val="center"/>
            </w:pPr>
          </w:p>
        </w:tc>
        <w:tc>
          <w:tcPr>
            <w:tcW w:w="709" w:type="dxa"/>
          </w:tcPr>
          <w:p w14:paraId="0D1C7F8A" w14:textId="77777777" w:rsidR="004B1A63" w:rsidRDefault="004B1A63" w:rsidP="00A16B61">
            <w:pPr>
              <w:jc w:val="center"/>
            </w:pPr>
            <w:r>
              <w:t>X</w:t>
            </w:r>
          </w:p>
        </w:tc>
        <w:tc>
          <w:tcPr>
            <w:tcW w:w="482" w:type="dxa"/>
          </w:tcPr>
          <w:p w14:paraId="19558A61" w14:textId="6880D209" w:rsidR="004B1A63" w:rsidRDefault="004B1A63" w:rsidP="00A16B61">
            <w:pPr>
              <w:jc w:val="center"/>
            </w:pPr>
          </w:p>
        </w:tc>
        <w:tc>
          <w:tcPr>
            <w:tcW w:w="708" w:type="dxa"/>
          </w:tcPr>
          <w:p w14:paraId="01AA7C64" w14:textId="77777777" w:rsidR="004B1A63" w:rsidRDefault="004B1A63" w:rsidP="00A16B61">
            <w:pPr>
              <w:jc w:val="center"/>
            </w:pPr>
            <w:r>
              <w:t>X</w:t>
            </w:r>
          </w:p>
        </w:tc>
        <w:tc>
          <w:tcPr>
            <w:tcW w:w="482" w:type="dxa"/>
          </w:tcPr>
          <w:p w14:paraId="0472B0F1" w14:textId="310699A8" w:rsidR="004B1A63" w:rsidRDefault="004B1A63" w:rsidP="00A16B61">
            <w:pPr>
              <w:jc w:val="center"/>
            </w:pPr>
          </w:p>
        </w:tc>
        <w:tc>
          <w:tcPr>
            <w:tcW w:w="482" w:type="dxa"/>
          </w:tcPr>
          <w:p w14:paraId="3EFAD243" w14:textId="65419B92" w:rsidR="004B1A63" w:rsidRDefault="004B1A63" w:rsidP="00A16B61">
            <w:pPr>
              <w:jc w:val="center"/>
            </w:pPr>
          </w:p>
        </w:tc>
        <w:tc>
          <w:tcPr>
            <w:tcW w:w="482" w:type="dxa"/>
          </w:tcPr>
          <w:p w14:paraId="37613477" w14:textId="20FA0C34" w:rsidR="004B1A63" w:rsidRDefault="004B1A63" w:rsidP="00A16B61">
            <w:pPr>
              <w:jc w:val="center"/>
            </w:pPr>
          </w:p>
        </w:tc>
      </w:tr>
      <w:tr w:rsidR="00C26A9D" w14:paraId="57CD0CD6" w14:textId="77777777" w:rsidTr="00E5635F">
        <w:trPr>
          <w:trHeight w:val="311"/>
        </w:trPr>
        <w:tc>
          <w:tcPr>
            <w:tcW w:w="3146" w:type="dxa"/>
          </w:tcPr>
          <w:p w14:paraId="0BDCA29F" w14:textId="77777777" w:rsidR="004B1A63" w:rsidRDefault="004B1A63" w:rsidP="00A16B61">
            <w:pPr>
              <w:pStyle w:val="TabellHode-rad"/>
            </w:pPr>
            <w:r>
              <w:t>Space Norway Satcom</w:t>
            </w:r>
          </w:p>
        </w:tc>
        <w:tc>
          <w:tcPr>
            <w:tcW w:w="482" w:type="dxa"/>
          </w:tcPr>
          <w:p w14:paraId="2A5771CC" w14:textId="33B2EA67" w:rsidR="004B1A63" w:rsidRDefault="004B1A63" w:rsidP="00A16B61">
            <w:pPr>
              <w:jc w:val="center"/>
            </w:pPr>
          </w:p>
        </w:tc>
        <w:tc>
          <w:tcPr>
            <w:tcW w:w="482" w:type="dxa"/>
          </w:tcPr>
          <w:p w14:paraId="77B5763F" w14:textId="71D73E24" w:rsidR="004B1A63" w:rsidRDefault="004B1A63" w:rsidP="00A16B61">
            <w:pPr>
              <w:jc w:val="center"/>
            </w:pPr>
          </w:p>
        </w:tc>
        <w:tc>
          <w:tcPr>
            <w:tcW w:w="482" w:type="dxa"/>
          </w:tcPr>
          <w:p w14:paraId="0786589C" w14:textId="6977EB47" w:rsidR="004B1A63" w:rsidRDefault="004B1A63" w:rsidP="00A16B61">
            <w:pPr>
              <w:jc w:val="center"/>
            </w:pPr>
          </w:p>
        </w:tc>
        <w:tc>
          <w:tcPr>
            <w:tcW w:w="709" w:type="dxa"/>
          </w:tcPr>
          <w:p w14:paraId="480206C1" w14:textId="3889FAE7" w:rsidR="004B1A63" w:rsidRDefault="004B1A63" w:rsidP="00A16B61">
            <w:pPr>
              <w:jc w:val="center"/>
            </w:pPr>
          </w:p>
        </w:tc>
        <w:tc>
          <w:tcPr>
            <w:tcW w:w="482" w:type="dxa"/>
          </w:tcPr>
          <w:p w14:paraId="10C9E8CB" w14:textId="206B5047" w:rsidR="004B1A63" w:rsidRDefault="004B1A63" w:rsidP="00A16B61">
            <w:pPr>
              <w:jc w:val="center"/>
            </w:pPr>
          </w:p>
        </w:tc>
        <w:tc>
          <w:tcPr>
            <w:tcW w:w="708" w:type="dxa"/>
          </w:tcPr>
          <w:p w14:paraId="2CF45C95" w14:textId="77777777" w:rsidR="004B1A63" w:rsidRDefault="004B1A63" w:rsidP="00A16B61">
            <w:pPr>
              <w:jc w:val="center"/>
            </w:pPr>
            <w:r>
              <w:t>X</w:t>
            </w:r>
          </w:p>
        </w:tc>
        <w:tc>
          <w:tcPr>
            <w:tcW w:w="482" w:type="dxa"/>
          </w:tcPr>
          <w:p w14:paraId="359099BE" w14:textId="4FF37DE5" w:rsidR="004B1A63" w:rsidRDefault="004B1A63" w:rsidP="00A16B61">
            <w:pPr>
              <w:jc w:val="center"/>
            </w:pPr>
          </w:p>
        </w:tc>
        <w:tc>
          <w:tcPr>
            <w:tcW w:w="482" w:type="dxa"/>
          </w:tcPr>
          <w:p w14:paraId="0766F128" w14:textId="4B31ACAE" w:rsidR="004B1A63" w:rsidRDefault="004B1A63" w:rsidP="00A16B61">
            <w:pPr>
              <w:jc w:val="center"/>
            </w:pPr>
          </w:p>
        </w:tc>
        <w:tc>
          <w:tcPr>
            <w:tcW w:w="482" w:type="dxa"/>
          </w:tcPr>
          <w:p w14:paraId="133E4AEC" w14:textId="4BBA7E08" w:rsidR="004B1A63" w:rsidRDefault="004B1A63" w:rsidP="00A16B61">
            <w:pPr>
              <w:jc w:val="center"/>
            </w:pPr>
          </w:p>
        </w:tc>
      </w:tr>
      <w:tr w:rsidR="00C26A9D" w14:paraId="5EDF8455" w14:textId="77777777" w:rsidTr="00E5635F">
        <w:trPr>
          <w:trHeight w:val="311"/>
        </w:trPr>
        <w:tc>
          <w:tcPr>
            <w:tcW w:w="3146" w:type="dxa"/>
          </w:tcPr>
          <w:p w14:paraId="7072440F" w14:textId="77777777" w:rsidR="004B1A63" w:rsidRDefault="004B1A63" w:rsidP="00A16B61">
            <w:pPr>
              <w:pStyle w:val="TabellHode-rad"/>
            </w:pPr>
            <w:r>
              <w:t xml:space="preserve">Kongsberg Satellite Services </w:t>
            </w:r>
          </w:p>
        </w:tc>
        <w:tc>
          <w:tcPr>
            <w:tcW w:w="482" w:type="dxa"/>
          </w:tcPr>
          <w:p w14:paraId="6AA9D6E0" w14:textId="4C81C52F" w:rsidR="004B1A63" w:rsidRDefault="004B1A63" w:rsidP="00A16B61">
            <w:pPr>
              <w:jc w:val="center"/>
            </w:pPr>
          </w:p>
        </w:tc>
        <w:tc>
          <w:tcPr>
            <w:tcW w:w="482" w:type="dxa"/>
          </w:tcPr>
          <w:p w14:paraId="10A55114" w14:textId="29767278" w:rsidR="004B1A63" w:rsidRDefault="004B1A63" w:rsidP="00A16B61">
            <w:pPr>
              <w:jc w:val="center"/>
            </w:pPr>
          </w:p>
        </w:tc>
        <w:tc>
          <w:tcPr>
            <w:tcW w:w="482" w:type="dxa"/>
          </w:tcPr>
          <w:p w14:paraId="31242FDA" w14:textId="401229A1" w:rsidR="004B1A63" w:rsidRDefault="004B1A63" w:rsidP="00A16B61">
            <w:pPr>
              <w:jc w:val="center"/>
            </w:pPr>
          </w:p>
        </w:tc>
        <w:tc>
          <w:tcPr>
            <w:tcW w:w="709" w:type="dxa"/>
          </w:tcPr>
          <w:p w14:paraId="544C91E4" w14:textId="13D3DCA2" w:rsidR="004B1A63" w:rsidRDefault="004B1A63" w:rsidP="00A16B61">
            <w:pPr>
              <w:jc w:val="center"/>
            </w:pPr>
          </w:p>
        </w:tc>
        <w:tc>
          <w:tcPr>
            <w:tcW w:w="482" w:type="dxa"/>
          </w:tcPr>
          <w:p w14:paraId="1885AD8C" w14:textId="41C3EFD8" w:rsidR="004B1A63" w:rsidRDefault="004B1A63" w:rsidP="00A16B61">
            <w:pPr>
              <w:jc w:val="center"/>
            </w:pPr>
          </w:p>
        </w:tc>
        <w:tc>
          <w:tcPr>
            <w:tcW w:w="708" w:type="dxa"/>
          </w:tcPr>
          <w:p w14:paraId="5B5FA5E8" w14:textId="77777777" w:rsidR="004B1A63" w:rsidRDefault="004B1A63" w:rsidP="00A16B61">
            <w:pPr>
              <w:jc w:val="center"/>
            </w:pPr>
            <w:r>
              <w:t>X</w:t>
            </w:r>
          </w:p>
        </w:tc>
        <w:tc>
          <w:tcPr>
            <w:tcW w:w="482" w:type="dxa"/>
          </w:tcPr>
          <w:p w14:paraId="7F6C8B25" w14:textId="14D505C4" w:rsidR="004B1A63" w:rsidRDefault="004B1A63" w:rsidP="00A16B61">
            <w:pPr>
              <w:jc w:val="center"/>
            </w:pPr>
          </w:p>
        </w:tc>
        <w:tc>
          <w:tcPr>
            <w:tcW w:w="482" w:type="dxa"/>
          </w:tcPr>
          <w:p w14:paraId="022310CB" w14:textId="4B4AF0F1" w:rsidR="004B1A63" w:rsidRDefault="004B1A63" w:rsidP="00A16B61">
            <w:pPr>
              <w:jc w:val="center"/>
            </w:pPr>
          </w:p>
        </w:tc>
        <w:tc>
          <w:tcPr>
            <w:tcW w:w="482" w:type="dxa"/>
          </w:tcPr>
          <w:p w14:paraId="1647E316" w14:textId="150A24FF" w:rsidR="004B1A63" w:rsidRDefault="004B1A63" w:rsidP="00A16B61">
            <w:pPr>
              <w:jc w:val="center"/>
            </w:pPr>
          </w:p>
        </w:tc>
      </w:tr>
      <w:tr w:rsidR="00C26A9D" w14:paraId="2251DB18" w14:textId="77777777" w:rsidTr="00E5635F">
        <w:trPr>
          <w:trHeight w:val="311"/>
        </w:trPr>
        <w:tc>
          <w:tcPr>
            <w:tcW w:w="3146" w:type="dxa"/>
          </w:tcPr>
          <w:p w14:paraId="3FE48A58" w14:textId="77777777" w:rsidR="004B1A63" w:rsidRDefault="004B1A63" w:rsidP="00A16B61">
            <w:pPr>
              <w:pStyle w:val="TabellHode-rad"/>
            </w:pPr>
            <w:r>
              <w:t xml:space="preserve">OneWeb Norway </w:t>
            </w:r>
          </w:p>
        </w:tc>
        <w:tc>
          <w:tcPr>
            <w:tcW w:w="482" w:type="dxa"/>
          </w:tcPr>
          <w:p w14:paraId="3D9C272A" w14:textId="4139FD23" w:rsidR="004B1A63" w:rsidRDefault="004B1A63" w:rsidP="00A16B61">
            <w:pPr>
              <w:jc w:val="center"/>
            </w:pPr>
          </w:p>
        </w:tc>
        <w:tc>
          <w:tcPr>
            <w:tcW w:w="482" w:type="dxa"/>
          </w:tcPr>
          <w:p w14:paraId="2A973DE4" w14:textId="68B111E3" w:rsidR="004B1A63" w:rsidRDefault="004B1A63" w:rsidP="00A16B61">
            <w:pPr>
              <w:jc w:val="center"/>
            </w:pPr>
          </w:p>
        </w:tc>
        <w:tc>
          <w:tcPr>
            <w:tcW w:w="482" w:type="dxa"/>
          </w:tcPr>
          <w:p w14:paraId="072E202F" w14:textId="6C081A10" w:rsidR="004B1A63" w:rsidRDefault="004B1A63" w:rsidP="00A16B61">
            <w:pPr>
              <w:jc w:val="center"/>
            </w:pPr>
          </w:p>
        </w:tc>
        <w:tc>
          <w:tcPr>
            <w:tcW w:w="709" w:type="dxa"/>
          </w:tcPr>
          <w:p w14:paraId="0F956213" w14:textId="0DDCC789" w:rsidR="004B1A63" w:rsidRDefault="004B1A63" w:rsidP="00A16B61">
            <w:pPr>
              <w:jc w:val="center"/>
            </w:pPr>
          </w:p>
        </w:tc>
        <w:tc>
          <w:tcPr>
            <w:tcW w:w="482" w:type="dxa"/>
          </w:tcPr>
          <w:p w14:paraId="70E032D0" w14:textId="69DF7FA6" w:rsidR="004B1A63" w:rsidRDefault="004B1A63" w:rsidP="00A16B61">
            <w:pPr>
              <w:jc w:val="center"/>
            </w:pPr>
          </w:p>
        </w:tc>
        <w:tc>
          <w:tcPr>
            <w:tcW w:w="708" w:type="dxa"/>
          </w:tcPr>
          <w:p w14:paraId="640A5371" w14:textId="77777777" w:rsidR="004B1A63" w:rsidRDefault="004B1A63" w:rsidP="00A16B61">
            <w:pPr>
              <w:jc w:val="center"/>
            </w:pPr>
            <w:r>
              <w:t>X</w:t>
            </w:r>
          </w:p>
        </w:tc>
        <w:tc>
          <w:tcPr>
            <w:tcW w:w="482" w:type="dxa"/>
          </w:tcPr>
          <w:p w14:paraId="7B2FF5E1" w14:textId="3E30FBF1" w:rsidR="004B1A63" w:rsidRDefault="004B1A63" w:rsidP="00A16B61">
            <w:pPr>
              <w:jc w:val="center"/>
            </w:pPr>
          </w:p>
        </w:tc>
        <w:tc>
          <w:tcPr>
            <w:tcW w:w="482" w:type="dxa"/>
          </w:tcPr>
          <w:p w14:paraId="79F8C527" w14:textId="783E10F5" w:rsidR="004B1A63" w:rsidRDefault="004B1A63" w:rsidP="00A16B61">
            <w:pPr>
              <w:jc w:val="center"/>
            </w:pPr>
          </w:p>
        </w:tc>
        <w:tc>
          <w:tcPr>
            <w:tcW w:w="482" w:type="dxa"/>
          </w:tcPr>
          <w:p w14:paraId="57B0524B" w14:textId="001D80FE" w:rsidR="004B1A63" w:rsidRDefault="004B1A63" w:rsidP="00A16B61">
            <w:pPr>
              <w:jc w:val="center"/>
            </w:pPr>
          </w:p>
        </w:tc>
      </w:tr>
      <w:tr w:rsidR="00C26A9D" w14:paraId="2616F44E" w14:textId="77777777" w:rsidTr="00E5635F">
        <w:trPr>
          <w:trHeight w:val="311"/>
        </w:trPr>
        <w:tc>
          <w:tcPr>
            <w:tcW w:w="3146" w:type="dxa"/>
          </w:tcPr>
          <w:p w14:paraId="394EE503" w14:textId="77777777" w:rsidR="004B1A63" w:rsidRDefault="004B1A63" w:rsidP="00A16B61">
            <w:pPr>
              <w:pStyle w:val="TabellHode-rad"/>
            </w:pPr>
            <w:r>
              <w:t>Inmarsat Solutions</w:t>
            </w:r>
          </w:p>
        </w:tc>
        <w:tc>
          <w:tcPr>
            <w:tcW w:w="482" w:type="dxa"/>
          </w:tcPr>
          <w:p w14:paraId="22B46DE5" w14:textId="06EA38AA" w:rsidR="004B1A63" w:rsidRDefault="004B1A63" w:rsidP="00A16B61">
            <w:pPr>
              <w:jc w:val="center"/>
            </w:pPr>
          </w:p>
        </w:tc>
        <w:tc>
          <w:tcPr>
            <w:tcW w:w="482" w:type="dxa"/>
          </w:tcPr>
          <w:p w14:paraId="7EE8C0CE" w14:textId="628C8190" w:rsidR="004B1A63" w:rsidRDefault="004B1A63" w:rsidP="00A16B61">
            <w:pPr>
              <w:jc w:val="center"/>
            </w:pPr>
          </w:p>
        </w:tc>
        <w:tc>
          <w:tcPr>
            <w:tcW w:w="482" w:type="dxa"/>
          </w:tcPr>
          <w:p w14:paraId="42399E24" w14:textId="4353552F" w:rsidR="004B1A63" w:rsidRDefault="004B1A63" w:rsidP="00A16B61">
            <w:pPr>
              <w:jc w:val="center"/>
            </w:pPr>
          </w:p>
        </w:tc>
        <w:tc>
          <w:tcPr>
            <w:tcW w:w="709" w:type="dxa"/>
          </w:tcPr>
          <w:p w14:paraId="377495EF" w14:textId="6EF7BB7F" w:rsidR="004B1A63" w:rsidRDefault="004B1A63" w:rsidP="00A16B61">
            <w:pPr>
              <w:jc w:val="center"/>
            </w:pPr>
          </w:p>
        </w:tc>
        <w:tc>
          <w:tcPr>
            <w:tcW w:w="482" w:type="dxa"/>
          </w:tcPr>
          <w:p w14:paraId="0EA8B6E9" w14:textId="30E0E5A8" w:rsidR="004B1A63" w:rsidRDefault="004B1A63" w:rsidP="00A16B61">
            <w:pPr>
              <w:jc w:val="center"/>
            </w:pPr>
          </w:p>
        </w:tc>
        <w:tc>
          <w:tcPr>
            <w:tcW w:w="708" w:type="dxa"/>
          </w:tcPr>
          <w:p w14:paraId="797DCE40" w14:textId="77777777" w:rsidR="004B1A63" w:rsidRDefault="004B1A63" w:rsidP="00A16B61">
            <w:pPr>
              <w:jc w:val="center"/>
            </w:pPr>
            <w:r>
              <w:t>X</w:t>
            </w:r>
          </w:p>
        </w:tc>
        <w:tc>
          <w:tcPr>
            <w:tcW w:w="482" w:type="dxa"/>
          </w:tcPr>
          <w:p w14:paraId="6A5E63A2" w14:textId="3ED734E0" w:rsidR="004B1A63" w:rsidRDefault="004B1A63" w:rsidP="00A16B61">
            <w:pPr>
              <w:jc w:val="center"/>
            </w:pPr>
          </w:p>
        </w:tc>
        <w:tc>
          <w:tcPr>
            <w:tcW w:w="482" w:type="dxa"/>
          </w:tcPr>
          <w:p w14:paraId="42213DC1" w14:textId="61143CDB" w:rsidR="004B1A63" w:rsidRDefault="004B1A63" w:rsidP="00A16B61">
            <w:pPr>
              <w:jc w:val="center"/>
            </w:pPr>
          </w:p>
        </w:tc>
        <w:tc>
          <w:tcPr>
            <w:tcW w:w="482" w:type="dxa"/>
          </w:tcPr>
          <w:p w14:paraId="104AF147" w14:textId="606F8256" w:rsidR="004B1A63" w:rsidRDefault="004B1A63" w:rsidP="00A16B61">
            <w:pPr>
              <w:jc w:val="center"/>
            </w:pPr>
          </w:p>
        </w:tc>
      </w:tr>
      <w:tr w:rsidR="00C26A9D" w14:paraId="210DDDF5" w14:textId="77777777" w:rsidTr="00E5635F">
        <w:trPr>
          <w:trHeight w:val="311"/>
        </w:trPr>
        <w:tc>
          <w:tcPr>
            <w:tcW w:w="3146" w:type="dxa"/>
          </w:tcPr>
          <w:p w14:paraId="59A72110" w14:textId="77777777" w:rsidR="004B1A63" w:rsidRDefault="004B1A63" w:rsidP="00A16B61">
            <w:pPr>
              <w:pStyle w:val="TabellHode-rad"/>
            </w:pPr>
            <w:r>
              <w:lastRenderedPageBreak/>
              <w:t xml:space="preserve">Starlink Norway </w:t>
            </w:r>
          </w:p>
        </w:tc>
        <w:tc>
          <w:tcPr>
            <w:tcW w:w="482" w:type="dxa"/>
          </w:tcPr>
          <w:p w14:paraId="7BAC3CA6" w14:textId="30E802D9" w:rsidR="004B1A63" w:rsidRDefault="004B1A63" w:rsidP="00A16B61">
            <w:pPr>
              <w:jc w:val="center"/>
            </w:pPr>
          </w:p>
        </w:tc>
        <w:tc>
          <w:tcPr>
            <w:tcW w:w="482" w:type="dxa"/>
          </w:tcPr>
          <w:p w14:paraId="199FA458" w14:textId="4FC1FDFF" w:rsidR="004B1A63" w:rsidRDefault="004B1A63" w:rsidP="00A16B61">
            <w:pPr>
              <w:jc w:val="center"/>
            </w:pPr>
          </w:p>
        </w:tc>
        <w:tc>
          <w:tcPr>
            <w:tcW w:w="482" w:type="dxa"/>
          </w:tcPr>
          <w:p w14:paraId="1C707726" w14:textId="6039FE32" w:rsidR="004B1A63" w:rsidRDefault="004B1A63" w:rsidP="00A16B61">
            <w:pPr>
              <w:jc w:val="center"/>
            </w:pPr>
          </w:p>
        </w:tc>
        <w:tc>
          <w:tcPr>
            <w:tcW w:w="709" w:type="dxa"/>
          </w:tcPr>
          <w:p w14:paraId="2197A29B" w14:textId="2BD9A6D9" w:rsidR="004B1A63" w:rsidRDefault="004B1A63" w:rsidP="00A16B61">
            <w:pPr>
              <w:jc w:val="center"/>
            </w:pPr>
          </w:p>
        </w:tc>
        <w:tc>
          <w:tcPr>
            <w:tcW w:w="482" w:type="dxa"/>
          </w:tcPr>
          <w:p w14:paraId="5145D7D1" w14:textId="57E28EC6" w:rsidR="004B1A63" w:rsidRDefault="004B1A63" w:rsidP="00A16B61">
            <w:pPr>
              <w:jc w:val="center"/>
            </w:pPr>
          </w:p>
        </w:tc>
        <w:tc>
          <w:tcPr>
            <w:tcW w:w="708" w:type="dxa"/>
          </w:tcPr>
          <w:p w14:paraId="7F756003" w14:textId="77777777" w:rsidR="004B1A63" w:rsidRDefault="004B1A63" w:rsidP="00A16B61">
            <w:pPr>
              <w:jc w:val="center"/>
            </w:pPr>
            <w:r>
              <w:t>X</w:t>
            </w:r>
          </w:p>
        </w:tc>
        <w:tc>
          <w:tcPr>
            <w:tcW w:w="482" w:type="dxa"/>
          </w:tcPr>
          <w:p w14:paraId="54F1534B" w14:textId="298C27C2" w:rsidR="004B1A63" w:rsidRDefault="004B1A63" w:rsidP="00A16B61">
            <w:pPr>
              <w:jc w:val="center"/>
            </w:pPr>
          </w:p>
        </w:tc>
        <w:tc>
          <w:tcPr>
            <w:tcW w:w="482" w:type="dxa"/>
          </w:tcPr>
          <w:p w14:paraId="491535FE" w14:textId="00DE118D" w:rsidR="004B1A63" w:rsidRDefault="004B1A63" w:rsidP="00A16B61">
            <w:pPr>
              <w:jc w:val="center"/>
            </w:pPr>
          </w:p>
        </w:tc>
        <w:tc>
          <w:tcPr>
            <w:tcW w:w="482" w:type="dxa"/>
          </w:tcPr>
          <w:p w14:paraId="4DC531A1" w14:textId="6253FA0E" w:rsidR="004B1A63" w:rsidRDefault="004B1A63" w:rsidP="00A16B61">
            <w:pPr>
              <w:jc w:val="center"/>
            </w:pPr>
          </w:p>
        </w:tc>
      </w:tr>
      <w:tr w:rsidR="00C26A9D" w14:paraId="688BFCCE" w14:textId="77777777" w:rsidTr="00E5635F">
        <w:trPr>
          <w:trHeight w:hRule="exact" w:val="357"/>
        </w:trPr>
        <w:tc>
          <w:tcPr>
            <w:tcW w:w="7937" w:type="dxa"/>
            <w:gridSpan w:val="10"/>
          </w:tcPr>
          <w:p w14:paraId="2C08CC22" w14:textId="77777777" w:rsidR="004B1A63" w:rsidRDefault="004B1A63" w:rsidP="00A16B61">
            <w:pPr>
              <w:jc w:val="center"/>
              <w:rPr>
                <w:rFonts w:ascii="OpenSans-Italic" w:hAnsi="OpenSans-Italic"/>
              </w:rPr>
            </w:pPr>
          </w:p>
        </w:tc>
      </w:tr>
      <w:tr w:rsidR="00C26A9D" w14:paraId="01CA9959" w14:textId="77777777" w:rsidTr="00E5635F">
        <w:trPr>
          <w:trHeight w:val="311"/>
        </w:trPr>
        <w:tc>
          <w:tcPr>
            <w:tcW w:w="3146" w:type="dxa"/>
          </w:tcPr>
          <w:p w14:paraId="5D6E5D7A" w14:textId="77777777" w:rsidR="004B1A63" w:rsidRDefault="004B1A63" w:rsidP="00A16B61">
            <w:pPr>
              <w:pStyle w:val="TabellHode-rad"/>
            </w:pPr>
            <w:r>
              <w:t>Norid</w:t>
            </w:r>
          </w:p>
        </w:tc>
        <w:tc>
          <w:tcPr>
            <w:tcW w:w="482" w:type="dxa"/>
          </w:tcPr>
          <w:p w14:paraId="6E04E7B6" w14:textId="4AACCEE4" w:rsidR="004B1A63" w:rsidRDefault="004B1A63" w:rsidP="00A16B61">
            <w:pPr>
              <w:jc w:val="center"/>
            </w:pPr>
          </w:p>
        </w:tc>
        <w:tc>
          <w:tcPr>
            <w:tcW w:w="482" w:type="dxa"/>
          </w:tcPr>
          <w:p w14:paraId="4D3A1B84" w14:textId="6289E408" w:rsidR="004B1A63" w:rsidRDefault="004B1A63" w:rsidP="00A16B61">
            <w:pPr>
              <w:jc w:val="center"/>
            </w:pPr>
          </w:p>
        </w:tc>
        <w:tc>
          <w:tcPr>
            <w:tcW w:w="482" w:type="dxa"/>
          </w:tcPr>
          <w:p w14:paraId="493E6E18" w14:textId="5EFDF3A0" w:rsidR="004B1A63" w:rsidRDefault="004B1A63" w:rsidP="00A16B61">
            <w:pPr>
              <w:jc w:val="center"/>
            </w:pPr>
          </w:p>
        </w:tc>
        <w:tc>
          <w:tcPr>
            <w:tcW w:w="709" w:type="dxa"/>
          </w:tcPr>
          <w:p w14:paraId="7B127212" w14:textId="4F783078" w:rsidR="004B1A63" w:rsidRDefault="004B1A63" w:rsidP="00A16B61">
            <w:pPr>
              <w:jc w:val="center"/>
            </w:pPr>
          </w:p>
        </w:tc>
        <w:tc>
          <w:tcPr>
            <w:tcW w:w="482" w:type="dxa"/>
          </w:tcPr>
          <w:p w14:paraId="0DAF1733" w14:textId="50E84249" w:rsidR="004B1A63" w:rsidRDefault="004B1A63" w:rsidP="00A16B61">
            <w:pPr>
              <w:jc w:val="center"/>
            </w:pPr>
          </w:p>
        </w:tc>
        <w:tc>
          <w:tcPr>
            <w:tcW w:w="708" w:type="dxa"/>
          </w:tcPr>
          <w:p w14:paraId="1119C058" w14:textId="7943CA6D" w:rsidR="004B1A63" w:rsidRDefault="004B1A63" w:rsidP="00A16B61">
            <w:pPr>
              <w:jc w:val="center"/>
            </w:pPr>
          </w:p>
        </w:tc>
        <w:tc>
          <w:tcPr>
            <w:tcW w:w="482" w:type="dxa"/>
          </w:tcPr>
          <w:p w14:paraId="23F4A804" w14:textId="38B9A49E" w:rsidR="004B1A63" w:rsidRDefault="004B1A63" w:rsidP="00A16B61">
            <w:pPr>
              <w:jc w:val="center"/>
            </w:pPr>
          </w:p>
        </w:tc>
        <w:tc>
          <w:tcPr>
            <w:tcW w:w="482" w:type="dxa"/>
          </w:tcPr>
          <w:p w14:paraId="7BDE7632" w14:textId="77777777" w:rsidR="004B1A63" w:rsidRDefault="004B1A63" w:rsidP="00A16B61">
            <w:pPr>
              <w:jc w:val="center"/>
            </w:pPr>
            <w:r>
              <w:t>X</w:t>
            </w:r>
          </w:p>
        </w:tc>
        <w:tc>
          <w:tcPr>
            <w:tcW w:w="482" w:type="dxa"/>
          </w:tcPr>
          <w:p w14:paraId="206946B7" w14:textId="44ED2654" w:rsidR="004B1A63" w:rsidRDefault="004B1A63" w:rsidP="00A16B61">
            <w:pPr>
              <w:jc w:val="center"/>
            </w:pPr>
          </w:p>
        </w:tc>
      </w:tr>
      <w:tr w:rsidR="00C26A9D" w14:paraId="19CABFD8" w14:textId="77777777" w:rsidTr="00E5635F">
        <w:trPr>
          <w:trHeight w:val="311"/>
        </w:trPr>
        <w:tc>
          <w:tcPr>
            <w:tcW w:w="3146" w:type="dxa"/>
          </w:tcPr>
          <w:p w14:paraId="5469AE04" w14:textId="77777777" w:rsidR="004B1A63" w:rsidRDefault="004B1A63" w:rsidP="00A16B61">
            <w:pPr>
              <w:pStyle w:val="TabellHode-rad"/>
            </w:pPr>
            <w:r>
              <w:t>NRDB</w:t>
            </w:r>
          </w:p>
        </w:tc>
        <w:tc>
          <w:tcPr>
            <w:tcW w:w="482" w:type="dxa"/>
          </w:tcPr>
          <w:p w14:paraId="7545C29E" w14:textId="58E431B1" w:rsidR="004B1A63" w:rsidRDefault="004B1A63" w:rsidP="00A16B61">
            <w:pPr>
              <w:jc w:val="center"/>
            </w:pPr>
          </w:p>
        </w:tc>
        <w:tc>
          <w:tcPr>
            <w:tcW w:w="482" w:type="dxa"/>
          </w:tcPr>
          <w:p w14:paraId="10481F36" w14:textId="45533096" w:rsidR="004B1A63" w:rsidRDefault="004B1A63" w:rsidP="00A16B61">
            <w:pPr>
              <w:jc w:val="center"/>
            </w:pPr>
          </w:p>
        </w:tc>
        <w:tc>
          <w:tcPr>
            <w:tcW w:w="482" w:type="dxa"/>
          </w:tcPr>
          <w:p w14:paraId="39E21F2D" w14:textId="237BC9CE" w:rsidR="004B1A63" w:rsidRDefault="004B1A63" w:rsidP="00A16B61">
            <w:pPr>
              <w:jc w:val="center"/>
            </w:pPr>
          </w:p>
        </w:tc>
        <w:tc>
          <w:tcPr>
            <w:tcW w:w="709" w:type="dxa"/>
          </w:tcPr>
          <w:p w14:paraId="32D2E2E8" w14:textId="5EF9991C" w:rsidR="004B1A63" w:rsidRDefault="004B1A63" w:rsidP="00A16B61">
            <w:pPr>
              <w:jc w:val="center"/>
            </w:pPr>
          </w:p>
        </w:tc>
        <w:tc>
          <w:tcPr>
            <w:tcW w:w="482" w:type="dxa"/>
          </w:tcPr>
          <w:p w14:paraId="5F57A4CA" w14:textId="2873A6A2" w:rsidR="004B1A63" w:rsidRDefault="004B1A63" w:rsidP="00A16B61">
            <w:pPr>
              <w:jc w:val="center"/>
            </w:pPr>
          </w:p>
        </w:tc>
        <w:tc>
          <w:tcPr>
            <w:tcW w:w="708" w:type="dxa"/>
          </w:tcPr>
          <w:p w14:paraId="4059B04D" w14:textId="77CC580F" w:rsidR="004B1A63" w:rsidRDefault="004B1A63" w:rsidP="00A16B61">
            <w:pPr>
              <w:jc w:val="center"/>
            </w:pPr>
          </w:p>
        </w:tc>
        <w:tc>
          <w:tcPr>
            <w:tcW w:w="482" w:type="dxa"/>
          </w:tcPr>
          <w:p w14:paraId="4BCD486C" w14:textId="755B3507" w:rsidR="004B1A63" w:rsidRDefault="004B1A63" w:rsidP="00A16B61">
            <w:pPr>
              <w:jc w:val="center"/>
            </w:pPr>
          </w:p>
        </w:tc>
        <w:tc>
          <w:tcPr>
            <w:tcW w:w="482" w:type="dxa"/>
          </w:tcPr>
          <w:p w14:paraId="1D6037E5" w14:textId="77777777" w:rsidR="004B1A63" w:rsidRDefault="004B1A63" w:rsidP="00A16B61">
            <w:pPr>
              <w:jc w:val="center"/>
            </w:pPr>
            <w:r>
              <w:t>X</w:t>
            </w:r>
          </w:p>
        </w:tc>
        <w:tc>
          <w:tcPr>
            <w:tcW w:w="482" w:type="dxa"/>
          </w:tcPr>
          <w:p w14:paraId="0F4D0BCF" w14:textId="470E37DE" w:rsidR="004B1A63" w:rsidRDefault="004B1A63" w:rsidP="00A16B61">
            <w:pPr>
              <w:jc w:val="center"/>
            </w:pPr>
          </w:p>
        </w:tc>
      </w:tr>
      <w:tr w:rsidR="00C26A9D" w14:paraId="488F45F0" w14:textId="77777777" w:rsidTr="00E5635F">
        <w:trPr>
          <w:trHeight w:val="311"/>
        </w:trPr>
        <w:tc>
          <w:tcPr>
            <w:tcW w:w="3146" w:type="dxa"/>
          </w:tcPr>
          <w:p w14:paraId="122E8B6D" w14:textId="77777777" w:rsidR="004B1A63" w:rsidRDefault="004B1A63" w:rsidP="00A16B61">
            <w:pPr>
              <w:pStyle w:val="TabellHode-rad"/>
            </w:pPr>
            <w:r>
              <w:t>Norwegian Internet Exchange (IX)</w:t>
            </w:r>
          </w:p>
        </w:tc>
        <w:tc>
          <w:tcPr>
            <w:tcW w:w="482" w:type="dxa"/>
          </w:tcPr>
          <w:p w14:paraId="1EA792CA" w14:textId="77777777" w:rsidR="004B1A63" w:rsidRDefault="004B1A63" w:rsidP="00A16B61">
            <w:pPr>
              <w:jc w:val="center"/>
              <w:rPr>
                <w:rFonts w:ascii="OpenSans-Italic" w:hAnsi="OpenSans-Italic"/>
              </w:rPr>
            </w:pPr>
          </w:p>
        </w:tc>
        <w:tc>
          <w:tcPr>
            <w:tcW w:w="482" w:type="dxa"/>
          </w:tcPr>
          <w:p w14:paraId="1DB72015" w14:textId="77777777" w:rsidR="004B1A63" w:rsidRDefault="004B1A63" w:rsidP="00A16B61">
            <w:pPr>
              <w:jc w:val="center"/>
              <w:rPr>
                <w:rFonts w:ascii="OpenSans-Italic" w:hAnsi="OpenSans-Italic"/>
              </w:rPr>
            </w:pPr>
          </w:p>
        </w:tc>
        <w:tc>
          <w:tcPr>
            <w:tcW w:w="482" w:type="dxa"/>
          </w:tcPr>
          <w:p w14:paraId="15569129" w14:textId="77777777" w:rsidR="004B1A63" w:rsidRDefault="004B1A63" w:rsidP="00A16B61">
            <w:pPr>
              <w:jc w:val="center"/>
              <w:rPr>
                <w:rFonts w:ascii="OpenSans-Italic" w:hAnsi="OpenSans-Italic"/>
              </w:rPr>
            </w:pPr>
          </w:p>
        </w:tc>
        <w:tc>
          <w:tcPr>
            <w:tcW w:w="709" w:type="dxa"/>
          </w:tcPr>
          <w:p w14:paraId="350B88F8" w14:textId="77777777" w:rsidR="004B1A63" w:rsidRDefault="004B1A63" w:rsidP="00A16B61">
            <w:pPr>
              <w:jc w:val="center"/>
              <w:rPr>
                <w:rFonts w:ascii="OpenSans-Italic" w:hAnsi="OpenSans-Italic"/>
              </w:rPr>
            </w:pPr>
          </w:p>
        </w:tc>
        <w:tc>
          <w:tcPr>
            <w:tcW w:w="482" w:type="dxa"/>
          </w:tcPr>
          <w:p w14:paraId="169258FB" w14:textId="77777777" w:rsidR="004B1A63" w:rsidRDefault="004B1A63" w:rsidP="00A16B61">
            <w:pPr>
              <w:jc w:val="center"/>
              <w:rPr>
                <w:rFonts w:ascii="OpenSans-Italic" w:hAnsi="OpenSans-Italic"/>
              </w:rPr>
            </w:pPr>
          </w:p>
        </w:tc>
        <w:tc>
          <w:tcPr>
            <w:tcW w:w="708" w:type="dxa"/>
          </w:tcPr>
          <w:p w14:paraId="076C4238" w14:textId="77777777" w:rsidR="004B1A63" w:rsidRDefault="004B1A63" w:rsidP="00A16B61">
            <w:pPr>
              <w:jc w:val="center"/>
              <w:rPr>
                <w:rFonts w:ascii="OpenSans-Italic" w:hAnsi="OpenSans-Italic"/>
              </w:rPr>
            </w:pPr>
          </w:p>
        </w:tc>
        <w:tc>
          <w:tcPr>
            <w:tcW w:w="482" w:type="dxa"/>
          </w:tcPr>
          <w:p w14:paraId="5F351830" w14:textId="77777777" w:rsidR="004B1A63" w:rsidRDefault="004B1A63" w:rsidP="00A16B61">
            <w:pPr>
              <w:jc w:val="center"/>
              <w:rPr>
                <w:rFonts w:ascii="OpenSans-Italic" w:hAnsi="OpenSans-Italic"/>
              </w:rPr>
            </w:pPr>
          </w:p>
        </w:tc>
        <w:tc>
          <w:tcPr>
            <w:tcW w:w="482" w:type="dxa"/>
          </w:tcPr>
          <w:p w14:paraId="12EDCBF9" w14:textId="77777777" w:rsidR="004B1A63" w:rsidRDefault="004B1A63" w:rsidP="00A16B61">
            <w:pPr>
              <w:jc w:val="center"/>
              <w:rPr>
                <w:rFonts w:ascii="OpenSans-Italic" w:hAnsi="OpenSans-Italic"/>
              </w:rPr>
            </w:pPr>
          </w:p>
        </w:tc>
        <w:tc>
          <w:tcPr>
            <w:tcW w:w="482" w:type="dxa"/>
          </w:tcPr>
          <w:p w14:paraId="47B6BD76" w14:textId="77777777" w:rsidR="004B1A63" w:rsidRDefault="004B1A63" w:rsidP="00A16B61">
            <w:pPr>
              <w:jc w:val="center"/>
            </w:pPr>
            <w:r>
              <w:t>X</w:t>
            </w:r>
          </w:p>
        </w:tc>
      </w:tr>
    </w:tbl>
    <w:p w14:paraId="7343E377" w14:textId="77777777" w:rsidR="004B1A63" w:rsidRDefault="004B1A63">
      <w:pPr>
        <w:pStyle w:val="Overskrift2"/>
        <w:spacing w:before="680"/>
      </w:pPr>
      <w:r>
        <w:t>Innspill fra relevante sektormyndigheter</w:t>
      </w:r>
    </w:p>
    <w:p w14:paraId="0E7A32E3" w14:textId="77777777" w:rsidR="004B1A63" w:rsidRDefault="004B1A63" w:rsidP="006F4031">
      <w:r>
        <w:t>Utvalget har forelagt tilnærmingen beskrevet over for NSM, DSB og Nkom. Utvalget har bedt om synspunkt på om infrastrukturkategoriene og identifiserte virksomheter er dekkende for formålet etter deres syn, eventuelt om de har forslag til endringer.</w:t>
      </w:r>
    </w:p>
    <w:p w14:paraId="00FEDC40" w14:textId="77777777" w:rsidR="004B1A63" w:rsidRDefault="004B1A63">
      <w:r>
        <w:t>NSM og DSB mener begge at infrastrukturkategoriene og identifiserte virksomheter virker hensiktsmessig for formålet.</w:t>
      </w:r>
    </w:p>
    <w:p w14:paraId="4C54360D" w14:textId="77777777" w:rsidR="004B1A63" w:rsidRDefault="004B1A63">
      <w:r>
        <w:t>Når det gjelder infrastrukturkategorier påpeker Nkom at utvalget kunne supplert denne listen med tjenester som autentiserer og sikrer transaksjoner, såkalte tillitstjenester. Utvalget mener at dette er viktige tjenester, men at de ligger utenfor rammen av utvalgtes definisjon av kritisk digital kommunikasjonsinfrastruktur. Utvalget omtaler likevel disse tjenestene i kapittel 13.4. Videre påpeker Nkom kritikaliteten knyttet til tidssynkronisering av ekomnett som en sentral funksjon for stabil tjenesteproduksjon. Utvalget ser nærmere på tidssynkronisering i kapittel 11.6, og også i kapittel 13.5.</w:t>
      </w:r>
    </w:p>
    <w:p w14:paraId="55AA7068" w14:textId="45C3DF77" w:rsidR="004B1A63" w:rsidRDefault="004B1A63">
      <w:r>
        <w:t xml:space="preserve">Nkom har også supplerende forslag til aktører som eier infrastruktur i kategoriene utvalget har lagt til grunn, men sier samtidig at: </w:t>
      </w:r>
      <w:r w:rsidR="00015951">
        <w:t>«</w:t>
      </w:r>
      <w:r w:rsidRPr="00015951">
        <w:rPr>
          <w:rStyle w:val="kursiv"/>
        </w:rPr>
        <w:t>Listen over selskaper ser ut til å omfatte en stor andel av aktører som det vil være naturlig for utvalget å ha dialog med, gitt mandatets formulering. En kan alltids utvide til flere aktører, men Nkom antar at det er trukket en grense ut fra hva som er praktisk mulig å håndtere innenfor utvalgets tidsrammer, samt hva en definerer som digital samfunnskritisk infrastruktur.</w:t>
      </w:r>
      <w:r w:rsidR="00015951" w:rsidRPr="00015951">
        <w:rPr>
          <w:rStyle w:val="kursiv"/>
        </w:rPr>
        <w:t>»</w:t>
      </w:r>
    </w:p>
    <w:p w14:paraId="06A7295D" w14:textId="77777777" w:rsidR="004B1A63" w:rsidRDefault="004B1A63">
      <w:r>
        <w:t>Utvalget oppfatter på denne bakgrunn at relevante sektormyndigheter i stor grad støtter utvalgtes tilnærming og at de identifiserte selskapene gir tilstrekkelig representativitet, selv om listen ikke er uttømmende.</w:t>
      </w:r>
    </w:p>
    <w:p w14:paraId="55EA979F" w14:textId="77777777" w:rsidR="004B1A63" w:rsidRDefault="004B1A63">
      <w:r>
        <w:t>Utvalget har videre ønsket å klargjøre sektormyndighetenes eventuelle rolle knyttet til å definere og vedlikeholde oversikt over kritisk digital kommunikasjonsinfrastruktur i dag, utover arbeidet med grunnleggende nasjonale funksjoner etter sikkerhetsloven. Utvalget ønsket også synspunkter på om det er behov for at noen har et slikt dedikert ansvar, dersom dette ikke er tilfelle i dag.</w:t>
      </w:r>
    </w:p>
    <w:p w14:paraId="23C78980" w14:textId="5F65AB9D" w:rsidR="004B1A63" w:rsidRDefault="004B1A63">
      <w:r>
        <w:t>På bakgrunn av tilbakemeldingene legger utvalget til grunn at ingen av de relevante sektormyndighetene har et dedikert ansvar for å definere og vedlikeholde en helhetlig oversikt over all kritisk digital kommunikasjonsinfrastruktur i dag. Når det gjelder behovet for dette påpeker DSB at når nye EØS-</w:t>
      </w:r>
      <w:r>
        <w:lastRenderedPageBreak/>
        <w:t>relevante regelverk som CER</w:t>
      </w:r>
      <w:r w:rsidR="00015951" w:rsidRPr="00015951">
        <w:rPr>
          <w:rStyle w:val="Fotnotereferanse"/>
        </w:rPr>
        <w:footnoteReference w:id="58"/>
      </w:r>
      <w:r>
        <w:t>- og NIS2</w:t>
      </w:r>
      <w:r w:rsidR="00015951" w:rsidRPr="00015951">
        <w:rPr>
          <w:rStyle w:val="Fotnotereferanse"/>
        </w:rPr>
        <w:footnoteReference w:id="59"/>
      </w:r>
      <w:r>
        <w:t>-direktivet er implementert i norsk rett, kan dette gi føringer for offentlige myndigheter når det gjelder å definere og vedlikeholde oversikt over kritisk digital kommunikasjonsinfrastruktur.</w:t>
      </w:r>
    </w:p>
    <w:p w14:paraId="38F2CC11" w14:textId="77777777" w:rsidR="004B1A63" w:rsidRDefault="004B1A63">
      <w:r>
        <w:t>Nkom påpeker at de som sektormyndighet har bred oversikt over aktørbildet, herunder også viktige aktører som ikke er utpekt etter sikkerhetsloven. De beskriver et sett med tilsynsoppgaver og regelverk som til sammen gjør at tilsynet mener å ha tilstrekkelig oversikt og informasjonstilgang knyttet til kritisk digital kommunikasjonsinfrastruktur. Samtidig påpeker de at en sammenstilling av eksisterende informasjon i et eventuelt register vil gi en høyere informasjonsrisiko, og også merarbeid med vedlikehold av informasjonen. Nkom mener derfor at det ikke er hensiktsmessig å etablere en egen samlet oversikt over kritisk infrastruktur, utover det som nå blir registrert.</w:t>
      </w:r>
    </w:p>
    <w:p w14:paraId="558B767A" w14:textId="77777777" w:rsidR="004B1A63" w:rsidRPr="00015951" w:rsidRDefault="004B1A63">
      <w:pPr>
        <w:rPr>
          <w:rStyle w:val="kursiv"/>
        </w:rPr>
      </w:pPr>
      <w:r>
        <w:t>Ingen av de relevante sektormyndighetene har i dag et dedikert ansvar for å definere og vedlikeholde helhetlig oversikt over kritisk digital kommunikasjonsinfrastruktur og selskapene som eier denne. Utvalget oppfatter at relevant informasjon i stor grad allerede finnes og fortløpende blir generert gjennom Nkoms gjennomføring av tilsynets samfunnsoppdrag. Eksisterende informasjon og oppdatering av denne er imidlertid ikke strukturert slik at den er egnet til å gi en slik helhetlig oversikt. Utvalget kommer tilbake til behovet for en slik oversikt i kapittel 11.</w:t>
      </w:r>
    </w:p>
    <w:p w14:paraId="624CF90A" w14:textId="77777777" w:rsidR="004B1A63" w:rsidRDefault="004B1A63" w:rsidP="00702AE0">
      <w:pPr>
        <w:pStyle w:val="Overskrift1"/>
      </w:pPr>
      <w:r>
        <w:t>Dagens eierstrukturer</w:t>
      </w:r>
    </w:p>
    <w:p w14:paraId="2821774C" w14:textId="1A9EF6E0" w:rsidR="0016021B" w:rsidRPr="0016021B" w:rsidRDefault="004B4E04" w:rsidP="0016021B">
      <w:r>
        <w:rPr>
          <w:noProof/>
        </w:rPr>
        <w:drawing>
          <wp:inline distT="0" distB="0" distL="0" distR="0" wp14:anchorId="0A135CDC" wp14:editId="45A30E5A">
            <wp:extent cx="3657600" cy="2581275"/>
            <wp:effectExtent l="0" t="0" r="0" b="0"/>
            <wp:docPr id="12" name="Bilde 27" descr="Bilde av datakabler som er koblet inn i data-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27" descr="Bilde av datakabler som er koblet inn i data-rac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3DFAE2DA" w14:textId="77777777" w:rsidR="004B1A63" w:rsidRDefault="004B1A63">
      <w:pPr>
        <w:pStyle w:val="Overskrift2"/>
      </w:pPr>
      <w:r>
        <w:lastRenderedPageBreak/>
        <w:t>Om kapittelet</w:t>
      </w:r>
    </w:p>
    <w:p w14:paraId="5CDDA673" w14:textId="77777777" w:rsidR="004B1A63" w:rsidRDefault="004B1A63" w:rsidP="006F4031">
      <w:r>
        <w:t>Kapittel 6 gir en overordnet oversikt over dagens eierforhold og eierstrukturer i selskaper som eier eller kontrollerer kritisk digital kommunikasjonsinfrastruktur i Norge, eller selskaper som er av avgjørende betydning for utbygging, vedlikehold eller drift av infrastrukturen.</w:t>
      </w:r>
    </w:p>
    <w:p w14:paraId="3E478123" w14:textId="77777777" w:rsidR="004B1A63" w:rsidRDefault="004B1A63">
      <w:r>
        <w:t>Listen av kartlagte selskaper er utarbeidet på bakgrunn av utvalgets kjennskap til ekomsektoren og innspill fra Nkom. Dette er de samme selskapene utvalget har identifisert og omtalt i kapittel 5 over. Utvelgelse av underleverandører er basert på tilbakemeldinger utvalget mottok i forbindelse med en spørreundersøkelse utvalget gjennomførte våren 2024. Her ble aktørene bedt om å navngi noen sentrale leverandører i ekomsektoren, hvorpå utvalget har plukket ut noen som er gjenstand for kartlegging. Utvalget ga et oppdrag til Menon Economics (Menon) om å lage en oversikt over eierstrukturer og eierforhold i selskaper som utvalget har identifisert.</w:t>
      </w:r>
    </w:p>
    <w:p w14:paraId="5832031D" w14:textId="77777777" w:rsidR="004B1A63" w:rsidRDefault="004B1A63">
      <w:r>
        <w:t>Informasjonen som gjengis i dette kapittelet er i hovedsak et konsentrat av informasjon Menon har skaffet til veie for utvalget. Kartleggingen gir et øyeblikksbilde av eierforhold og eierstrukturer i disse virksomhetene og kan brukes til å identifisere potensielle problemområder knyttet til utenlandskdominerte eierforhold.</w:t>
      </w:r>
    </w:p>
    <w:p w14:paraId="11AE62DA" w14:textId="77777777" w:rsidR="004B1A63" w:rsidRDefault="004B1A63">
      <w:pPr>
        <w:pStyle w:val="Overskrift2"/>
      </w:pPr>
      <w:r>
        <w:t>Status for nasjonal kontroll gjennom eierskap</w:t>
      </w:r>
    </w:p>
    <w:p w14:paraId="6A130D93" w14:textId="77777777" w:rsidR="004B1A63" w:rsidRDefault="004B1A63">
      <w:pPr>
        <w:pStyle w:val="Overskrift3"/>
      </w:pPr>
      <w:r>
        <w:t>Ulike eierformer og typer eiere</w:t>
      </w:r>
    </w:p>
    <w:p w14:paraId="77FCAC12" w14:textId="77777777" w:rsidR="004B1A63" w:rsidRDefault="004B1A63">
      <w:r>
        <w:t>Menons kartlegging viser at det er en betydelig variasjon i selskapene som eier og forvalter kritisk digital kommunikasjonsinfrastruktur i Norge i dag. Selskapene som undersøkes er alt fra mindre lokale aktører til store internasjonale konsern. Det er eiere av satellitter som Kongsberg Satellite Services AS, datasentre som Green Mountain AS, og virksomheter som Telenor ASA som omsetter for titalls milliarder kroner hvert år. Mindre virksomheter som KystTele AS som omsetter for under 20 millioner kroner er også omfattet av undersøkelsen. Samtlige kartlagte selskaper er aksjeselskap, med unntak av Telenor ASA som er allmennaksjeselskap og De-Cix Management GmbH, som er et tysk selskap som tilsvarer den norske selskapsformen aksjeselskap, og som i Norge er registrert som et NUF.</w:t>
      </w:r>
    </w:p>
    <w:p w14:paraId="33622F6B" w14:textId="049236C5" w:rsidR="004B1A63" w:rsidRDefault="004B1A63">
      <w:r>
        <w:t>Majoriteten av selskapene har enten norske offentlige eiere som stat, fylke og kommune (for eksempel Lyse, Telenor) eller utenlandske eiere (for eksempel Telia, GlobalConnect). Omfanget av norsk personlig eierskap og øvrige småaksjonærer (aksjonærer med mindre enn 5 prosent eierskap), er begrenset.</w:t>
      </w:r>
      <w:r w:rsidR="00015951" w:rsidRPr="00015951">
        <w:rPr>
          <w:rStyle w:val="Fotnotereferanse"/>
        </w:rPr>
        <w:footnoteReference w:id="60"/>
      </w:r>
    </w:p>
    <w:p w14:paraId="58C1DF88" w14:textId="77777777" w:rsidR="004B1A63" w:rsidRDefault="004B1A63">
      <w:pPr>
        <w:pStyle w:val="Overskrift3"/>
      </w:pPr>
      <w:r>
        <w:lastRenderedPageBreak/>
        <w:t>Kartlagte selskaper</w:t>
      </w:r>
    </w:p>
    <w:p w14:paraId="20A93F12" w14:textId="77777777" w:rsidR="004B1A63" w:rsidRDefault="004B1A63">
      <w:r>
        <w:t>Menon har i sin analyse kartlagt eierskapet i totalt 50 selskaper som eier kritisk digital kommunikasjonsinfrastruktur eller som er viktige underleverandører til disse. Underleverandører inkluderer både entreprenører og leverandører som er av avgjørende betydning for utbygging, drift og vedlikehold av infrastrukturen, samt enkelte viktige utstyrsleverandører.</w:t>
      </w:r>
    </w:p>
    <w:p w14:paraId="17E56724" w14:textId="77777777" w:rsidR="004B1A63" w:rsidRDefault="004B1A63">
      <w:r>
        <w:t>De to tabellene nedenfor gir en oversikt over selskapene Menon har kartlagt, med en kort beskrivelse av den enkelte virksomhet. Den første tabellen under, tabell 6.1, gir oversikt over infrastruktureiere, mens tabell 6.2 inneholder informasjon om viktige underleverandører for kritisk digital kommunikasjonsinfrastruktur. For underleverandører fremgår det i tillegg hvilke selskaper som har vært gjenstand for enten en begrenset kartlegging av eierskapet (kun norske aksjonærregistre) og de selskapene der man har kartlagt eierskap så langt som mulig for å avdekke ultimat eier (på samme måte for infrastruktureierne).</w:t>
      </w:r>
    </w:p>
    <w:p w14:paraId="56B27C23" w14:textId="77777777" w:rsidR="004B1A63" w:rsidRDefault="004B1A63">
      <w:r>
        <w:t>Selskapsbeskrivelsene i begge tabellene er offentlig tilgjengelig og hentet fra Brønnøysundregistrene og lignende.</w:t>
      </w:r>
    </w:p>
    <w:p w14:paraId="18511D10" w14:textId="1E78D223" w:rsidR="004B1A63" w:rsidRDefault="004B1A63">
      <w:pPr>
        <w:pStyle w:val="tabell-tittel"/>
      </w:pPr>
      <w:r>
        <w:t>Oversikt over eiere og forvaltere av kritisk digital infrastruktur</w:t>
      </w:r>
    </w:p>
    <w:tbl>
      <w:tblPr>
        <w:tblStyle w:val="StandardTabell"/>
        <w:tblW w:w="0" w:type="auto"/>
        <w:tblLayout w:type="fixed"/>
        <w:tblLook w:val="04A0" w:firstRow="1" w:lastRow="0" w:firstColumn="1" w:lastColumn="0" w:noHBand="0" w:noVBand="1"/>
      </w:tblPr>
      <w:tblGrid>
        <w:gridCol w:w="2268"/>
        <w:gridCol w:w="5669"/>
      </w:tblGrid>
      <w:tr w:rsidR="00C26A9D" w14:paraId="338C8E2C" w14:textId="77777777" w:rsidTr="00702AE0">
        <w:trPr>
          <w:trHeight w:val="311"/>
        </w:trPr>
        <w:tc>
          <w:tcPr>
            <w:tcW w:w="2268" w:type="dxa"/>
          </w:tcPr>
          <w:p w14:paraId="7AD4BA30" w14:textId="77777777" w:rsidR="004B1A63" w:rsidRDefault="004B1A63" w:rsidP="00596BCD">
            <w:pPr>
              <w:pStyle w:val="TabellHode-kolonne"/>
            </w:pPr>
            <w:r>
              <w:t>Selskap</w:t>
            </w:r>
          </w:p>
        </w:tc>
        <w:tc>
          <w:tcPr>
            <w:tcW w:w="5669" w:type="dxa"/>
          </w:tcPr>
          <w:p w14:paraId="4DF7B94D" w14:textId="77777777" w:rsidR="004B1A63" w:rsidRDefault="004B1A63" w:rsidP="00596BCD">
            <w:pPr>
              <w:pStyle w:val="TabellHode-kolonne"/>
            </w:pPr>
            <w:r>
              <w:t>Beskrivelse</w:t>
            </w:r>
          </w:p>
        </w:tc>
      </w:tr>
      <w:tr w:rsidR="00C26A9D" w14:paraId="0E6A3AE0" w14:textId="77777777" w:rsidTr="00702AE0">
        <w:trPr>
          <w:trHeight w:val="311"/>
        </w:trPr>
        <w:tc>
          <w:tcPr>
            <w:tcW w:w="2268" w:type="dxa"/>
          </w:tcPr>
          <w:p w14:paraId="3237079A" w14:textId="77777777" w:rsidR="004B1A63" w:rsidRDefault="004B1A63" w:rsidP="00596BCD">
            <w:pPr>
              <w:pStyle w:val="TabellHode-rad"/>
            </w:pPr>
            <w:r>
              <w:t>Arelion Norway AS</w:t>
            </w:r>
          </w:p>
        </w:tc>
        <w:tc>
          <w:tcPr>
            <w:tcW w:w="5669" w:type="dxa"/>
          </w:tcPr>
          <w:p w14:paraId="042B5BB7" w14:textId="77777777" w:rsidR="004B1A63" w:rsidRDefault="004B1A63" w:rsidP="00596BCD">
            <w:r>
              <w:t xml:space="preserve">Selskapet etablerer og driver telenett, både jordbundne og eterbaserte. Selskapet tilbyr også transmisjonstjenester og andre telekommunikasjonstjenester. Kilde: </w:t>
            </w:r>
            <w:hyperlink r:id="rId24" w:history="1">
              <w:r>
                <w:rPr>
                  <w:rStyle w:val="Hyperkobling"/>
                  <w:sz w:val="17"/>
                  <w:szCs w:val="17"/>
                </w:rPr>
                <w:t>Brønnøysundregistrene</w:t>
              </w:r>
            </w:hyperlink>
          </w:p>
        </w:tc>
      </w:tr>
      <w:tr w:rsidR="00C26A9D" w14:paraId="4F445EA0" w14:textId="77777777" w:rsidTr="00702AE0">
        <w:trPr>
          <w:trHeight w:val="311"/>
        </w:trPr>
        <w:tc>
          <w:tcPr>
            <w:tcW w:w="2268" w:type="dxa"/>
          </w:tcPr>
          <w:p w14:paraId="1C614A1E" w14:textId="77777777" w:rsidR="004B1A63" w:rsidRDefault="004B1A63" w:rsidP="00596BCD">
            <w:pPr>
              <w:pStyle w:val="TabellHode-rad"/>
            </w:pPr>
            <w:r>
              <w:t>Bredbåndsfylket AS</w:t>
            </w:r>
          </w:p>
        </w:tc>
        <w:tc>
          <w:tcPr>
            <w:tcW w:w="5669" w:type="dxa"/>
          </w:tcPr>
          <w:p w14:paraId="5B6510DA" w14:textId="77777777" w:rsidR="004B1A63" w:rsidRDefault="004B1A63" w:rsidP="00596BCD">
            <w:r>
              <w:t xml:space="preserve">Selskapet eier og drifter nettverk for kommunene i Troms og Finnmark, og yter tilknyttede tjenester. Kilde: </w:t>
            </w:r>
            <w:hyperlink r:id="rId25" w:history="1">
              <w:r>
                <w:rPr>
                  <w:rStyle w:val="Hyperkobling"/>
                  <w:sz w:val="17"/>
                  <w:szCs w:val="17"/>
                </w:rPr>
                <w:t>Bredbåndsfylket</w:t>
              </w:r>
            </w:hyperlink>
          </w:p>
        </w:tc>
      </w:tr>
      <w:tr w:rsidR="00C26A9D" w14:paraId="6D8506BA" w14:textId="77777777" w:rsidTr="00702AE0">
        <w:trPr>
          <w:trHeight w:val="311"/>
        </w:trPr>
        <w:tc>
          <w:tcPr>
            <w:tcW w:w="2268" w:type="dxa"/>
          </w:tcPr>
          <w:p w14:paraId="0CEEFB64" w14:textId="77777777" w:rsidR="004B1A63" w:rsidRDefault="004B1A63" w:rsidP="00596BCD">
            <w:pPr>
              <w:pStyle w:val="TabellHode-rad"/>
            </w:pPr>
            <w:r>
              <w:t>Bulk Infrastructure Holding AS</w:t>
            </w:r>
          </w:p>
        </w:tc>
        <w:tc>
          <w:tcPr>
            <w:tcW w:w="5669" w:type="dxa"/>
          </w:tcPr>
          <w:p w14:paraId="472EE7F2" w14:textId="77777777" w:rsidR="004B1A63" w:rsidRDefault="004B1A63" w:rsidP="00596BCD">
            <w:r>
              <w:t xml:space="preserve">Selskapet etablerer, utvikler og drifter datasentre, fibernettverk og industrirelatert eiendom. Kilde: </w:t>
            </w:r>
            <w:hyperlink r:id="rId26" w:history="1">
              <w:r>
                <w:rPr>
                  <w:rStyle w:val="Hyperkobling"/>
                  <w:sz w:val="17"/>
                  <w:szCs w:val="17"/>
                </w:rPr>
                <w:t>Bulk Infrastructure</w:t>
              </w:r>
            </w:hyperlink>
          </w:p>
        </w:tc>
      </w:tr>
      <w:tr w:rsidR="00C26A9D" w14:paraId="52A699C4" w14:textId="77777777" w:rsidTr="00702AE0">
        <w:trPr>
          <w:trHeight w:val="311"/>
        </w:trPr>
        <w:tc>
          <w:tcPr>
            <w:tcW w:w="2268" w:type="dxa"/>
          </w:tcPr>
          <w:p w14:paraId="23600947" w14:textId="77777777" w:rsidR="004B1A63" w:rsidRDefault="004B1A63" w:rsidP="00596BCD">
            <w:pPr>
              <w:pStyle w:val="TabellHode-rad"/>
            </w:pPr>
            <w:r>
              <w:t>De-Cix Management GmbH</w:t>
            </w:r>
          </w:p>
        </w:tc>
        <w:tc>
          <w:tcPr>
            <w:tcW w:w="5669" w:type="dxa"/>
          </w:tcPr>
          <w:p w14:paraId="3650BE70" w14:textId="77777777" w:rsidR="004B1A63" w:rsidRDefault="004B1A63" w:rsidP="00596BCD">
            <w:r>
              <w:t xml:space="preserve">Selskapet er en internasjonal plattform som tilbyr operatør- og datasenternøytrale internett-utvekslinger. Kilde: </w:t>
            </w:r>
            <w:hyperlink r:id="rId27" w:history="1">
              <w:r>
                <w:rPr>
                  <w:rStyle w:val="Hyperkobling"/>
                  <w:sz w:val="17"/>
                  <w:szCs w:val="17"/>
                </w:rPr>
                <w:t>De-Cix</w:t>
              </w:r>
            </w:hyperlink>
          </w:p>
        </w:tc>
      </w:tr>
      <w:tr w:rsidR="00C26A9D" w14:paraId="58A3464A" w14:textId="77777777" w:rsidTr="00702AE0">
        <w:trPr>
          <w:trHeight w:val="311"/>
        </w:trPr>
        <w:tc>
          <w:tcPr>
            <w:tcW w:w="2268" w:type="dxa"/>
          </w:tcPr>
          <w:p w14:paraId="5C65CE31" w14:textId="77777777" w:rsidR="004B1A63" w:rsidRDefault="004B1A63" w:rsidP="00596BCD">
            <w:pPr>
              <w:pStyle w:val="TabellHode-rad"/>
            </w:pPr>
            <w:r>
              <w:t>Eidsiva Bredbånd AS</w:t>
            </w:r>
          </w:p>
        </w:tc>
        <w:tc>
          <w:tcPr>
            <w:tcW w:w="5669" w:type="dxa"/>
          </w:tcPr>
          <w:p w14:paraId="48A40D69" w14:textId="77777777" w:rsidR="004B1A63" w:rsidRDefault="004B1A63" w:rsidP="00596BCD">
            <w:r>
              <w:t xml:space="preserve">Selskapet bygger, selger og drifter bredbåndstjenester på Østlandet. Kilde: </w:t>
            </w:r>
            <w:hyperlink r:id="rId28" w:history="1">
              <w:r>
                <w:rPr>
                  <w:rStyle w:val="Hyperkobling"/>
                  <w:sz w:val="17"/>
                  <w:szCs w:val="17"/>
                </w:rPr>
                <w:t>Eidsiva</w:t>
              </w:r>
            </w:hyperlink>
          </w:p>
        </w:tc>
      </w:tr>
      <w:tr w:rsidR="00C26A9D" w14:paraId="12324F01" w14:textId="77777777" w:rsidTr="00702AE0">
        <w:trPr>
          <w:trHeight w:val="311"/>
        </w:trPr>
        <w:tc>
          <w:tcPr>
            <w:tcW w:w="2268" w:type="dxa"/>
          </w:tcPr>
          <w:p w14:paraId="0ACC7A39" w14:textId="77777777" w:rsidR="004B1A63" w:rsidRDefault="004B1A63" w:rsidP="00596BCD">
            <w:pPr>
              <w:pStyle w:val="TabellHode-rad"/>
            </w:pPr>
            <w:r>
              <w:t>Eviny Digital AS</w:t>
            </w:r>
          </w:p>
        </w:tc>
        <w:tc>
          <w:tcPr>
            <w:tcW w:w="5669" w:type="dxa"/>
          </w:tcPr>
          <w:p w14:paraId="6179A16A" w14:textId="77777777" w:rsidR="004B1A63" w:rsidRDefault="004B1A63" w:rsidP="00596BCD">
            <w:r>
              <w:rPr>
                <w:spacing w:val="-2"/>
              </w:rPr>
              <w:t xml:space="preserve">Selskapets formål er å etablere og drifte bredbåndsinfrastruktur, samt drive virksomhet knyttet til dette. Kilde: </w:t>
            </w:r>
            <w:hyperlink r:id="rId29" w:history="1">
              <w:r>
                <w:rPr>
                  <w:rStyle w:val="Hyperkobling"/>
                  <w:spacing w:val="-2"/>
                  <w:sz w:val="17"/>
                  <w:szCs w:val="17"/>
                </w:rPr>
                <w:t>Brønnøysundregistrene</w:t>
              </w:r>
            </w:hyperlink>
          </w:p>
        </w:tc>
      </w:tr>
      <w:tr w:rsidR="00C26A9D" w14:paraId="17776CF1" w14:textId="77777777" w:rsidTr="00702AE0">
        <w:trPr>
          <w:trHeight w:val="311"/>
        </w:trPr>
        <w:tc>
          <w:tcPr>
            <w:tcW w:w="2268" w:type="dxa"/>
          </w:tcPr>
          <w:p w14:paraId="2F0D97A1" w14:textId="6A999C62" w:rsidR="004B1A63" w:rsidRDefault="004B1A63" w:rsidP="00596BCD">
            <w:pPr>
              <w:pStyle w:val="TabellHode-rad"/>
            </w:pPr>
            <w:r>
              <w:lastRenderedPageBreak/>
              <w:t>Exa Infrastructure</w:t>
            </w:r>
            <w:r w:rsidR="00596BCD">
              <w:t xml:space="preserve"> </w:t>
            </w:r>
            <w:r>
              <w:t>Norge AS</w:t>
            </w:r>
          </w:p>
        </w:tc>
        <w:tc>
          <w:tcPr>
            <w:tcW w:w="5669" w:type="dxa"/>
          </w:tcPr>
          <w:p w14:paraId="377ED328" w14:textId="77777777" w:rsidR="004B1A63" w:rsidRDefault="004B1A63" w:rsidP="00596BCD">
            <w:r>
              <w:t xml:space="preserve">Exa Infrastructure er et internasjonalt konsern som forvalter digitale infrastrukturtjenester, inkludert fiberoptiske nettverk som støtter kommunikasjon på tvers av kontinenter. Selskapet forvalter blant annet infrastruktur som benyttes av De-Cix i Norge. Kilde: </w:t>
            </w:r>
            <w:hyperlink r:id="rId30" w:history="1">
              <w:r>
                <w:rPr>
                  <w:rStyle w:val="Hyperkobling"/>
                  <w:sz w:val="17"/>
                  <w:szCs w:val="17"/>
                </w:rPr>
                <w:t>Exa Infrastructure</w:t>
              </w:r>
            </w:hyperlink>
            <w:r>
              <w:rPr>
                <w:rStyle w:val="Hyperkobling"/>
                <w:sz w:val="17"/>
                <w:szCs w:val="17"/>
              </w:rPr>
              <w:t xml:space="preserve"> / </w:t>
            </w:r>
            <w:hyperlink r:id="rId31" w:history="1">
              <w:r>
                <w:rPr>
                  <w:rStyle w:val="Hyperkobling"/>
                  <w:sz w:val="17"/>
                  <w:szCs w:val="17"/>
                </w:rPr>
                <w:t>De-Cix</w:t>
              </w:r>
            </w:hyperlink>
          </w:p>
        </w:tc>
      </w:tr>
      <w:tr w:rsidR="00C26A9D" w14:paraId="6AFCDE93" w14:textId="77777777" w:rsidTr="00702AE0">
        <w:trPr>
          <w:trHeight w:val="311"/>
        </w:trPr>
        <w:tc>
          <w:tcPr>
            <w:tcW w:w="2268" w:type="dxa"/>
          </w:tcPr>
          <w:p w14:paraId="5B9B10FF" w14:textId="77777777" w:rsidR="004B1A63" w:rsidRDefault="004B1A63" w:rsidP="00596BCD">
            <w:pPr>
              <w:pStyle w:val="TabellHode-rad"/>
            </w:pPr>
            <w:r>
              <w:t>GlobalConnect AS</w:t>
            </w:r>
          </w:p>
        </w:tc>
        <w:tc>
          <w:tcPr>
            <w:tcW w:w="5669" w:type="dxa"/>
          </w:tcPr>
          <w:p w14:paraId="66E7F05C" w14:textId="77777777" w:rsidR="004B1A63" w:rsidRDefault="004B1A63" w:rsidP="00596BCD">
            <w:r>
              <w:t xml:space="preserve">Selskapet eier og forvalter fibernettverk og tilbyr tilknyttede kommunikasjonsløsninger. Kilde: </w:t>
            </w:r>
            <w:hyperlink r:id="rId32" w:history="1">
              <w:r>
                <w:rPr>
                  <w:rStyle w:val="Hyperkobling"/>
                  <w:sz w:val="17"/>
                  <w:szCs w:val="17"/>
                </w:rPr>
                <w:t>GlobalConnect</w:t>
              </w:r>
            </w:hyperlink>
          </w:p>
        </w:tc>
      </w:tr>
      <w:tr w:rsidR="00C26A9D" w14:paraId="2868E267" w14:textId="77777777" w:rsidTr="00702AE0">
        <w:trPr>
          <w:trHeight w:val="311"/>
        </w:trPr>
        <w:tc>
          <w:tcPr>
            <w:tcW w:w="2268" w:type="dxa"/>
          </w:tcPr>
          <w:p w14:paraId="01F38F7D" w14:textId="77777777" w:rsidR="004B1A63" w:rsidRDefault="004B1A63" w:rsidP="00596BCD">
            <w:pPr>
              <w:pStyle w:val="TabellHode-rad"/>
            </w:pPr>
            <w:r>
              <w:t>Green Mountain AS</w:t>
            </w:r>
          </w:p>
        </w:tc>
        <w:tc>
          <w:tcPr>
            <w:tcW w:w="5669" w:type="dxa"/>
          </w:tcPr>
          <w:p w14:paraId="77D4590B" w14:textId="77777777" w:rsidR="004B1A63" w:rsidRDefault="004B1A63" w:rsidP="00596BCD">
            <w:r>
              <w:t xml:space="preserve">Selskapet driver med datasentervirksomhet og relaterte aktiviteter. Kilde: </w:t>
            </w:r>
            <w:hyperlink r:id="rId33" w:history="1">
              <w:r>
                <w:rPr>
                  <w:rStyle w:val="Hyperkobling"/>
                  <w:sz w:val="17"/>
                  <w:szCs w:val="17"/>
                </w:rPr>
                <w:t>Brønnøysundregistrene</w:t>
              </w:r>
            </w:hyperlink>
          </w:p>
        </w:tc>
      </w:tr>
      <w:tr w:rsidR="00C26A9D" w14:paraId="7C8EAECD" w14:textId="77777777" w:rsidTr="00702AE0">
        <w:trPr>
          <w:trHeight w:val="311"/>
        </w:trPr>
        <w:tc>
          <w:tcPr>
            <w:tcW w:w="2268" w:type="dxa"/>
          </w:tcPr>
          <w:p w14:paraId="5AC24715" w14:textId="22113B23" w:rsidR="004B1A63" w:rsidRDefault="004B1A63" w:rsidP="00596BCD">
            <w:pPr>
              <w:pStyle w:val="TabellHode-rad"/>
            </w:pPr>
            <w:r>
              <w:t>Infrastructure Nordics 4 AS</w:t>
            </w:r>
          </w:p>
        </w:tc>
        <w:tc>
          <w:tcPr>
            <w:tcW w:w="5669" w:type="dxa"/>
          </w:tcPr>
          <w:p w14:paraId="6A2DDD46" w14:textId="77777777" w:rsidR="004B1A63" w:rsidRDefault="004B1A63" w:rsidP="00596BCD">
            <w:r>
              <w:t xml:space="preserve">Selskapet er morselskapet til de norske datasentrene som driftes av Stack Infrastructure. Kilde: </w:t>
            </w:r>
            <w:hyperlink r:id="rId34" w:history="1">
              <w:r>
                <w:rPr>
                  <w:rStyle w:val="Hyperkobling"/>
                  <w:sz w:val="17"/>
                  <w:szCs w:val="17"/>
                </w:rPr>
                <w:t>Proff.no</w:t>
              </w:r>
            </w:hyperlink>
          </w:p>
        </w:tc>
      </w:tr>
      <w:tr w:rsidR="00C26A9D" w14:paraId="06E00C4A" w14:textId="77777777" w:rsidTr="00702AE0">
        <w:trPr>
          <w:trHeight w:val="311"/>
        </w:trPr>
        <w:tc>
          <w:tcPr>
            <w:tcW w:w="2268" w:type="dxa"/>
          </w:tcPr>
          <w:p w14:paraId="08D4EFA7" w14:textId="77777777" w:rsidR="004B1A63" w:rsidRDefault="004B1A63" w:rsidP="00596BCD">
            <w:pPr>
              <w:pStyle w:val="TabellHode-rad"/>
            </w:pPr>
            <w:r>
              <w:t>Inmarsat Solutions AS</w:t>
            </w:r>
          </w:p>
        </w:tc>
        <w:tc>
          <w:tcPr>
            <w:tcW w:w="5669" w:type="dxa"/>
          </w:tcPr>
          <w:p w14:paraId="6BFA92D6" w14:textId="77777777" w:rsidR="004B1A63" w:rsidRDefault="004B1A63" w:rsidP="00596BCD">
            <w:r>
              <w:t xml:space="preserve">Selskapet tilbyr informasjons- og kommunikasjonsløsninger til skipsfartøy. Kilde: </w:t>
            </w:r>
            <w:hyperlink r:id="rId35" w:history="1">
              <w:r>
                <w:rPr>
                  <w:rStyle w:val="Hyperkobling"/>
                  <w:sz w:val="17"/>
                  <w:szCs w:val="17"/>
                </w:rPr>
                <w:t>Brønnøysundregistrene</w:t>
              </w:r>
            </w:hyperlink>
          </w:p>
        </w:tc>
      </w:tr>
      <w:tr w:rsidR="00C26A9D" w14:paraId="1A1830BC" w14:textId="77777777" w:rsidTr="00702AE0">
        <w:trPr>
          <w:trHeight w:val="311"/>
        </w:trPr>
        <w:tc>
          <w:tcPr>
            <w:tcW w:w="2268" w:type="dxa"/>
          </w:tcPr>
          <w:p w14:paraId="5C441FC3" w14:textId="77777777" w:rsidR="004B1A63" w:rsidRDefault="004B1A63" w:rsidP="00596BCD">
            <w:pPr>
              <w:pStyle w:val="TabellHode-rad"/>
            </w:pPr>
            <w:r>
              <w:t>Ishavslink AS</w:t>
            </w:r>
          </w:p>
        </w:tc>
        <w:tc>
          <w:tcPr>
            <w:tcW w:w="5669" w:type="dxa"/>
          </w:tcPr>
          <w:p w14:paraId="3C83747A" w14:textId="77777777" w:rsidR="004B1A63" w:rsidRDefault="004B1A63" w:rsidP="00596BCD">
            <w:r>
              <w:t xml:space="preserve">Selskapet bygger ut, eier og drifter bredbåndsinfrastruktur i Finnmark, og driver virksomhet med naturlig tilknytning til dette. Kilde: </w:t>
            </w:r>
            <w:hyperlink r:id="rId36" w:history="1">
              <w:r>
                <w:rPr>
                  <w:rStyle w:val="Hyperkobling"/>
                  <w:sz w:val="17"/>
                  <w:szCs w:val="17"/>
                </w:rPr>
                <w:t>Brønnøysundregistrene</w:t>
              </w:r>
            </w:hyperlink>
            <w:r>
              <w:rPr>
                <w:rStyle w:val="Hyperkobling"/>
                <w:sz w:val="17"/>
                <w:szCs w:val="17"/>
              </w:rPr>
              <w:t xml:space="preserve"> / </w:t>
            </w:r>
            <w:hyperlink r:id="rId37" w:history="1">
              <w:r>
                <w:rPr>
                  <w:rStyle w:val="Hyperkobling"/>
                  <w:sz w:val="17"/>
                  <w:szCs w:val="17"/>
                </w:rPr>
                <w:t>Ishavslink</w:t>
              </w:r>
            </w:hyperlink>
          </w:p>
        </w:tc>
      </w:tr>
      <w:tr w:rsidR="00C26A9D" w14:paraId="60000868" w14:textId="77777777" w:rsidTr="00702AE0">
        <w:trPr>
          <w:trHeight w:val="311"/>
        </w:trPr>
        <w:tc>
          <w:tcPr>
            <w:tcW w:w="2268" w:type="dxa"/>
          </w:tcPr>
          <w:p w14:paraId="2D12498E" w14:textId="77777777" w:rsidR="004B1A63" w:rsidRDefault="004B1A63" w:rsidP="00596BCD">
            <w:pPr>
              <w:pStyle w:val="TabellHode-rad"/>
            </w:pPr>
            <w:r>
              <w:t>Kongsberg Satellite Services AS</w:t>
            </w:r>
          </w:p>
        </w:tc>
        <w:tc>
          <w:tcPr>
            <w:tcW w:w="5669" w:type="dxa"/>
          </w:tcPr>
          <w:p w14:paraId="319C9B56" w14:textId="77777777" w:rsidR="004B1A63" w:rsidRDefault="004B1A63" w:rsidP="00596BCD">
            <w:r>
              <w:t xml:space="preserve">Selskapet tilbyr bakkestasjonstjenester og infrastruktur for satellitter. Kilde: </w:t>
            </w:r>
            <w:hyperlink r:id="rId38" w:history="1">
              <w:r>
                <w:rPr>
                  <w:rStyle w:val="Hyperkobling"/>
                  <w:sz w:val="17"/>
                  <w:szCs w:val="17"/>
                </w:rPr>
                <w:t>KSAT</w:t>
              </w:r>
            </w:hyperlink>
          </w:p>
        </w:tc>
      </w:tr>
      <w:tr w:rsidR="00C26A9D" w14:paraId="0F518614" w14:textId="77777777" w:rsidTr="00702AE0">
        <w:trPr>
          <w:trHeight w:val="311"/>
        </w:trPr>
        <w:tc>
          <w:tcPr>
            <w:tcW w:w="2268" w:type="dxa"/>
          </w:tcPr>
          <w:p w14:paraId="7C4F79A2" w14:textId="77777777" w:rsidR="004B1A63" w:rsidRDefault="004B1A63" w:rsidP="00596BCD">
            <w:pPr>
              <w:pStyle w:val="TabellHode-rad"/>
            </w:pPr>
            <w:r>
              <w:t>KystTele AS</w:t>
            </w:r>
          </w:p>
        </w:tc>
        <w:tc>
          <w:tcPr>
            <w:tcW w:w="5669" w:type="dxa"/>
          </w:tcPr>
          <w:p w14:paraId="0FFA45B9" w14:textId="77777777" w:rsidR="004B1A63" w:rsidRDefault="004B1A63" w:rsidP="00596BCD">
            <w:r>
              <w:t xml:space="preserve">Selskapet eier, bygger og driver bredbåndsinfrastruktur og tilbyr tilknyttede tjenester. Kilde: </w:t>
            </w:r>
            <w:hyperlink r:id="rId39" w:history="1">
              <w:r>
                <w:rPr>
                  <w:rStyle w:val="Hyperkobling"/>
                  <w:sz w:val="17"/>
                  <w:szCs w:val="17"/>
                </w:rPr>
                <w:t>Kysttele</w:t>
              </w:r>
            </w:hyperlink>
          </w:p>
        </w:tc>
      </w:tr>
      <w:tr w:rsidR="00C26A9D" w14:paraId="09957EBB" w14:textId="77777777" w:rsidTr="00702AE0">
        <w:trPr>
          <w:trHeight w:val="311"/>
        </w:trPr>
        <w:tc>
          <w:tcPr>
            <w:tcW w:w="2268" w:type="dxa"/>
          </w:tcPr>
          <w:p w14:paraId="459165C3" w14:textId="77777777" w:rsidR="004B1A63" w:rsidRDefault="004B1A63" w:rsidP="00596BCD">
            <w:pPr>
              <w:pStyle w:val="TabellHode-rad"/>
            </w:pPr>
            <w:r>
              <w:t xml:space="preserve">Lefdal Mine </w:t>
            </w:r>
            <w:r>
              <w:br/>
              <w:t>Datacenter AS</w:t>
            </w:r>
          </w:p>
        </w:tc>
        <w:tc>
          <w:tcPr>
            <w:tcW w:w="5669" w:type="dxa"/>
          </w:tcPr>
          <w:p w14:paraId="75F9C207" w14:textId="77777777" w:rsidR="004B1A63" w:rsidRDefault="004B1A63" w:rsidP="00596BCD">
            <w:r>
              <w:t xml:space="preserve">Selskapet driver med datasentervirksomhet og relaterte aktiviteter. Kilde: </w:t>
            </w:r>
            <w:hyperlink r:id="rId40" w:history="1">
              <w:r>
                <w:rPr>
                  <w:rStyle w:val="Hyperkobling"/>
                  <w:sz w:val="17"/>
                  <w:szCs w:val="17"/>
                </w:rPr>
                <w:t>Lefdal Mine</w:t>
              </w:r>
            </w:hyperlink>
          </w:p>
        </w:tc>
      </w:tr>
      <w:tr w:rsidR="00C26A9D" w14:paraId="79E58FA2" w14:textId="77777777" w:rsidTr="00702AE0">
        <w:trPr>
          <w:trHeight w:val="311"/>
        </w:trPr>
        <w:tc>
          <w:tcPr>
            <w:tcW w:w="2268" w:type="dxa"/>
          </w:tcPr>
          <w:p w14:paraId="472B8CE5" w14:textId="77777777" w:rsidR="004B1A63" w:rsidRDefault="004B1A63" w:rsidP="00596BCD">
            <w:pPr>
              <w:pStyle w:val="TabellHode-rad"/>
            </w:pPr>
            <w:r>
              <w:t>Lumen Technologies Norway AS</w:t>
            </w:r>
          </w:p>
        </w:tc>
        <w:tc>
          <w:tcPr>
            <w:tcW w:w="5669" w:type="dxa"/>
          </w:tcPr>
          <w:p w14:paraId="6CC91989" w14:textId="77777777" w:rsidR="004B1A63" w:rsidRDefault="004B1A63" w:rsidP="00596BCD">
            <w:r>
              <w:t xml:space="preserve">Selskapet tilbyr telekommunikasjonsløsninger og tilknyttede tjenester. Kilde: </w:t>
            </w:r>
            <w:hyperlink r:id="rId41" w:history="1">
              <w:r>
                <w:rPr>
                  <w:rStyle w:val="Hyperkobling"/>
                  <w:sz w:val="17"/>
                  <w:szCs w:val="17"/>
                </w:rPr>
                <w:t>Brønnøysundregistrene</w:t>
              </w:r>
            </w:hyperlink>
          </w:p>
        </w:tc>
      </w:tr>
      <w:tr w:rsidR="00C26A9D" w14:paraId="4AC05A35" w14:textId="77777777" w:rsidTr="00702AE0">
        <w:trPr>
          <w:trHeight w:val="311"/>
        </w:trPr>
        <w:tc>
          <w:tcPr>
            <w:tcW w:w="2268" w:type="dxa"/>
          </w:tcPr>
          <w:p w14:paraId="76C42539" w14:textId="77777777" w:rsidR="004B1A63" w:rsidRDefault="004B1A63" w:rsidP="00596BCD">
            <w:pPr>
              <w:pStyle w:val="TabellHode-rad"/>
            </w:pPr>
            <w:r>
              <w:t>Lyse Tele AS</w:t>
            </w:r>
          </w:p>
        </w:tc>
        <w:tc>
          <w:tcPr>
            <w:tcW w:w="5669" w:type="dxa"/>
          </w:tcPr>
          <w:p w14:paraId="5DD4E0C9" w14:textId="77777777" w:rsidR="004B1A63" w:rsidRDefault="004B1A63" w:rsidP="00596BCD">
            <w:r>
              <w:t xml:space="preserve">Selskapet representerer Lyse-konsernets televirksomhet. Selskapet har ansvar for utbygging av mobilnett, 5G og fiber, samt tilknyttede tjenester. Kilde: </w:t>
            </w:r>
            <w:hyperlink r:id="rId42" w:history="1">
              <w:r>
                <w:rPr>
                  <w:rStyle w:val="Hyperkobling"/>
                  <w:sz w:val="17"/>
                  <w:szCs w:val="17"/>
                </w:rPr>
                <w:t>Lyse</w:t>
              </w:r>
            </w:hyperlink>
          </w:p>
        </w:tc>
      </w:tr>
      <w:tr w:rsidR="00C26A9D" w14:paraId="5A0C7B8C" w14:textId="77777777" w:rsidTr="00702AE0">
        <w:trPr>
          <w:trHeight w:val="311"/>
        </w:trPr>
        <w:tc>
          <w:tcPr>
            <w:tcW w:w="2268" w:type="dxa"/>
          </w:tcPr>
          <w:p w14:paraId="50517F44" w14:textId="77777777" w:rsidR="004B1A63" w:rsidRDefault="004B1A63" w:rsidP="00596BCD">
            <w:pPr>
              <w:pStyle w:val="TabellHode-rad"/>
            </w:pPr>
            <w:r>
              <w:t>N0r5ke Fibre AS</w:t>
            </w:r>
          </w:p>
        </w:tc>
        <w:tc>
          <w:tcPr>
            <w:tcW w:w="5669" w:type="dxa"/>
          </w:tcPr>
          <w:p w14:paraId="618C2FA3" w14:textId="77777777" w:rsidR="004B1A63" w:rsidRDefault="004B1A63" w:rsidP="00596BCD">
            <w:r>
              <w:t xml:space="preserve">Selskapet investerer i, eier og leier ut optiske fiberkabler både nasjonalt og internasjonalt, og driver også investeringsvirksomhet ved å investere i og yte lån til selskaper innen disse virksomhetsområdene. Kilde: </w:t>
            </w:r>
            <w:hyperlink r:id="rId43" w:history="1">
              <w:r>
                <w:rPr>
                  <w:rStyle w:val="Hyperkobling"/>
                  <w:sz w:val="17"/>
                  <w:szCs w:val="17"/>
                </w:rPr>
                <w:t>Brønnøysundregistrene</w:t>
              </w:r>
            </w:hyperlink>
          </w:p>
        </w:tc>
      </w:tr>
      <w:tr w:rsidR="00C26A9D" w14:paraId="628FF882" w14:textId="77777777" w:rsidTr="00702AE0">
        <w:trPr>
          <w:trHeight w:val="311"/>
        </w:trPr>
        <w:tc>
          <w:tcPr>
            <w:tcW w:w="2268" w:type="dxa"/>
          </w:tcPr>
          <w:p w14:paraId="2BEC82F3" w14:textId="77777777" w:rsidR="004B1A63" w:rsidRDefault="004B1A63" w:rsidP="00596BCD">
            <w:pPr>
              <w:pStyle w:val="TabellHode-rad"/>
            </w:pPr>
            <w:r>
              <w:t>Nasjonal Referansedatabase AS</w:t>
            </w:r>
          </w:p>
        </w:tc>
        <w:tc>
          <w:tcPr>
            <w:tcW w:w="5669" w:type="dxa"/>
          </w:tcPr>
          <w:p w14:paraId="2B687CFE" w14:textId="77777777" w:rsidR="004B1A63" w:rsidRDefault="004B1A63" w:rsidP="00596BCD">
            <w:r>
              <w:t xml:space="preserve">Selskapet driver med utvikling og drift av en nasjonal referansedatabase for porterte nummer, samt effektiviserende fellesløsninger for tilbydere og andre </w:t>
            </w:r>
            <w:r>
              <w:lastRenderedPageBreak/>
              <w:t xml:space="preserve">kunder innen eller med tilknytning til ekomnæringen. Kilde: </w:t>
            </w:r>
            <w:hyperlink r:id="rId44" w:history="1">
              <w:r>
                <w:rPr>
                  <w:rStyle w:val="Hyperkobling"/>
                  <w:sz w:val="17"/>
                  <w:szCs w:val="17"/>
                </w:rPr>
                <w:t>Brønnøysundregistrene</w:t>
              </w:r>
            </w:hyperlink>
          </w:p>
        </w:tc>
      </w:tr>
      <w:tr w:rsidR="00C26A9D" w14:paraId="5AB4B8A7" w14:textId="77777777" w:rsidTr="00702AE0">
        <w:trPr>
          <w:trHeight w:val="311"/>
        </w:trPr>
        <w:tc>
          <w:tcPr>
            <w:tcW w:w="2268" w:type="dxa"/>
          </w:tcPr>
          <w:p w14:paraId="483D8412" w14:textId="77777777" w:rsidR="004B1A63" w:rsidRDefault="004B1A63" w:rsidP="00596BCD">
            <w:pPr>
              <w:pStyle w:val="TabellHode-rad"/>
            </w:pPr>
            <w:r>
              <w:lastRenderedPageBreak/>
              <w:t>Norid AS</w:t>
            </w:r>
          </w:p>
        </w:tc>
        <w:tc>
          <w:tcPr>
            <w:tcW w:w="5669" w:type="dxa"/>
          </w:tcPr>
          <w:p w14:paraId="7B006F24" w14:textId="77777777" w:rsidR="004B1A63" w:rsidRDefault="004B1A63" w:rsidP="00596BCD">
            <w:r>
              <w:t xml:space="preserve">Selskapet drifter registeret for norske domenenavn, og har ansvaret for toppdomenene .no, .sj, og .bv. Selskapet behandler søknader om abonnement på domenenavn. Kilde: </w:t>
            </w:r>
            <w:hyperlink r:id="rId45" w:history="1">
              <w:r>
                <w:rPr>
                  <w:rStyle w:val="Hyperkobling"/>
                  <w:sz w:val="17"/>
                  <w:szCs w:val="17"/>
                </w:rPr>
                <w:t>Norid</w:t>
              </w:r>
            </w:hyperlink>
          </w:p>
        </w:tc>
      </w:tr>
      <w:tr w:rsidR="00C26A9D" w14:paraId="1F82A606" w14:textId="77777777" w:rsidTr="00702AE0">
        <w:trPr>
          <w:trHeight w:val="311"/>
        </w:trPr>
        <w:tc>
          <w:tcPr>
            <w:tcW w:w="2268" w:type="dxa"/>
          </w:tcPr>
          <w:p w14:paraId="621CD32E" w14:textId="77777777" w:rsidR="004B1A63" w:rsidRDefault="004B1A63" w:rsidP="00596BCD">
            <w:pPr>
              <w:pStyle w:val="TabellHode-rad"/>
            </w:pPr>
            <w:r>
              <w:t>NTE Telekom AS</w:t>
            </w:r>
          </w:p>
        </w:tc>
        <w:tc>
          <w:tcPr>
            <w:tcW w:w="5669" w:type="dxa"/>
          </w:tcPr>
          <w:p w14:paraId="06DE76DD" w14:textId="77777777" w:rsidR="004B1A63" w:rsidRDefault="004B1A63" w:rsidP="00596BCD">
            <w:r>
              <w:t xml:space="preserve">Selskapet driver utbygging av fiberbredbånd og salg av fiberkapasitet og -innhold. Kilde: </w:t>
            </w:r>
            <w:hyperlink r:id="rId46" w:history="1">
              <w:r>
                <w:rPr>
                  <w:rStyle w:val="Hyperkobling"/>
                  <w:sz w:val="17"/>
                  <w:szCs w:val="17"/>
                </w:rPr>
                <w:t>NTE</w:t>
              </w:r>
            </w:hyperlink>
          </w:p>
        </w:tc>
      </w:tr>
      <w:tr w:rsidR="00C26A9D" w14:paraId="6203481F" w14:textId="77777777" w:rsidTr="00702AE0">
        <w:trPr>
          <w:trHeight w:val="311"/>
        </w:trPr>
        <w:tc>
          <w:tcPr>
            <w:tcW w:w="2268" w:type="dxa"/>
          </w:tcPr>
          <w:p w14:paraId="7227EE52" w14:textId="77777777" w:rsidR="004B1A63" w:rsidRDefault="004B1A63" w:rsidP="00596BCD">
            <w:pPr>
              <w:pStyle w:val="TabellHode-rad"/>
            </w:pPr>
            <w:r>
              <w:t>OneWeb Norway AS</w:t>
            </w:r>
          </w:p>
        </w:tc>
        <w:tc>
          <w:tcPr>
            <w:tcW w:w="5669" w:type="dxa"/>
          </w:tcPr>
          <w:p w14:paraId="00EEBE33" w14:textId="77777777" w:rsidR="004B1A63" w:rsidRDefault="004B1A63" w:rsidP="00596BCD">
            <w:r>
              <w:t xml:space="preserve">Selskapet leverer satellittbaserte kommunikasjonstjenester. Kilde: </w:t>
            </w:r>
            <w:hyperlink r:id="rId47" w:history="1">
              <w:r>
                <w:rPr>
                  <w:rStyle w:val="Hyperkobling"/>
                  <w:sz w:val="17"/>
                  <w:szCs w:val="17"/>
                </w:rPr>
                <w:t>OneWeb</w:t>
              </w:r>
            </w:hyperlink>
          </w:p>
        </w:tc>
      </w:tr>
      <w:tr w:rsidR="00C26A9D" w14:paraId="272E2AA0" w14:textId="77777777" w:rsidTr="00702AE0">
        <w:trPr>
          <w:trHeight w:val="311"/>
        </w:trPr>
        <w:tc>
          <w:tcPr>
            <w:tcW w:w="2268" w:type="dxa"/>
          </w:tcPr>
          <w:p w14:paraId="32F2C3CD" w14:textId="77777777" w:rsidR="004B1A63" w:rsidRPr="005744AF" w:rsidRDefault="004B1A63" w:rsidP="00596BCD">
            <w:pPr>
              <w:pStyle w:val="TabellHode-rad"/>
              <w:rPr>
                <w:lang w:val="en-US"/>
              </w:rPr>
            </w:pPr>
            <w:r w:rsidRPr="005744AF">
              <w:rPr>
                <w:lang w:val="en-US"/>
              </w:rPr>
              <w:t xml:space="preserve">Orange Business Digital Norway AS </w:t>
            </w:r>
          </w:p>
        </w:tc>
        <w:tc>
          <w:tcPr>
            <w:tcW w:w="5669" w:type="dxa"/>
          </w:tcPr>
          <w:p w14:paraId="264E5C0D" w14:textId="77777777" w:rsidR="004B1A63" w:rsidRDefault="004B1A63" w:rsidP="00596BCD">
            <w:r>
              <w:t xml:space="preserve">Selskapet tilbyr digitale tjenester og tilknyttede konsulenttjenester til bedriftskunder. Kilde: </w:t>
            </w:r>
            <w:hyperlink r:id="rId48" w:history="1">
              <w:r>
                <w:rPr>
                  <w:rStyle w:val="Hyperkobling"/>
                  <w:sz w:val="17"/>
                  <w:szCs w:val="17"/>
                </w:rPr>
                <w:t>Orange Business</w:t>
              </w:r>
            </w:hyperlink>
          </w:p>
        </w:tc>
      </w:tr>
      <w:tr w:rsidR="00C26A9D" w14:paraId="2F8290B3" w14:textId="77777777" w:rsidTr="00702AE0">
        <w:trPr>
          <w:trHeight w:val="311"/>
        </w:trPr>
        <w:tc>
          <w:tcPr>
            <w:tcW w:w="2268" w:type="dxa"/>
          </w:tcPr>
          <w:p w14:paraId="3126160A" w14:textId="77777777" w:rsidR="004B1A63" w:rsidRDefault="004B1A63" w:rsidP="00596BCD">
            <w:pPr>
              <w:pStyle w:val="TabellHode-rad"/>
            </w:pPr>
            <w:r>
              <w:t>Space Norway AS</w:t>
            </w:r>
          </w:p>
        </w:tc>
        <w:tc>
          <w:tcPr>
            <w:tcW w:w="5669" w:type="dxa"/>
          </w:tcPr>
          <w:p w14:paraId="1D285647" w14:textId="77777777" w:rsidR="004B1A63" w:rsidRDefault="004B1A63" w:rsidP="00596BCD">
            <w:r>
              <w:t xml:space="preserve">Selskapet forvalter og videreutvikler sikkerhetskritisk og kostnadseffektiv romrelatert infrastruktur for å dekke viktige norske samfunnsbehov. Kilde: </w:t>
            </w:r>
            <w:hyperlink r:id="rId49" w:history="1">
              <w:r>
                <w:rPr>
                  <w:rStyle w:val="Hyperkobling"/>
                  <w:sz w:val="17"/>
                  <w:szCs w:val="17"/>
                </w:rPr>
                <w:t>Brønnøysundregistrene</w:t>
              </w:r>
            </w:hyperlink>
          </w:p>
        </w:tc>
      </w:tr>
      <w:tr w:rsidR="00C26A9D" w14:paraId="4307F194" w14:textId="77777777" w:rsidTr="00702AE0">
        <w:trPr>
          <w:trHeight w:val="311"/>
        </w:trPr>
        <w:tc>
          <w:tcPr>
            <w:tcW w:w="2268" w:type="dxa"/>
          </w:tcPr>
          <w:p w14:paraId="3EF5F1A1" w14:textId="77777777" w:rsidR="004B1A63" w:rsidRDefault="004B1A63" w:rsidP="00596BCD">
            <w:pPr>
              <w:pStyle w:val="TabellHode-rad"/>
            </w:pPr>
            <w:r>
              <w:t xml:space="preserve">Space Norway </w:t>
            </w:r>
            <w:r>
              <w:br/>
              <w:t>Satcom AS</w:t>
            </w:r>
          </w:p>
        </w:tc>
        <w:tc>
          <w:tcPr>
            <w:tcW w:w="5669" w:type="dxa"/>
          </w:tcPr>
          <w:p w14:paraId="7C4375B7" w14:textId="77777777" w:rsidR="004B1A63" w:rsidRDefault="004B1A63" w:rsidP="00596BCD">
            <w:r>
              <w:t xml:space="preserve">Selskapet driver med satellittbasert kommunikasjonsvirksomhet både i Norge og utlandet. Kilde: </w:t>
            </w:r>
            <w:hyperlink r:id="rId50" w:history="1">
              <w:r w:rsidRPr="00015951">
                <w:rPr>
                  <w:rStyle w:val="kursiv"/>
                </w:rPr>
                <w:t>Brønnøysundregistrene</w:t>
              </w:r>
            </w:hyperlink>
          </w:p>
        </w:tc>
      </w:tr>
      <w:tr w:rsidR="00C26A9D" w14:paraId="0C094C75" w14:textId="77777777" w:rsidTr="00702AE0">
        <w:trPr>
          <w:trHeight w:val="311"/>
        </w:trPr>
        <w:tc>
          <w:tcPr>
            <w:tcW w:w="2268" w:type="dxa"/>
          </w:tcPr>
          <w:p w14:paraId="22CB9D99" w14:textId="77777777" w:rsidR="004B1A63" w:rsidRDefault="004B1A63" w:rsidP="00596BCD">
            <w:pPr>
              <w:pStyle w:val="TabellHode-rad"/>
            </w:pPr>
            <w:r>
              <w:t>Stamfiber AS</w:t>
            </w:r>
          </w:p>
        </w:tc>
        <w:tc>
          <w:tcPr>
            <w:tcW w:w="5669" w:type="dxa"/>
          </w:tcPr>
          <w:p w14:paraId="7869C075" w14:textId="77777777" w:rsidR="004B1A63" w:rsidRDefault="004B1A63" w:rsidP="00596BCD">
            <w:r>
              <w:t xml:space="preserve">Selskapet driver utleie av disposisjonsrett til mørk fiber og annet som står i naturlig forbindelse med dette. Kilde: </w:t>
            </w:r>
            <w:hyperlink r:id="rId51" w:history="1">
              <w:r>
                <w:rPr>
                  <w:rStyle w:val="Hyperkobling"/>
                  <w:sz w:val="17"/>
                  <w:szCs w:val="17"/>
                </w:rPr>
                <w:t>Brønnøysundregistrene</w:t>
              </w:r>
            </w:hyperlink>
          </w:p>
        </w:tc>
      </w:tr>
      <w:tr w:rsidR="00C26A9D" w14:paraId="4F86232A" w14:textId="77777777" w:rsidTr="00702AE0">
        <w:trPr>
          <w:trHeight w:val="311"/>
        </w:trPr>
        <w:tc>
          <w:tcPr>
            <w:tcW w:w="2268" w:type="dxa"/>
          </w:tcPr>
          <w:p w14:paraId="5BC6D308" w14:textId="77777777" w:rsidR="004B1A63" w:rsidRDefault="004B1A63" w:rsidP="00596BCD">
            <w:pPr>
              <w:pStyle w:val="TabellHode-rad"/>
            </w:pPr>
            <w:r>
              <w:t>Starlink Norway AS</w:t>
            </w:r>
          </w:p>
        </w:tc>
        <w:tc>
          <w:tcPr>
            <w:tcW w:w="5669" w:type="dxa"/>
          </w:tcPr>
          <w:p w14:paraId="759AD263" w14:textId="77777777" w:rsidR="004B1A63" w:rsidRDefault="004B1A63" w:rsidP="00596BCD">
            <w:r>
              <w:t xml:space="preserve">Selskapet driver med satellittvirksomhet og tilknyttede aktiviteter. Kilde: </w:t>
            </w:r>
            <w:hyperlink r:id="rId52" w:history="1">
              <w:r>
                <w:rPr>
                  <w:rStyle w:val="Hyperkobling"/>
                  <w:sz w:val="17"/>
                  <w:szCs w:val="17"/>
                </w:rPr>
                <w:t>Brønnøysundregistrene</w:t>
              </w:r>
            </w:hyperlink>
          </w:p>
        </w:tc>
      </w:tr>
      <w:tr w:rsidR="00C26A9D" w14:paraId="26916671" w14:textId="77777777" w:rsidTr="00702AE0">
        <w:trPr>
          <w:trHeight w:val="311"/>
        </w:trPr>
        <w:tc>
          <w:tcPr>
            <w:tcW w:w="2268" w:type="dxa"/>
          </w:tcPr>
          <w:p w14:paraId="67FFDE31" w14:textId="77777777" w:rsidR="004B1A63" w:rsidRDefault="004B1A63" w:rsidP="00596BCD">
            <w:pPr>
              <w:pStyle w:val="TabellHode-rad"/>
            </w:pPr>
            <w:r>
              <w:t>Tampnet AS</w:t>
            </w:r>
          </w:p>
        </w:tc>
        <w:tc>
          <w:tcPr>
            <w:tcW w:w="5669" w:type="dxa"/>
          </w:tcPr>
          <w:p w14:paraId="5DFBF922" w14:textId="77777777" w:rsidR="004B1A63" w:rsidRDefault="004B1A63" w:rsidP="00596BCD">
            <w:r>
              <w:t xml:space="preserve">Selskapet eier, opererer og utvikler kommunikasjonsnettverk, og tilbyr kommersielle kommunikasjonstjenester basert på sitt nettverk. Kilde: </w:t>
            </w:r>
            <w:hyperlink r:id="rId53" w:history="1">
              <w:r>
                <w:rPr>
                  <w:rStyle w:val="Hyperkobling"/>
                  <w:sz w:val="17"/>
                  <w:szCs w:val="17"/>
                </w:rPr>
                <w:t>Brønnøysundregistrene</w:t>
              </w:r>
            </w:hyperlink>
          </w:p>
        </w:tc>
      </w:tr>
      <w:tr w:rsidR="00C26A9D" w14:paraId="680A6587" w14:textId="77777777" w:rsidTr="00702AE0">
        <w:trPr>
          <w:trHeight w:val="311"/>
        </w:trPr>
        <w:tc>
          <w:tcPr>
            <w:tcW w:w="2268" w:type="dxa"/>
          </w:tcPr>
          <w:p w14:paraId="3313D5C4" w14:textId="77777777" w:rsidR="004B1A63" w:rsidRDefault="004B1A63" w:rsidP="00596BCD">
            <w:pPr>
              <w:pStyle w:val="TabellHode-rad"/>
            </w:pPr>
            <w:r>
              <w:t>Telenor ASA</w:t>
            </w:r>
          </w:p>
        </w:tc>
        <w:tc>
          <w:tcPr>
            <w:tcW w:w="5669" w:type="dxa"/>
          </w:tcPr>
          <w:p w14:paraId="1AFC9C71" w14:textId="77777777" w:rsidR="004B1A63" w:rsidRDefault="004B1A63" w:rsidP="00596BCD">
            <w:r>
              <w:t xml:space="preserve">Selskapet er morselskapet i Telenor-konsernet, som tilbyr et bredt spekter av tjenester telekommunikasjonsvirksomhet og tilknyttede områder. Kilde: </w:t>
            </w:r>
            <w:hyperlink r:id="rId54" w:history="1">
              <w:r>
                <w:rPr>
                  <w:rStyle w:val="Hyperkobling"/>
                  <w:sz w:val="17"/>
                  <w:szCs w:val="17"/>
                </w:rPr>
                <w:t>Brønnøysundregistrene</w:t>
              </w:r>
            </w:hyperlink>
            <w:r>
              <w:rPr>
                <w:rStyle w:val="Hyperkobling"/>
                <w:sz w:val="17"/>
                <w:szCs w:val="17"/>
              </w:rPr>
              <w:t xml:space="preserve"> / </w:t>
            </w:r>
            <w:hyperlink r:id="rId55" w:history="1">
              <w:r>
                <w:rPr>
                  <w:rStyle w:val="Hyperkobling"/>
                  <w:sz w:val="17"/>
                  <w:szCs w:val="17"/>
                </w:rPr>
                <w:t>Telenor</w:t>
              </w:r>
            </w:hyperlink>
          </w:p>
        </w:tc>
      </w:tr>
      <w:tr w:rsidR="00C26A9D" w14:paraId="6D836A7C" w14:textId="77777777" w:rsidTr="00702AE0">
        <w:trPr>
          <w:trHeight w:val="311"/>
        </w:trPr>
        <w:tc>
          <w:tcPr>
            <w:tcW w:w="2268" w:type="dxa"/>
          </w:tcPr>
          <w:p w14:paraId="71E5DB02" w14:textId="77777777" w:rsidR="004B1A63" w:rsidRDefault="004B1A63" w:rsidP="00596BCD">
            <w:pPr>
              <w:pStyle w:val="TabellHode-rad"/>
            </w:pPr>
            <w:r>
              <w:t>Telenor Fiber AS</w:t>
            </w:r>
          </w:p>
        </w:tc>
        <w:tc>
          <w:tcPr>
            <w:tcW w:w="5669" w:type="dxa"/>
          </w:tcPr>
          <w:p w14:paraId="1A0FDC4E" w14:textId="77777777" w:rsidR="004B1A63" w:rsidRDefault="004B1A63" w:rsidP="00596BCD">
            <w:r>
              <w:t xml:space="preserve">Selskapet driver med utbygging og utleie av fiberinfrastruktur og tilhørende virksomhet, men det skal ikke ha tilgang til informasjon om sluttbrukere eller annen skjermingsverdig informasjon om infrastrukturen. Kilde: </w:t>
            </w:r>
            <w:hyperlink r:id="rId56" w:history="1">
              <w:r>
                <w:rPr>
                  <w:rStyle w:val="Hyperkobling"/>
                  <w:sz w:val="17"/>
                  <w:szCs w:val="17"/>
                </w:rPr>
                <w:t>Brønnøysundregistrene</w:t>
              </w:r>
            </w:hyperlink>
          </w:p>
        </w:tc>
      </w:tr>
      <w:tr w:rsidR="00C26A9D" w14:paraId="2EAD9297" w14:textId="77777777" w:rsidTr="00702AE0">
        <w:trPr>
          <w:trHeight w:val="311"/>
        </w:trPr>
        <w:tc>
          <w:tcPr>
            <w:tcW w:w="2268" w:type="dxa"/>
          </w:tcPr>
          <w:p w14:paraId="65990231" w14:textId="77777777" w:rsidR="004B1A63" w:rsidRDefault="004B1A63" w:rsidP="00596BCD">
            <w:pPr>
              <w:pStyle w:val="TabellHode-rad"/>
            </w:pPr>
            <w:r>
              <w:t xml:space="preserve">Telenor Towers </w:t>
            </w:r>
            <w:r>
              <w:br/>
              <w:t>Norway AS</w:t>
            </w:r>
          </w:p>
        </w:tc>
        <w:tc>
          <w:tcPr>
            <w:tcW w:w="5669" w:type="dxa"/>
          </w:tcPr>
          <w:p w14:paraId="39F6086A" w14:textId="77777777" w:rsidR="004B1A63" w:rsidRDefault="004B1A63" w:rsidP="00596BCD">
            <w:r>
              <w:t xml:space="preserve">Selskapet forvalter og leier ut plass i master, tårn og annen passiv infrastruktur. Kilde: </w:t>
            </w:r>
            <w:hyperlink r:id="rId57" w:history="1">
              <w:r>
                <w:rPr>
                  <w:rStyle w:val="Hyperkobling"/>
                  <w:sz w:val="17"/>
                  <w:szCs w:val="17"/>
                </w:rPr>
                <w:t>Telenor Towers</w:t>
              </w:r>
            </w:hyperlink>
          </w:p>
        </w:tc>
      </w:tr>
      <w:tr w:rsidR="00C26A9D" w14:paraId="7BABB948" w14:textId="77777777" w:rsidTr="00702AE0">
        <w:trPr>
          <w:trHeight w:val="311"/>
        </w:trPr>
        <w:tc>
          <w:tcPr>
            <w:tcW w:w="2268" w:type="dxa"/>
          </w:tcPr>
          <w:p w14:paraId="53DD7AA7" w14:textId="77777777" w:rsidR="004B1A63" w:rsidRDefault="004B1A63" w:rsidP="00596BCD">
            <w:pPr>
              <w:pStyle w:val="TabellHode-rad"/>
            </w:pPr>
            <w:r>
              <w:lastRenderedPageBreak/>
              <w:t>Telia Norge AS</w:t>
            </w:r>
          </w:p>
        </w:tc>
        <w:tc>
          <w:tcPr>
            <w:tcW w:w="5669" w:type="dxa"/>
          </w:tcPr>
          <w:p w14:paraId="72B743AA" w14:textId="77777777" w:rsidR="004B1A63" w:rsidRDefault="004B1A63" w:rsidP="00596BCD">
            <w:r>
              <w:t xml:space="preserve">Selskapet driver med elektronisk kommunikasjonsvirksomhet, inkludert utbygging, drift og vedlikehold av landsdekkende data-, tele- og TV-distribusjonsnett, samt produksjon og levering av lyd, bilder og elektroniske signaler, inkludert digital TV, og innholdsproduksjon for distribusjon i disse nettverkene, i tillegg til annen relatert virksomhet. Kilde: </w:t>
            </w:r>
            <w:hyperlink r:id="rId58" w:history="1">
              <w:r>
                <w:rPr>
                  <w:rStyle w:val="Hyperkobling"/>
                  <w:sz w:val="17"/>
                  <w:szCs w:val="17"/>
                </w:rPr>
                <w:t>Brønnøysundregistrene</w:t>
              </w:r>
            </w:hyperlink>
          </w:p>
        </w:tc>
      </w:tr>
      <w:tr w:rsidR="00C26A9D" w14:paraId="1AA0CA18" w14:textId="77777777" w:rsidTr="00702AE0">
        <w:trPr>
          <w:trHeight w:val="311"/>
        </w:trPr>
        <w:tc>
          <w:tcPr>
            <w:tcW w:w="2268" w:type="dxa"/>
          </w:tcPr>
          <w:p w14:paraId="05EFE7FC" w14:textId="77777777" w:rsidR="004B1A63" w:rsidRDefault="004B1A63" w:rsidP="00596BCD">
            <w:pPr>
              <w:pStyle w:val="TabellHode-rad"/>
            </w:pPr>
            <w:r>
              <w:t>Telia Towers Norway AS</w:t>
            </w:r>
          </w:p>
        </w:tc>
        <w:tc>
          <w:tcPr>
            <w:tcW w:w="5669" w:type="dxa"/>
          </w:tcPr>
          <w:p w14:paraId="5FA36684" w14:textId="77777777" w:rsidR="004B1A63" w:rsidRDefault="004B1A63" w:rsidP="00596BCD">
            <w:r>
              <w:t xml:space="preserve">Selskapet driver med drift av og tilbyr plass i master, tårn og lignende strukturer for trådløs mobilteknologi. Kilde: </w:t>
            </w:r>
            <w:hyperlink r:id="rId59" w:history="1">
              <w:r>
                <w:rPr>
                  <w:rStyle w:val="Hyperkobling"/>
                  <w:sz w:val="17"/>
                  <w:szCs w:val="17"/>
                </w:rPr>
                <w:t>Brønnøysundregistrene</w:t>
              </w:r>
            </w:hyperlink>
            <w:r>
              <w:rPr>
                <w:rStyle w:val="Hyperkobling"/>
                <w:sz w:val="17"/>
                <w:szCs w:val="17"/>
              </w:rPr>
              <w:t xml:space="preserve"> / </w:t>
            </w:r>
            <w:hyperlink r:id="rId60" w:history="1">
              <w:r>
                <w:rPr>
                  <w:rStyle w:val="Hyperkobling"/>
                  <w:sz w:val="17"/>
                  <w:szCs w:val="17"/>
                </w:rPr>
                <w:t>Telia Towers</w:t>
              </w:r>
            </w:hyperlink>
          </w:p>
        </w:tc>
      </w:tr>
      <w:tr w:rsidR="00C26A9D" w14:paraId="529A39BC" w14:textId="77777777" w:rsidTr="00702AE0">
        <w:trPr>
          <w:trHeight w:val="311"/>
        </w:trPr>
        <w:tc>
          <w:tcPr>
            <w:tcW w:w="2268" w:type="dxa"/>
          </w:tcPr>
          <w:p w14:paraId="2575C307" w14:textId="77777777" w:rsidR="004B1A63" w:rsidRDefault="004B1A63" w:rsidP="00596BCD">
            <w:pPr>
              <w:pStyle w:val="TabellHode-rad"/>
            </w:pPr>
            <w:r>
              <w:t>Tårnselskapet AS</w:t>
            </w:r>
          </w:p>
        </w:tc>
        <w:tc>
          <w:tcPr>
            <w:tcW w:w="5669" w:type="dxa"/>
          </w:tcPr>
          <w:p w14:paraId="31C7A1E2" w14:textId="77777777" w:rsidR="004B1A63" w:rsidRDefault="004B1A63" w:rsidP="00596BCD">
            <w:r>
              <w:t xml:space="preserve">Selskapet eier, drifter og leier ut plass i tårn og annen infrastruktur til mobiloperatører og andre selskaper som trenger tilgang til høydemaster for å bygge ut sine nettverk og tjenester. Selskapet er en del av Lyse-konsernet. Kilde: </w:t>
            </w:r>
            <w:hyperlink r:id="rId61" w:history="1">
              <w:r>
                <w:rPr>
                  <w:rStyle w:val="Hyperkobling"/>
                  <w:sz w:val="17"/>
                  <w:szCs w:val="17"/>
                </w:rPr>
                <w:t>Lyse</w:t>
              </w:r>
            </w:hyperlink>
          </w:p>
        </w:tc>
      </w:tr>
      <w:tr w:rsidR="00C26A9D" w14:paraId="2E439949" w14:textId="77777777" w:rsidTr="00702AE0">
        <w:trPr>
          <w:trHeight w:val="311"/>
        </w:trPr>
        <w:tc>
          <w:tcPr>
            <w:tcW w:w="2268" w:type="dxa"/>
          </w:tcPr>
          <w:p w14:paraId="01A5CAF3" w14:textId="77777777" w:rsidR="004B1A63" w:rsidRDefault="004B1A63" w:rsidP="00596BCD">
            <w:pPr>
              <w:pStyle w:val="TabellHode-rad"/>
            </w:pPr>
            <w:r>
              <w:t>Viken Fiber AS</w:t>
            </w:r>
          </w:p>
        </w:tc>
        <w:tc>
          <w:tcPr>
            <w:tcW w:w="5669" w:type="dxa"/>
          </w:tcPr>
          <w:p w14:paraId="50678419" w14:textId="77777777" w:rsidR="004B1A63" w:rsidRDefault="004B1A63" w:rsidP="00596BCD">
            <w:r>
              <w:t xml:space="preserve">Selskapet bygger og drifter fibernett på Østlandet. Kilde: </w:t>
            </w:r>
            <w:hyperlink r:id="rId62" w:history="1">
              <w:r>
                <w:rPr>
                  <w:rStyle w:val="Hyperkobling"/>
                  <w:sz w:val="17"/>
                  <w:szCs w:val="17"/>
                </w:rPr>
                <w:t>Viken Fiber</w:t>
              </w:r>
            </w:hyperlink>
          </w:p>
        </w:tc>
      </w:tr>
    </w:tbl>
    <w:p w14:paraId="5D167A58" w14:textId="77777777" w:rsidR="004B1A63" w:rsidRDefault="004B1A63">
      <w:pPr>
        <w:pStyle w:val="Kilde"/>
      </w:pPr>
      <w:r>
        <w:t>Kilde: Menon Economics (2024), tabell 3-2.</w:t>
      </w:r>
    </w:p>
    <w:p w14:paraId="42605703" w14:textId="0A1677E6" w:rsidR="004B1A63" w:rsidRDefault="004B1A63">
      <w:pPr>
        <w:pStyle w:val="tabell-tittel"/>
      </w:pPr>
      <w:r>
        <w:t>Oversikt over leverandører til kritisk digital infrastruktur</w:t>
      </w:r>
    </w:p>
    <w:tbl>
      <w:tblPr>
        <w:tblStyle w:val="StandardTabell"/>
        <w:tblW w:w="0" w:type="auto"/>
        <w:tblLayout w:type="fixed"/>
        <w:tblLook w:val="04A0" w:firstRow="1" w:lastRow="0" w:firstColumn="1" w:lastColumn="0" w:noHBand="0" w:noVBand="1"/>
      </w:tblPr>
      <w:tblGrid>
        <w:gridCol w:w="2268"/>
        <w:gridCol w:w="4365"/>
        <w:gridCol w:w="1304"/>
      </w:tblGrid>
      <w:tr w:rsidR="00C26A9D" w14:paraId="3719B414" w14:textId="77777777" w:rsidTr="00587E47">
        <w:trPr>
          <w:trHeight w:val="311"/>
        </w:trPr>
        <w:tc>
          <w:tcPr>
            <w:tcW w:w="2268" w:type="dxa"/>
          </w:tcPr>
          <w:p w14:paraId="04F6EE27" w14:textId="77777777" w:rsidR="004B1A63" w:rsidRDefault="004B1A63" w:rsidP="00596BCD">
            <w:pPr>
              <w:pStyle w:val="TabellHode-kolonne"/>
            </w:pPr>
            <w:r>
              <w:t>Selskap</w:t>
            </w:r>
          </w:p>
        </w:tc>
        <w:tc>
          <w:tcPr>
            <w:tcW w:w="4365" w:type="dxa"/>
          </w:tcPr>
          <w:p w14:paraId="101AFC67" w14:textId="77777777" w:rsidR="004B1A63" w:rsidRDefault="004B1A63" w:rsidP="00596BCD">
            <w:pPr>
              <w:pStyle w:val="TabellHode-kolonne"/>
            </w:pPr>
            <w:r>
              <w:t>Beskrivelse</w:t>
            </w:r>
          </w:p>
        </w:tc>
        <w:tc>
          <w:tcPr>
            <w:tcW w:w="1304" w:type="dxa"/>
          </w:tcPr>
          <w:p w14:paraId="7651B1AA" w14:textId="77777777" w:rsidR="004B1A63" w:rsidRDefault="004B1A63" w:rsidP="00596BCD">
            <w:pPr>
              <w:pStyle w:val="TabellHode-kolonne"/>
            </w:pPr>
            <w:r>
              <w:t>Type kartlegging</w:t>
            </w:r>
          </w:p>
        </w:tc>
      </w:tr>
      <w:tr w:rsidR="00C26A9D" w14:paraId="622AC67D" w14:textId="77777777" w:rsidTr="00587E47">
        <w:trPr>
          <w:trHeight w:val="311"/>
        </w:trPr>
        <w:tc>
          <w:tcPr>
            <w:tcW w:w="2268" w:type="dxa"/>
          </w:tcPr>
          <w:p w14:paraId="701E3DB4" w14:textId="77777777" w:rsidR="004B1A63" w:rsidRDefault="004B1A63" w:rsidP="00596BCD">
            <w:pPr>
              <w:pStyle w:val="TabellHode-rad"/>
            </w:pPr>
            <w:r>
              <w:t>Caverion Norge AS</w:t>
            </w:r>
          </w:p>
        </w:tc>
        <w:tc>
          <w:tcPr>
            <w:tcW w:w="4365" w:type="dxa"/>
          </w:tcPr>
          <w:p w14:paraId="53320572" w14:textId="77777777" w:rsidR="004B1A63" w:rsidRDefault="004B1A63" w:rsidP="00596BCD">
            <w:r>
              <w:t xml:space="preserve">Selskapet er en teknisk totalleverandør for bygg og industri, med fokus på smarte og bærekraftige løsninger. Kilde: </w:t>
            </w:r>
            <w:hyperlink r:id="rId63" w:history="1">
              <w:r>
                <w:rPr>
                  <w:rStyle w:val="Hyperkobling"/>
                  <w:sz w:val="17"/>
                  <w:szCs w:val="17"/>
                </w:rPr>
                <w:t>Caverion</w:t>
              </w:r>
            </w:hyperlink>
          </w:p>
        </w:tc>
        <w:tc>
          <w:tcPr>
            <w:tcW w:w="1304" w:type="dxa"/>
          </w:tcPr>
          <w:p w14:paraId="4107C559" w14:textId="77777777" w:rsidR="004B1A63" w:rsidRDefault="004B1A63" w:rsidP="00596BCD">
            <w:r>
              <w:t>Fullstendig</w:t>
            </w:r>
          </w:p>
        </w:tc>
      </w:tr>
      <w:tr w:rsidR="00C26A9D" w14:paraId="2B1072D2" w14:textId="77777777" w:rsidTr="00587E47">
        <w:trPr>
          <w:trHeight w:val="311"/>
        </w:trPr>
        <w:tc>
          <w:tcPr>
            <w:tcW w:w="2268" w:type="dxa"/>
          </w:tcPr>
          <w:p w14:paraId="1E0D9D7A" w14:textId="77777777" w:rsidR="004B1A63" w:rsidRDefault="004B1A63" w:rsidP="00596BCD">
            <w:pPr>
              <w:pStyle w:val="TabellHode-rad"/>
            </w:pPr>
            <w:r>
              <w:t xml:space="preserve">Cisco Systems </w:t>
            </w:r>
            <w:r>
              <w:br/>
              <w:t>Norway AS</w:t>
            </w:r>
          </w:p>
        </w:tc>
        <w:tc>
          <w:tcPr>
            <w:tcW w:w="4365" w:type="dxa"/>
          </w:tcPr>
          <w:p w14:paraId="0B5F12A9" w14:textId="77777777" w:rsidR="004B1A63" w:rsidRDefault="004B1A63" w:rsidP="00596BCD">
            <w:r>
              <w:t xml:space="preserve">Selskapet tilbyr produkter og tjenester knyttet til datamaskiner (hardware og software). Kilde: </w:t>
            </w:r>
            <w:hyperlink r:id="rId64" w:history="1">
              <w:r>
                <w:rPr>
                  <w:rStyle w:val="Hyperkobling"/>
                  <w:sz w:val="17"/>
                  <w:szCs w:val="17"/>
                </w:rPr>
                <w:t>Brønnøysundregistrene</w:t>
              </w:r>
            </w:hyperlink>
          </w:p>
        </w:tc>
        <w:tc>
          <w:tcPr>
            <w:tcW w:w="1304" w:type="dxa"/>
          </w:tcPr>
          <w:p w14:paraId="595B9FDB" w14:textId="77777777" w:rsidR="004B1A63" w:rsidRDefault="004B1A63" w:rsidP="00596BCD">
            <w:r>
              <w:t>Begrenset</w:t>
            </w:r>
          </w:p>
        </w:tc>
      </w:tr>
      <w:tr w:rsidR="00C26A9D" w14:paraId="7BFB1CBD" w14:textId="77777777" w:rsidTr="00587E47">
        <w:trPr>
          <w:trHeight w:val="311"/>
        </w:trPr>
        <w:tc>
          <w:tcPr>
            <w:tcW w:w="2268" w:type="dxa"/>
          </w:tcPr>
          <w:p w14:paraId="3111A919" w14:textId="77777777" w:rsidR="004B1A63" w:rsidRDefault="004B1A63" w:rsidP="00596BCD">
            <w:pPr>
              <w:pStyle w:val="TabellHode-rad"/>
            </w:pPr>
            <w:r>
              <w:t>Eltel Networks AS</w:t>
            </w:r>
          </w:p>
        </w:tc>
        <w:tc>
          <w:tcPr>
            <w:tcW w:w="4365" w:type="dxa"/>
          </w:tcPr>
          <w:p w14:paraId="0D90F083" w14:textId="77777777" w:rsidR="004B1A63" w:rsidRDefault="004B1A63" w:rsidP="00596BCD">
            <w:r>
              <w:t xml:space="preserve">Selskapet driver med bygg, drift og vedlikehold av kritisk infrastruktur innen energi og telekommunikasjon. Kilde: </w:t>
            </w:r>
            <w:hyperlink r:id="rId65" w:history="1">
              <w:r>
                <w:rPr>
                  <w:rStyle w:val="Hyperkobling"/>
                  <w:sz w:val="17"/>
                  <w:szCs w:val="17"/>
                </w:rPr>
                <w:t>Eltel</w:t>
              </w:r>
            </w:hyperlink>
          </w:p>
        </w:tc>
        <w:tc>
          <w:tcPr>
            <w:tcW w:w="1304" w:type="dxa"/>
          </w:tcPr>
          <w:p w14:paraId="0C678F8F" w14:textId="77777777" w:rsidR="004B1A63" w:rsidRDefault="004B1A63" w:rsidP="00596BCD">
            <w:r>
              <w:t>Fullstendig</w:t>
            </w:r>
          </w:p>
        </w:tc>
      </w:tr>
      <w:tr w:rsidR="00C26A9D" w14:paraId="27AE8268" w14:textId="77777777" w:rsidTr="00587E47">
        <w:trPr>
          <w:trHeight w:val="311"/>
        </w:trPr>
        <w:tc>
          <w:tcPr>
            <w:tcW w:w="2268" w:type="dxa"/>
          </w:tcPr>
          <w:p w14:paraId="6B8A7CE9" w14:textId="77777777" w:rsidR="004B1A63" w:rsidRDefault="004B1A63" w:rsidP="00596BCD">
            <w:pPr>
              <w:pStyle w:val="TabellHode-rad"/>
            </w:pPr>
            <w:r>
              <w:t>Ericsson AS</w:t>
            </w:r>
          </w:p>
        </w:tc>
        <w:tc>
          <w:tcPr>
            <w:tcW w:w="4365" w:type="dxa"/>
          </w:tcPr>
          <w:p w14:paraId="3AE6F965" w14:textId="77777777" w:rsidR="004B1A63" w:rsidRDefault="004B1A63" w:rsidP="00596BCD">
            <w:r>
              <w:t xml:space="preserve">Selskapet leverer nettverksutstyr og -tjenester. Kilde: </w:t>
            </w:r>
            <w:hyperlink r:id="rId66" w:history="1">
              <w:r>
                <w:rPr>
                  <w:rStyle w:val="Hyperkobling"/>
                  <w:sz w:val="17"/>
                  <w:szCs w:val="17"/>
                </w:rPr>
                <w:t>Ericsson</w:t>
              </w:r>
            </w:hyperlink>
          </w:p>
        </w:tc>
        <w:tc>
          <w:tcPr>
            <w:tcW w:w="1304" w:type="dxa"/>
          </w:tcPr>
          <w:p w14:paraId="49FA702E" w14:textId="77777777" w:rsidR="004B1A63" w:rsidRDefault="004B1A63" w:rsidP="00596BCD">
            <w:r>
              <w:t>Begrenset</w:t>
            </w:r>
          </w:p>
        </w:tc>
      </w:tr>
      <w:tr w:rsidR="00C26A9D" w14:paraId="60DBFB56" w14:textId="77777777" w:rsidTr="00587E47">
        <w:trPr>
          <w:trHeight w:val="311"/>
        </w:trPr>
        <w:tc>
          <w:tcPr>
            <w:tcW w:w="2268" w:type="dxa"/>
          </w:tcPr>
          <w:p w14:paraId="6CCDA69F" w14:textId="77777777" w:rsidR="004B1A63" w:rsidRDefault="004B1A63" w:rsidP="00596BCD">
            <w:pPr>
              <w:pStyle w:val="TabellHode-rad"/>
            </w:pPr>
            <w:r>
              <w:lastRenderedPageBreak/>
              <w:t>Huawei Technologies Norway AS</w:t>
            </w:r>
          </w:p>
        </w:tc>
        <w:tc>
          <w:tcPr>
            <w:tcW w:w="4365" w:type="dxa"/>
          </w:tcPr>
          <w:p w14:paraId="287E0F9C" w14:textId="77777777" w:rsidR="004B1A63" w:rsidRDefault="004B1A63" w:rsidP="00596BCD">
            <w:r>
              <w:t xml:space="preserve">Selskapet leverer utstyr, løsninger og tjenester innen IT og telekommunikasjon. Kilde: </w:t>
            </w:r>
            <w:hyperlink r:id="rId67" w:history="1">
              <w:r>
                <w:rPr>
                  <w:rStyle w:val="Hyperkobling"/>
                  <w:sz w:val="17"/>
                  <w:szCs w:val="17"/>
                </w:rPr>
                <w:t>Brønnøysundregistrene</w:t>
              </w:r>
            </w:hyperlink>
          </w:p>
        </w:tc>
        <w:tc>
          <w:tcPr>
            <w:tcW w:w="1304" w:type="dxa"/>
          </w:tcPr>
          <w:p w14:paraId="0729923E" w14:textId="77777777" w:rsidR="004B1A63" w:rsidRDefault="004B1A63" w:rsidP="00596BCD">
            <w:r>
              <w:t>Begrenset</w:t>
            </w:r>
          </w:p>
        </w:tc>
      </w:tr>
      <w:tr w:rsidR="00C26A9D" w14:paraId="5B00A956" w14:textId="77777777" w:rsidTr="00587E47">
        <w:trPr>
          <w:trHeight w:val="311"/>
        </w:trPr>
        <w:tc>
          <w:tcPr>
            <w:tcW w:w="2268" w:type="dxa"/>
          </w:tcPr>
          <w:p w14:paraId="7245EF86" w14:textId="77777777" w:rsidR="004B1A63" w:rsidRDefault="004B1A63" w:rsidP="00596BCD">
            <w:pPr>
              <w:pStyle w:val="TabellHode-rad"/>
            </w:pPr>
            <w:r>
              <w:t xml:space="preserve">Juniper Networks </w:t>
            </w:r>
            <w:r>
              <w:br/>
              <w:t>Norway AS</w:t>
            </w:r>
          </w:p>
        </w:tc>
        <w:tc>
          <w:tcPr>
            <w:tcW w:w="4365" w:type="dxa"/>
          </w:tcPr>
          <w:p w14:paraId="0002ED5B" w14:textId="77777777" w:rsidR="004B1A63" w:rsidRDefault="004B1A63" w:rsidP="00596BCD">
            <w:r>
              <w:t xml:space="preserve">Selskapet driver med salg, markedsføring og tjenester innen IT, data og telekommunikasjon. Kilde: </w:t>
            </w:r>
            <w:hyperlink r:id="rId68" w:history="1">
              <w:r>
                <w:rPr>
                  <w:rStyle w:val="Hyperkobling"/>
                  <w:sz w:val="17"/>
                  <w:szCs w:val="17"/>
                </w:rPr>
                <w:t>Brønnøysundregistrene</w:t>
              </w:r>
            </w:hyperlink>
          </w:p>
        </w:tc>
        <w:tc>
          <w:tcPr>
            <w:tcW w:w="1304" w:type="dxa"/>
          </w:tcPr>
          <w:p w14:paraId="0B587156" w14:textId="77777777" w:rsidR="004B1A63" w:rsidRDefault="004B1A63" w:rsidP="00596BCD">
            <w:r>
              <w:t>Begrenset</w:t>
            </w:r>
          </w:p>
        </w:tc>
      </w:tr>
      <w:tr w:rsidR="00C26A9D" w14:paraId="14F8A2CB" w14:textId="77777777" w:rsidTr="00587E47">
        <w:trPr>
          <w:trHeight w:val="311"/>
        </w:trPr>
        <w:tc>
          <w:tcPr>
            <w:tcW w:w="2268" w:type="dxa"/>
          </w:tcPr>
          <w:p w14:paraId="436D3FA6" w14:textId="77777777" w:rsidR="004B1A63" w:rsidRDefault="004B1A63" w:rsidP="00596BCD">
            <w:pPr>
              <w:pStyle w:val="TabellHode-rad"/>
            </w:pPr>
            <w:r>
              <w:t>Netel AS</w:t>
            </w:r>
          </w:p>
        </w:tc>
        <w:tc>
          <w:tcPr>
            <w:tcW w:w="4365" w:type="dxa"/>
          </w:tcPr>
          <w:p w14:paraId="512FAA41" w14:textId="77777777" w:rsidR="004B1A63" w:rsidRDefault="004B1A63" w:rsidP="00596BCD">
            <w:r>
              <w:t xml:space="preserve">Selskapet bygger og vedlikeholder infrastruktur for tele- og datakommunikasjon. Kilde: </w:t>
            </w:r>
            <w:hyperlink r:id="rId69" w:history="1">
              <w:r>
                <w:rPr>
                  <w:rStyle w:val="Hyperkobling"/>
                  <w:sz w:val="17"/>
                  <w:szCs w:val="17"/>
                </w:rPr>
                <w:t>Netel</w:t>
              </w:r>
            </w:hyperlink>
          </w:p>
        </w:tc>
        <w:tc>
          <w:tcPr>
            <w:tcW w:w="1304" w:type="dxa"/>
          </w:tcPr>
          <w:p w14:paraId="2CA36F7C" w14:textId="77777777" w:rsidR="004B1A63" w:rsidRDefault="004B1A63" w:rsidP="00596BCD">
            <w:r>
              <w:t>Fullstendig</w:t>
            </w:r>
          </w:p>
        </w:tc>
      </w:tr>
      <w:tr w:rsidR="00C26A9D" w14:paraId="0C8FCBE4" w14:textId="77777777" w:rsidTr="00587E47">
        <w:trPr>
          <w:trHeight w:val="311"/>
        </w:trPr>
        <w:tc>
          <w:tcPr>
            <w:tcW w:w="2268" w:type="dxa"/>
          </w:tcPr>
          <w:p w14:paraId="218A08CF" w14:textId="77777777" w:rsidR="004B1A63" w:rsidRDefault="004B1A63" w:rsidP="00596BCD">
            <w:pPr>
              <w:pStyle w:val="TabellHode-rad"/>
            </w:pPr>
            <w:r>
              <w:t>Nexans Norway AS</w:t>
            </w:r>
          </w:p>
        </w:tc>
        <w:tc>
          <w:tcPr>
            <w:tcW w:w="4365" w:type="dxa"/>
          </w:tcPr>
          <w:p w14:paraId="4780B67B" w14:textId="77777777" w:rsidR="004B1A63" w:rsidRDefault="004B1A63" w:rsidP="00596BCD">
            <w:r>
              <w:t xml:space="preserve">Selskapet driver med utvikling, produksjon og markedsføring av kabler og kablingssystemer, inkludert kraft- og telekabler. Kilde: </w:t>
            </w:r>
            <w:hyperlink r:id="rId70" w:history="1">
              <w:r>
                <w:rPr>
                  <w:rStyle w:val="Hyperkobling"/>
                  <w:sz w:val="17"/>
                  <w:szCs w:val="17"/>
                </w:rPr>
                <w:t>Nexans</w:t>
              </w:r>
            </w:hyperlink>
          </w:p>
        </w:tc>
        <w:tc>
          <w:tcPr>
            <w:tcW w:w="1304" w:type="dxa"/>
          </w:tcPr>
          <w:p w14:paraId="2FE558E3" w14:textId="77777777" w:rsidR="004B1A63" w:rsidRDefault="004B1A63" w:rsidP="00596BCD">
            <w:r>
              <w:t>Fullstendig</w:t>
            </w:r>
          </w:p>
        </w:tc>
      </w:tr>
      <w:tr w:rsidR="00C26A9D" w14:paraId="6866B629" w14:textId="77777777" w:rsidTr="00587E47">
        <w:trPr>
          <w:trHeight w:val="311"/>
        </w:trPr>
        <w:tc>
          <w:tcPr>
            <w:tcW w:w="2268" w:type="dxa"/>
          </w:tcPr>
          <w:p w14:paraId="038DB1FD" w14:textId="77777777" w:rsidR="004B1A63" w:rsidRPr="005744AF" w:rsidRDefault="004B1A63" w:rsidP="00596BCD">
            <w:pPr>
              <w:pStyle w:val="TabellHode-rad"/>
              <w:rPr>
                <w:lang w:val="en-US"/>
              </w:rPr>
            </w:pPr>
            <w:r w:rsidRPr="005744AF">
              <w:rPr>
                <w:lang w:val="en-US"/>
              </w:rPr>
              <w:t>Nokia Solutions and Networks Norge AS</w:t>
            </w:r>
          </w:p>
        </w:tc>
        <w:tc>
          <w:tcPr>
            <w:tcW w:w="4365" w:type="dxa"/>
          </w:tcPr>
          <w:p w14:paraId="6DF1E750" w14:textId="77777777" w:rsidR="004B1A63" w:rsidRPr="005342B1" w:rsidRDefault="004B1A63" w:rsidP="00596BCD">
            <w:pPr>
              <w:rPr>
                <w:lang w:val="en-US"/>
              </w:rPr>
            </w:pPr>
            <w:r w:rsidRPr="005342B1">
              <w:rPr>
                <w:lang w:val="en-US"/>
              </w:rPr>
              <w:t xml:space="preserve">Selskapet driver med telekommunikasjon og elektronisk industri, inkludert implementering av systemer og tjenester som nettverksplanlegging, vedlikehold, brukerstøtte og konsulenttjenester. Kilde: </w:t>
            </w:r>
            <w:hyperlink r:id="rId71" w:history="1">
              <w:r w:rsidRPr="005342B1">
                <w:rPr>
                  <w:rStyle w:val="Hyperkobling"/>
                  <w:sz w:val="17"/>
                  <w:szCs w:val="17"/>
                  <w:lang w:val="en-US"/>
                </w:rPr>
                <w:t>Brønnøysundregistrene</w:t>
              </w:r>
            </w:hyperlink>
            <w:r w:rsidRPr="005342B1">
              <w:rPr>
                <w:lang w:val="en-US"/>
              </w:rPr>
              <w:t xml:space="preserve"> </w:t>
            </w:r>
          </w:p>
        </w:tc>
        <w:tc>
          <w:tcPr>
            <w:tcW w:w="1304" w:type="dxa"/>
          </w:tcPr>
          <w:p w14:paraId="7443CEF0" w14:textId="77777777" w:rsidR="004B1A63" w:rsidRDefault="004B1A63" w:rsidP="00596BCD">
            <w:r>
              <w:t>Begrenset</w:t>
            </w:r>
          </w:p>
        </w:tc>
      </w:tr>
      <w:tr w:rsidR="00C26A9D" w14:paraId="73ECBD26" w14:textId="77777777" w:rsidTr="00587E47">
        <w:trPr>
          <w:trHeight w:val="311"/>
        </w:trPr>
        <w:tc>
          <w:tcPr>
            <w:tcW w:w="2268" w:type="dxa"/>
          </w:tcPr>
          <w:p w14:paraId="47672F2A" w14:textId="77777777" w:rsidR="004B1A63" w:rsidRDefault="004B1A63" w:rsidP="00596BCD">
            <w:pPr>
              <w:pStyle w:val="TabellHode-rad"/>
            </w:pPr>
            <w:r>
              <w:t>OneCo Networks AS</w:t>
            </w:r>
          </w:p>
        </w:tc>
        <w:tc>
          <w:tcPr>
            <w:tcW w:w="4365" w:type="dxa"/>
          </w:tcPr>
          <w:p w14:paraId="5C894A27" w14:textId="77777777" w:rsidR="004B1A63" w:rsidRDefault="004B1A63" w:rsidP="00596BCD">
            <w:r>
              <w:t xml:space="preserve">Selskapet driver med svakstrøm- og sterkstrøminstallasjon, prosjektering, samt forvaltning av andeler i selskaper med lignende formål. Kilde: </w:t>
            </w:r>
            <w:hyperlink r:id="rId72" w:history="1">
              <w:r>
                <w:rPr>
                  <w:rStyle w:val="Hyperkobling"/>
                  <w:sz w:val="17"/>
                  <w:szCs w:val="17"/>
                </w:rPr>
                <w:t>Brønnøysundregistrene</w:t>
              </w:r>
            </w:hyperlink>
          </w:p>
        </w:tc>
        <w:tc>
          <w:tcPr>
            <w:tcW w:w="1304" w:type="dxa"/>
          </w:tcPr>
          <w:p w14:paraId="19EEA997" w14:textId="77777777" w:rsidR="004B1A63" w:rsidRDefault="004B1A63" w:rsidP="00596BCD">
            <w:r>
              <w:t>Fullstendig</w:t>
            </w:r>
          </w:p>
        </w:tc>
      </w:tr>
      <w:tr w:rsidR="00C26A9D" w14:paraId="109A21CE" w14:textId="77777777" w:rsidTr="00587E47">
        <w:trPr>
          <w:trHeight w:val="311"/>
        </w:trPr>
        <w:tc>
          <w:tcPr>
            <w:tcW w:w="2268" w:type="dxa"/>
          </w:tcPr>
          <w:p w14:paraId="5C215CF4" w14:textId="77777777" w:rsidR="004B1A63" w:rsidRPr="005744AF" w:rsidRDefault="004B1A63" w:rsidP="00596BCD">
            <w:pPr>
              <w:pStyle w:val="TabellHode-rad"/>
              <w:rPr>
                <w:lang w:val="en-US"/>
              </w:rPr>
            </w:pPr>
            <w:r w:rsidRPr="005744AF">
              <w:rPr>
                <w:lang w:val="en-US"/>
              </w:rPr>
              <w:t>Palo Alto Networks (Norway) AS</w:t>
            </w:r>
          </w:p>
        </w:tc>
        <w:tc>
          <w:tcPr>
            <w:tcW w:w="4365" w:type="dxa"/>
          </w:tcPr>
          <w:p w14:paraId="06F7EA1D" w14:textId="77777777" w:rsidR="004B1A63" w:rsidRDefault="004B1A63" w:rsidP="00596BCD">
            <w:r>
              <w:t xml:space="preserve">Selskapet er en del av det internasjonale konsernet Palo Alto Networks, som tilbyr cybersikkerhetsprodukter og tilhørende tjenester. Kilde: </w:t>
            </w:r>
            <w:hyperlink r:id="rId73" w:history="1">
              <w:r>
                <w:rPr>
                  <w:rStyle w:val="Hyperkobling"/>
                  <w:sz w:val="17"/>
                  <w:szCs w:val="17"/>
                </w:rPr>
                <w:t>Brønnøysundregistrene</w:t>
              </w:r>
            </w:hyperlink>
            <w:r>
              <w:rPr>
                <w:rStyle w:val="Hyperkobling"/>
                <w:sz w:val="17"/>
                <w:szCs w:val="17"/>
              </w:rPr>
              <w:t xml:space="preserve"> / </w:t>
            </w:r>
            <w:hyperlink r:id="rId74" w:history="1">
              <w:r>
                <w:rPr>
                  <w:rStyle w:val="Hyperkobling"/>
                  <w:sz w:val="17"/>
                  <w:szCs w:val="17"/>
                </w:rPr>
                <w:t>Palo Alto Networks</w:t>
              </w:r>
            </w:hyperlink>
          </w:p>
        </w:tc>
        <w:tc>
          <w:tcPr>
            <w:tcW w:w="1304" w:type="dxa"/>
          </w:tcPr>
          <w:p w14:paraId="6FDD1C78" w14:textId="77777777" w:rsidR="004B1A63" w:rsidRDefault="004B1A63" w:rsidP="00596BCD">
            <w:r>
              <w:t>Begrenset</w:t>
            </w:r>
          </w:p>
        </w:tc>
      </w:tr>
      <w:tr w:rsidR="00C26A9D" w14:paraId="24BAE2EE" w14:textId="77777777" w:rsidTr="00587E47">
        <w:trPr>
          <w:trHeight w:val="311"/>
        </w:trPr>
        <w:tc>
          <w:tcPr>
            <w:tcW w:w="2268" w:type="dxa"/>
          </w:tcPr>
          <w:p w14:paraId="040F9935" w14:textId="77777777" w:rsidR="004B1A63" w:rsidRDefault="004B1A63" w:rsidP="00596BCD">
            <w:pPr>
              <w:pStyle w:val="TabellHode-rad"/>
            </w:pPr>
            <w:r>
              <w:t xml:space="preserve">Prysmian Group </w:t>
            </w:r>
            <w:r>
              <w:br/>
              <w:t>Norge AS</w:t>
            </w:r>
          </w:p>
        </w:tc>
        <w:tc>
          <w:tcPr>
            <w:tcW w:w="4365" w:type="dxa"/>
          </w:tcPr>
          <w:p w14:paraId="657530A9" w14:textId="77777777" w:rsidR="004B1A63" w:rsidRDefault="004B1A63" w:rsidP="00596BCD">
            <w:r>
              <w:t xml:space="preserve">Selskapet utvikler og produserer kabler til en rekke segmenter, inkludert datakabler, telekom og fiber. Kilde: </w:t>
            </w:r>
            <w:hyperlink r:id="rId75" w:history="1">
              <w:r>
                <w:rPr>
                  <w:rStyle w:val="Hyperkobling"/>
                  <w:sz w:val="17"/>
                  <w:szCs w:val="17"/>
                </w:rPr>
                <w:t>Prysmian</w:t>
              </w:r>
            </w:hyperlink>
            <w:r>
              <w:t xml:space="preserve"> </w:t>
            </w:r>
          </w:p>
        </w:tc>
        <w:tc>
          <w:tcPr>
            <w:tcW w:w="1304" w:type="dxa"/>
          </w:tcPr>
          <w:p w14:paraId="5BD8BC41" w14:textId="77777777" w:rsidR="004B1A63" w:rsidRDefault="004B1A63" w:rsidP="00596BCD">
            <w:r>
              <w:t>Fullstendig</w:t>
            </w:r>
          </w:p>
        </w:tc>
      </w:tr>
      <w:tr w:rsidR="00C26A9D" w14:paraId="2885C8D2" w14:textId="77777777" w:rsidTr="00587E47">
        <w:trPr>
          <w:trHeight w:val="311"/>
        </w:trPr>
        <w:tc>
          <w:tcPr>
            <w:tcW w:w="2268" w:type="dxa"/>
          </w:tcPr>
          <w:p w14:paraId="30A08BB8" w14:textId="77777777" w:rsidR="004B1A63" w:rsidRDefault="004B1A63" w:rsidP="00596BCD">
            <w:pPr>
              <w:pStyle w:val="TabellHode-rad"/>
            </w:pPr>
            <w:r>
              <w:t>Seaworks AS</w:t>
            </w:r>
          </w:p>
        </w:tc>
        <w:tc>
          <w:tcPr>
            <w:tcW w:w="4365" w:type="dxa"/>
          </w:tcPr>
          <w:p w14:paraId="1A1CE1B8" w14:textId="77777777" w:rsidR="004B1A63" w:rsidRDefault="004B1A63" w:rsidP="00596BCD">
            <w:r>
              <w:t xml:space="preserve">Selskapet driver med bulktransport og sjøkabeltjenester. Kilde: </w:t>
            </w:r>
            <w:hyperlink r:id="rId76" w:history="1">
              <w:r>
                <w:rPr>
                  <w:rStyle w:val="Hyperkobling"/>
                  <w:sz w:val="17"/>
                  <w:szCs w:val="17"/>
                </w:rPr>
                <w:t>Seaworks</w:t>
              </w:r>
            </w:hyperlink>
          </w:p>
        </w:tc>
        <w:tc>
          <w:tcPr>
            <w:tcW w:w="1304" w:type="dxa"/>
          </w:tcPr>
          <w:p w14:paraId="610C1B72" w14:textId="77777777" w:rsidR="004B1A63" w:rsidRDefault="004B1A63" w:rsidP="00596BCD">
            <w:r>
              <w:t>Fullstendig</w:t>
            </w:r>
          </w:p>
        </w:tc>
      </w:tr>
      <w:tr w:rsidR="00C26A9D" w14:paraId="2C4767CB" w14:textId="77777777" w:rsidTr="00587E47">
        <w:trPr>
          <w:trHeight w:val="311"/>
        </w:trPr>
        <w:tc>
          <w:tcPr>
            <w:tcW w:w="2268" w:type="dxa"/>
          </w:tcPr>
          <w:p w14:paraId="2F75E30D" w14:textId="77777777" w:rsidR="004B1A63" w:rsidRDefault="004B1A63" w:rsidP="00596BCD">
            <w:pPr>
              <w:pStyle w:val="TabellHode-rad"/>
            </w:pPr>
            <w:r>
              <w:t xml:space="preserve">Seaworks </w:t>
            </w:r>
            <w:r>
              <w:br/>
              <w:t>Management AS</w:t>
            </w:r>
          </w:p>
        </w:tc>
        <w:tc>
          <w:tcPr>
            <w:tcW w:w="4365" w:type="dxa"/>
          </w:tcPr>
          <w:p w14:paraId="58943D7E" w14:textId="77777777" w:rsidR="004B1A63" w:rsidRDefault="004B1A63" w:rsidP="00596BCD">
            <w:r>
              <w:t xml:space="preserve">Selskapet forvalter personell hos Seaworks AS, som driver med bulktransport og sjøkabeltjenester. Kilde: </w:t>
            </w:r>
            <w:hyperlink r:id="rId77" w:history="1">
              <w:r>
                <w:rPr>
                  <w:rStyle w:val="Hyperkobling"/>
                  <w:sz w:val="17"/>
                  <w:szCs w:val="17"/>
                </w:rPr>
                <w:t>Seaworks</w:t>
              </w:r>
            </w:hyperlink>
          </w:p>
        </w:tc>
        <w:tc>
          <w:tcPr>
            <w:tcW w:w="1304" w:type="dxa"/>
          </w:tcPr>
          <w:p w14:paraId="4A07E776" w14:textId="77777777" w:rsidR="004B1A63" w:rsidRDefault="004B1A63" w:rsidP="00596BCD">
            <w:r>
              <w:t>Fullstendig</w:t>
            </w:r>
          </w:p>
        </w:tc>
      </w:tr>
      <w:tr w:rsidR="00C26A9D" w14:paraId="3171D4CC" w14:textId="77777777" w:rsidTr="00587E47">
        <w:trPr>
          <w:trHeight w:val="311"/>
        </w:trPr>
        <w:tc>
          <w:tcPr>
            <w:tcW w:w="2268" w:type="dxa"/>
          </w:tcPr>
          <w:p w14:paraId="4A65ACFD" w14:textId="77777777" w:rsidR="004B1A63" w:rsidRDefault="004B1A63" w:rsidP="00596BCD">
            <w:pPr>
              <w:pStyle w:val="TabellHode-rad"/>
            </w:pPr>
            <w:r>
              <w:lastRenderedPageBreak/>
              <w:t>Site Service AS</w:t>
            </w:r>
          </w:p>
        </w:tc>
        <w:tc>
          <w:tcPr>
            <w:tcW w:w="4365" w:type="dxa"/>
          </w:tcPr>
          <w:p w14:paraId="39AA425F" w14:textId="77777777" w:rsidR="004B1A63" w:rsidRDefault="004B1A63" w:rsidP="00596BCD">
            <w:r>
              <w:t xml:space="preserve">Selskapet installerer, drifter og vedlikeholder fiber-, elektro-, tele- og kommunikasjonsnettverk. Kilde: </w:t>
            </w:r>
            <w:hyperlink r:id="rId78" w:history="1">
              <w:r>
                <w:rPr>
                  <w:rStyle w:val="Hyperkobling"/>
                  <w:sz w:val="17"/>
                  <w:szCs w:val="17"/>
                </w:rPr>
                <w:t>Site Service</w:t>
              </w:r>
            </w:hyperlink>
          </w:p>
        </w:tc>
        <w:tc>
          <w:tcPr>
            <w:tcW w:w="1304" w:type="dxa"/>
          </w:tcPr>
          <w:p w14:paraId="53C115E5" w14:textId="77777777" w:rsidR="004B1A63" w:rsidRDefault="004B1A63" w:rsidP="00596BCD">
            <w:r>
              <w:t>Fullstendig</w:t>
            </w:r>
          </w:p>
        </w:tc>
      </w:tr>
    </w:tbl>
    <w:p w14:paraId="73F60C5C" w14:textId="77777777" w:rsidR="004B1A63" w:rsidRDefault="004B1A63">
      <w:pPr>
        <w:pStyle w:val="Kilde"/>
      </w:pPr>
      <w:r>
        <w:t>Kilde: Menon Economics (2024), tabell 3-3.</w:t>
      </w:r>
    </w:p>
    <w:p w14:paraId="41451FA1" w14:textId="77777777" w:rsidR="004B1A63" w:rsidRDefault="004B1A63">
      <w:pPr>
        <w:pStyle w:val="Overskrift3"/>
      </w:pPr>
      <w:r>
        <w:t>Metode for kartlegging og eierkategorier</w:t>
      </w:r>
    </w:p>
    <w:p w14:paraId="13DB4739" w14:textId="77777777" w:rsidR="004B1A63" w:rsidRDefault="004B1A63">
      <w:r>
        <w:t>Menon har benyttet egne databaser (eierskapsdatabase og regnskapsdatabase), men også internasjonale kilder som Orbis, andre nasjonale eierskapsdatabaser, og årsrapporter mv. En mer utfyllende beskrivelse av metode og kilder fremgår av kapittel 2, 4 og Vedlegg A i Menons rapport.</w:t>
      </w:r>
    </w:p>
    <w:p w14:paraId="016759D7" w14:textId="655E8B02" w:rsidR="004B1A63" w:rsidRPr="007B4A5F" w:rsidRDefault="004B1A63" w:rsidP="007B4A5F">
      <w:pPr>
        <w:spacing w:after="227"/>
        <w:rPr>
          <w:spacing w:val="-6"/>
        </w:rPr>
      </w:pPr>
      <w:r>
        <w:rPr>
          <w:spacing w:val="-4"/>
        </w:rPr>
        <w:t xml:space="preserve">Menon har kartlagt selskapenes </w:t>
      </w:r>
      <w:r w:rsidRPr="00015951">
        <w:rPr>
          <w:rStyle w:val="kursiv"/>
        </w:rPr>
        <w:t>ultimate norske eierskap</w:t>
      </w:r>
      <w:r>
        <w:rPr>
          <w:spacing w:val="-4"/>
        </w:rPr>
        <w:t xml:space="preserve">, dvs. eierskap som kan spores tilbake til en ultimat norsk eier, eller til første utenlandske eierledd. I tillegg har de gjennomført en </w:t>
      </w:r>
      <w:r>
        <w:rPr>
          <w:spacing w:val="-5"/>
        </w:rPr>
        <w:t xml:space="preserve">tilnærmet fullstendig kartlegging også av det utenlandske eierskapet i alle selskap der dette er </w:t>
      </w:r>
      <w:r>
        <w:rPr>
          <w:spacing w:val="-6"/>
        </w:rPr>
        <w:t>relevant. I tekstboksen nedenfor forklares tre av begrepene som er benyttet i Menons rapport:</w:t>
      </w:r>
    </w:p>
    <w:tbl>
      <w:tblPr>
        <w:tblStyle w:val="StandardBoks"/>
        <w:tblW w:w="0" w:type="auto"/>
        <w:tblLook w:val="04A0" w:firstRow="1" w:lastRow="0" w:firstColumn="1" w:lastColumn="0" w:noHBand="0" w:noVBand="1"/>
      </w:tblPr>
      <w:tblGrid>
        <w:gridCol w:w="10466"/>
      </w:tblGrid>
      <w:tr w:rsidR="007B4A5F" w14:paraId="5E6822EB" w14:textId="77777777" w:rsidTr="00015951">
        <w:tc>
          <w:tcPr>
            <w:tcW w:w="10606" w:type="dxa"/>
          </w:tcPr>
          <w:p w14:paraId="30A44911" w14:textId="77777777" w:rsidR="00015951" w:rsidRDefault="007B4A5F" w:rsidP="007B4A5F">
            <w:pPr>
              <w:pStyle w:val="tittel-ramme"/>
              <w:rPr>
                <w:rStyle w:val="halvfet"/>
                <w:b/>
                <w:bCs/>
              </w:rPr>
            </w:pPr>
            <w:r>
              <w:rPr>
                <w:rStyle w:val="halvfet"/>
                <w:b/>
                <w:bCs/>
              </w:rPr>
              <w:t>Definisjoner av viktige begreper benyttet i Menon (2024).</w:t>
            </w:r>
          </w:p>
          <w:p w14:paraId="422C727A" w14:textId="3F68C041" w:rsidR="007B4A5F" w:rsidRDefault="007B4A5F" w:rsidP="007B4A5F">
            <w:r w:rsidRPr="00015951">
              <w:rPr>
                <w:rStyle w:val="halvfet"/>
              </w:rPr>
              <w:t>Effektivt eierskap:</w:t>
            </w:r>
            <w:r>
              <w:t xml:space="preserve"> Det effektive eierskapet er den reelle eierandelen til en eier, som inkluderer både direkte og indirekte eierskap.</w:t>
            </w:r>
          </w:p>
          <w:p w14:paraId="70B8036B" w14:textId="3E307E00" w:rsidR="007B4A5F" w:rsidRDefault="007B4A5F" w:rsidP="007B4A5F">
            <w:r w:rsidRPr="00015951">
              <w:rPr>
                <w:rStyle w:val="halvfet"/>
              </w:rPr>
              <w:t>Ultimat eier:</w:t>
            </w:r>
            <w:r>
              <w:rPr>
                <w:spacing w:val="-6"/>
              </w:rPr>
              <w:t xml:space="preserve"> Ultimate eiere er de personene, stiftelsene/selveiende virksomheter eller </w:t>
            </w:r>
            <w:r>
              <w:rPr>
                <w:spacing w:val="-4"/>
              </w:rPr>
              <w:t>det offentlige som er øverst i et eierskapshierarki og har en eierandel i virksomheten.</w:t>
            </w:r>
          </w:p>
        </w:tc>
      </w:tr>
    </w:tbl>
    <w:p w14:paraId="74EE4B25" w14:textId="77777777" w:rsidR="004B1A63" w:rsidRDefault="004B1A63">
      <w:pPr>
        <w:spacing w:before="340"/>
        <w:rPr>
          <w:spacing w:val="-4"/>
        </w:rPr>
      </w:pPr>
      <w:r>
        <w:rPr>
          <w:spacing w:val="-4"/>
        </w:rPr>
        <w:t>I figuren under gis en illustrasjon av hvordan eierdatabasen til Menon definerer ultimat eier.</w:t>
      </w:r>
    </w:p>
    <w:p w14:paraId="0661C3CF" w14:textId="77777777" w:rsidR="00596BCD" w:rsidRDefault="004B1A63" w:rsidP="00596BCD">
      <w:pPr>
        <w:pStyle w:val="figur-tittel"/>
      </w:pPr>
      <w:r>
        <w:t>Illustrasjon av hvordan eierskapsdatabasen definerer ultimat eier.</w:t>
      </w:r>
      <w:r w:rsidR="00596BCD">
        <w:t xml:space="preserve"> </w:t>
      </w:r>
      <w:r>
        <w:t>Blå bokser indikerer ultimat eier</w:t>
      </w:r>
    </w:p>
    <w:p w14:paraId="77B80C66" w14:textId="6FA19345" w:rsidR="004B1A63" w:rsidRDefault="004B4E04" w:rsidP="00596BCD">
      <w:r>
        <w:rPr>
          <w:noProof/>
        </w:rPr>
        <w:drawing>
          <wp:inline distT="0" distB="0" distL="0" distR="0" wp14:anchorId="6530C332" wp14:editId="12B930DB">
            <wp:extent cx="3657600" cy="2266950"/>
            <wp:effectExtent l="0" t="0" r="0" b="0"/>
            <wp:docPr id="13"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57600" cy="2266950"/>
                    </a:xfrm>
                    <a:prstGeom prst="rect">
                      <a:avLst/>
                    </a:prstGeom>
                    <a:noFill/>
                    <a:ln>
                      <a:noFill/>
                    </a:ln>
                  </pic:spPr>
                </pic:pic>
              </a:graphicData>
            </a:graphic>
          </wp:inline>
        </w:drawing>
      </w:r>
    </w:p>
    <w:p w14:paraId="6AC0A51B" w14:textId="77777777" w:rsidR="004B1A63" w:rsidRPr="00B51BAF" w:rsidRDefault="004B1A63">
      <w:pPr>
        <w:pStyle w:val="Kilde"/>
        <w:rPr>
          <w:lang w:val="en-US"/>
        </w:rPr>
      </w:pPr>
      <w:r w:rsidRPr="00B51BAF">
        <w:rPr>
          <w:lang w:val="en-US"/>
        </w:rPr>
        <w:t>Kilde: Menon Economics (2024), figur V-1.</w:t>
      </w:r>
    </w:p>
    <w:p w14:paraId="7B8AE6FB" w14:textId="77777777" w:rsidR="004B1A63" w:rsidRDefault="004B1A63">
      <w:r>
        <w:lastRenderedPageBreak/>
        <w:t>De aller fleste selskapene Menon har gjennomgått har transparente eierforhold der eierskap kan spores direkte tilbake til norsk eierskap eller kjent utenlandsk offentlig eller privat eierskap, eller børsnoterte selskaper der eierskapet er spredt på svært mange mindre aksjonærer.</w:t>
      </w:r>
    </w:p>
    <w:p w14:paraId="1ACC13C9" w14:textId="77777777" w:rsidR="004B1A63" w:rsidRDefault="004B1A63">
      <w:r>
        <w:t>Enkelte selskap har mer komplekse eierstrukturer som gjør eierforholdene vanskeligere å avdekke. Dette gjelder særlig eierskap som spores tilbake til land der det ikke lenger er mulig å hente ut eierskapsdata, eller til investeringsselskap uten kjente investorer.</w:t>
      </w:r>
    </w:p>
    <w:p w14:paraId="221FCF60" w14:textId="77777777" w:rsidR="004B1A63" w:rsidRDefault="004B1A63">
      <w:r>
        <w:t>En illustrasjon av ulike kategorier eierskap som er avdekket ved kartleggingen er inntatt nedenfor.</w:t>
      </w:r>
    </w:p>
    <w:p w14:paraId="3963690C" w14:textId="77777777" w:rsidR="004B1A63" w:rsidRDefault="004B1A63">
      <w:pPr>
        <w:pStyle w:val="figur-tittel"/>
      </w:pPr>
      <w:r>
        <w:t>Illustrasjon av kategorisering av norsk og utenlandsk eierskap</w:t>
      </w:r>
    </w:p>
    <w:p w14:paraId="509EB243" w14:textId="6962F928" w:rsidR="004B1A63" w:rsidRDefault="004B4E04">
      <w:r>
        <w:rPr>
          <w:noProof/>
        </w:rPr>
        <w:drawing>
          <wp:inline distT="0" distB="0" distL="0" distR="0" wp14:anchorId="6ADFFB92" wp14:editId="7F869730">
            <wp:extent cx="3657600" cy="1562100"/>
            <wp:effectExtent l="0" t="0" r="0" b="0"/>
            <wp:docPr id="14"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57600" cy="1562100"/>
                    </a:xfrm>
                    <a:prstGeom prst="rect">
                      <a:avLst/>
                    </a:prstGeom>
                    <a:noFill/>
                    <a:ln>
                      <a:noFill/>
                    </a:ln>
                  </pic:spPr>
                </pic:pic>
              </a:graphicData>
            </a:graphic>
          </wp:inline>
        </w:drawing>
      </w:r>
    </w:p>
    <w:p w14:paraId="73298A81" w14:textId="77777777" w:rsidR="004B1A63" w:rsidRDefault="004B1A63">
      <w:pPr>
        <w:pStyle w:val="Kilde"/>
      </w:pPr>
      <w:r>
        <w:t>Kilde: Menon Economics (2024), figur 4-1.</w:t>
      </w:r>
    </w:p>
    <w:p w14:paraId="1BB372B9" w14:textId="77777777" w:rsidR="004B1A63" w:rsidRDefault="004B1A63">
      <w:pPr>
        <w:pStyle w:val="Overskrift3"/>
      </w:pPr>
      <w:r>
        <w:t>Usikkerhet</w:t>
      </w:r>
    </w:p>
    <w:p w14:paraId="4E44E06C" w14:textId="77777777" w:rsidR="004B1A63" w:rsidRDefault="004B1A63">
      <w:r>
        <w:t>Menon viser til at eierskaps- og selskapsinformasjon i all hovedsak er basert på selskapers egenrapportering til myndigheter og offentligheten. Slik egenrapportering medfører en viss risiko for feilkilder, særlig av to årsaker:</w:t>
      </w:r>
    </w:p>
    <w:p w14:paraId="4362786F" w14:textId="070AF7A5" w:rsidR="004B1A63" w:rsidRDefault="004B1A63" w:rsidP="00B51BAF">
      <w:pPr>
        <w:pStyle w:val="Nummerertliste"/>
        <w:numPr>
          <w:ilvl w:val="0"/>
          <w:numId w:val="42"/>
        </w:numPr>
      </w:pPr>
      <w:r w:rsidRPr="00015951">
        <w:rPr>
          <w:rStyle w:val="kursiv"/>
        </w:rPr>
        <w:t>Utdatert informasjon</w:t>
      </w:r>
      <w:r>
        <w:t>: Informasjonen var korrekt ved registrering, men det har senere blitt gjort endringer som ikke er fanget opp. Dette kan eksempelvis skyldes manglende innmeldingsrutiner hos selskapet, eller at enkelte nasjonale registre ikke krever løpende oppdateringer.</w:t>
      </w:r>
    </w:p>
    <w:p w14:paraId="33B31510" w14:textId="701C540E" w:rsidR="004B1A63" w:rsidRDefault="004B1A63" w:rsidP="00B51BAF">
      <w:pPr>
        <w:pStyle w:val="Nummerertliste"/>
        <w:numPr>
          <w:ilvl w:val="0"/>
          <w:numId w:val="42"/>
        </w:numPr>
      </w:pPr>
      <w:r w:rsidRPr="00015951">
        <w:rPr>
          <w:rStyle w:val="kursiv"/>
        </w:rPr>
        <w:t>Feilinformasjon</w:t>
      </w:r>
      <w:r>
        <w:t>: Informasjonen er nylig oppdatert, men ukorrekt. Dette kan både være ubevisste misforståelser av regelverk, og bevisste handlinger for f.eks. å skjule reelle rettighetshavere. Her kan det også finnes mer komplekse tilfeller hvor informasjonen på papiret er korrekt, men hvor det kan virke som andre personer eller enheter utøver makt over de registrerte rettighetshaverne.</w:t>
      </w:r>
    </w:p>
    <w:p w14:paraId="783BDF60" w14:textId="77777777" w:rsidR="004B1A63" w:rsidRDefault="004B1A63">
      <w:r>
        <w:t>I tillegg er dette kun et øyeblikksbilde av hvordan eierskapet ser ut akkurat nå. Det kan ha blitt gjort vesentlige endringer i eierskapet til enkeltselskaper på kort tid.</w:t>
      </w:r>
    </w:p>
    <w:p w14:paraId="2BF55A8A" w14:textId="77777777" w:rsidR="004B1A63" w:rsidRDefault="004B1A63">
      <w:r>
        <w:t>På tross av dette viser likevel Menons analyse på et overordnet nivå at den historiske fordeling av eierskapet i alle selskapene som har vært omfattet av kartleggingen (vektet etter omsetning) har vært ganske stabil i perioden 2014-2023:</w:t>
      </w:r>
    </w:p>
    <w:p w14:paraId="2A2A6FF2" w14:textId="77777777" w:rsidR="00015951" w:rsidRDefault="004B1A63">
      <w:pPr>
        <w:pStyle w:val="figur-tittel"/>
      </w:pPr>
      <w:r>
        <w:lastRenderedPageBreak/>
        <w:t>Historisk fordeling av ultimat eierskap i alle selskapene som kartlegges, vektet etter omsetning</w:t>
      </w:r>
    </w:p>
    <w:p w14:paraId="561AEFF7" w14:textId="2993E7A5" w:rsidR="004B1A63" w:rsidRDefault="004B4E04">
      <w:r>
        <w:rPr>
          <w:noProof/>
        </w:rPr>
        <w:drawing>
          <wp:inline distT="0" distB="0" distL="0" distR="0" wp14:anchorId="2CD1E909" wp14:editId="3D162E6F">
            <wp:extent cx="3657600" cy="1828800"/>
            <wp:effectExtent l="0" t="0" r="0" b="0"/>
            <wp:docPr id="15"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57600" cy="1828800"/>
                    </a:xfrm>
                    <a:prstGeom prst="rect">
                      <a:avLst/>
                    </a:prstGeom>
                    <a:noFill/>
                    <a:ln>
                      <a:noFill/>
                    </a:ln>
                  </pic:spPr>
                </pic:pic>
              </a:graphicData>
            </a:graphic>
          </wp:inline>
        </w:drawing>
      </w:r>
    </w:p>
    <w:p w14:paraId="6274C3C0" w14:textId="77777777" w:rsidR="004B1A63" w:rsidRDefault="004B1A63">
      <w:pPr>
        <w:pStyle w:val="Kilde"/>
      </w:pPr>
      <w:r>
        <w:t>Kilde: Menon Economics (2024), figur 4-3.</w:t>
      </w:r>
    </w:p>
    <w:p w14:paraId="3486819B" w14:textId="77777777" w:rsidR="004B1A63" w:rsidRDefault="004B1A63">
      <w:pPr>
        <w:pStyle w:val="Overskrift3"/>
      </w:pPr>
      <w:r>
        <w:t>Eierskap i selskaper som eier/råder over kritisk digital kommunikasjonsinfrastruktur</w:t>
      </w:r>
    </w:p>
    <w:p w14:paraId="2726DD85" w14:textId="6BF05F37" w:rsidR="004B1A63" w:rsidRDefault="004B1A63">
      <w:r>
        <w:t>Menons kartlegging viser at utenlandsk eierskap dominerer, og er mer utbredt i kritisk digital kommunikasjonsinfrastruktur enn i norsk næringsliv generelt. I følge Menon var 35 prosent av næringslivet utenlandsk eid i 2021, mens tilsvarende eierandel for kritisk digital kommunikasjonsinfrastruktur var på om lag 64 prosent, målt i omsetning.</w:t>
      </w:r>
      <w:r w:rsidR="00015951" w:rsidRPr="00015951">
        <w:rPr>
          <w:rStyle w:val="Fotnotereferanse"/>
        </w:rPr>
        <w:footnoteReference w:id="61"/>
      </w:r>
    </w:p>
    <w:p w14:paraId="190CF25D" w14:textId="5484852E" w:rsidR="004B1A63" w:rsidRDefault="004B1A63">
      <w:r>
        <w:t>Undersøkelsene viser også at offentlig eierskap er langt mer utbredt i kritisk digital infrastruktur, sammenlignet med eierskapet i øvrig norsk næringsliv. I følge Menon viser analysen at det offentlige (norske og utenlandske myndigheter) eier nesten halvparten av selskapene kartlagt her, men det offentlige eide 22 prosent av norsk næringsliv i 2021 (omfatter kun eierskapet til den norske stat).</w:t>
      </w:r>
      <w:r w:rsidR="00015951" w:rsidRPr="00015951">
        <w:rPr>
          <w:rStyle w:val="Fotnotereferanse"/>
        </w:rPr>
        <w:footnoteReference w:id="62"/>
      </w:r>
    </w:p>
    <w:p w14:paraId="20BA925C" w14:textId="77777777" w:rsidR="004B1A63" w:rsidRDefault="004B1A63">
      <w:r>
        <w:t>Menon viser til at en naturlig forklaring på at offentlig eierskap er utbredt, er at det er svært kapitalkrevende å bygge ut infrastrukturen, samtidig som det er samfunnskritisk. Av samme årsaker er privat eierskap mindre utbredt for disse selskapene, sammenlignet med næringslivet som helhet.</w:t>
      </w:r>
    </w:p>
    <w:p w14:paraId="308D8C38" w14:textId="77777777" w:rsidR="004B1A63" w:rsidRDefault="004B1A63">
      <w:r>
        <w:t>Utvalget vil her peke på at utbredt statlig eierskap også må sees i sammenheng med at det tidligere var staten selv som leverte teletjenester, og at de store selskapene har sitt opphav i at denne statlige virksomheten ble omdannet til kommersielle selskaper da markedene ble liberalisert. I tillegg har flere av selskapene sitt utspring i lokale kraftselskaper, der man så synergier mellom utbygging av kraftnett og kommunikasjonsinfrastruktur.</w:t>
      </w:r>
    </w:p>
    <w:p w14:paraId="41490E0B" w14:textId="77777777" w:rsidR="004B1A63" w:rsidRDefault="004B1A63">
      <w:r>
        <w:t>Figuren nedenfor angir en overordnet fordeling av eierskapet basert på ulike vektinger.</w:t>
      </w:r>
    </w:p>
    <w:p w14:paraId="0EF5C8F1" w14:textId="423EDC2F" w:rsidR="004B1A63" w:rsidRDefault="004B1A63" w:rsidP="00F4523B">
      <w:pPr>
        <w:pStyle w:val="figur-tittel"/>
      </w:pPr>
      <w:r>
        <w:lastRenderedPageBreak/>
        <w:t>Fordeling av eierskap blant eiere og forvaltere, etter vekting</w:t>
      </w:r>
    </w:p>
    <w:p w14:paraId="062A77FB" w14:textId="0E85AE9B" w:rsidR="004B1A63" w:rsidRDefault="004B4E04">
      <w:r>
        <w:rPr>
          <w:noProof/>
        </w:rPr>
        <w:drawing>
          <wp:inline distT="0" distB="0" distL="0" distR="0" wp14:anchorId="518B9B97" wp14:editId="5EF23FC7">
            <wp:extent cx="3657600" cy="1828800"/>
            <wp:effectExtent l="0" t="0" r="0" b="0"/>
            <wp:docPr id="16"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57600" cy="1828800"/>
                    </a:xfrm>
                    <a:prstGeom prst="rect">
                      <a:avLst/>
                    </a:prstGeom>
                    <a:noFill/>
                    <a:ln>
                      <a:noFill/>
                    </a:ln>
                  </pic:spPr>
                </pic:pic>
              </a:graphicData>
            </a:graphic>
          </wp:inline>
        </w:drawing>
      </w:r>
    </w:p>
    <w:p w14:paraId="26499507" w14:textId="77777777" w:rsidR="004B1A63" w:rsidRDefault="004B1A63">
      <w:pPr>
        <w:pStyle w:val="Kilde"/>
      </w:pPr>
      <w:r>
        <w:t>Kilde: Menon Economics (2024), figur 4-4.</w:t>
      </w:r>
    </w:p>
    <w:p w14:paraId="6FE6F3E6" w14:textId="77777777" w:rsidR="004B1A63" w:rsidRDefault="004B1A63">
      <w:pPr>
        <w:spacing w:before="340"/>
      </w:pPr>
      <w:r>
        <w:t>Menon har videre analysert fordelingen mellom norsk og utenlandsk eierskap innenfor de ulike infrastrukturkategoriene utvalget har basert arbeidet sitt på. Som vist i figur 6.5 under er fordelingen av eierskap ganske lik på tvers av ulike eierskapskategorier. Unntakene er datasentre som i større grad har utenlandsk eierskap, og i motsatt ende fortifikatoriske anlegg (eid av Telenor Towers) og infrastrukturkritiske basalfunksjoner (Norid og NRDB). Oversikt over de hvilke selskaper som inngår i de ulike infrastrukturkategoriene er inntatt på side 21-22 i Menon (2024).</w:t>
      </w:r>
    </w:p>
    <w:p w14:paraId="0A27ADE7" w14:textId="77777777" w:rsidR="004B1A63" w:rsidRDefault="004B1A63">
      <w:pPr>
        <w:pStyle w:val="figur-tittel"/>
      </w:pPr>
      <w:r>
        <w:t>Fordeling mellom norsk og utenlandsk ultimat eierskap innenfor ulike infrastrukturkategorier, vektet etter omsetning. Antall selskaper i parentes. Kun eiere og forvaltere.</w:t>
      </w:r>
    </w:p>
    <w:p w14:paraId="637335EE" w14:textId="5BF0629B" w:rsidR="004B1A63" w:rsidRDefault="004B4E04">
      <w:r>
        <w:rPr>
          <w:noProof/>
        </w:rPr>
        <w:drawing>
          <wp:inline distT="0" distB="0" distL="0" distR="0" wp14:anchorId="789FBE6B" wp14:editId="5E96D82F">
            <wp:extent cx="3657600" cy="1743075"/>
            <wp:effectExtent l="0" t="0" r="0" b="0"/>
            <wp:docPr id="17"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57600" cy="1743075"/>
                    </a:xfrm>
                    <a:prstGeom prst="rect">
                      <a:avLst/>
                    </a:prstGeom>
                    <a:noFill/>
                    <a:ln>
                      <a:noFill/>
                    </a:ln>
                  </pic:spPr>
                </pic:pic>
              </a:graphicData>
            </a:graphic>
          </wp:inline>
        </w:drawing>
      </w:r>
    </w:p>
    <w:p w14:paraId="55E8CDC4" w14:textId="77777777" w:rsidR="004B1A63" w:rsidRDefault="004B1A63">
      <w:pPr>
        <w:pStyle w:val="Kilde"/>
      </w:pPr>
      <w:r>
        <w:t>Kilde: Menon Economics (2024), figur 4-6.</w:t>
      </w:r>
    </w:p>
    <w:p w14:paraId="5F2ABE07" w14:textId="77777777" w:rsidR="004B1A63" w:rsidRDefault="004B1A63">
      <w:pPr>
        <w:spacing w:before="340"/>
      </w:pPr>
      <w:r>
        <w:t>Kartleggingen viser også at en betydelig del av eierskapet består av småaksjonærer uten vesentlig innflytelse. Dette gjelder særlig Telenor ASA og Telia AS. Telenor ASA er børsnotert og Telia AS er heleid av svenske børsnoterte Telia AB. En betydelig andel av begge selskapene eies av aksjonærer med mindre enn to prosent eierandel.</w:t>
      </w:r>
    </w:p>
    <w:p w14:paraId="05C90CFB" w14:textId="77777777" w:rsidR="004B1A63" w:rsidRDefault="004B1A63">
      <w:pPr>
        <w:rPr>
          <w:spacing w:val="-5"/>
        </w:rPr>
      </w:pPr>
      <w:r>
        <w:rPr>
          <w:spacing w:val="-5"/>
        </w:rPr>
        <w:t>På overordnet nivå for selskapene som inngår i analysen, viser funnene at majoriteten av det utenlandske eierskapet består av aksjonærer med små eierandeler, her vist ved figuren under.</w:t>
      </w:r>
    </w:p>
    <w:p w14:paraId="0D03A505" w14:textId="77777777" w:rsidR="004B1A63" w:rsidRDefault="004B1A63">
      <w:pPr>
        <w:pStyle w:val="figur-tittel"/>
      </w:pPr>
      <w:r>
        <w:lastRenderedPageBreak/>
        <w:t>Fordeling av ultimat utenlandsk eierskap blant eiere og forvaltere, vektet etter omsetning</w:t>
      </w:r>
    </w:p>
    <w:p w14:paraId="5FDE6E42" w14:textId="2FB4BDA0" w:rsidR="004B1A63" w:rsidRDefault="004B4E04">
      <w:r>
        <w:rPr>
          <w:noProof/>
        </w:rPr>
        <w:drawing>
          <wp:inline distT="0" distB="0" distL="0" distR="0" wp14:anchorId="47DE6EE9" wp14:editId="663C3B1D">
            <wp:extent cx="3657600" cy="1743075"/>
            <wp:effectExtent l="0" t="0" r="0" b="0"/>
            <wp:docPr id="18"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57600" cy="1743075"/>
                    </a:xfrm>
                    <a:prstGeom prst="rect">
                      <a:avLst/>
                    </a:prstGeom>
                    <a:noFill/>
                    <a:ln>
                      <a:noFill/>
                    </a:ln>
                  </pic:spPr>
                </pic:pic>
              </a:graphicData>
            </a:graphic>
          </wp:inline>
        </w:drawing>
      </w:r>
    </w:p>
    <w:p w14:paraId="0D081213" w14:textId="77777777" w:rsidR="004B1A63" w:rsidRDefault="004B1A63">
      <w:pPr>
        <w:pStyle w:val="Kilde"/>
      </w:pPr>
      <w:r>
        <w:t>Kilde: Menon Economics (2024), figur 4-5.</w:t>
      </w:r>
    </w:p>
    <w:p w14:paraId="09AA0885" w14:textId="77777777" w:rsidR="004B1A63" w:rsidRPr="00015951" w:rsidRDefault="004B1A63">
      <w:pPr>
        <w:rPr>
          <w:rStyle w:val="kursiv"/>
        </w:rPr>
      </w:pPr>
      <w:r w:rsidRPr="00015951">
        <w:rPr>
          <w:rStyle w:val="kursiv"/>
        </w:rPr>
        <w:t>Fordeling utenlandsk eierskap, Norden, EØS, NATO og andre</w:t>
      </w:r>
    </w:p>
    <w:p w14:paraId="5B1590D6" w14:textId="77777777" w:rsidR="004B1A63" w:rsidRDefault="004B1A63">
      <w:r>
        <w:t>Menon har sporet utenlandsk eierskap så langt det har latt seg gjøre. Som nevnt, består majoriteten av det utenlandske eierskapet av aksjonærer med små eierandeler som ikke har blitt videre kartlagt. Dette medfører at det utenlandske eierskapet i denne gruppen ikke kan knyttes til ett enkelt land.</w:t>
      </w:r>
    </w:p>
    <w:p w14:paraId="65623642" w14:textId="77777777" w:rsidR="004B1A63" w:rsidRDefault="004B1A63">
      <w:pPr>
        <w:pStyle w:val="figur-tittel"/>
      </w:pPr>
      <w:r>
        <w:t>Geografisk fordeling av utenlandsk ultimat eierskap blant eiere og forvaltere, vektet etter omsetning.</w:t>
      </w:r>
    </w:p>
    <w:p w14:paraId="03C87DFD" w14:textId="269E4D87" w:rsidR="004B1A63" w:rsidRDefault="004B4E04">
      <w:r>
        <w:rPr>
          <w:noProof/>
        </w:rPr>
        <w:drawing>
          <wp:inline distT="0" distB="0" distL="0" distR="0" wp14:anchorId="38899AD0" wp14:editId="78FD4072">
            <wp:extent cx="3657600" cy="1657350"/>
            <wp:effectExtent l="0" t="0" r="0" b="0"/>
            <wp:docPr id="19"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57600" cy="1657350"/>
                    </a:xfrm>
                    <a:prstGeom prst="rect">
                      <a:avLst/>
                    </a:prstGeom>
                    <a:noFill/>
                    <a:ln>
                      <a:noFill/>
                    </a:ln>
                  </pic:spPr>
                </pic:pic>
              </a:graphicData>
            </a:graphic>
          </wp:inline>
        </w:drawing>
      </w:r>
    </w:p>
    <w:p w14:paraId="13213990" w14:textId="77777777" w:rsidR="004B1A63" w:rsidRDefault="004B1A63">
      <w:pPr>
        <w:pStyle w:val="Kilde"/>
      </w:pPr>
      <w:r>
        <w:t>Kilde Menon Economics (2024), figur 4-7.</w:t>
      </w:r>
    </w:p>
    <w:p w14:paraId="7CAA0E8B" w14:textId="77777777" w:rsidR="004B1A63" w:rsidRDefault="004B1A63">
      <w:r>
        <w:t>Som det fremgår av figuren så peker Sverige seg ut som det fremste eierlandet blant ultimate utenlandske eiere, etterfulgt av USA og Luxembourg. Det er likevel viktig å understreke at det kan finnes andre aktører i andre land selv om dette er der eierskapskjeden Menon har kartlagt stopper. Eksempelvis er alt eierskapet registrert i Luxembourg i stor grad knyttet til fond forvaltet av EQT (en av Europas største fondsforvaltere) – som igjen er eid av et bredt sett av investorer med små effektive eierandeler. I slike tilfeller har det ifølge Menon ikke vært hensiktsmessig å gå videre bakover i eierkjeden fordi de fleste investorene har små eierandeler i disse fondene, og eierkjeden stopper derfor i Luxembourg i Menons data.</w:t>
      </w:r>
    </w:p>
    <w:p w14:paraId="22FCE468" w14:textId="77777777" w:rsidR="004B1A63" w:rsidRDefault="004B1A63">
      <w:r>
        <w:lastRenderedPageBreak/>
        <w:t>For å få et bedre overblikk over hvordan eierskapet fordeler seg på ulike regioner, har Menon også gruppert utenlandsk eierskap etter hvorvidt er en del av Norden, EØS eller NATO.</w:t>
      </w:r>
    </w:p>
    <w:p w14:paraId="5AD331A3" w14:textId="77777777" w:rsidR="004B1A63" w:rsidRDefault="004B1A63">
      <w:pPr>
        <w:pStyle w:val="figur-tittel"/>
      </w:pPr>
      <w:r>
        <w:t>Regionvis fordeling av kjent ultimat utenlandsk eierskap blant eiere og forvaltere, vektet etter omsetning</w:t>
      </w:r>
    </w:p>
    <w:p w14:paraId="73241B78" w14:textId="24BB0576" w:rsidR="004B1A63" w:rsidRDefault="004B4E04">
      <w:r>
        <w:rPr>
          <w:noProof/>
        </w:rPr>
        <w:drawing>
          <wp:inline distT="0" distB="0" distL="0" distR="0" wp14:anchorId="6338003A" wp14:editId="4F1CF39F">
            <wp:extent cx="3657600" cy="1485900"/>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57600" cy="1485900"/>
                    </a:xfrm>
                    <a:prstGeom prst="rect">
                      <a:avLst/>
                    </a:prstGeom>
                    <a:noFill/>
                    <a:ln>
                      <a:noFill/>
                    </a:ln>
                  </pic:spPr>
                </pic:pic>
              </a:graphicData>
            </a:graphic>
          </wp:inline>
        </w:drawing>
      </w:r>
    </w:p>
    <w:p w14:paraId="6D91846C" w14:textId="77777777" w:rsidR="004B1A63" w:rsidRDefault="004B1A63">
      <w:pPr>
        <w:pStyle w:val="Kilde"/>
      </w:pPr>
      <w:r>
        <w:t>Kilde: Menon Economics (2024), figur 4-8.</w:t>
      </w:r>
    </w:p>
    <w:p w14:paraId="02920698" w14:textId="77777777" w:rsidR="004B1A63" w:rsidRDefault="004B1A63">
      <w:pPr>
        <w:spacing w:before="340"/>
      </w:pPr>
      <w:r>
        <w:t>Oversikten viser at majoriteten av det utenlandske eierskapet ligger i Norden. Til sammen ligger noe mer av eierskapet i EØS, og tilnærmet alt ultimat eierskap kan spores tilbake til et NATO-land. Det er kun en andel på fire prosent av den samlede omsetningen i selskapene som eies utenfor disse landene. Blant disse er eierskap fra Israel størst, med én prosent effektivt eierskap i selskapene som eiere eller kontrollerer kritisk digital kommunikasjonsinfrastruktur.</w:t>
      </w:r>
    </w:p>
    <w:p w14:paraId="3713A34D" w14:textId="77777777" w:rsidR="004B1A63" w:rsidRDefault="004B1A63">
      <w:r>
        <w:t xml:space="preserve">Når det gjelder eierskapsinformasjon ned på selskapsnivå så vises det til tabell 4-1 i Menons rapport der det gis en kort omtale av eierskapet. Et utvalg av informasjonen er likevel gjengitt under for </w:t>
      </w:r>
      <w:r w:rsidRPr="00015951">
        <w:rPr>
          <w:rStyle w:val="kursiv"/>
        </w:rPr>
        <w:t>enkelte selskaper</w:t>
      </w:r>
      <w:r>
        <w:t xml:space="preserve"> innenfor et utvalg infrastrukturkategorier.</w:t>
      </w:r>
    </w:p>
    <w:p w14:paraId="076C8FA7" w14:textId="249BAB50" w:rsidR="004B1A63" w:rsidRDefault="004B1A63">
      <w:pPr>
        <w:pStyle w:val="tabell-tittel"/>
      </w:pPr>
      <w:r>
        <w:t>Beskrivelse av eierskap i et utvalg av de kartlagte selskaper</w:t>
      </w:r>
    </w:p>
    <w:tbl>
      <w:tblPr>
        <w:tblStyle w:val="StandardTabell"/>
        <w:tblW w:w="0" w:type="auto"/>
        <w:tblLayout w:type="fixed"/>
        <w:tblLook w:val="04A0" w:firstRow="1" w:lastRow="0" w:firstColumn="1" w:lastColumn="0" w:noHBand="0" w:noVBand="1"/>
      </w:tblPr>
      <w:tblGrid>
        <w:gridCol w:w="2268"/>
        <w:gridCol w:w="5669"/>
      </w:tblGrid>
      <w:tr w:rsidR="00C26A9D" w14:paraId="00B50FF7" w14:textId="77777777" w:rsidTr="005F432B">
        <w:trPr>
          <w:trHeight w:val="311"/>
        </w:trPr>
        <w:tc>
          <w:tcPr>
            <w:tcW w:w="2268" w:type="dxa"/>
          </w:tcPr>
          <w:p w14:paraId="6ACFB981" w14:textId="77777777" w:rsidR="004B1A63" w:rsidRDefault="004B1A63" w:rsidP="00596BCD">
            <w:pPr>
              <w:pStyle w:val="TabellHode-kolonne"/>
            </w:pPr>
            <w:r>
              <w:t>Selskap</w:t>
            </w:r>
          </w:p>
        </w:tc>
        <w:tc>
          <w:tcPr>
            <w:tcW w:w="5669" w:type="dxa"/>
          </w:tcPr>
          <w:p w14:paraId="3E0C80C6" w14:textId="77777777" w:rsidR="004B1A63" w:rsidRDefault="004B1A63" w:rsidP="00596BCD">
            <w:pPr>
              <w:pStyle w:val="TabellHode-kolonne"/>
            </w:pPr>
            <w:r>
              <w:t>Beskrivelse</w:t>
            </w:r>
          </w:p>
        </w:tc>
      </w:tr>
      <w:tr w:rsidR="00C26A9D" w14:paraId="0421E77E" w14:textId="77777777" w:rsidTr="005F432B">
        <w:trPr>
          <w:trHeight w:val="311"/>
        </w:trPr>
        <w:tc>
          <w:tcPr>
            <w:tcW w:w="2268" w:type="dxa"/>
          </w:tcPr>
          <w:p w14:paraId="3D3216A7" w14:textId="77777777" w:rsidR="004B1A63" w:rsidRDefault="004B1A63" w:rsidP="00596BCD">
            <w:pPr>
              <w:pStyle w:val="TabellHode-rad"/>
            </w:pPr>
            <w:r>
              <w:t>Bulk Infrastructure Holding AS</w:t>
            </w:r>
          </w:p>
        </w:tc>
        <w:tc>
          <w:tcPr>
            <w:tcW w:w="5669" w:type="dxa"/>
          </w:tcPr>
          <w:p w14:paraId="459BC6AE" w14:textId="77777777" w:rsidR="004B1A63" w:rsidRDefault="004B1A63" w:rsidP="00596BCD">
            <w:r>
              <w:t>Eierskapet er hovedsakelig fordelt mellom styreleder Peter Nærbø og investeringsselskapet BGO. Utover dette finner vi flere mindre aksjonærer, inkludert John Fredriksen og ansatte.</w:t>
            </w:r>
          </w:p>
        </w:tc>
      </w:tr>
      <w:tr w:rsidR="00C26A9D" w14:paraId="292BAC84" w14:textId="77777777" w:rsidTr="005F432B">
        <w:trPr>
          <w:trHeight w:val="311"/>
        </w:trPr>
        <w:tc>
          <w:tcPr>
            <w:tcW w:w="2268" w:type="dxa"/>
          </w:tcPr>
          <w:p w14:paraId="23BA7DEE" w14:textId="77777777" w:rsidR="004B1A63" w:rsidRDefault="004B1A63" w:rsidP="00596BCD">
            <w:pPr>
              <w:pStyle w:val="TabellHode-rad"/>
            </w:pPr>
            <w:r>
              <w:t>Lefdal Mine Datacenter AS</w:t>
            </w:r>
          </w:p>
        </w:tc>
        <w:tc>
          <w:tcPr>
            <w:tcW w:w="5669" w:type="dxa"/>
          </w:tcPr>
          <w:p w14:paraId="447DCCEE" w14:textId="77777777" w:rsidR="004B1A63" w:rsidRDefault="004B1A63" w:rsidP="00596BCD">
            <w:r>
              <w:t xml:space="preserve">Majoritetseid (2/3) av Ameriprise Financial Inc., som igjen spores til mindre eierandeler hos investeringsfond fra Vanguard og BlackRock, samt en rekke småaksjonærer med &lt; 3 prosent eierskap. Den resterende tredjedelen eies av tyske stiftelser. </w:t>
            </w:r>
          </w:p>
        </w:tc>
      </w:tr>
      <w:tr w:rsidR="00C26A9D" w14:paraId="0E519629" w14:textId="77777777" w:rsidTr="005F432B">
        <w:trPr>
          <w:trHeight w:val="311"/>
        </w:trPr>
        <w:tc>
          <w:tcPr>
            <w:tcW w:w="2268" w:type="dxa"/>
          </w:tcPr>
          <w:p w14:paraId="0B860691" w14:textId="77777777" w:rsidR="004B1A63" w:rsidRDefault="004B1A63" w:rsidP="00596BCD">
            <w:pPr>
              <w:pStyle w:val="TabellHode-rad"/>
            </w:pPr>
            <w:r>
              <w:t>Green Mountain AS</w:t>
            </w:r>
          </w:p>
        </w:tc>
        <w:tc>
          <w:tcPr>
            <w:tcW w:w="5669" w:type="dxa"/>
          </w:tcPr>
          <w:p w14:paraId="2FB6AE83" w14:textId="77777777" w:rsidR="004B1A63" w:rsidRDefault="004B1A63" w:rsidP="00596BCD">
            <w:r>
              <w:t xml:space="preserve">Heleid av Azrieli Group, som igjen er majoritetseid av den israelske Azrieli-familien. </w:t>
            </w:r>
          </w:p>
        </w:tc>
      </w:tr>
      <w:tr w:rsidR="00C26A9D" w14:paraId="258B9905" w14:textId="77777777" w:rsidTr="005F432B">
        <w:trPr>
          <w:trHeight w:val="311"/>
        </w:trPr>
        <w:tc>
          <w:tcPr>
            <w:tcW w:w="2268" w:type="dxa"/>
          </w:tcPr>
          <w:p w14:paraId="6AFA49B5" w14:textId="77777777" w:rsidR="004B1A63" w:rsidRDefault="004B1A63" w:rsidP="00596BCD">
            <w:pPr>
              <w:pStyle w:val="TabellHode-rad"/>
            </w:pPr>
            <w:r>
              <w:lastRenderedPageBreak/>
              <w:t>Inmarsat Solutions AS</w:t>
            </w:r>
          </w:p>
        </w:tc>
        <w:tc>
          <w:tcPr>
            <w:tcW w:w="5669" w:type="dxa"/>
          </w:tcPr>
          <w:p w14:paraId="1EEA820B" w14:textId="77777777" w:rsidR="004B1A63" w:rsidRDefault="004B1A63" w:rsidP="00596BCD">
            <w:r>
              <w:t xml:space="preserve">Eies av Viasat. Største ultimate eiere er BlackRock og The Baupost Group (investeringsselskap), men ingen har mer enn 11 prosent i ultimat eierskap. </w:t>
            </w:r>
          </w:p>
        </w:tc>
      </w:tr>
      <w:tr w:rsidR="00C26A9D" w14:paraId="49E7D40B" w14:textId="77777777" w:rsidTr="005F432B">
        <w:trPr>
          <w:trHeight w:val="311"/>
        </w:trPr>
        <w:tc>
          <w:tcPr>
            <w:tcW w:w="2268" w:type="dxa"/>
          </w:tcPr>
          <w:p w14:paraId="777A110E" w14:textId="77777777" w:rsidR="004B1A63" w:rsidRDefault="004B1A63" w:rsidP="00596BCD">
            <w:pPr>
              <w:pStyle w:val="TabellHode-rad"/>
            </w:pPr>
            <w:r>
              <w:t>Space Norway AS</w:t>
            </w:r>
          </w:p>
        </w:tc>
        <w:tc>
          <w:tcPr>
            <w:tcW w:w="5669" w:type="dxa"/>
          </w:tcPr>
          <w:p w14:paraId="20ED47CA" w14:textId="77777777" w:rsidR="004B1A63" w:rsidRDefault="004B1A63" w:rsidP="00596BCD">
            <w:r>
              <w:t>Heleid av Nærings- og fiskeridepartementet</w:t>
            </w:r>
          </w:p>
        </w:tc>
      </w:tr>
      <w:tr w:rsidR="00C26A9D" w14:paraId="5F6F9AB1" w14:textId="77777777" w:rsidTr="005F432B">
        <w:trPr>
          <w:trHeight w:val="311"/>
        </w:trPr>
        <w:tc>
          <w:tcPr>
            <w:tcW w:w="2268" w:type="dxa"/>
          </w:tcPr>
          <w:p w14:paraId="5DBE84A8" w14:textId="77777777" w:rsidR="004B1A63" w:rsidRDefault="004B1A63" w:rsidP="00596BCD">
            <w:pPr>
              <w:pStyle w:val="TabellHode-rad"/>
            </w:pPr>
            <w:r>
              <w:t>Starlink Norway AS</w:t>
            </w:r>
          </w:p>
        </w:tc>
        <w:tc>
          <w:tcPr>
            <w:tcW w:w="5669" w:type="dxa"/>
          </w:tcPr>
          <w:p w14:paraId="70F418FD" w14:textId="77777777" w:rsidR="004B1A63" w:rsidRDefault="004B1A63" w:rsidP="00596BCD">
            <w:r>
              <w:t xml:space="preserve">Majoritetseid av The Elon Musk Trust. Utover dette ligger det ultimate eierskapet hos en rekke investeringsfond, men fordelingen mellom disse er svært usikker. </w:t>
            </w:r>
          </w:p>
        </w:tc>
      </w:tr>
      <w:tr w:rsidR="00C26A9D" w14:paraId="1D660A18" w14:textId="77777777" w:rsidTr="005F432B">
        <w:trPr>
          <w:trHeight w:val="311"/>
        </w:trPr>
        <w:tc>
          <w:tcPr>
            <w:tcW w:w="2268" w:type="dxa"/>
          </w:tcPr>
          <w:p w14:paraId="578E7102" w14:textId="77777777" w:rsidR="004B1A63" w:rsidRDefault="004B1A63" w:rsidP="00596BCD">
            <w:pPr>
              <w:pStyle w:val="TabellHode-rad"/>
            </w:pPr>
            <w:r>
              <w:t>GlobalConnect AS</w:t>
            </w:r>
          </w:p>
        </w:tc>
        <w:tc>
          <w:tcPr>
            <w:tcW w:w="5669" w:type="dxa"/>
          </w:tcPr>
          <w:p w14:paraId="0E924B79" w14:textId="77777777" w:rsidR="004B1A63" w:rsidRDefault="004B1A63" w:rsidP="00596BCD">
            <w:r>
              <w:t>Heleid av ulike EQT-fond, som kan spores tilbake til svært mange mindre aksjonærer</w:t>
            </w:r>
          </w:p>
        </w:tc>
      </w:tr>
      <w:tr w:rsidR="00C26A9D" w14:paraId="6D7C1DDC" w14:textId="77777777" w:rsidTr="005F432B">
        <w:trPr>
          <w:trHeight w:val="311"/>
        </w:trPr>
        <w:tc>
          <w:tcPr>
            <w:tcW w:w="2268" w:type="dxa"/>
          </w:tcPr>
          <w:p w14:paraId="6E9E09D7" w14:textId="77777777" w:rsidR="004B1A63" w:rsidRDefault="004B1A63" w:rsidP="00596BCD">
            <w:pPr>
              <w:pStyle w:val="TabellHode-rad"/>
            </w:pPr>
            <w:r>
              <w:t>Telenor ASA</w:t>
            </w:r>
          </w:p>
        </w:tc>
        <w:tc>
          <w:tcPr>
            <w:tcW w:w="5669" w:type="dxa"/>
          </w:tcPr>
          <w:p w14:paraId="3FEC761D" w14:textId="77777777" w:rsidR="004B1A63" w:rsidRDefault="004B1A63" w:rsidP="00596BCD">
            <w:r>
              <w:t xml:space="preserve">Majoritetseid av Nærings- og fiskeridepartementet. Utover dette er de største ultimate eierskapene i ulike norske og internasjonale investeringsselskap, men ingen har mer enn fem prosent eierskap. </w:t>
            </w:r>
          </w:p>
        </w:tc>
      </w:tr>
      <w:tr w:rsidR="00C26A9D" w14:paraId="3732B1B7" w14:textId="77777777" w:rsidTr="005F432B">
        <w:trPr>
          <w:trHeight w:val="311"/>
        </w:trPr>
        <w:tc>
          <w:tcPr>
            <w:tcW w:w="2268" w:type="dxa"/>
          </w:tcPr>
          <w:p w14:paraId="4D926D45" w14:textId="77777777" w:rsidR="004B1A63" w:rsidRDefault="004B1A63" w:rsidP="00596BCD">
            <w:pPr>
              <w:pStyle w:val="TabellHode-rad"/>
            </w:pPr>
            <w:r>
              <w:t>Telia Norge AS</w:t>
            </w:r>
          </w:p>
        </w:tc>
        <w:tc>
          <w:tcPr>
            <w:tcW w:w="5669" w:type="dxa"/>
          </w:tcPr>
          <w:p w14:paraId="0576BCB9" w14:textId="77777777" w:rsidR="004B1A63" w:rsidRDefault="004B1A63" w:rsidP="00596BCD">
            <w:r>
              <w:t xml:space="preserve">Største ultimate eier er svenske myndigheter. Utover dette er de største ultimate eierskapene i en rekke investeringsselskap, men ingen har mer enn fire prosent eierskap. </w:t>
            </w:r>
          </w:p>
        </w:tc>
      </w:tr>
      <w:tr w:rsidR="00C26A9D" w14:paraId="43F76C29" w14:textId="77777777" w:rsidTr="005F432B">
        <w:trPr>
          <w:trHeight w:val="311"/>
        </w:trPr>
        <w:tc>
          <w:tcPr>
            <w:tcW w:w="2268" w:type="dxa"/>
          </w:tcPr>
          <w:p w14:paraId="2ED88F46" w14:textId="77777777" w:rsidR="004B1A63" w:rsidRDefault="004B1A63" w:rsidP="00596BCD">
            <w:pPr>
              <w:pStyle w:val="TabellHode-rad"/>
            </w:pPr>
            <w:r>
              <w:t>Telia Towers Norway AS</w:t>
            </w:r>
          </w:p>
        </w:tc>
        <w:tc>
          <w:tcPr>
            <w:tcW w:w="5669" w:type="dxa"/>
          </w:tcPr>
          <w:p w14:paraId="44FD4972" w14:textId="77777777" w:rsidR="004B1A63" w:rsidRDefault="004B1A63" w:rsidP="00596BCD">
            <w:r>
              <w:t>Eies 51 prosent av Telia Company AB, som gir svenske myndigheter en ultimat eierandel på 21 prosent. De resterende 49 prosentene fordeles mellom investeringsselskapene Brookfield (Canada) og Alecta (Sverige)</w:t>
            </w:r>
          </w:p>
        </w:tc>
      </w:tr>
      <w:tr w:rsidR="00C26A9D" w14:paraId="763672F8" w14:textId="77777777" w:rsidTr="005F432B">
        <w:trPr>
          <w:trHeight w:val="311"/>
        </w:trPr>
        <w:tc>
          <w:tcPr>
            <w:tcW w:w="2268" w:type="dxa"/>
          </w:tcPr>
          <w:p w14:paraId="05FD4142" w14:textId="77777777" w:rsidR="004B1A63" w:rsidRDefault="004B1A63" w:rsidP="00596BCD">
            <w:pPr>
              <w:pStyle w:val="TabellHode-rad"/>
            </w:pPr>
            <w:r>
              <w:t>Lyse Tele AS</w:t>
            </w:r>
          </w:p>
        </w:tc>
        <w:tc>
          <w:tcPr>
            <w:tcW w:w="5669" w:type="dxa"/>
          </w:tcPr>
          <w:p w14:paraId="5FBD24B7" w14:textId="77777777" w:rsidR="004B1A63" w:rsidRDefault="004B1A63" w:rsidP="00596BCD">
            <w:r>
              <w:t>Heleid av norske kommuner</w:t>
            </w:r>
          </w:p>
        </w:tc>
      </w:tr>
      <w:tr w:rsidR="00C26A9D" w14:paraId="227901C9" w14:textId="77777777" w:rsidTr="005F432B">
        <w:trPr>
          <w:trHeight w:val="311"/>
        </w:trPr>
        <w:tc>
          <w:tcPr>
            <w:tcW w:w="2268" w:type="dxa"/>
          </w:tcPr>
          <w:p w14:paraId="21E582EA" w14:textId="77777777" w:rsidR="004B1A63" w:rsidRDefault="004B1A63" w:rsidP="00596BCD">
            <w:pPr>
              <w:pStyle w:val="TabellHode-rad"/>
            </w:pPr>
            <w:r>
              <w:t>Eidsiva Bredbånd AS</w:t>
            </w:r>
          </w:p>
        </w:tc>
        <w:tc>
          <w:tcPr>
            <w:tcW w:w="5669" w:type="dxa"/>
          </w:tcPr>
          <w:p w14:paraId="7CDC175B" w14:textId="77777777" w:rsidR="004B1A63" w:rsidRDefault="004B1A63" w:rsidP="00596BCD">
            <w:r>
              <w:t>Heleid av norske kommuner og fylkeskommuner, med Oslo kommune og Innlandet fylkeskommune som største aksjonærer.</w:t>
            </w:r>
          </w:p>
        </w:tc>
      </w:tr>
    </w:tbl>
    <w:p w14:paraId="7C7BD714" w14:textId="77777777" w:rsidR="004B1A63" w:rsidRDefault="004B1A63">
      <w:pPr>
        <w:pStyle w:val="Kilde"/>
      </w:pPr>
      <w:r>
        <w:t>Kilde: Menon Economics (2024).</w:t>
      </w:r>
    </w:p>
    <w:p w14:paraId="35F71839" w14:textId="77777777" w:rsidR="004B1A63" w:rsidRDefault="004B1A63">
      <w:pPr>
        <w:pStyle w:val="Overskrift3"/>
      </w:pPr>
      <w:r>
        <w:t>Eierskap for underleverandører som er avgjørende for utbygging, drift og vedlikehold av infrastrukturen</w:t>
      </w:r>
    </w:p>
    <w:p w14:paraId="63690338" w14:textId="77777777" w:rsidR="004B1A63" w:rsidRDefault="004B1A63">
      <w:r>
        <w:t>Som det fremgår av tabell 6.2 over, foretok Menon en kartlegging av i alt 15 viktige under-leverandører til eiere av kritisk digital kommunikasjonsinfrastruktur. Underleverandørene ble delt inn i to kategorier der Menon for den ene kategorien (i rapporten omtalt som kategori 2A) skulle gjennomføre en full kartlegging på lik linje som for identifiserte infrastruktureiere. For den øvrige delen av underleverandørene (i rapporten omtalt som kategori 2B) foretok Menon en kartlegging begrenset til eierskap i norske aksjonærregistre.</w:t>
      </w:r>
    </w:p>
    <w:p w14:paraId="4EAD643E" w14:textId="77777777" w:rsidR="004B1A63" w:rsidRDefault="004B1A63">
      <w:r>
        <w:lastRenderedPageBreak/>
        <w:t>Blant funnene Menon trekker frem fra den generelle kartleggingen av underleverandører (kategori 2A+2B) er at underleverandørene har betydelig mindre offentlig eierskap enn selskapene som eier eller kontrollerer kritisk digital kommunikasjonsinfrastruktur, og heller en større andel personlig og utenlandsk eierskap.</w:t>
      </w:r>
    </w:p>
    <w:p w14:paraId="6CEB83C0" w14:textId="77777777" w:rsidR="004B1A63" w:rsidRDefault="004B1A63">
      <w:r>
        <w:t>Fordelingen av eierskap varierer noe mer etter hvordan selskapene vektes mot hverandre, men dette anser Menon som naturlig ettersom denne kategorien omfatter et mindre antall selskaper. Fordeling av eierskap er gjengitt i figuren under.</w:t>
      </w:r>
    </w:p>
    <w:p w14:paraId="222A45CD" w14:textId="77777777" w:rsidR="004B1A63" w:rsidRDefault="004B1A63">
      <w:pPr>
        <w:pStyle w:val="figur-tittel"/>
      </w:pPr>
      <w:r>
        <w:t>Fordeling av eierskap blant leverandører, etter vekting</w:t>
      </w:r>
    </w:p>
    <w:p w14:paraId="27A330B2" w14:textId="0307EF9D" w:rsidR="004B1A63" w:rsidRDefault="004B4E04">
      <w:r>
        <w:rPr>
          <w:noProof/>
        </w:rPr>
        <w:drawing>
          <wp:inline distT="0" distB="0" distL="0" distR="0" wp14:anchorId="0C468B13" wp14:editId="1A69F59B">
            <wp:extent cx="3657600" cy="1657350"/>
            <wp:effectExtent l="0" t="0" r="0" b="0"/>
            <wp:docPr id="21"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57600" cy="1657350"/>
                    </a:xfrm>
                    <a:prstGeom prst="rect">
                      <a:avLst/>
                    </a:prstGeom>
                    <a:noFill/>
                    <a:ln>
                      <a:noFill/>
                    </a:ln>
                  </pic:spPr>
                </pic:pic>
              </a:graphicData>
            </a:graphic>
          </wp:inline>
        </w:drawing>
      </w:r>
    </w:p>
    <w:p w14:paraId="3A8FEB90" w14:textId="77777777" w:rsidR="004B1A63" w:rsidRDefault="004B1A63">
      <w:pPr>
        <w:pStyle w:val="Kilde"/>
      </w:pPr>
      <w:r>
        <w:t>Kilde: Menon Economics (2024), figur 6-2.</w:t>
      </w:r>
    </w:p>
    <w:p w14:paraId="3E4CD76B" w14:textId="77777777" w:rsidR="004B1A63" w:rsidRDefault="004B1A63">
      <w:pPr>
        <w:spacing w:before="340"/>
      </w:pPr>
      <w:r>
        <w:t>En overordnet fordeling av det utenlandske eierskapet er inntatt i figur 6.10 under. Tilsvarende som for infrastruktureierne, fordeler det utenlandske eierskapet blant underleverandørene med fullstendig kartlegging seg primært mellom aksjonærer med små eierandeler, investeringsselskap og offentlige eiere. Samtidig ser man en større andel eierskap hos privatpersoner og selveide aktører (primært stiftelser), og mindre eierskap hos offentlige aktører (13 prosent mot 20 prosent i figur 6.6) og aksjonærer med lav eierandel (50 prosent mot 58 prosent i figur 6.6). Menon tar forbehold om at eierskapsfordelingen baserer seg på et svært begrenset utvalg selskaper – kun fem av leverandørene med full kartlegging (kategori 2A) spores tilbake til utenlandsk eierskap. Dermed vil denne fordelingen kunne endres betydelig ved endringer i eierskapet til enkeltselskaper.</w:t>
      </w:r>
    </w:p>
    <w:p w14:paraId="24F0F120" w14:textId="77777777" w:rsidR="004B1A63" w:rsidRDefault="004B1A63">
      <w:pPr>
        <w:pStyle w:val="figur-tittel"/>
      </w:pPr>
      <w:r>
        <w:t>Fordeling av utenlandsk ultimat eierskap hos leverandører med fullstendig kartlegging (kategori 2A), vektet etter omsetning</w:t>
      </w:r>
    </w:p>
    <w:p w14:paraId="4A5F1684" w14:textId="6D2BB520" w:rsidR="004B1A63" w:rsidRDefault="004B4E04">
      <w:r>
        <w:rPr>
          <w:noProof/>
        </w:rPr>
        <w:lastRenderedPageBreak/>
        <w:drawing>
          <wp:inline distT="0" distB="0" distL="0" distR="0" wp14:anchorId="295DB300" wp14:editId="40FE0C53">
            <wp:extent cx="3657600" cy="1828800"/>
            <wp:effectExtent l="0" t="0" r="0" b="0"/>
            <wp:docPr id="22"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57600" cy="1828800"/>
                    </a:xfrm>
                    <a:prstGeom prst="rect">
                      <a:avLst/>
                    </a:prstGeom>
                    <a:noFill/>
                    <a:ln>
                      <a:noFill/>
                    </a:ln>
                  </pic:spPr>
                </pic:pic>
              </a:graphicData>
            </a:graphic>
          </wp:inline>
        </w:drawing>
      </w:r>
    </w:p>
    <w:p w14:paraId="40FB15DA" w14:textId="77777777" w:rsidR="004B1A63" w:rsidRDefault="004B1A63">
      <w:pPr>
        <w:pStyle w:val="Kilde"/>
      </w:pPr>
      <w:r>
        <w:t>Kilde: Menon Economics (2024), figur 4-10.</w:t>
      </w:r>
    </w:p>
    <w:p w14:paraId="7B8216BF" w14:textId="6BF76F88" w:rsidR="004B1A63" w:rsidRDefault="004B1A63">
      <w:pPr>
        <w:spacing w:before="340"/>
      </w:pPr>
      <w:r>
        <w:t>Menons funn viser at de største andelene eierskap innen denne kategorien knyttes enten til Sverige eller Storbritannia.</w:t>
      </w:r>
      <w:r w:rsidR="00015951" w:rsidRPr="00015951">
        <w:rPr>
          <w:rStyle w:val="Fotnotereferanse"/>
        </w:rPr>
        <w:footnoteReference w:id="63"/>
      </w:r>
      <w:r>
        <w:t xml:space="preserve"> Når Menon grupperer eierskapet etter ulike regioner (Norden, EØS og EØS+NATO) finner de at det er en mindre andel av det utenlandske eierskapet for leverandørene (kategori 2-selskapene) som kan knyttes til Norden og EØS enn for selskapene som eier kritisk digital kommunikasjonsinfrastruktur. Dette skyldes i hovedsak den høye andelen av eierskapet som kan knyttes til Storbritannia. Samtidig kan mesteparten av eierskapet, på samme måte som for eiere av infrastrukturen (kategori 1), knyttes til et NATO-land. Som vi ser av figuren nedenfor, kan kun tre prosent av eierskapet knyttes til land utenfor NATO og EØS. Blant disse landene er eierskap fra Chile størst, hvor 1,3 prosent av det ultimate eierskapet i selskapene kan spores til Chile.</w:t>
      </w:r>
    </w:p>
    <w:p w14:paraId="48AF9353" w14:textId="77777777" w:rsidR="004B1A63" w:rsidRDefault="004B1A63">
      <w:pPr>
        <w:pStyle w:val="figur-tittel"/>
      </w:pPr>
      <w:r>
        <w:t>Regionvis fordeling av kjent utenlandsk eierskap blant leverandører i kategori 2A, vektet etter omsetning.</w:t>
      </w:r>
    </w:p>
    <w:p w14:paraId="12B3AD66" w14:textId="54A0ED7E" w:rsidR="004B1A63" w:rsidRDefault="004B4E04">
      <w:r>
        <w:rPr>
          <w:noProof/>
        </w:rPr>
        <w:drawing>
          <wp:inline distT="0" distB="0" distL="0" distR="0" wp14:anchorId="0AC97529" wp14:editId="2082CA8B">
            <wp:extent cx="3657600" cy="1485900"/>
            <wp:effectExtent l="0" t="0" r="0" b="0"/>
            <wp:docPr id="23"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57600" cy="1485900"/>
                    </a:xfrm>
                    <a:prstGeom prst="rect">
                      <a:avLst/>
                    </a:prstGeom>
                    <a:noFill/>
                    <a:ln>
                      <a:noFill/>
                    </a:ln>
                  </pic:spPr>
                </pic:pic>
              </a:graphicData>
            </a:graphic>
          </wp:inline>
        </w:drawing>
      </w:r>
    </w:p>
    <w:p w14:paraId="473FA9A3" w14:textId="77777777" w:rsidR="004B1A63" w:rsidRDefault="004B1A63">
      <w:pPr>
        <w:pStyle w:val="Kilde"/>
      </w:pPr>
      <w:r>
        <w:t>Kilde: Menon Economics (2024), figur 4-12.</w:t>
      </w:r>
    </w:p>
    <w:p w14:paraId="705BA7EE" w14:textId="77777777" w:rsidR="004B1A63" w:rsidRDefault="004B1A63">
      <w:pPr>
        <w:spacing w:before="340"/>
      </w:pPr>
      <w:r>
        <w:t>For nærmere informasjon om ulike ultimate eierskap kartlagt av Menon for under-leverandører, se punkt 4.2.1 tabell 4-2 i Menon (2024).</w:t>
      </w:r>
    </w:p>
    <w:p w14:paraId="07464DE0" w14:textId="77777777" w:rsidR="004B1A63" w:rsidRDefault="004B1A63">
      <w:pPr>
        <w:pStyle w:val="Overskrift3"/>
      </w:pPr>
      <w:r>
        <w:lastRenderedPageBreak/>
        <w:t>Menons vurderinger knyttet til utenlandsk eierskap</w:t>
      </w:r>
    </w:p>
    <w:p w14:paraId="2F2639F5" w14:textId="77777777" w:rsidR="004B1A63" w:rsidRDefault="004B1A63">
      <w:r>
        <w:t>Menon har ikke avdekket eierforhold som de mener fremstår som problematiske i de selskapene de har undersøkt. Eierskap er en viktig del av risikovurderingen for mulige sårbarheter i infrastrukturen, men gir ikke det hele bildet.</w:t>
      </w:r>
    </w:p>
    <w:p w14:paraId="688A2C97" w14:textId="77777777" w:rsidR="004B1A63" w:rsidRDefault="004B1A63">
      <w:r>
        <w:t>Ifølge Menon må risikovurderingen også inkludere andre faktorer som kontrollmuligheter utover eierskap, inkludert leverandører av hardware, software og sabotasjekapasitet. Dette gjør risikovurderinger komplekse, spesielt ved spesialiserte tjenesteleverandører som kan ha små men kritiske leveranser av viktige komponenter som inngår i en stor forsyningskjede.</w:t>
      </w:r>
    </w:p>
    <w:p w14:paraId="17DD8CBA" w14:textId="77777777" w:rsidR="004B1A63" w:rsidRDefault="004B1A63">
      <w:r>
        <w:t>Når Menon har vurdert eventuell risiko knyttet til hvert enkelt eierforhold, har det blitt lagt vekt på to ulike elementer; innflytelse (eierandel) og risikoprofil på eieren. Hvor vanskelig det er å innhente eierskapsinformasjon på selskapet bør også anses som en risikofaktor – både fordi det gir usikkerhet knyttet til hvem som eier selskapet, men også fordi vanskeligheten ved å innhente informasjon ofte er korrelert med risikoprofilen på eieren.</w:t>
      </w:r>
    </w:p>
    <w:p w14:paraId="296C7651" w14:textId="77777777" w:rsidR="004B1A63" w:rsidRDefault="004B1A63">
      <w:r>
        <w:t>Det er generelt få tilfeller der konsulentselskapet enten ikke har lykkes med å nøste eierskapet tilbake til en ultimat eier eller hvor eieren fremstår som et åpenbart risikoelement. Man har hatt særlig søkelys på å avdekke ultimate eiere av norsk digital infrastruktur i stater som kan utgjøre en risiko for Norge og norsk infrastruktur. I praksis finner man i liten grad eierforhold som anses som direkte problematisk med tanke på bindinger til fremmede makter eller statsborgerskap i stater som vurderes som en etterretningstrussel.</w:t>
      </w:r>
    </w:p>
    <w:p w14:paraId="4103C47D" w14:textId="77777777" w:rsidR="004B1A63" w:rsidRDefault="004B1A63">
      <w:r>
        <w:t xml:space="preserve">En viktig nyanse er at man kategoriserer investeringsselskap som en type ultimat eier. Dette omfatter i all vesentlig hovedsak er forvaltningsselskaper hvor de som eier investeringsselskapet forvalter midler på vegne av investorer. Det er med andre ord ikke (bare) forvalterne av kapitalen som eier kapitalen. Man har derfor i enkelte tilfeller kartlagt de </w:t>
      </w:r>
      <w:r w:rsidRPr="00015951">
        <w:rPr>
          <w:rStyle w:val="kursiv"/>
        </w:rPr>
        <w:t xml:space="preserve">største </w:t>
      </w:r>
      <w:r>
        <w:t>eierne av investeringsselskapet (forvaltningsselskapet), mens man i andre tilfeller har kartlagt de største innskyterne av kapital som forvaltes av investeringsselskapet.</w:t>
      </w:r>
    </w:p>
    <w:p w14:paraId="4895B8B1" w14:textId="647A0B45" w:rsidR="004B1A63" w:rsidRDefault="004B1A63">
      <w:r>
        <w:t xml:space="preserve">Menon påpeker at innskyterne av kapitalen (såkalte </w:t>
      </w:r>
      <w:r w:rsidR="00015951">
        <w:t>«</w:t>
      </w:r>
      <w:r>
        <w:t>limited partners</w:t>
      </w:r>
      <w:r w:rsidR="00015951">
        <w:t>»</w:t>
      </w:r>
      <w:r>
        <w:t>) vanligvis har lite innflytelse på forvaltningen av kapitalen. I begge tilfeller har man identifisert og undersøkt eierne, enten de står bak en vesentlig andel av kapitalen eller de eier en vesentlig andel av investeringsselskapet. Det er identifisert et begrenset antall utenlandske privatpersoner med en eierandel i en størrelsesorden som gjør det interessant å undersøke privatpersonene. For samtlige utenlandske private eiere med mer enn 10 prosent eierandel har Menon har gjort omfattende undersøkelse av hvem eieren er og om de har kontroverser knyttet til seg og/eller kjente bindinger til regimer som utgjør en risiko. Det har ikke blitt avdekket slike kontroverser eller kjente bindinger.</w:t>
      </w:r>
    </w:p>
    <w:p w14:paraId="32DB2A81" w14:textId="77777777" w:rsidR="004B1A63" w:rsidRPr="00015951" w:rsidRDefault="004B1A63">
      <w:pPr>
        <w:rPr>
          <w:rStyle w:val="halvfet"/>
        </w:rPr>
      </w:pPr>
      <w:r w:rsidRPr="00015951">
        <w:rPr>
          <w:rStyle w:val="halvfet"/>
        </w:rPr>
        <w:t>Identifiserte risikoelementer som man bør være bevisst på:</w:t>
      </w:r>
    </w:p>
    <w:p w14:paraId="1CFA664A" w14:textId="77777777" w:rsidR="004B1A63" w:rsidRDefault="004B1A63">
      <w:r>
        <w:t>Til tross for at det ikke er identifisert alvorlig risiko ved eierskapet til de kartlagte selskapene er det likevel noen elementer knyttet til enkelte selskap og eierforhold Menon mener at det er naturlig å adressere i en risikovurdering. Det er særlig tre forhold som er ønskelig å belyse med disse eksemplene:</w:t>
      </w:r>
    </w:p>
    <w:p w14:paraId="4D32ED0A" w14:textId="50C9183D" w:rsidR="004B1A63" w:rsidRDefault="004B1A63">
      <w:pPr>
        <w:pStyle w:val="Liste"/>
      </w:pPr>
      <w:r>
        <w:lastRenderedPageBreak/>
        <w:t>Selskaper eid fra udemokratiske land</w:t>
      </w:r>
    </w:p>
    <w:p w14:paraId="35BC6F67" w14:textId="04AA1509" w:rsidR="004B1A63" w:rsidRDefault="004B1A63">
      <w:pPr>
        <w:pStyle w:val="Liste"/>
      </w:pPr>
      <w:r>
        <w:t>Eierskap og makt konsentrert på enkeltpersoner som er politisk markerte</w:t>
      </w:r>
    </w:p>
    <w:p w14:paraId="190A82EF" w14:textId="6A48535E" w:rsidR="004B1A63" w:rsidRDefault="004B1A63">
      <w:pPr>
        <w:pStyle w:val="Liste"/>
      </w:pPr>
      <w:r>
        <w:t>Eierskap gjennom lavskatteland (definert som jurisdiksjon med gunstig skatteregime).</w:t>
      </w:r>
    </w:p>
    <w:p w14:paraId="434DCD5C" w14:textId="77777777" w:rsidR="004B1A63" w:rsidRDefault="004B1A63">
      <w:r w:rsidRPr="00015951">
        <w:rPr>
          <w:rStyle w:val="halvfet"/>
        </w:rPr>
        <w:t>Huawei Technologies Norway AS</w:t>
      </w:r>
      <w:r>
        <w:t>, eid av Huawei Technologies Co., Ltd., er en global leverandør av kommunikasjonsinfrastruktur. Selv om Huawei formelt sett er eid av ansatte, er det bekymringer rundt selskapets tilknytning til kinesiske myndigheter, spesielt på grunn selskapet sivilmilitære funksjoner, grunnleggerens militære bakgrunn og Kinas etterretningslovgivning som innebærer at selskaper til enhver tid kan bli pålagt å dele informasjon med myndigheten. Dette har ført til at Huawei anses som en sikkerhetsrisiko i flere vestlige land, inkludert Norge.</w:t>
      </w:r>
    </w:p>
    <w:p w14:paraId="1ACC27A7" w14:textId="77777777" w:rsidR="004B1A63" w:rsidRDefault="004B1A63">
      <w:r>
        <w:t xml:space="preserve">Et annet tilfelle med eierskap som Menon trekker frem er </w:t>
      </w:r>
      <w:r w:rsidRPr="00015951">
        <w:rPr>
          <w:rStyle w:val="halvfet"/>
        </w:rPr>
        <w:t>Starlink Norway AS</w:t>
      </w:r>
      <w:r>
        <w:t>, der Elon Musk Trust er majoritetseier. Dette er det fremste tilfellet av de undersøkte eierforholdene på at en utenlandsk privatperson sitter med majoritetseierskap og kontroll av en eier av digital kommunikasjonsinfrastruktur. Starlinks rolle i Ukraina har vært både kontroversiell og essensiell. Tjenesten har vært viktig for Ukrainas kommunikasjon under krisen, og har blant annet vært brukt til flere forsvarsformål. Samtidig har det også vært diskusjoner rundt Starlinks påvirkning og potensielle begrensninger i bruk. Spørsmålet om hvorvidt russiske styrker kan eller har brukt Starlink er også relevant i sikkerhetssammenheng.</w:t>
      </w:r>
    </w:p>
    <w:p w14:paraId="2519F45B" w14:textId="77777777" w:rsidR="004B1A63" w:rsidRDefault="004B1A63">
      <w:r>
        <w:t>Det er bekymringer rundt maktkonsentrasjon over kritisk infrastruktur hos enkeltpersoner med politiske engasjement. Selv om dette ikke utgjør en direkte trussel mot norsk infrastruktur, understreker det ifølge Menon behovet for årvåkenhet over eierskap og kontroll av sentral teknologi.</w:t>
      </w:r>
    </w:p>
    <w:p w14:paraId="6FC013DC" w14:textId="77777777" w:rsidR="004B1A63" w:rsidRDefault="004B1A63">
      <w:r>
        <w:t>Menon trekker frem at eierskap gjennom lavskatteland kan være motivert av flere forhold: Eierskap kan være drevet av skattemessige hensyn, ønske om diskresjon og hemmelighold, samt for å forenkle internasjonale investeringer. Dette er vanlig blant aktører som ønsker å tiltrekke kapital fra medinvestorer, spesielt i Nord-Amerika. Norfund har også benyttet slike jurisdiksjoner for å tilrettelegge investeringer, til tross for økt omdømmerisiko.</w:t>
      </w:r>
    </w:p>
    <w:p w14:paraId="36C6BFBB" w14:textId="77777777" w:rsidR="004B1A63" w:rsidRDefault="004B1A63">
      <w:pPr>
        <w:pStyle w:val="Overskrift2"/>
      </w:pPr>
      <w:r>
        <w:t>Oppsummering</w:t>
      </w:r>
    </w:p>
    <w:p w14:paraId="01B6367D" w14:textId="77777777" w:rsidR="004B1A63" w:rsidRDefault="004B1A63" w:rsidP="006F4031">
      <w:r>
        <w:t>Menons vurdering er at det i kartleggingen ikke er avdekket eierforhold som fremstår som problematiske, bortsett fra eierskapet til Huawei som allerede er godt kjent for norske myndigheter. Rapporten viser at utenlandsk eierskap er utbredt i kritisk digital kommunikasjonsinfrastruktur, og mer utbredt blant leverandørene enn i selskapene som eier infrastrukturen. Kartleggingen viser også at utenlandsk eierskap er mer utbredt i kritisk digital infrastruktur enn i norsk næringsliv generelt.</w:t>
      </w:r>
    </w:p>
    <w:p w14:paraId="46550CD0" w14:textId="77777777" w:rsidR="004B1A63" w:rsidRDefault="004B1A63">
      <w:r>
        <w:t>Utvalget viser til Menons vurdering av at følgende forhold bør inngå i en risikovurdering av utenlandsk eierskap:</w:t>
      </w:r>
    </w:p>
    <w:p w14:paraId="47D95245" w14:textId="3CAD49BB" w:rsidR="004B1A63" w:rsidRDefault="004B1A63">
      <w:pPr>
        <w:pStyle w:val="Listebombe"/>
      </w:pPr>
      <w:r>
        <w:t>Selskaper eid fra udemokratiske land</w:t>
      </w:r>
    </w:p>
    <w:p w14:paraId="7735EF37" w14:textId="15754191" w:rsidR="004B1A63" w:rsidRDefault="004B1A63">
      <w:pPr>
        <w:pStyle w:val="Listebombe"/>
      </w:pPr>
      <w:r>
        <w:t>Eierskap og makt konsentrert på enkeltpersoner som er politisk markerte</w:t>
      </w:r>
    </w:p>
    <w:p w14:paraId="6B26FC20" w14:textId="7FCCBC9B" w:rsidR="004B1A63" w:rsidRDefault="004B1A63">
      <w:pPr>
        <w:pStyle w:val="Listebombe"/>
      </w:pPr>
      <w:r>
        <w:t>Eierskap gjennom lavskatteland</w:t>
      </w:r>
    </w:p>
    <w:p w14:paraId="51A34E3C" w14:textId="31F7CCAC" w:rsidR="004B1A63" w:rsidRDefault="004B1A63">
      <w:r>
        <w:lastRenderedPageBreak/>
        <w:t xml:space="preserve">Utvalget deler Menons bekymring knyttet til eierskap fra udemokratiske land, eierskap gjennom lavskatteland og eierskap og makt konsentrert til enkeltpersoner. Samtidig finner utvalget at det verken er </w:t>
      </w:r>
      <w:r w:rsidR="00015951">
        <w:t>«</w:t>
      </w:r>
      <w:r>
        <w:t>skattenivået</w:t>
      </w:r>
      <w:r w:rsidR="00015951">
        <w:t>»</w:t>
      </w:r>
      <w:r>
        <w:t xml:space="preserve"> eller </w:t>
      </w:r>
      <w:r w:rsidR="00015951">
        <w:t>«</w:t>
      </w:r>
      <w:r>
        <w:t>demokratinivået</w:t>
      </w:r>
      <w:r w:rsidR="00015951">
        <w:t>»</w:t>
      </w:r>
      <w:r>
        <w:t xml:space="preserve"> i seg selv som skal være vurderingskriteriet. At lavskatteland kan ha mangel på transparens knyttet til eierskap, er derimot en bekymring fordi det reelle eierskapet kan være skjult.</w:t>
      </w:r>
      <w:r w:rsidR="00015951">
        <w:t xml:space="preserve"> </w:t>
      </w:r>
      <w:r>
        <w:t>Videre vil svake eller manglende demokratiske institusjoner kunne føre til uforutsigbarhet i beslutningsprosesser og i rettssystemet. Det er denne uforutsigbarheten som vil være kjernen i en risikovurdering, og ikke styreformen i seg selv. Det er i risikovurderinger knyttet til eierskap fra andre land også nødvendig å ta hensyn til scenarioer som kan oppstå på et senere tidspunkt, og når man befinner seg høyt i krisespennet.</w:t>
      </w:r>
    </w:p>
    <w:p w14:paraId="00FD4252" w14:textId="77777777" w:rsidR="004B1A63" w:rsidRDefault="004B1A63" w:rsidP="009D64E3">
      <w:pPr>
        <w:pStyle w:val="Overskrift1"/>
      </w:pPr>
      <w:r>
        <w:t>Teknologiske og markedsmessige utviklingstrekk frem mot 2030</w:t>
      </w:r>
    </w:p>
    <w:p w14:paraId="1CAFB926" w14:textId="1BCF73C0" w:rsidR="0016021B" w:rsidRPr="0016021B" w:rsidRDefault="004B4E04" w:rsidP="0016021B">
      <w:r>
        <w:rPr>
          <w:noProof/>
        </w:rPr>
        <w:drawing>
          <wp:inline distT="0" distB="0" distL="0" distR="0" wp14:anchorId="75BE9D67" wp14:editId="12F88C74">
            <wp:extent cx="3657600" cy="2581275"/>
            <wp:effectExtent l="0" t="0" r="0" b="0"/>
            <wp:docPr id="24" name="Bilde 16" descr="Bilde av et barn som snakker i telefonen i en god gammeldags rød telefonkiosk. I bakgrunnen skimtes trær og v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16" descr="Bilde av et barn som snakker i telefonen i en god gammeldags rød telefonkiosk. I bakgrunnen skimtes trær og van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0EE5F432" w14:textId="77777777" w:rsidR="004B1A63" w:rsidRDefault="004B1A63">
      <w:r>
        <w:t>Utvalget har som ledd i sitt arbeid gitt Oslo Economics (OE) og Norsk Utenrikspolitisk Institutt (NUPI) (heretter OE/NUPI) i oppdrag å analysere hvordan teknologiske- og markedsmessige endringer og geopolitisk utvikling kan påvirke nasjonal kritisk infrastruktur de neste årene frem mot 2030. Oppdraget har vært delt i inn i tre deler der man beskriver de viktigste driverne for:</w:t>
      </w:r>
    </w:p>
    <w:p w14:paraId="26D5E2AE" w14:textId="450F6398" w:rsidR="004B1A63" w:rsidRDefault="004B1A63" w:rsidP="009D64E3">
      <w:pPr>
        <w:pStyle w:val="Nummerertliste"/>
        <w:numPr>
          <w:ilvl w:val="0"/>
          <w:numId w:val="43"/>
        </w:numPr>
      </w:pPr>
      <w:r>
        <w:t>Forventede utviklingstrekk knyttet til samfunnets avhengighet av de digitale tjenestene de neste 5-8 årene. Dette innebærer en beskrivelse av hvor store samfunnsverdier som kan forventes å leveres over den digitale infrastrukturen.</w:t>
      </w:r>
    </w:p>
    <w:p w14:paraId="7665FB3F" w14:textId="346F8972" w:rsidR="004B1A63" w:rsidRDefault="004B1A63" w:rsidP="009D64E3">
      <w:pPr>
        <w:pStyle w:val="Nummerertliste"/>
        <w:numPr>
          <w:ilvl w:val="0"/>
          <w:numId w:val="43"/>
        </w:numPr>
      </w:pPr>
      <w:r>
        <w:t>Utviklingstrekk som har betydning for hvordan myndighetene kan ivareta nasjonal kontroll over viktige verdier og virksomheter i verdikjeden for disse digitale tjenestene. Dette inkluderer elementer som kan øke sårbarheten i forsyningen av de digitale tjenestene. Beskrivelsen skal også dekke forventede eierskapsstrukturer på nasjonalt, nordisk, EU- og globalt nivå.</w:t>
      </w:r>
    </w:p>
    <w:p w14:paraId="416493C3" w14:textId="2155F138" w:rsidR="004B1A63" w:rsidRDefault="004B1A63" w:rsidP="009D64E3">
      <w:pPr>
        <w:pStyle w:val="Nummerertliste"/>
        <w:numPr>
          <w:ilvl w:val="0"/>
          <w:numId w:val="43"/>
        </w:numPr>
      </w:pPr>
      <w:r>
        <w:t>Eventuelle utviklingstrekk som bidrar til å redusere sårbarheten i forsyningen av de digitale tjenestene.</w:t>
      </w:r>
    </w:p>
    <w:p w14:paraId="4A85896A" w14:textId="77777777" w:rsidR="004B1A63" w:rsidRDefault="004B1A63">
      <w:r>
        <w:t>I det følgende har utvalget valgt å benytte flere momenter fra utredningen til OE/NUPI inn i utvalgets egne vurderinger.</w:t>
      </w:r>
    </w:p>
    <w:p w14:paraId="7FF57EB9" w14:textId="77777777" w:rsidR="004B1A63" w:rsidRDefault="004B1A63">
      <w:pPr>
        <w:pStyle w:val="Overskrift2"/>
      </w:pPr>
      <w:r>
        <w:lastRenderedPageBreak/>
        <w:t>Utviklingen i de digitale tjenestene og samfunnets avhengighet av disse</w:t>
      </w:r>
    </w:p>
    <w:p w14:paraId="080B6989" w14:textId="77777777" w:rsidR="004B1A63" w:rsidRDefault="004B1A63" w:rsidP="006F4031">
      <w:r>
        <w:t>Samfunnet blir stadig mer avhengig av digitale tjenester, og i flere offentlige rapporter fremheves at Norge er et av verdens mest digitaliserte land. Digitaliseringen har gjennomgått flere bølger siden de første datamaskinene ble oppfunnet rundt midten av forrige århundre.</w:t>
      </w:r>
    </w:p>
    <w:p w14:paraId="38DC56A8" w14:textId="77777777" w:rsidR="004B1A63" w:rsidRDefault="004B1A63">
      <w:r>
        <w:t>Etter internetts utbredelse fra tidlig 90-tallet ble informasjon mer tilgjengelig, og raskere utveksling av informasjon over store avstander ble mulig. Dette reduserte behovet for fysisk nærhet mellom leverandører og kunder, og sammen med lavere fraktkostnader og liberalisering av internasjonal handelspolitikk, bidro det til økt internasjonal handel fra slutten av 1990-tallet og utover 2000-tallet.</w:t>
      </w:r>
    </w:p>
    <w:p w14:paraId="77F5331C" w14:textId="77777777" w:rsidR="004B1A63" w:rsidRDefault="004B1A63">
      <w:r>
        <w:t>Utviklingen i verdenshandelen har gitt økt handelsvolum, men også endret hvordan varer produseres og kjøpes. Selskaper som samarbeider med strategiske partnere og spesialiserte leverandører har ført til mer desentraliserte og nettverksbaserte verdikjeder. Mange verdikjeder er derfor avhengige av varer produsert i flere land, og de globale forsyningskjedene er igjen avhengige av digitale tjenester for å utveksle informasjon, gjennomføre transaksjoner og organisere disse logistikkverdikjedene.</w:t>
      </w:r>
    </w:p>
    <w:p w14:paraId="14B6AF56" w14:textId="77777777" w:rsidR="004B1A63" w:rsidRDefault="004B1A63">
      <w:pPr>
        <w:pStyle w:val="Overskrift3"/>
      </w:pPr>
      <w:r>
        <w:t>Skyteknologi og smarttelefoner</w:t>
      </w:r>
    </w:p>
    <w:p w14:paraId="3F713AF4" w14:textId="77777777" w:rsidR="004B1A63" w:rsidRDefault="004B1A63">
      <w:r>
        <w:t>Det neste store skiftet kom med oppfinnelsen av smarttelefoner og skyteknologi. Skytjenester, som inkluderer dataprosessering og datalagring på eksterne servere, har gjort det mulig for selskapene å kjøpe slike tjenester fra skyleverandører i stedet for å lagre data i egne lokale datasentre.</w:t>
      </w:r>
    </w:p>
    <w:p w14:paraId="75EF6BC5" w14:textId="77777777" w:rsidR="004B1A63" w:rsidRDefault="004B1A63">
      <w:r>
        <w:t>Fordelene med skytjenester inkluderer skalerbarhet og rask tilgang til nye applikasjoner og teknologi, samt enklere samarbeid og datadeling. Bruk av skytjenester kan også føre til høyere sikkerhet fordi man får tilgang til mer oppdaterte IT-systemer og gir mulighet for å kvitte seg med utdatert programvare og systemer som kan ha innebygget sårbarhet som kriminelle/fiendtlige aktører kjenner til og kan utnytte.</w:t>
      </w:r>
    </w:p>
    <w:p w14:paraId="7D064931" w14:textId="77777777" w:rsidR="004B1A63" w:rsidRDefault="004B1A63">
      <w:r>
        <w:t>Mange virksomheter i både offentlig og privat sektor har tatt i bruk skytjenester. I 2023 oppga 71 prosent av alle næringer, utenom finansnæringene, at de har kjøpt en eller flere skytjenester. Blant statlige virksomheter benytter omtrent 97 prosent skytjenester.</w:t>
      </w:r>
    </w:p>
    <w:p w14:paraId="7532DAE7" w14:textId="77777777" w:rsidR="004B1A63" w:rsidRDefault="004B1A63">
      <w:r>
        <w:t>Økt bruk av skytjenester har ført til sentralisering av datalagring og prosessering i store datasentre, noe som har økt datasentrenes betydning i den digitale infrastrukturen. Dette har gjort mange virksomheter avhengige av internett for tilgang til data og applikasjoner, og verdien som bæres over transportnettene mellom datasentre, bedrifter og sluttbrukere har økt.</w:t>
      </w:r>
    </w:p>
    <w:p w14:paraId="3B04C4BB" w14:textId="77777777" w:rsidR="004B1A63" w:rsidRDefault="004B1A63">
      <w:r>
        <w:t>Utviklingen av smarttelefoner har gjort det mulig å utvikle nye digitale økosystemer med applikasjoner for nær sagt alt fra rene underholdningstjenester/sosiale medier (TikTok, Instagram. Facebook, Snapchat, Netflix, YouTube og Spotify mv.) til nyttetjenester som interaksjon med det offentlige (Helsenorge, Digipost, DFØ, BankID osv.) eller private tjenester som reise, strøm, bank og forsikring for å nevne noe.</w:t>
      </w:r>
    </w:p>
    <w:p w14:paraId="40FC1AAB" w14:textId="77777777" w:rsidR="004B1A63" w:rsidRDefault="004B1A63">
      <w:pPr>
        <w:pStyle w:val="Overskrift3"/>
      </w:pPr>
      <w:r>
        <w:lastRenderedPageBreak/>
        <w:t>Digitale tjenester</w:t>
      </w:r>
    </w:p>
    <w:p w14:paraId="2297D8B5" w14:textId="6D505C16" w:rsidR="004B1A63" w:rsidRDefault="004B1A63">
      <w:pPr>
        <w:rPr>
          <w:spacing w:val="-2"/>
        </w:rPr>
      </w:pPr>
      <w:r w:rsidRPr="00015951">
        <w:rPr>
          <w:rStyle w:val="kursiv"/>
        </w:rPr>
        <w:t>Mobilbetalinger</w:t>
      </w:r>
      <w:r>
        <w:rPr>
          <w:spacing w:val="-6"/>
        </w:rPr>
        <w:t xml:space="preserve"> er en av de andre trendene som fremkommer i rapporten fra OE/NUPI. Denne </w:t>
      </w:r>
      <w:r>
        <w:rPr>
          <w:spacing w:val="-4"/>
        </w:rPr>
        <w:t xml:space="preserve">betalingsmetoden har blitt fremtredende og utgjør nå en stor del av betalingene i Norge. Ifølge Norges Bank ble 82 prosent av alle betalinger mellom privatpersoner i 2023 utført </w:t>
      </w:r>
      <w:r>
        <w:rPr>
          <w:spacing w:val="-2"/>
        </w:rPr>
        <w:t>med mobiltelefon, mens bruk av mobilbetaling på utsalgssteder utgjorde 16 prosent.</w:t>
      </w:r>
      <w:r w:rsidR="00015951" w:rsidRPr="00015951">
        <w:rPr>
          <w:rStyle w:val="Fotnotereferanse"/>
        </w:rPr>
        <w:footnoteReference w:id="64"/>
      </w:r>
      <w:r>
        <w:rPr>
          <w:spacing w:val="-2"/>
        </w:rPr>
        <w:t xml:space="preserve"> Etter </w:t>
      </w:r>
      <w:r>
        <w:rPr>
          <w:spacing w:val="-4"/>
        </w:rPr>
        <w:t xml:space="preserve">utvalgets oppfatning tilsier dette at tilgang til digitale betalingsmidler/-løsninger også bidrar til </w:t>
      </w:r>
      <w:r>
        <w:rPr>
          <w:spacing w:val="-2"/>
        </w:rPr>
        <w:t>å øke befolkningen og samfunnets avhengigheter til de digitale kommunikasjonsnettene.</w:t>
      </w:r>
    </w:p>
    <w:p w14:paraId="36614F47" w14:textId="77777777" w:rsidR="004B1A63" w:rsidRDefault="004B1A63">
      <w:r w:rsidRPr="00015951">
        <w:rPr>
          <w:rStyle w:val="kursiv"/>
        </w:rPr>
        <w:t>Det digitale offentlige Norge.</w:t>
      </w:r>
      <w:r>
        <w:t xml:space="preserve"> Norge har en befolkning med høye digitale ferdigheter og høye forventninger til digitale offentlige og private tjenester. Dette har også ført til at Norge rangeres høyt sammenlignet med andre land i digitalisering av offentlige tjenester. Allerede i april 2012 besluttet regjeringen at digital kommunikasjon skal være den foretrukne kanal for all skriftlig kommunikasjon mellom forvaltningen på den ene siden og innbyggerne og næringslivet på den andre.</w:t>
      </w:r>
    </w:p>
    <w:p w14:paraId="4E2B211F" w14:textId="77777777" w:rsidR="004B1A63" w:rsidRDefault="004B1A63">
      <w:pPr>
        <w:rPr>
          <w:spacing w:val="-2"/>
        </w:rPr>
      </w:pPr>
      <w:r>
        <w:rPr>
          <w:spacing w:val="-2"/>
        </w:rPr>
        <w:t xml:space="preserve">Statlige virksomheter og kommuner tilbyr stadig flere digitale selvbetjeningsløsninger og </w:t>
      </w:r>
      <w:r>
        <w:rPr>
          <w:spacing w:val="-4"/>
        </w:rPr>
        <w:t xml:space="preserve">informasjonsløsninger knyttet til ulike tjenester, som Helsenorge for helsetjenester og Altinn </w:t>
      </w:r>
      <w:r>
        <w:rPr>
          <w:spacing w:val="-2"/>
        </w:rPr>
        <w:t>for bl.a. rapportering om skatt, avgift og regnskap, arbeidsgiverrapportering, registrering knyttet til næringsvirksomhet og søknader knyttet til støtte- og tilskuddsordninger.</w:t>
      </w:r>
    </w:p>
    <w:p w14:paraId="67A2834B" w14:textId="77777777" w:rsidR="004B1A63" w:rsidRDefault="004B1A63">
      <w:r>
        <w:t>I tillegg kommer satsninger på ulike velferdsteknologier som kan bidra til å avlaste og hjelpe personer med ulike helseutfordringer, nedsatt funksjonsevne osv. Bruk av velferdsteknologi kan bidra til økt trygghet, sosial deltakelse, mobilitet, og styrker den enkeltes evne til å klare seg selv i hverdagen.</w:t>
      </w:r>
    </w:p>
    <w:p w14:paraId="6093B6B3" w14:textId="4E8FA4A3" w:rsidR="004B1A63" w:rsidRDefault="004B1A63">
      <w:pPr>
        <w:rPr>
          <w:spacing w:val="-5"/>
        </w:rPr>
      </w:pPr>
      <w:r>
        <w:rPr>
          <w:spacing w:val="-4"/>
        </w:rPr>
        <w:t>Digital hjemmeoppfølging av pasienter innebærer at hele eller deler av et behandlingstilbud skjer digitalt enten det være seg dialog eller deling av data og informasjon.</w:t>
      </w:r>
      <w:r w:rsidR="00015951" w:rsidRPr="00015951">
        <w:rPr>
          <w:rStyle w:val="Fotnotereferanse"/>
        </w:rPr>
        <w:footnoteReference w:id="65"/>
      </w:r>
      <w:r>
        <w:rPr>
          <w:spacing w:val="-4"/>
        </w:rPr>
        <w:t xml:space="preserve"> Digitalisering av helse- og omsorgssektoren kan bidra til å øke effektiviteten i tjenestene som leveres slik at helsepersonell får bedre tid til å utføre kjerneoppgaver, noe som samtidig vil kunne øke kvaliteten på tjenestene og øke pasient- og brukertilfredsheten.</w:t>
      </w:r>
      <w:r w:rsidR="00015951" w:rsidRPr="00015951">
        <w:rPr>
          <w:rStyle w:val="Fotnotereferanse"/>
        </w:rPr>
        <w:footnoteReference w:id="66"/>
      </w:r>
      <w:r>
        <w:rPr>
          <w:spacing w:val="-4"/>
        </w:rPr>
        <w:t xml:space="preserve"> Samtidig stiller dette også </w:t>
      </w:r>
      <w:r>
        <w:rPr>
          <w:spacing w:val="-5"/>
        </w:rPr>
        <w:t>økte krav og forventninger til de ulike digitale kommunikasjonsnettene som bærer tjenestene.</w:t>
      </w:r>
    </w:p>
    <w:p w14:paraId="1DD4E4CB" w14:textId="20A051C9" w:rsidR="004B1A63" w:rsidRDefault="004B1A63">
      <w:r>
        <w:lastRenderedPageBreak/>
        <w:t xml:space="preserve">Internasjonalt anerkjennes Norge for å ligge langt fremme, men det pekes også på at vi som nasjon har noen utfordringer foran oss slik det kommer til uttrykk i OECD-rapporten </w:t>
      </w:r>
      <w:r w:rsidR="00015951">
        <w:t>«</w:t>
      </w:r>
      <w:r>
        <w:t>Going Digital: Shaping Norway</w:t>
      </w:r>
      <w:r w:rsidR="00015951">
        <w:t>’</w:t>
      </w:r>
      <w:r>
        <w:t>s Digital Future</w:t>
      </w:r>
      <w:r w:rsidR="00015951">
        <w:t>»</w:t>
      </w:r>
      <w:r>
        <w:t>:</w:t>
      </w:r>
      <w:r w:rsidR="00015951" w:rsidRPr="00015951">
        <w:rPr>
          <w:rStyle w:val="Fotnotereferanse"/>
        </w:rPr>
        <w:footnoteReference w:id="67"/>
      </w:r>
    </w:p>
    <w:p w14:paraId="0B5A0B94" w14:textId="0FA377EB" w:rsidR="004B1A63" w:rsidRPr="00015951" w:rsidRDefault="00015951">
      <w:pPr>
        <w:pStyle w:val="blokksit"/>
        <w:rPr>
          <w:rStyle w:val="kursiv"/>
          <w:lang w:val="en-US"/>
        </w:rPr>
      </w:pPr>
      <w:r>
        <w:rPr>
          <w:lang w:val="en-US"/>
        </w:rPr>
        <w:t>«</w:t>
      </w:r>
      <w:r w:rsidR="004B1A63" w:rsidRPr="00015951">
        <w:rPr>
          <w:lang w:val="en-US"/>
        </w:rPr>
        <w:t>Norway is at the digital frontier in many areas. The challenge for Norway is how to keep pace with rapid technological developments and competition, while improving performance in areas in which there are opportunities to catch up. Staying at the frontier requires agility, flexibility and well-co-ordinated digital policies. A national digital strategy can play an important role to ensure the policy framework in place makes the most of digital technologies and data for growth and well-being.</w:t>
      </w:r>
      <w:r>
        <w:rPr>
          <w:lang w:val="en-US"/>
        </w:rPr>
        <w:t>»</w:t>
      </w:r>
    </w:p>
    <w:p w14:paraId="187AD95A" w14:textId="77777777" w:rsidR="004B1A63" w:rsidRDefault="004B1A63">
      <w:pPr>
        <w:pStyle w:val="Overskrift3"/>
      </w:pPr>
      <w:r>
        <w:t>Digitaliseringsstrategi 2024-2030</w:t>
      </w:r>
    </w:p>
    <w:p w14:paraId="3BF10818" w14:textId="77777777" w:rsidR="004B1A63" w:rsidRDefault="004B1A63">
      <w:r>
        <w:t>Regjeringens digitaliseringsstrategi for offentlig sektor 2024-2030 har klare ambisjoner om ytterligere digitalisering, med mål om at enda flere oppgaver skal løses digitalt og at brukerne skal oppleve én digital offentlig sektor. Strategien er ambisiøs og vektlegger fem kategorier med tiltak som blant annet omfatter:</w:t>
      </w:r>
    </w:p>
    <w:p w14:paraId="28D0559D" w14:textId="146BDC68" w:rsidR="004B1A63" w:rsidRDefault="004B1A63" w:rsidP="00A244E6">
      <w:pPr>
        <w:pStyle w:val="Nummerertliste"/>
        <w:numPr>
          <w:ilvl w:val="0"/>
          <w:numId w:val="44"/>
        </w:numPr>
      </w:pPr>
      <w:r w:rsidRPr="00015951">
        <w:rPr>
          <w:rStyle w:val="kursiv"/>
        </w:rPr>
        <w:t>Et enklere og tryggere hverdagsliv</w:t>
      </w:r>
      <w:r>
        <w:t xml:space="preserve"> – Høyhastighets bredbånd for alle med minst 1 Gbit/s nedlastingshastighet og bedre mobildekning. Tilbud om digital lommebok og elektronisk ID, samt utvikling av grunnleggende digitale ferdigheter. Personvernet skal styrkes, og folks motstandskraft mot desinformasjon skal økes.</w:t>
      </w:r>
    </w:p>
    <w:p w14:paraId="5B713A28" w14:textId="7748DFE2" w:rsidR="004B1A63" w:rsidRDefault="004B1A63" w:rsidP="00A244E6">
      <w:pPr>
        <w:pStyle w:val="Nummerertliste"/>
        <w:numPr>
          <w:ilvl w:val="0"/>
          <w:numId w:val="44"/>
        </w:numPr>
      </w:pPr>
      <w:r w:rsidRPr="00015951">
        <w:rPr>
          <w:rStyle w:val="kursiv"/>
        </w:rPr>
        <w:t xml:space="preserve">Mer moderne, offentlige tjenester – </w:t>
      </w:r>
      <w:r>
        <w:t>Hele den offentlig sektor skal digitaliseres for å tilby raskere saksbehandling, bedre digitale tjenester, og frigjøre tid og ressurser til de viktigste oppgavene. Digitaliseringstiltak skal prioriteres langsiktig for å sikre at de skjer på områdene med størst behov og gir størst gevinst for samfunnet.</w:t>
      </w:r>
    </w:p>
    <w:p w14:paraId="21D0ED5F" w14:textId="4665F9A7" w:rsidR="004B1A63" w:rsidRDefault="004B1A63" w:rsidP="00A244E6">
      <w:pPr>
        <w:pStyle w:val="Nummerertliste"/>
        <w:numPr>
          <w:ilvl w:val="0"/>
          <w:numId w:val="44"/>
        </w:numPr>
      </w:pPr>
      <w:r w:rsidRPr="00015951">
        <w:rPr>
          <w:rStyle w:val="kursiv"/>
        </w:rPr>
        <w:t xml:space="preserve">Skape verdier med data og KI – </w:t>
      </w:r>
      <w:r>
        <w:t>En nasjonal infrastruktur for kunstig intelligens (KI) skal bygges for bruk i forskning, næringsutvikling og en mer moderne offentlig sektor. En ny lov om datadeling skal fremmes, og offentlige og private virksomheter skal få tilgang til data fra offentlig sektor for innovasjon og verdiskaping.</w:t>
      </w:r>
    </w:p>
    <w:p w14:paraId="672F0B02" w14:textId="6B112487" w:rsidR="004B1A63" w:rsidRDefault="004B1A63" w:rsidP="00A244E6">
      <w:pPr>
        <w:pStyle w:val="Nummerertliste"/>
        <w:numPr>
          <w:ilvl w:val="0"/>
          <w:numId w:val="44"/>
        </w:numPr>
      </w:pPr>
      <w:r w:rsidRPr="00015951">
        <w:rPr>
          <w:rStyle w:val="kursiv"/>
        </w:rPr>
        <w:t xml:space="preserve">Verktøy for vår tids omstillinger – </w:t>
      </w:r>
      <w:r>
        <w:t>Kompetanse skal fortsatt være Norges fremste konkurransefortrinn, og derfor skal det bygges sterkere digital kompetanse fra grunnskolen til høyere utdanning og etter- og videreutdanning. Næringslivets konkurranseevne skal styrkes gjennom innovativ bruk og deling av data, KI mv. Digitalisering skal være en drivkraft for omstillinger og for å skape nytt næringsliv og nye selskaper.</w:t>
      </w:r>
    </w:p>
    <w:p w14:paraId="12C64018" w14:textId="77BAA3CD" w:rsidR="004B1A63" w:rsidRDefault="004B1A63" w:rsidP="00A244E6">
      <w:pPr>
        <w:pStyle w:val="Nummerertliste"/>
        <w:numPr>
          <w:ilvl w:val="0"/>
          <w:numId w:val="44"/>
        </w:numPr>
      </w:pPr>
      <w:r w:rsidRPr="00015951">
        <w:rPr>
          <w:rStyle w:val="kursiv"/>
        </w:rPr>
        <w:t>Trygg digital oppvekst</w:t>
      </w:r>
      <w:r>
        <w:t xml:space="preserve"> – Alle skal få mulighet til å delta i det digitale samfunnet, og innbyggere skal beskyttes mot digitale trusler og angrep. Barn og unge skal lære å bruke teknologi på en ansvarlig måte, i tillegg til at det for eksempel skal settes krav til store tech-selskaper der de har for mye makt.</w:t>
      </w:r>
    </w:p>
    <w:p w14:paraId="5A958F91" w14:textId="77777777" w:rsidR="004B1A63" w:rsidRDefault="004B1A63">
      <w:r>
        <w:lastRenderedPageBreak/>
        <w:t>Dersom Norge lykkes i omstillingen til en enda mer digital hverdag så innebærer det samtidig en betydelig forsterket avhengighet til de digitale kommunikasjonsnettene våre. Dette støttes også av rapporten fra OE/NUPI.</w:t>
      </w:r>
    </w:p>
    <w:p w14:paraId="36B18604" w14:textId="77777777" w:rsidR="004B1A63" w:rsidRDefault="004B1A63">
      <w:r>
        <w:t>Selv om totalen dermed innebærer at verdiene som bæres over den digitale infrastrukturen vil øke, så kan det likevel trekkes frem at OE/NUPI også tar for seg enkelte forhold som kan bidra til å begrense eventuelle negative konsekvenser ved sikkerhetsbrudd hos enkeltstående aktører eller systemer:</w:t>
      </w:r>
    </w:p>
    <w:p w14:paraId="536F2736" w14:textId="1F47FABA" w:rsidR="004B1A63" w:rsidRDefault="004B1A63">
      <w:pPr>
        <w:pStyle w:val="Liste"/>
      </w:pPr>
      <w:r>
        <w:t>den digitale infrastrukturen er ikke en enkeltstående enhet, men består av flere aktører og systemer. Over de siste årene har vi hatt en trend mot mer diversifisering i enkelte deler av infrastrukturen, blant annet ved at vi har fått flere transportnett og flere utenlandsforbindelser.</w:t>
      </w:r>
    </w:p>
    <w:p w14:paraId="6A4021B3" w14:textId="3B56A521" w:rsidR="004B1A63" w:rsidRDefault="004B1A63">
      <w:pPr>
        <w:pStyle w:val="Liste"/>
      </w:pPr>
      <w:r>
        <w:t>sluttbrukere er i økende grad opptatt av sikker kommunikasjon, og implementerer tiltak for å spre trafikk og data geografisk og hos flere tilbydere.</w:t>
      </w:r>
    </w:p>
    <w:p w14:paraId="3959BD20" w14:textId="77777777" w:rsidR="004B1A63" w:rsidRDefault="004B1A63">
      <w:pPr>
        <w:pStyle w:val="Overskrift2"/>
      </w:pPr>
      <w:r>
        <w:t>Viktige teknologiske trender fremover</w:t>
      </w:r>
    </w:p>
    <w:p w14:paraId="42B93A15" w14:textId="77777777" w:rsidR="004B1A63" w:rsidRDefault="004B1A63" w:rsidP="006F4031">
      <w:r>
        <w:t>Når man skal se på hvordan samfunnets avhengigheter til kritisk digital infrastruktur kan utvikle seg fremover er det samtidig viktig å se på hvilke teknologiske fremskritt eller utviklingstrekk som kan bli avgjørende. I det følgende omtales flere av de momentene OE/NUPI tar opp i sin rapport til utvalget.</w:t>
      </w:r>
    </w:p>
    <w:p w14:paraId="56F62014" w14:textId="77777777" w:rsidR="004B1A63" w:rsidRDefault="004B1A63">
      <w:pPr>
        <w:pStyle w:val="Overskrift3"/>
      </w:pPr>
      <w:r>
        <w:t>Bruk av kunstig intelligens (KI)</w:t>
      </w:r>
    </w:p>
    <w:p w14:paraId="3B39810C" w14:textId="77777777" w:rsidR="004B1A63" w:rsidRDefault="004B1A63">
      <w:pPr>
        <w:rPr>
          <w:spacing w:val="-4"/>
        </w:rPr>
      </w:pPr>
      <w:r>
        <w:rPr>
          <w:spacing w:val="-4"/>
        </w:rPr>
        <w:t>Få ting har så til de grader vært med på å prege den teknologiske utviklingen i de senere år som kunstig intelligens og forventningene til hva teknologien skal kunne brukes til er mange.</w:t>
      </w:r>
    </w:p>
    <w:p w14:paraId="281884C6" w14:textId="77777777" w:rsidR="004B1A63" w:rsidRDefault="004B1A63">
      <w:r>
        <w:t>Bruk av KI vil føre til at flere oppgaver som i dag gjennomføres manuelt vil kunne automatiseres, samtidig gir det større avhengighet til de digitale tjenestenes verdikjeder. Dette vil igjen føre til en økning i verdiene som bæres over den digitale kommunikasjonsinfrastrukturen.</w:t>
      </w:r>
    </w:p>
    <w:p w14:paraId="4FAA6A7C" w14:textId="77777777" w:rsidR="004B1A63" w:rsidRDefault="004B1A63">
      <w:pPr>
        <w:rPr>
          <w:spacing w:val="-2"/>
        </w:rPr>
      </w:pPr>
      <w:r>
        <w:rPr>
          <w:spacing w:val="-2"/>
        </w:rPr>
        <w:t>I Teknologirådets årsrapport beskrives 2023 som året da kunstig intelligens (KI) for alvor ble en del av norsk samfunnsliv og politikk En undersøkelse utført av Samfunnsøkonomisk Analyse (SØA) på vegne av NHO, Abelia, Finans Norge og Nelfo høsten 2023, viste at én av fire virksomheter har tatt i bruk KI, og det forventes at bruken vil øke.</w:t>
      </w:r>
    </w:p>
    <w:p w14:paraId="57C3E69F" w14:textId="6E038C52" w:rsidR="004B1A63" w:rsidRDefault="004B1A63">
      <w:pPr>
        <w:rPr>
          <w:spacing w:val="-2"/>
        </w:rPr>
      </w:pPr>
      <w:r>
        <w:rPr>
          <w:spacing w:val="-4"/>
        </w:rPr>
        <w:t xml:space="preserve">I sin rapport peker OE/NUPI på andre mulige bruksområder knyttet til kunstig intelligens, for eksempel hvordan kunstig intelligens og maskinlæring kan brukes for å drifte nettverk. Det vises til rapport fra sammenslutningen av europeiske ekommyndigheter (BEREC – Body of </w:t>
      </w:r>
      <w:r>
        <w:rPr>
          <w:spacing w:val="-6"/>
        </w:rPr>
        <w:t xml:space="preserve">European Regulators for Electronic Communications) som bl.a. peker på at ved overgang til mer </w:t>
      </w:r>
      <w:r>
        <w:rPr>
          <w:spacing w:val="-4"/>
        </w:rPr>
        <w:t xml:space="preserve">bruk av softwarebaserte nett og visualiserte nettverksfunksjoner, så vil kunstig intelligens og maskinlæring kunne benyttes for å automatisk drifte og </w:t>
      </w:r>
      <w:r>
        <w:rPr>
          <w:spacing w:val="-4"/>
        </w:rPr>
        <w:lastRenderedPageBreak/>
        <w:t xml:space="preserve">kontrollere nettverkene, optimalisere </w:t>
      </w:r>
      <w:r>
        <w:rPr>
          <w:spacing w:val="-2"/>
        </w:rPr>
        <w:t>bruken av nettene, forutse fremtidig behov og skreddersy løsninger til kunder mm.</w:t>
      </w:r>
      <w:r w:rsidR="00015951" w:rsidRPr="00015951">
        <w:rPr>
          <w:rStyle w:val="Fotnotereferanse"/>
        </w:rPr>
        <w:footnoteReference w:id="68"/>
      </w:r>
    </w:p>
    <w:p w14:paraId="117337DC" w14:textId="77777777" w:rsidR="004B1A63" w:rsidRDefault="004B1A63">
      <w:r>
        <w:t xml:space="preserve">OE/NUPI viser videre til forsøk med å utvikle teknologiske løsninger som vil gjøre det mulig å kjøre KI-applikasjoner nær sluttbruker på kanten av nettverket (edge). Treningen av store språkmodeller krever betydelig prosesseringskapasitet, noe som gjør at denne treningen sannsynligvis må utføres sentralt i større datasentre. Etter treningen kan modellene </w:t>
      </w:r>
      <w:r w:rsidRPr="00015951">
        <w:rPr>
          <w:rStyle w:val="kursiv"/>
        </w:rPr>
        <w:t>tolke og analysere nye data</w:t>
      </w:r>
      <w:r>
        <w:t xml:space="preserve"> basert på kunnskapen de har opparbeidet seg fra treningsdatasettet på kanten av nettverkene (edge). Dette vil redusere behovet for dataoverføring mellom sluttbruker og datasenter, redusere tidsforsinkelser, og gjøre det mulig for enheter å fungere uten konstant internettforbindelse. Flere selskaper utvikler derfor teknologi for å kjøre KI-applikasjoner på edge-enheter.</w:t>
      </w:r>
    </w:p>
    <w:p w14:paraId="0C329B16" w14:textId="77777777" w:rsidR="004B1A63" w:rsidRDefault="004B1A63">
      <w:r>
        <w:t>Også telekom-operatører vurderer muligheten for å tilby tilstrekkelig prosessor- og lagringskapasitet i sine nettverk for å støtte KI-applikasjoner hos sluttbrukere. Det finnes flere slik samarbeidsprosjekter mellom aktører i verdikjeden, for eksempel samarbeider NVIDIA, Ericsson, Nokia og T-Mobile om å etablere et AI-RAN Innovation Center. Målet er å utvikle en plattform for å optimalisere mobilnettverkene med KI og levere edge computing-tjenester til sluttbrukere.</w:t>
      </w:r>
    </w:p>
    <w:p w14:paraId="0C745C42" w14:textId="77777777" w:rsidR="004B1A63" w:rsidRDefault="004B1A63">
      <w:pPr>
        <w:pStyle w:val="Overskrift3"/>
      </w:pPr>
      <w:r>
        <w:t>Migrering til sky</w:t>
      </w:r>
    </w:p>
    <w:p w14:paraId="67040B78" w14:textId="77777777" w:rsidR="004B1A63" w:rsidRDefault="004B1A63">
      <w:r>
        <w:t>Markedet for allmenne skytjenester er dominert av noen få store amerikanske aktører. Bekymringer knyttet til personvern og kontroll over egne data, samt regulatoriske uklarheter knyttet til hvilke data som kan plasseres i allmenne skytjenester og hos utenlandske leverandører, har ifølge OE/NUPI skapt usikkerhet om hvilke skytjenester som kan benyttes for ulike typer data.</w:t>
      </w:r>
    </w:p>
    <w:p w14:paraId="2138DCFA" w14:textId="77777777" w:rsidR="004B1A63" w:rsidRDefault="004B1A63">
      <w:r>
        <w:t>I statsforvaltningen har det vært gjennomført flere prosjekter som har utredet hvilke typer løsninger som kan benyttes for lagring og prosessering av ulike typer data. Flere statlige virksomheter har derfor vært avventende med å migrere beskyttelsesverdig ugradert data over i skytjenester, og har fortsatt å benytte on-premise løsninger for disse dataene. Etter hvert som det utvikles ulike skytjenester for ulike deler av statsforvaltningen vil mer data i statsforvaltningen som i dag lagres on-premise migreres over i ulike skytjenester.</w:t>
      </w:r>
    </w:p>
    <w:p w14:paraId="1D822941" w14:textId="5F1F0691" w:rsidR="004B1A63" w:rsidRDefault="004B1A63">
      <w:r>
        <w:t>Innen telekomsektoren har BEREC gjort undersøkelser av hvordan sektoren selv benytter skytjenester.</w:t>
      </w:r>
      <w:r w:rsidR="00015951" w:rsidRPr="00015951">
        <w:rPr>
          <w:rStyle w:val="Fotnotereferanse"/>
        </w:rPr>
        <w:footnoteReference w:id="69"/>
      </w:r>
      <w:r>
        <w:t xml:space="preserve"> Undersøkelser viser at telekomselskaper har en risikobasert tilnærming til hvilke tjenester de plasserer i skytjenester som de ikke drifter selv. Tjenester med lav risiko, som fakturering og kundeanalyser, plasseres ofte i allmenne skytjenester. Mer kritiske funksjoner, som drift av kjernenett, holdes i egne løsninger.</w:t>
      </w:r>
    </w:p>
    <w:p w14:paraId="25757290" w14:textId="77777777" w:rsidR="004B1A63" w:rsidRDefault="004B1A63">
      <w:r>
        <w:lastRenderedPageBreak/>
        <w:t>Rapporten viser også en trend mot økt bruk av teknologier som virtualisering av kjernettfunksjoner for å drifte nettverkene. Virtualisering og softwarebaserte nettverk gjør det mulig å kontrollere nettverkene med software i stedet for dedikert hardware. Dette bidrar til å sentralisere styringen og gjør driften av nettverkene mer effektiv, samtidig som det reduserer behovet for ytterligere investeringer i nettverksinfrastruktur. På den annen side øker dette kompleksitetene i nettene og øker verdien av operasjonene som gjøres sentralt.</w:t>
      </w:r>
    </w:p>
    <w:p w14:paraId="25B8D0E3" w14:textId="77777777" w:rsidR="004B1A63" w:rsidRDefault="004B1A63">
      <w:r>
        <w:t>Men som det også fremkommer i BEREC-rapporten så er det også enkelte telekomselskaper som har inngått samarbeid med skytjenesteleverandører der de tester å plassere 5G-kjernen i virtuelt lukkede skytjenester fra allmenne skytjenesteleverandører.</w:t>
      </w:r>
    </w:p>
    <w:p w14:paraId="3E324E63" w14:textId="77777777" w:rsidR="004B1A63" w:rsidRDefault="004B1A63">
      <w:pPr>
        <w:pStyle w:val="Overskrift3"/>
      </w:pPr>
      <w:r>
        <w:t>Utvikling av datasenterindustrien</w:t>
      </w:r>
    </w:p>
    <w:p w14:paraId="2AF5EF1A" w14:textId="77777777" w:rsidR="004B1A63" w:rsidRDefault="004B1A63">
      <w:r>
        <w:t>OE/NUPI peker i rapporten på en forventning om at det vil skje relativt store endringer i markedet for lagring og prosessering av data. Utviklingen av store språkmodeller vil kreve stor prosesseringskraft for å trene modellene, noe som medfører behov for en ny generasjon datasentre (high performance datacenters) som har stabil tilgang til energi og har stor prosesseringskraft. Trening av modellene har heller ikke behov for å gjennomføres nær sluttbruker. Denne trenden taler derfor for økt bygging av nye store sentraliserte datasentre med stor prosesseringskraft i områder med stabil tilgang på store mengder kraft.</w:t>
      </w:r>
    </w:p>
    <w:p w14:paraId="37E288B2" w14:textId="77777777" w:rsidR="004B1A63" w:rsidRDefault="004B1A63">
      <w:r>
        <w:t>Her kan Norge være et attraktivt sted å etablere neste generasjons datasentre. Dette skyldes blant annet at Norge har tilgang på regulerbar grønn energi, kaldt klima og god forbindelse til utlandet. Derfor kan det tenkes at flere aktører vil velge å etablere datasentre som understøtter KI i Norge i fremtiden.</w:t>
      </w:r>
    </w:p>
    <w:p w14:paraId="08A2DCC0" w14:textId="77777777" w:rsidR="004B1A63" w:rsidRDefault="004B1A63">
      <w:pPr>
        <w:pStyle w:val="Overskrift3"/>
      </w:pPr>
      <w:r>
        <w:t>Større verdier bæres over de kommersielle kommunikasjonsnettene</w:t>
      </w:r>
    </w:p>
    <w:p w14:paraId="6AFB5B2F" w14:textId="77777777" w:rsidR="004B1A63" w:rsidRDefault="004B1A63">
      <w:r>
        <w:t>Større verdier bæres over de kommersielle kommunikasjonsnettene – den teknologiske utviklingen gjør det mulig å opprette virtuelle private nettverk innad i kommersielle 5G-nett. Dette vil gjøre at kunder som i dag har egne fysisk private nettverk i større grad kan kjøpe dette som en tjeneste fra kommersielle telekomoperatører. Dette muliggjør blant annet at dagens Nødnett kan migrere over i de kommersielle mobilnettene, i tillegg til at Forsvaret over tid også tester ut ulike løsninger i de kommersielle mobilnettene.</w:t>
      </w:r>
    </w:p>
    <w:p w14:paraId="47E60512" w14:textId="77777777" w:rsidR="004B1A63" w:rsidRDefault="004B1A63">
      <w:pPr>
        <w:pStyle w:val="Overskrift3"/>
      </w:pPr>
      <w:r>
        <w:t>Internet of Things og virtuell virkelighet</w:t>
      </w:r>
    </w:p>
    <w:p w14:paraId="5E5D6C10" w14:textId="77777777" w:rsidR="004B1A63" w:rsidRDefault="004B1A63">
      <w:r>
        <w:rPr>
          <w:spacing w:val="-2"/>
        </w:rPr>
        <w:t xml:space="preserve">Internet of Things (IoT) og Machine-to-Machine (M2M) dekker et vidt spekter av teknologier. </w:t>
      </w:r>
      <w:r>
        <w:t xml:space="preserve">IoT refererer til alle tingene rundt oss som kan kobles til internett. Når tingene er koblet til nett, kan de kommunisere med hverandre og omgivelsene. Typiske bruksområder spenner fra smarthøyttalere og sporingstjenester til digitale kjørebøker og sensorer som </w:t>
      </w:r>
      <w:r>
        <w:rPr>
          <w:spacing w:val="-2"/>
        </w:rPr>
        <w:t xml:space="preserve">måler temperatur, strøm, luftkvalitet, fuktighet og vann. Antallet IoT-enheter som er koblet til internett har økt betydelig, og det er forventet at antallet vil fortsette å øke i fremtiden. </w:t>
      </w:r>
      <w:r>
        <w:t>Disse enhetene vil produsere store mengder data og drive utviklingen mot stadig mer digitaliserte verdikjeder. Utbygging av 5G-nett med lav forsinkelse og bruk av kunstig intelligens vil gi nye muligheter innen ulike industrisektorer og bidra til vekst innen IoT.</w:t>
      </w:r>
    </w:p>
    <w:p w14:paraId="41078A90" w14:textId="77777777" w:rsidR="004B1A63" w:rsidRDefault="004B1A63">
      <w:r>
        <w:lastRenderedPageBreak/>
        <w:t>Virtuell virkelighet (VR) er kunstig gjengivelse av miljø med bruk av bilder og lyd. VR-simuleringer blir stadig bedre innen felt som medisin, byggeteknikk og spillindustrien. Det er stor usikkerhet knyttet til hvilken grad VR blir tatt i bruk frem mot 2030. Dersom det blir tatt i bruk i økende grad, vil denne typen teknologi sannsynligvis ha høye krav til båndbredde og lav tidsforsinkelse.</w:t>
      </w:r>
    </w:p>
    <w:p w14:paraId="595B8D9A" w14:textId="77777777" w:rsidR="004B1A63" w:rsidRDefault="004B1A63">
      <w:pPr>
        <w:pStyle w:val="Overskrift2"/>
      </w:pPr>
      <w:r>
        <w:t>Viktige markedsmessige trender fremover</w:t>
      </w:r>
    </w:p>
    <w:p w14:paraId="28543E3D" w14:textId="77777777" w:rsidR="004B1A63" w:rsidRDefault="004B1A63" w:rsidP="006F4031">
      <w:r>
        <w:t>I Europa er det, i likhet med Norge, stort søkelys på utbygging av fremtidsrettet ekominfrastruktur, både 5G-nett og fibernett. I enkelte europeiske land har utrullingen av fullverdige 5G-nett kommet svært kort, noe som skaper en generasjonsforskjell i mobilnett mellom enkelte EU-land. Dette gjelder også utbyggingen av fibernettdekning. For Norges del arbeider også de tre norske mobilnetteierne med utvikling av egne fullverdige 5G-nett, dvs. at både radio- og kjernenett er basert på 5G-arkitektur.</w:t>
      </w:r>
    </w:p>
    <w:p w14:paraId="42E47636" w14:textId="77777777" w:rsidR="004B1A63" w:rsidRDefault="004B1A63">
      <w:r>
        <w:t>Europakommisjonen er bekymret for at utbyggingen ikke er i rute til å nå målene i strategien for EUs digitale tiår (Digital Decade Policy Programme 2030). Kommisjonen anslår at det er behov for investeringer på mellom 150 og 220 milliarder euro for å oppnå målet om at alle europeiske husstander har tilgang til et gigabit nettverk, og alle befolkede områder har 5G-dekning.</w:t>
      </w:r>
    </w:p>
    <w:p w14:paraId="5197DD78" w14:textId="3789D2C9" w:rsidR="004B1A63" w:rsidRDefault="004B1A63">
      <w:r>
        <w:t>Flere rapporter om europeisk konkurransedyktighet og fremtiden til det indre markedet understreker behovet for en velutbygget kommunikasjonsinfrastruktur for at EU skal lykkes med omstillingen til en konkurransedyktig, grønn og digital økonomi.</w:t>
      </w:r>
      <w:r w:rsidR="00015951" w:rsidRPr="00015951">
        <w:rPr>
          <w:rStyle w:val="Fotnotereferanse"/>
        </w:rPr>
        <w:footnoteReference w:id="70"/>
      </w:r>
      <w:r>
        <w:t xml:space="preserve"> I denne sammenheng løftes også frem mulighet for ytterligere konsolidering innen ekomsektoren i de samme nasjonale markedene. Hittil har Kommisjonen og nasjonale konkurransemyndigheter opprettholdt streng kontroll over fusjoner mellom konkurrerende mobiloperatører for å sikre flere uavhengige mobilnett og opprettholde konkurransen. Fokuset har i svært stor grad vært rettet mot forbrukerpriser og ikke mot andre og viktige forhold som investeringer i økt sikkerhet i kritisk kommunikasjonsinfrastruktur som også har stor betydning for forbrukerne og som gagner samfunnet som helhet. Dette bildet kan være i ferd med å endre seg. Det europeiske ekommarkedet er under økt press, og det pekes på behovet for å stimulere investeringer i utbygging av infrastrukturen og styrke europeiske virksomheters innovasjonskraft og konkuranseevne. Det er den klare konklusjon på bakgrunn av Mario Draghis omfattende analyse til Kommisjonen fra september 2024. Samtidig må den digitale infrastrukturen styrkes for å fortsatt være motstandsdyktig, og det krever økte investeringer og sterke aktører for å sikre den nødvendige robustheten og sikkerheten i nettene. Konsolidering av nettverksinfrastruktur i sektoren kan bidra til å skape stordriftsfordeler og sikre forutsetningene for de nødvendige investeringer.</w:t>
      </w:r>
    </w:p>
    <w:p w14:paraId="4A1814FE" w14:textId="77777777" w:rsidR="004B1A63" w:rsidRDefault="004B1A63">
      <w:pPr>
        <w:pStyle w:val="Overskrift2"/>
      </w:pPr>
      <w:r>
        <w:t>Viktige geopolitiske trender</w:t>
      </w:r>
    </w:p>
    <w:p w14:paraId="18EA2A4B" w14:textId="6C8DA886" w:rsidR="004B1A63" w:rsidRDefault="004B1A63" w:rsidP="006F4031">
      <w:r>
        <w:t xml:space="preserve">I rapporten sin viser OE/NUPI gjennom utstrakt kildebruk at det i løpet av de siste 20 årene har skjedd betydelige endringer i samspillet mellom digital teknologi og globale maktrelasjonene. I de tidlige </w:t>
      </w:r>
      <w:r>
        <w:lastRenderedPageBreak/>
        <w:t xml:space="preserve">fasene av digitaliseringen var det en utbredt oppfatning, spesielt i vestlige land, at digital teknologi krevde unike styringsformer med minimal statlig inngripen. Denne tilnærmingen ble drevet av troen på at dette ville fremme økonomisk vekst og utnyttelse av ny teknologi. I tillegg reduserte vestlige selskapers dominans i teknologisektoren behovet for sterk statlig kontroll. Autoritære stater som Kina og Russland argumenterte på sin side for </w:t>
      </w:r>
      <w:r w:rsidR="00015951">
        <w:t>«</w:t>
      </w:r>
      <w:r>
        <w:t>digital suverenitet</w:t>
      </w:r>
      <w:r w:rsidR="00015951">
        <w:t>»</w:t>
      </w:r>
      <w:r>
        <w:t xml:space="preserve"> og sterkere statlig kontroll i møte med det de oppfattet som amerikansk dominans.</w:t>
      </w:r>
    </w:p>
    <w:p w14:paraId="6A6546CD" w14:textId="77777777" w:rsidR="004B1A63" w:rsidRDefault="004B1A63">
      <w:r>
        <w:t>På 2010-tallet ble behovet for nasjonal kontroll mer fremtredende i Europa og USA, særlig drevet fremover av flere faktorer:</w:t>
      </w:r>
    </w:p>
    <w:p w14:paraId="4A5A1238" w14:textId="3FAC1688" w:rsidR="004B1A63" w:rsidRDefault="004B1A63" w:rsidP="0003695A">
      <w:pPr>
        <w:pStyle w:val="Nummerertliste"/>
        <w:numPr>
          <w:ilvl w:val="0"/>
          <w:numId w:val="45"/>
        </w:numPr>
      </w:pPr>
      <w:r w:rsidRPr="00015951">
        <w:rPr>
          <w:rStyle w:val="halvfet"/>
        </w:rPr>
        <w:t>Sikkerhetsutfordringer</w:t>
      </w:r>
      <w:r>
        <w:t>: Store sikkerhetsbrudd som WannaCry og NotPetya i 2017 synliggjorde de alvorlige konsekvensene cyberangrep kunne få for viktige sektorer som helse og global handel. Angrepene førte til økt politisk oppmerksomhet og krav om sterkere statlig regulering for å beskytte kritiske samfunnsinteresser.</w:t>
      </w:r>
    </w:p>
    <w:p w14:paraId="7C79CFD2" w14:textId="58A4FECD" w:rsidR="004B1A63" w:rsidRDefault="004B1A63" w:rsidP="0003695A">
      <w:pPr>
        <w:pStyle w:val="Nummerertliste"/>
        <w:numPr>
          <w:ilvl w:val="0"/>
          <w:numId w:val="45"/>
        </w:numPr>
      </w:pPr>
      <w:r w:rsidRPr="00015951">
        <w:rPr>
          <w:rStyle w:val="halvfet"/>
        </w:rPr>
        <w:t>Økonomisk vekst i Kina</w:t>
      </w:r>
      <w:r>
        <w:t>: Kinas økonomiske vekst og fremveksten av nettverkskritiske leverandører som Huawei og ZTE skapte bekymringer i en rekke vestlige land om deres egen teknologiavhengighet til land man ikke var sikkerhetspolitisk alliert med.</w:t>
      </w:r>
    </w:p>
    <w:p w14:paraId="6826B78D" w14:textId="5CB00679" w:rsidR="004B1A63" w:rsidRDefault="004B1A63" w:rsidP="0003695A">
      <w:pPr>
        <w:pStyle w:val="Nummerertliste"/>
        <w:numPr>
          <w:ilvl w:val="0"/>
          <w:numId w:val="45"/>
        </w:numPr>
      </w:pPr>
      <w:r w:rsidRPr="00015951">
        <w:rPr>
          <w:rStyle w:val="halvfet"/>
        </w:rPr>
        <w:t>Monopoltendenser</w:t>
      </w:r>
      <w:r>
        <w:t>: Store teknologiselskapers økende makt og innflytelse ble problematisert, noe som førte til politisk mobilisering for sterkere statlig inngripen.</w:t>
      </w:r>
    </w:p>
    <w:p w14:paraId="305C9DA0" w14:textId="77777777" w:rsidR="004B1A63" w:rsidRDefault="004B1A63">
      <w:r>
        <w:t>Den geopolitiske utviklingen har ført til at digital teknologi nå er et mer sensitivt område mellom stater. Økte spenninger mellom USA og Kina, samt en gradvis endring i Europa mot å se handel og geopolitikk i sammenheng, har forsterket behovet for nasjonal kontroll. Uforutsette globale hendelser som Covid-19-pandemien og den russiske invasjonen av Ukraina har ytterligere understreket risikoene ved teknologiske og økonomiske avhengigheter, og behovet for robust nasjonal digital infrastruktur.</w:t>
      </w:r>
    </w:p>
    <w:p w14:paraId="6C17D133" w14:textId="77777777" w:rsidR="004B1A63" w:rsidRDefault="004B1A63">
      <w:r>
        <w:t>I de kommende årene forventes økt statlig inngripen og nasjonal kontroll over digital infrastruktur. Nasjoner vil fokusere på å redusere problematiske avhengigheter og forsterke samarbeidet med allierte for å styrke nasjonal kontroll og legge sterkere føringer for økonomisk samhandling basert på hensynet til nasjonal sikkerhet.</w:t>
      </w:r>
    </w:p>
    <w:p w14:paraId="68C175B4" w14:textId="77777777" w:rsidR="004B1A63" w:rsidRDefault="004B1A63">
      <w:r>
        <w:t>Teknologiske og økonomiske avhengigheter blir i økende grad sett på som potensielle sårbarheter. Avhengighet av utenlandske teknologileverandører kan føre til tap av sensitiv informasjon og usikkerhet rundt kritiske tjenesters tilgjengelighet i hele spennet mellom fred-krise-krig. Manglende nasjonal kontroll kan også svekke evnen til å sikre verdikjeder, spesielt under sikkerhetspolitiske kriser.</w:t>
      </w:r>
    </w:p>
    <w:p w14:paraId="60CD750C" w14:textId="77777777" w:rsidR="004B1A63" w:rsidRDefault="004B1A63">
      <w:r>
        <w:t>Den geopolitiske situasjonen vil ikke bare påvirke behovet for kontroll i Norge, men også hos våre allierte. For et lite land som Norge er det nasjonale handlingsrommet for handels- og industripolitiske tiltak begrenset. Det er derfor særlig relevant å se på transatlantisk sikkerhetspolitisk samarbeid som, gitt industripolitisk koordinering blant vestlige land, antakelig vil kunne gjøre behovet for nasjonal kontroll langt mindre.</w:t>
      </w:r>
    </w:p>
    <w:p w14:paraId="45103476" w14:textId="77777777" w:rsidR="004B1A63" w:rsidRDefault="004B1A63">
      <w:pPr>
        <w:rPr>
          <w:spacing w:val="-4"/>
        </w:rPr>
      </w:pPr>
      <w:r>
        <w:rPr>
          <w:spacing w:val="-4"/>
        </w:rPr>
        <w:t>I rapporten tar OE/NUPI derfor også for seg viktige regulatoriske utviklingstrekk i USA og EU.</w:t>
      </w:r>
    </w:p>
    <w:p w14:paraId="19B96A50" w14:textId="77777777" w:rsidR="004B1A63" w:rsidRDefault="004B1A63">
      <w:pPr>
        <w:pStyle w:val="Overskrift3"/>
      </w:pPr>
      <w:r>
        <w:lastRenderedPageBreak/>
        <w:t>USA</w:t>
      </w:r>
    </w:p>
    <w:p w14:paraId="79303190" w14:textId="77777777" w:rsidR="004B1A63" w:rsidRDefault="004B1A63">
      <w:r>
        <w:t>Utviklingen i USA er sterkt påvirket av forholdet til Kina. Kinas økonomiske vekst har skapt gjensidig avhengighet, men også økt skepsis i USA mot avhengighet innen handel, investeringer og ikke minst teknologi. Denne skepsisen har også sitt opphav i oppfatningen om at kinesiske selskaper i stor grad opererer i forlengelse av den kinesiske staten. Amerikanske myndigheter har jevnlig anklaget kinesiske selskaper for industrispionasje og urettferdige praksiser, noe som har ført til økt interesse om å begrense kinesiske selskapers tilgang til den amerikanske økonomien.</w:t>
      </w:r>
    </w:p>
    <w:p w14:paraId="48EA4B7C" w14:textId="77777777" w:rsidR="004B1A63" w:rsidRDefault="004B1A63">
      <w:r>
        <w:t>Da Donald Trump ble president i USA i 2016 endret USA sin tilnærming til global handel, og økonomisk velstand ble definert som et mål for nasjonal sikkerhet. Denne retorikken har fortsatt under Biden/Harris administrasjonen med subsidier, lån, tariffer og skatteinsentiver for å sikre at USA leder an også i neste generasjons kritiske teknologier. Ledet an av Infrastructure, Investment and Jobs Act (IIJA), Inflation Reduction Act (IRA) og Chips and Science Act er det anslått at USAs samlede investeringer her vil bli opp mot 4 billioner dollar.</w:t>
      </w:r>
    </w:p>
    <w:p w14:paraId="5F5EBCB8" w14:textId="77777777" w:rsidR="004B1A63" w:rsidRDefault="004B1A63">
      <w:r>
        <w:t xml:space="preserve">USA har også strammet grepet om nasjonal kontroll gjennom Committee on Foreign Investment in the United States (CFIUS), som har fått utvidede fullmakter til å blokkere investeringer som truer nasjonal sikkerhet. I 2022 ble det spesifisert at CFIUS særlig skulle vurdere effekten av utenlandske investeringer på verdikjeder, amerikansk lederskap i nye teknologier, cybersikkerhetsrisiko og risikoen for amerikanske borgeres personopplysninger. For utvalgte teknologiområder har amerikanske myndigheter indikert en politikk der det for særlig kritiske teknologier og innsatsfaktorer bak disse pålegges strenge begrensninger, også på </w:t>
      </w:r>
      <w:r w:rsidRPr="00015951">
        <w:rPr>
          <w:rStyle w:val="kursiv"/>
        </w:rPr>
        <w:t>utgående</w:t>
      </w:r>
      <w:r>
        <w:t xml:space="preserve"> investeringer.</w:t>
      </w:r>
    </w:p>
    <w:p w14:paraId="507AD588" w14:textId="191D4775" w:rsidR="004B1A63" w:rsidRDefault="004B1A63">
      <w:r>
        <w:t xml:space="preserve">For telekombransjen har </w:t>
      </w:r>
      <w:r w:rsidR="00015951">
        <w:t>«</w:t>
      </w:r>
      <w:r>
        <w:t>Team Telecom</w:t>
      </w:r>
      <w:r w:rsidR="00015951">
        <w:t>»</w:t>
      </w:r>
      <w:r>
        <w:t xml:space="preserve"> vurdert sikkerhetsrisikoen ved utenlandsk deltakelse.</w:t>
      </w:r>
      <w:r w:rsidR="00015951" w:rsidRPr="00015951">
        <w:rPr>
          <w:rStyle w:val="Fotnotereferanse"/>
        </w:rPr>
        <w:footnoteReference w:id="71"/>
      </w:r>
      <w:r>
        <w:t xml:space="preserve"> I 2021 ble prosessen formalisert med et tydelig mandat om å vurdere sikkerhet ved utstedelse av lisenser. USA har også fokusert på verdikjeder og mulige avhengigheter, med tiltak for å utestenge leverandører som antas å kunne samarbeide med fiendtlige makter.</w:t>
      </w:r>
    </w:p>
    <w:p w14:paraId="135E9175" w14:textId="77777777" w:rsidR="004B1A63" w:rsidRDefault="004B1A63">
      <w:pPr>
        <w:pStyle w:val="Overskrift3"/>
      </w:pPr>
      <w:r>
        <w:t>EU</w:t>
      </w:r>
    </w:p>
    <w:p w14:paraId="2DFF012F" w14:textId="77777777" w:rsidR="004B1A63" w:rsidRDefault="004B1A63">
      <w:r>
        <w:t>Mens USA og Kina har vært i sentrum av stormaktsrivaliseringen, har EU lenge vært en mindre aktiv aktør i sammenvevingen av økonomi og sikkerhet. De siste årene har EU imidlertid gjennomgått et betydelig skifte med mer omfattende reguleringer og et sterkere ønske om teknologisk uavhengighet.</w:t>
      </w:r>
    </w:p>
    <w:p w14:paraId="2ADD2D16" w14:textId="77777777" w:rsidR="004B1A63" w:rsidRDefault="004B1A63">
      <w:r>
        <w:t xml:space="preserve">Siden 2017 har EU gradvis endret sin tilnærming til kontroll og utvidet sitt regelverk for økonomisk sikkerhet. Dette inkluderer strategi rundt forholdet til Kina (2019), gjennomgang av handelspolitikken (2021), oppdaterte regler for eksportkontroll (2021), tiltak mot utenlandske subsidier (2023), et felles instrument mot økonomisk maktbruk (2023) og utviklingen av en økonomisk sikkerhetsstrategi (2023). </w:t>
      </w:r>
      <w:r>
        <w:lastRenderedPageBreak/>
        <w:t>Mest relevant er reguleringen rundt investeringskontroll vedtatt i 2019 og i bruk siden oktober 2020. Denne reguleringen gir EU-kommisjonen myndighet til å vurdere potensielle investeringer fra tredjeland som kan påvirke kritisk infrastruktur, teknologi, råvarer, sensitiv informasjon og mediestyring. Se for øvrig ytterligere omtale av investeringskontroll-regelverket og forslag fra januar 2024 til endret EU-regulering i kapittel 10.</w:t>
      </w:r>
    </w:p>
    <w:p w14:paraId="021763A3" w14:textId="77777777" w:rsidR="004B1A63" w:rsidRDefault="004B1A63">
      <w:r>
        <w:t>Samtidig med dette har EU også iverksatt tiltak for å styrke Europas posisjon innenfor viktige områder som eksempelvis det grønne skiftet og digital teknologi. Blant disse kan European Chips Act som trådte i kraft i 2023 nevnes spesielt fordi den setter søkelys på konkrete mottiltak til Europas avhengighet av importerte halvledere gjennom forskning på halvlederteknologi, innovasjon og produksjon av halvledere mv. Regjeringen har i statsbudsjettet for 2025 foreslått en årlig bevilgning på 40 millioner kroner for å sikre norsk deltakelse i programmet.</w:t>
      </w:r>
    </w:p>
    <w:p w14:paraId="565611FF" w14:textId="77777777" w:rsidR="004B1A63" w:rsidRDefault="004B1A63">
      <w:r>
        <w:t>For særlig kritiske teknologier har EU også introdusert Strategic Technologies for Europe Platform (STEP) som skal legge til rette for investeringer og styrke Europas uavhengighet. Den totale budsjettrammen er på 160 milliarder euro, og digitale sektorer som skytjenester, 5G, kunstig intelligens og cybersikkerhet er eksplisitt nevnte satsningsområder.</w:t>
      </w:r>
    </w:p>
    <w:p w14:paraId="3EFD3CCE" w14:textId="77777777" w:rsidR="004B1A63" w:rsidRDefault="004B1A63">
      <w:r>
        <w:t>EU har i de senere årene også tatt viktige regulatoriske grep innen cybersikkerhetsområdet, for eksempel gjennom Cybersecurity Act (vedtatt 2019) som etablerer en sertifiseringsordning for cybersikkerhetsprodukter og tjenester og Cyber Resilience Act (vedtatt oktober 2024) som sikter på å heve sikkerhetsnivået for hardware og software på det europeiske markedet. Regelverket vil også potensielt gi Europakommisjonen myndighet til å utestenge produkter som ikke har tilfredsstillende standard fra EU.</w:t>
      </w:r>
    </w:p>
    <w:p w14:paraId="14127B29" w14:textId="77777777" w:rsidR="004B1A63" w:rsidRDefault="004B1A63">
      <w:r>
        <w:t>Av andre viktige initiativ fra EU-siden kan med fordel også NIS 2 (direktivet om tiltak for å sikre et høyet felles nivå for sikkerhet i nettverks- og informasjonssystemer, vedtatt 2022), CER (direktivet om kritiske enheters motstandsdyktighet, vedtatt 2022) og Cyber Solidarity Act (forslag 2023) nevnes. Det samme gjelder for hvitboken som Kommisjonen publiserte i februar 2024 som har en egen del viet til sikker og motstandsdyktig digital infrastruktur i Europa, herunder også en egen anbefaling knyttet til internasjonale sjøfiberkabler.</w:t>
      </w:r>
    </w:p>
    <w:p w14:paraId="240BA2F2" w14:textId="77777777" w:rsidR="004B1A63" w:rsidRDefault="004B1A63">
      <w:r>
        <w:t>Alle disse initiativene er med på å underbygge at Europa tar på alvor ulike sikkerhetstruende aktiviteter og samtidig forsøker å sikre europeisk uavhengighet i viktige leverandørkjeder.</w:t>
      </w:r>
    </w:p>
    <w:p w14:paraId="6D76E997" w14:textId="77777777" w:rsidR="004B1A63" w:rsidRDefault="004B1A63">
      <w:pPr>
        <w:pStyle w:val="Overskrift3"/>
      </w:pPr>
      <w:r>
        <w:t>Konklusjon</w:t>
      </w:r>
    </w:p>
    <w:p w14:paraId="05EC313B" w14:textId="77777777" w:rsidR="004B1A63" w:rsidRDefault="004B1A63">
      <w:r>
        <w:t xml:space="preserve">EU har de 10 siste årene utviklet seg til å ta en større rolle i styringen av global økonomi og teknologi. Gjennom sitt globale avtrykk som regulatorisk supermakt har EU satt som mål å heve minstenivået for cybersikkerhet og digital regulering. EU har endret karakter fra en forkjemper for frihandel til en mer strategisk orientert geoøkonomisk aktør. Dette har resultert i reguleringer som strammer kontrollen over økonomisk samhandling, koordinering blant medlemslandene, og investeringer i nøkkelindustrier for å styrke europeisk teknologiuavhengighet. Draghi-rapporten fra 2024 peker på en retning for Europa som bruker økonomisk politikk for å styrke strategisk posisjon og geopolitiske innflytelse. </w:t>
      </w:r>
      <w:r>
        <w:lastRenderedPageBreak/>
        <w:t>Hvilken retning EU tar videre vil ha stor betydning for Norges handlingsrom og behov for nasjonal kontroll.</w:t>
      </w:r>
    </w:p>
    <w:p w14:paraId="51296326" w14:textId="77777777" w:rsidR="004B1A63" w:rsidRDefault="004B1A63">
      <w:r>
        <w:t>Det er mer uro i verden, og spenninger internasjonalt øker behovet for kontroll over kritisk teknologi og kritisk digital infrastruktur. Hos våre samarbeidspartnere EU og USA har det de siste årene blitt gjort mye for å styrke kontrollen og sikkerheten med økonomiske avhengigheter, særlig med utenlandske investeringer og viktige verdikjeder. Økt robusthet hos våre samarbeidspartnere kan øke vår egen robusthet, men skaper også forventninger om at Norge fatter lignende tiltak. Tiltak for nasjonal kontroll må derfor være tilpasset den geopolitiske konteksten, og ikke avvike for mye fra våre nærmeste samarbeidspartnere.</w:t>
      </w:r>
    </w:p>
    <w:p w14:paraId="564AA36A" w14:textId="4EDC9989" w:rsidR="004B1A63" w:rsidRDefault="004B1A63">
      <w:r>
        <w:t>I rapporten tar OE/NUPI til orde for en utvikling over de neste 5-10 årene der man vil se at verdikjeder i EU og USA blir mindre avhengige av leverandører fra land man ikke har sikkerhetspolitisk samarbeid med. Økt robusthet hos Norges samarbeidspartnere vil da være med på å øke vår egen robusthet, slik at eventuelle tiltak for nasjonal kontroll kan målrettes mot risikoer knyttet til investeringer og eierskap.</w:t>
      </w:r>
    </w:p>
    <w:p w14:paraId="086BF992" w14:textId="77777777" w:rsidR="004B1A63" w:rsidRDefault="004B1A63" w:rsidP="00B334C6">
      <w:pPr>
        <w:pStyle w:val="del-tittel"/>
      </w:pPr>
      <w:r>
        <w:t>DEL III</w:t>
      </w:r>
      <w:r>
        <w:tab/>
        <w:t>Om eierskap og andre virkemidler for nasjonal kontroll</w:t>
      </w:r>
    </w:p>
    <w:p w14:paraId="78C248C1" w14:textId="627D4621" w:rsidR="0016021B" w:rsidRPr="0016021B" w:rsidRDefault="004B4E04" w:rsidP="0016021B">
      <w:r>
        <w:rPr>
          <w:noProof/>
        </w:rPr>
        <w:drawing>
          <wp:inline distT="0" distB="0" distL="0" distR="0" wp14:anchorId="29E8DAEE" wp14:editId="2365DBA7">
            <wp:extent cx="3657600" cy="2581275"/>
            <wp:effectExtent l="0" t="0" r="0" b="0"/>
            <wp:docPr id="25" name="Bilde 15" descr="Bilde av jordstasjonsantenner på Svalbard. I bakgrunnen skimtes hav og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15" descr="Bilde av jordstasjonsantenner på Svalbard. I bakgrunnen skimtes hav og lan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31520445" w14:textId="77777777" w:rsidR="004B1A63" w:rsidRDefault="004B1A63" w:rsidP="0003695A">
      <w:pPr>
        <w:pStyle w:val="Overskrift1"/>
      </w:pPr>
      <w:r>
        <w:lastRenderedPageBreak/>
        <w:t>Eierskap og eierskapstransaksjoner som påvirker nasjonal kontroll</w:t>
      </w:r>
    </w:p>
    <w:p w14:paraId="24A2AA54" w14:textId="7A969AA6" w:rsidR="0016021B" w:rsidRPr="0016021B" w:rsidRDefault="004B4E04" w:rsidP="0016021B">
      <w:r>
        <w:rPr>
          <w:noProof/>
        </w:rPr>
        <w:drawing>
          <wp:inline distT="0" distB="0" distL="0" distR="0" wp14:anchorId="6A4E88F2" wp14:editId="1887A48B">
            <wp:extent cx="3657600" cy="2581275"/>
            <wp:effectExtent l="0" t="0" r="0" b="0"/>
            <wp:docPr id="26" name="Bilde 14" descr="Bildeillustrasjon av en mann som sitter ved en datamaskin og vurderer ulike valg han skal foreta på et papir, mens det i forgrunnen av bildet projiseres kursgra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14" descr="Bildeillustrasjon av en mann som sitter ved en datamaskin og vurderer ulike valg han skal foreta på et papir, mens det i forgrunnen av bildet projiseres kursgrafe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327AA7AE" w14:textId="77777777" w:rsidR="004B1A63" w:rsidRDefault="004B1A63">
      <w:pPr>
        <w:pStyle w:val="Overskrift2"/>
      </w:pPr>
      <w:r>
        <w:t>Innledning</w:t>
      </w:r>
    </w:p>
    <w:p w14:paraId="267F852B" w14:textId="77777777" w:rsidR="004B1A63" w:rsidRDefault="004B1A63" w:rsidP="006F4031">
      <w:r>
        <w:t>I dette kapittelet redegjør utvalget for hvilke eierskap og eierskapstransaksjoner som gi innflytelse i et foretak, samt eiers rettigheter i et foretak og terskler for innflytelse. Det ses også på kilder for norske myndigheters kontroll med eierskap. Til slutt ser utvalget nærmere på hvordan utenlandsk eierskap kan svekke nasjonal kontroll.</w:t>
      </w:r>
    </w:p>
    <w:p w14:paraId="05249CFD" w14:textId="77777777" w:rsidR="004B1A63" w:rsidRDefault="004B1A63">
      <w:pPr>
        <w:pStyle w:val="Overskrift2"/>
      </w:pPr>
      <w:r>
        <w:t>Innflytelse i foretak</w:t>
      </w:r>
    </w:p>
    <w:p w14:paraId="68A74BA2" w14:textId="77777777" w:rsidR="004B1A63" w:rsidRDefault="004B1A63">
      <w:pPr>
        <w:pStyle w:val="Overskrift3"/>
        <w:spacing w:before="0"/>
      </w:pPr>
      <w:r>
        <w:t>Innledning</w:t>
      </w:r>
    </w:p>
    <w:p w14:paraId="750D68C1" w14:textId="4BD54F25" w:rsidR="004B1A63" w:rsidRDefault="004B1A63">
      <w:r>
        <w:t>Aksjeselskap er den vanligste foretaksformen i Norge, og som det framgår av punkt 6.2.1, er alle de identifiserte aktørene som eier eller råder over kritisk digital infrastruktur, organisert som aksjeselskaper (med unntak av De-Cix Management GmbH som er organisert som et NUF</w:t>
      </w:r>
      <w:r w:rsidR="00015951" w:rsidRPr="00015951">
        <w:rPr>
          <w:rStyle w:val="Fotnotereferanse"/>
        </w:rPr>
        <w:footnoteReference w:id="72"/>
      </w:r>
      <w:r>
        <w:t xml:space="preserve"> samt Telenor ASA (allmennaksjeselskap</w:t>
      </w:r>
      <w:r w:rsidR="00015951" w:rsidRPr="00015951">
        <w:rPr>
          <w:rStyle w:val="Fotnotereferanse"/>
        </w:rPr>
        <w:footnoteReference w:id="73"/>
      </w:r>
      <w:r>
        <w:t xml:space="preserve">). Det betyr at investeringer og eierskifter i disse selskapene normalt skjer ved erverv av aksjer enten gjennom direkte kjøp i annenhåndsmarkedet eller ved nytegning. Utgangspunktet er at alle aksjer gir lik rett i selskapet (jf. aksjeloven (asl.) </w:t>
      </w:r>
      <w:r w:rsidR="00015951">
        <w:t>§ </w:t>
      </w:r>
      <w:r w:rsidR="00015951">
        <w:t>4</w:t>
      </w:r>
      <w:r>
        <w:t xml:space="preserve">-1) og at en aksjonærs eierandel i selskapet er avgjørende for hvilken innflytelse aksjonæren har over beslutningene som fattes i selskapet. Den som eier alle aksjer i et aksjeselskap, vil dermed også ha full kontroll over selskapet og kan utøve sitt eierskap innenfor de rammer som følger av regelverket. Innflytelse i selskaper utøves </w:t>
      </w:r>
      <w:r>
        <w:lastRenderedPageBreak/>
        <w:t>imidlertid ikke bare gjennom eierskap – for eksempel kan aksjonæravtaler og andre avtaler som inngås, endre kontroll og innflytelse på beslutningene. At aksjeeiers innflytelse i selskapet påvirkes for eksempel av aksjonæravtaler om hvordan stemmerettigheter skal utøves og som ikke trenger være kjent for andre enn avtalepartene, eller ved at aksjene kan ha ulik stemmerett, kan gjøre det vanskelig å få oversikt over hvem som har den reelle innflytelse knyttet til selskapsbeslutninger.</w:t>
      </w:r>
    </w:p>
    <w:p w14:paraId="1E78AB54" w14:textId="77777777" w:rsidR="004B1A63" w:rsidRDefault="004B1A63">
      <w:pPr>
        <w:pStyle w:val="Overskrift3"/>
      </w:pPr>
      <w:r>
        <w:t>Ulike typer innvesteringer som gir innflytelse i et aksjeselskap</w:t>
      </w:r>
    </w:p>
    <w:p w14:paraId="165168B2" w14:textId="77777777" w:rsidR="004B1A63" w:rsidRDefault="004B1A63">
      <w:r>
        <w:t xml:space="preserve">I NOU 2023: 28 </w:t>
      </w:r>
      <w:r w:rsidRPr="00015951">
        <w:rPr>
          <w:rStyle w:val="kursiv"/>
        </w:rPr>
        <w:t xml:space="preserve">Investeringskontroll </w:t>
      </w:r>
      <w:r>
        <w:t>punkt 10.2 gis det en nærmere oversikt over hvordan et selskap eller en person gjennom investeringer i et aksjeselskap, kan skaffe seg innflytelse i det aktuelle selskapet. Nedenfor følger en kort oversikt over ulike transaksjoner og avtaler som direkte eller indirekte kan gi innflytelse i et selskap.</w:t>
      </w:r>
    </w:p>
    <w:p w14:paraId="4C2A2A76" w14:textId="77777777" w:rsidR="004B1A63" w:rsidRDefault="004B1A63">
      <w:r>
        <w:t xml:space="preserve">Det betegnes gjerne som </w:t>
      </w:r>
      <w:r w:rsidRPr="00015951">
        <w:rPr>
          <w:rStyle w:val="kursiv"/>
        </w:rPr>
        <w:t>oppkjøp</w:t>
      </w:r>
      <w:r>
        <w:t xml:space="preserve"> dersom investor kjøper opp alle eller flertallet av aksjene i et selskap. Et oppkjøp vil gi kjøper bestemmende innflytelse når det gjelder forvaltningen av selskapet og selskapets verdier. Mens oppkjøp gjelder transaksjoner knyttet til eierandelene i selve foretaket, brukes </w:t>
      </w:r>
      <w:r w:rsidRPr="00015951">
        <w:rPr>
          <w:rStyle w:val="kursiv"/>
        </w:rPr>
        <w:t xml:space="preserve">virksomhetsoverdragelse </w:t>
      </w:r>
      <w:r>
        <w:t>som betegnelse på en transaksjon som innebærer overdragelse av innholdet i et foretak – gjerne kalt en innmatstransaksjon.</w:t>
      </w:r>
    </w:p>
    <w:p w14:paraId="08ABDABF" w14:textId="77777777" w:rsidR="004B1A63" w:rsidRDefault="004B1A63">
      <w:r w:rsidRPr="00015951">
        <w:rPr>
          <w:rStyle w:val="kursiv"/>
        </w:rPr>
        <w:t>Kjøp av enkeltaksjer eller mindre aksjeposter</w:t>
      </w:r>
      <w:r>
        <w:t xml:space="preserve"> vil normalt ikke gi bestemmende innflytelse i selskapet med mindre investor allerede eier aksjer i selskapet og kjøpet medfører at eierandelen samlet sett representerer flertallet av aksjene i selskapet.</w:t>
      </w:r>
    </w:p>
    <w:p w14:paraId="43F377C0" w14:textId="7B8D20F6" w:rsidR="004B1A63" w:rsidRDefault="004B1A63">
      <w:r>
        <w:t xml:space="preserve">For børsnoterte allmennaksjeselskaper gjelder det særlige regler om tilbudsplikt ved erverv av aksjer. Det følger av verdipapirhandelloven </w:t>
      </w:r>
      <w:r w:rsidR="00015951">
        <w:t>§ </w:t>
      </w:r>
      <w:r w:rsidR="00015951">
        <w:t>6</w:t>
      </w:r>
      <w:r>
        <w:t xml:space="preserve">-1 at </w:t>
      </w:r>
      <w:r w:rsidR="00015951">
        <w:t>«</w:t>
      </w:r>
      <w:r w:rsidRPr="00015951">
        <w:rPr>
          <w:rStyle w:val="kursiv"/>
        </w:rPr>
        <w:t>Den som gjennom erverv blir eier av aksjer som representerer mer enn 1/3 av stemmene i et norsk selskap hvis aksjer er notert på norsk regulert marked (notert selskap), plikter å gi tilbud om kjøp av de øvrige aksjene i selskapet</w:t>
      </w:r>
      <w:r w:rsidR="00015951">
        <w:t>»</w:t>
      </w:r>
      <w:r>
        <w:t>. Dette betyr at den som erverver tilstrekkelig antall aksjer til å oppnå såkalt negativt flertall</w:t>
      </w:r>
      <w:r w:rsidR="00015951" w:rsidRPr="00015951">
        <w:rPr>
          <w:rStyle w:val="Fotnotereferanse"/>
        </w:rPr>
        <w:footnoteReference w:id="74"/>
      </w:r>
      <w:r>
        <w:t>, og dermed kan forhindre vedtak på generalforsamling som krever kvalifisert flertall, har plikt til å tilby å kjøpe også de øvrige aksjene i selskapet når selskapet er notert på norsk regulert marked. Videre må aksjeeier som eier aksjer som representerer mer enn en tredel av stemmene i et notert selskap, gi tilbud om kjøp av de øvrige aksjene i selskapet (gjentatt tilbudsplikt) ved erverv av aksjer som øker antall stemmer i selskapet til 40 prosent eller mer og 50 prosent eller mer. Det er beskyttelse av minoritetsaksjonærer som er hovedhensynet bak reglene om tilbudsplikt og gjentatt tilbudsplikt.</w:t>
      </w:r>
    </w:p>
    <w:p w14:paraId="6E45DA96" w14:textId="77777777" w:rsidR="004B1A63" w:rsidRDefault="004B1A63">
      <w:r>
        <w:t xml:space="preserve">Aksjer kan også erverves ved </w:t>
      </w:r>
      <w:r w:rsidRPr="00015951">
        <w:rPr>
          <w:rStyle w:val="kursiv"/>
        </w:rPr>
        <w:t>nytegning</w:t>
      </w:r>
      <w:r>
        <w:t>. En emisjon gjennom nytegning gjennomføres for å skaffe selskapet egenkapital. I slike tilfeller er det selskapet selv som utsteder nye aksjer og som mottar oppgjøret.</w:t>
      </w:r>
    </w:p>
    <w:p w14:paraId="08DFA488" w14:textId="77777777" w:rsidR="004B1A63" w:rsidRDefault="004B1A63">
      <w:r>
        <w:lastRenderedPageBreak/>
        <w:t xml:space="preserve">En </w:t>
      </w:r>
      <w:r w:rsidRPr="00015951">
        <w:rPr>
          <w:rStyle w:val="kursiv"/>
        </w:rPr>
        <w:t>opsjon på kjøp av aksjer</w:t>
      </w:r>
      <w:r>
        <w:t xml:space="preserve"> er et finansielt instrument som gir en rett, men ingen plikt, til å kjøpe eller tegne aksjer innen en bestemt tidsperiode, og til en bestemt pris eller en pris knyttet til en prismekanisme.</w:t>
      </w:r>
    </w:p>
    <w:p w14:paraId="06B7A896" w14:textId="77777777" w:rsidR="004B1A63" w:rsidRDefault="004B1A63">
      <w:r w:rsidRPr="00015951">
        <w:rPr>
          <w:rStyle w:val="kursiv"/>
        </w:rPr>
        <w:t>Konvertible lån</w:t>
      </w:r>
      <w:r>
        <w:t xml:space="preserve"> er lån som gir långiver rett til å kreve aksjer i selskapet som er låntaker. Långiver kan betale aksjeinnskudd i penger, eller ved å motregne lånet mot aksjeinnskuddsforpliktelsen. Lånet vil i sistnevnte tilfelle anses nedbetalt. Også andre typer låneavtaler kan gi långiver innflytelse i selskapet, for eksempel ved at det stilles som vilkår for lånet at långiver må godkjenne visse selskapstransaksjoner.</w:t>
      </w:r>
    </w:p>
    <w:p w14:paraId="4ECB384A" w14:textId="77777777" w:rsidR="004B1A63" w:rsidRDefault="004B1A63">
      <w:r>
        <w:t xml:space="preserve">To eller flere selskaper kan slås sammen til ett selskap gjennom en </w:t>
      </w:r>
      <w:r w:rsidRPr="00015951">
        <w:rPr>
          <w:rStyle w:val="kursiv"/>
        </w:rPr>
        <w:t>fusjon.</w:t>
      </w:r>
      <w:r>
        <w:t xml:space="preserve"> Det overtakende selskap videreføres, mens overdragende selskap slettes. Aksjonærene i det overdragende selskapet får vederlag for verdiene sine gjennom aksjer i det overtakende selskapet. Et selskap kan gjennom en </w:t>
      </w:r>
      <w:r w:rsidRPr="00015951">
        <w:rPr>
          <w:rStyle w:val="kursiv"/>
        </w:rPr>
        <w:t>fisjon</w:t>
      </w:r>
      <w:r>
        <w:t xml:space="preserve"> deles i to eller flere selskaper. Aksjonærene i selskapet som fisjonerer – det overdragende selskapet – vil som vederlag for eiendelene som overdras, få aksjer i overtakende selskap. Fisjon kan innebære at det overdragende selskapet overfører alle eiendeler til to eller flere selskaper og selv opphører å eksistere, eller ved at det overdragende selskapet beholder deler av verdiene selv, og overfører de resterende verdiene til overtakende selskap. Det overtakende selskap kan enten være nystiftet eller være et eksisterende selskap som vil foreta en kapitalforhøyelse ved overføringen av eiendelene.</w:t>
      </w:r>
    </w:p>
    <w:p w14:paraId="653B58C1" w14:textId="77777777" w:rsidR="004B1A63" w:rsidRDefault="004B1A63">
      <w:pPr>
        <w:pStyle w:val="Overskrift3"/>
      </w:pPr>
      <w:r>
        <w:t>Eiers rettigheter og innflytelse i et aksjeselskap – terskelverdier for ulik innflytelse</w:t>
      </w:r>
    </w:p>
    <w:p w14:paraId="30C8D734" w14:textId="77777777" w:rsidR="004B1A63" w:rsidRDefault="004B1A63">
      <w:r>
        <w:t>Eier av en aksje i et aksjeselskap har ulike aksjonærrettigheter som kan deles inn i</w:t>
      </w:r>
    </w:p>
    <w:p w14:paraId="23F4BFBB" w14:textId="580A84E8" w:rsidR="004B1A63" w:rsidRDefault="004B1A63">
      <w:pPr>
        <w:pStyle w:val="Liste"/>
      </w:pPr>
      <w:r>
        <w:t>økonomiske rettigheter som rett til utbytte og tilbakebetaling av aksjekapitalen, fusjonsvederlag og fortrinnsrett til aksjer som utstedes ved kapitalforhøyelse,</w:t>
      </w:r>
    </w:p>
    <w:p w14:paraId="7F6C3A9A" w14:textId="6CEEFC47" w:rsidR="004B1A63" w:rsidRDefault="004B1A63">
      <w:pPr>
        <w:pStyle w:val="Liste"/>
      </w:pPr>
      <w:r>
        <w:t>disposisjonsrettigheter som rett til å erverve, realisere og pantsette aksjer, samt</w:t>
      </w:r>
    </w:p>
    <w:p w14:paraId="761125B2" w14:textId="6B9D9594" w:rsidR="004B1A63" w:rsidRDefault="004B1A63">
      <w:pPr>
        <w:pStyle w:val="Liste"/>
      </w:pPr>
      <w:r>
        <w:t>forvaltningsrettigheter som retten til å møte, tale og stemme på generalforsamlingen.</w:t>
      </w:r>
    </w:p>
    <w:p w14:paraId="0AE01255" w14:textId="77777777" w:rsidR="004B1A63" w:rsidRDefault="004B1A63">
      <w:r>
        <w:t>Knyttet til innflytelse i selskapet er særlig retten til å møte, tale og stemme på generalforsamlingen viktig. Generalforsamlingen er øverste myndighet i et aksjeselskap og det er gjennom deltakelse på generalforsamlingen at eierne utøver den øverste myndigheten i selskapet. Det følger av aksjeloven at det er generalforsamlingen som treffer beslutningen i en rekke viktige spørsmål, for eksempel om utdeling av utbytte, kapitalforhøyelse, kapitalnedsettelse, fusjon eller fisjon.</w:t>
      </w:r>
    </w:p>
    <w:p w14:paraId="512BF350" w14:textId="22E1DC1C" w:rsidR="004B1A63" w:rsidRDefault="004B1A63">
      <w:r>
        <w:t xml:space="preserve">Gjennom vedtekter, instrukser og andre beslutninger, fastsetter generalforsamlingen overordnede rammer og nærmere regler for styret og daglig leder om driften av selskapet. Det følger av aksjeloven </w:t>
      </w:r>
      <w:r w:rsidR="00015951">
        <w:t>§ </w:t>
      </w:r>
      <w:r w:rsidR="00015951">
        <w:t>6</w:t>
      </w:r>
      <w:r>
        <w:t>-3 at det er generalforsamlingen som velger alle eller flertallet av styremedlemmene. Har selskapet bedriftsforsamling</w:t>
      </w:r>
      <w:r w:rsidR="00015951" w:rsidRPr="00015951">
        <w:rPr>
          <w:rStyle w:val="Fotnotereferanse"/>
        </w:rPr>
        <w:footnoteReference w:id="75"/>
      </w:r>
      <w:r>
        <w:t>, er det den som velger medlemmene i styret.</w:t>
      </w:r>
    </w:p>
    <w:p w14:paraId="1E2212E4" w14:textId="77777777" w:rsidR="004B1A63" w:rsidRDefault="004B1A63">
      <w:r>
        <w:lastRenderedPageBreak/>
        <w:t>Et aksjeselskap ledes av styret og eventuelt en daglig leder. Det er styret som har det overordnede ansvaret for at selskapet drives i tråd med selskapets formål, det vil si at selskapet drives innenfor det som er vedtektenes angivelse av virksomhetsområde, vedtektene for øvrig og eventuelle instrukser fra eierne. Styret har også ansvaret for at selskapet etterlever lover og regler samt avtaler selskapet har inngått. Daglig leder skal forholde seg til de pålegg og retningslinjer som styret gir. For å kunne utøve eierinnflytelse i et aksjeselskap, er det derfor sentralt å ha kontroll over styret. Som oftest kan den som har flertallet av stemmene på generalforsamlingen, sikre seg at styret eller i hvert fall flertallet av styret består av medlemmer som flertallsaksjonæren foretrekker. Den som erverver mer enn halvparten av aksjene i selskapet, vil dermed kunne fjerne alle eller flertallet av de sittende styremedlemmene og velge nye styremedlemmer.</w:t>
      </w:r>
    </w:p>
    <w:p w14:paraId="1C3B6B9A" w14:textId="77777777" w:rsidR="004B1A63" w:rsidRDefault="004B1A63">
      <w:pPr>
        <w:pStyle w:val="Undertittel"/>
      </w:pPr>
      <w:r>
        <w:t>Terskler for innflytelse</w:t>
      </w:r>
    </w:p>
    <w:p w14:paraId="2E9BC452" w14:textId="6DE408E1" w:rsidR="004B1A63" w:rsidRDefault="004B1A63" w:rsidP="006F4031">
      <w:r>
        <w:t>Utgangspunktet i aksjeloven (</w:t>
      </w:r>
      <w:r w:rsidR="00015951">
        <w:t>§ </w:t>
      </w:r>
      <w:r w:rsidR="00015951">
        <w:t>5</w:t>
      </w:r>
      <w:r>
        <w:t>-17) er at en beslutning som treffes av generalforsamlingen krever flertallet av de avgitte stemmene, med mindre det er fastsatt noe annet i lov eller vedtektene. At flertallskravet knytter seg til avgitte stemmer, betyr at aksjonæren må delta på generalforsamlingen selv eller ved fullmektig.</w:t>
      </w:r>
    </w:p>
    <w:p w14:paraId="28C73B4F" w14:textId="77777777" w:rsidR="004B1A63" w:rsidRDefault="004B1A63">
      <w:r>
        <w:t>For å kunne treffe beslutning i enkelte saker av mer grunnleggende betydning, kreves det kvalifisert flertall. Begrunnelsen for dette er at utgangspunktet om at flertallet bestemmer, kan gi flertallet for sterk stilling overfor mindretallet, og at flertallsmakten kan misbrukes til skade for minoriteten. Dette gjelder blant annet forslag om å endre vedtektene, og må ses i sammenheng med at innenfor lovens rammer kan aksjonærrettigheter reguleres gjennom vedtektene i det enkelte selskap. En slik regulering gjennom vedtekter kan for eksempel gjelde regler om aksjeklasser. Det vil si at selskapet har ulike typer aksjer der aksjer i en av selskapets aksjeklasser har én stemme, mens aksjer i en annen aksjeklasse ikke har stemmerett – gjerne kalt A-aksjer og B-aksjer.</w:t>
      </w:r>
    </w:p>
    <w:p w14:paraId="7E3AFE0B" w14:textId="77777777" w:rsidR="004B1A63" w:rsidRDefault="004B1A63">
      <w:r>
        <w:t>Normalt krever vedtektsendring to tredels flertall både av avgitte stemmer og av aksjekapitalen som er representert på generalforsamlingen. Når det kreves at også to tredeler av kapitalen står bak beslutningen, har det sammenheng med at rettighetene også skal tilkomme aksjonærer med aksjer som ifølge selskapets vedtekter er uten stemmerett.</w:t>
      </w:r>
    </w:p>
    <w:p w14:paraId="3830DC9D" w14:textId="77777777" w:rsidR="004B1A63" w:rsidRDefault="004B1A63">
      <w:r>
        <w:t>Tilsvarende flertallskrav som for vedtektsendringer må være oppfylt for blant annet:</w:t>
      </w:r>
    </w:p>
    <w:p w14:paraId="458C4D2D" w14:textId="2D90D23A" w:rsidR="004B1A63" w:rsidRDefault="004B1A63">
      <w:pPr>
        <w:pStyle w:val="Liste"/>
      </w:pPr>
      <w:r>
        <w:t>Beslutning om å oppløse selskapet</w:t>
      </w:r>
    </w:p>
    <w:p w14:paraId="32797E88" w14:textId="1071D1B7" w:rsidR="004B1A63" w:rsidRDefault="004B1A63">
      <w:pPr>
        <w:pStyle w:val="Liste"/>
      </w:pPr>
      <w:r>
        <w:t>Beslutning om fusjon (</w:t>
      </w:r>
      <w:r w:rsidR="00015951">
        <w:t>§ </w:t>
      </w:r>
      <w:r w:rsidR="00015951">
        <w:t>1</w:t>
      </w:r>
      <w:r>
        <w:t>3-10) og fisjon (</w:t>
      </w:r>
      <w:r w:rsidR="00015951">
        <w:t>§ </w:t>
      </w:r>
      <w:r w:rsidR="00015951">
        <w:t>1</w:t>
      </w:r>
      <w:r>
        <w:t>4-6)</w:t>
      </w:r>
    </w:p>
    <w:p w14:paraId="79F7F04F" w14:textId="016F9716" w:rsidR="004B1A63" w:rsidRDefault="004B1A63">
      <w:pPr>
        <w:pStyle w:val="Liste"/>
      </w:pPr>
      <w:r>
        <w:t>Styrefullmakt til å forhøye eller sette ned aksjekapitalen</w:t>
      </w:r>
    </w:p>
    <w:p w14:paraId="37CAFCC9" w14:textId="7B76A40C" w:rsidR="004B1A63" w:rsidRDefault="004B1A63">
      <w:pPr>
        <w:pStyle w:val="Liste"/>
      </w:pPr>
      <w:r>
        <w:t>Styrefullmakt til erverv av egne aksjer</w:t>
      </w:r>
    </w:p>
    <w:p w14:paraId="01508F0E" w14:textId="4AABFDAD" w:rsidR="004B1A63" w:rsidRDefault="004B1A63">
      <w:pPr>
        <w:pStyle w:val="Liste"/>
      </w:pPr>
      <w:r>
        <w:t>Beslutning om å sette til side bestemmelser om aksjeeieres fortrinnsrett til å tegne nye aksjer ved kapitalforhøyelse (</w:t>
      </w:r>
      <w:r w:rsidR="00015951">
        <w:t>§ </w:t>
      </w:r>
      <w:r w:rsidR="00015951">
        <w:t>1</w:t>
      </w:r>
      <w:r>
        <w:t xml:space="preserve">0-5, jf. </w:t>
      </w:r>
      <w:r w:rsidR="00015951">
        <w:t>§ </w:t>
      </w:r>
      <w:r w:rsidR="00015951">
        <w:t>1</w:t>
      </w:r>
      <w:r>
        <w:t>0-4)</w:t>
      </w:r>
    </w:p>
    <w:p w14:paraId="0A8CAC02" w14:textId="00A368BF" w:rsidR="004B1A63" w:rsidRDefault="004B1A63">
      <w:pPr>
        <w:pStyle w:val="Liste"/>
      </w:pPr>
      <w:r>
        <w:t>Beslutning om å ta opp konvertibelt lån (</w:t>
      </w:r>
      <w:r w:rsidR="00015951">
        <w:t>§ </w:t>
      </w:r>
      <w:r w:rsidR="00015951">
        <w:t>1</w:t>
      </w:r>
      <w:r>
        <w:t>1-2)</w:t>
      </w:r>
    </w:p>
    <w:p w14:paraId="51AF8ABD" w14:textId="670A4B56" w:rsidR="004B1A63" w:rsidRDefault="004B1A63">
      <w:r>
        <w:t>I enkelte tilfeller er det satt strengere krav for at en beslutning kan treffes. Dette gjelder for vedtektsendringer som endrer en eller flere aksjeklassers rettsstilling, uten at andre aksjeklassers rettsstilling endres tilsvarende (</w:t>
      </w:r>
      <w:r w:rsidR="00015951">
        <w:t>§ </w:t>
      </w:r>
      <w:r w:rsidR="00015951">
        <w:t>5</w:t>
      </w:r>
      <w:r>
        <w:t xml:space="preserve">-18). Beslutning som forringer en hel aksjeklasses rett, må tiltres av eiere av to </w:t>
      </w:r>
      <w:r>
        <w:lastRenderedPageBreak/>
        <w:t>tredeler av den representerte kapital i den berørte aksjeklassen. Dessuten må minst halvdelen av stemmene fra de aksjeeiere som ikke eier aksjer i noen annen klasse, være avgitt for forslaget.</w:t>
      </w:r>
    </w:p>
    <w:p w14:paraId="566A5AF9" w14:textId="77777777" w:rsidR="004B1A63" w:rsidRDefault="004B1A63">
      <w:r>
        <w:t>I selskaper der aksjer kan skifte eier uten samtykke fra selskapet, kreves det tilslutning fra eiere av aksjer som utgjør mer enn ni tideler av den aksjekapitalen som er representert på generalforsamlingen, samt tilslutning fra minst to tredeler av de avgitte stemmene, dersom</w:t>
      </w:r>
    </w:p>
    <w:p w14:paraId="4930F09A" w14:textId="1709ACEC" w:rsidR="004B1A63" w:rsidRDefault="004B1A63">
      <w:pPr>
        <w:pStyle w:val="Liste"/>
      </w:pPr>
      <w:r>
        <w:t>det for allerede utgitte aksjer skal vedtektsfestes en forkjøpsrett,</w:t>
      </w:r>
    </w:p>
    <w:p w14:paraId="758B1E3B" w14:textId="2FFDBBC0" w:rsidR="004B1A63" w:rsidRDefault="004B1A63">
      <w:pPr>
        <w:pStyle w:val="Liste"/>
      </w:pPr>
      <w:r>
        <w:t>aksjer bare kan erverves med samtykke fra selskapet, eller</w:t>
      </w:r>
    </w:p>
    <w:p w14:paraId="7513B8EA" w14:textId="05A3E0D9" w:rsidR="004B1A63" w:rsidRDefault="004B1A63">
      <w:pPr>
        <w:pStyle w:val="Liste"/>
      </w:pPr>
      <w:r>
        <w:t>aksjeerverver eller aksjeeiere skal ha visse egenskaper (</w:t>
      </w:r>
      <w:r w:rsidR="00015951">
        <w:t>§ </w:t>
      </w:r>
      <w:r w:rsidR="00015951">
        <w:t>5</w:t>
      </w:r>
      <w:r>
        <w:t>-19).</w:t>
      </w:r>
    </w:p>
    <w:p w14:paraId="10A9D00A" w14:textId="77777777" w:rsidR="004B1A63" w:rsidRDefault="004B1A63">
      <w:r>
        <w:t>Hvis allerede utgitte aksjer skal være underlagt andre vilkår for omsetning, kreves ikke bare flertall som for vedtektsendring, men også tilslutning fra samtlige berørte aksjeeiere. Aksjeloven krever også at vedtak må fattes med enstemmig tilslutning fra samtlige aksjonærer hvis generalforsamlingen skal treffe beslutning om</w:t>
      </w:r>
    </w:p>
    <w:p w14:paraId="5D9EB9D1" w14:textId="7CEF3A1D" w:rsidR="004B1A63" w:rsidRDefault="004B1A63">
      <w:pPr>
        <w:pStyle w:val="Liste"/>
      </w:pPr>
      <w:r>
        <w:t>at aksjeeiernes forpliktelser i forhold til selskapet økes,</w:t>
      </w:r>
    </w:p>
    <w:p w14:paraId="2D4B6AE2" w14:textId="7DA5B7FE" w:rsidR="004B1A63" w:rsidRDefault="004B1A63">
      <w:pPr>
        <w:pStyle w:val="Liste"/>
      </w:pPr>
      <w:r>
        <w:t>at aksjer kan være gjenstand for tvungen innløsning, og</w:t>
      </w:r>
    </w:p>
    <w:p w14:paraId="41501F6B" w14:textId="17FED326" w:rsidR="004B1A63" w:rsidRDefault="004B1A63">
      <w:pPr>
        <w:pStyle w:val="Liste"/>
      </w:pPr>
      <w:r>
        <w:t>at forholdet mellom tidligere likestilte aksjer skal endres. Dette betyr at det kreves enstemmighet for et vedtak om at selskapets aksjer skal inndeles i forskjellige aksjeklasser.</w:t>
      </w:r>
    </w:p>
    <w:p w14:paraId="39D21201" w14:textId="77777777" w:rsidR="004B1A63" w:rsidRDefault="004B1A63">
      <w:r>
        <w:t>Kravet om enstemmighet henger sammen med utgangspunktet i aksjeloven om at hver aksje gir lik rett i selskapet og dermed at en aksjonær ikke må godta at aksjene hans får færre rettigheter enn andre aksjer i selskapet. Kravet gir den enkelte aksjonær mulighet til å forhindre et vedtak som flertallet eller alle andre aksjonærer går inn for.</w:t>
      </w:r>
    </w:p>
    <w:p w14:paraId="4B098ACD" w14:textId="10933FD6" w:rsidR="004B1A63" w:rsidRDefault="004B1A63">
      <w:r>
        <w:t xml:space="preserve">En aksjonærrettighet knyttet til erverv av aksjer og som har betydning for aksjeeierens innflytelse i selskapet, følger av aksjeloven </w:t>
      </w:r>
      <w:r w:rsidR="00015951">
        <w:t>§ </w:t>
      </w:r>
      <w:r w:rsidR="00015951">
        <w:t>4</w:t>
      </w:r>
      <w:r>
        <w:t>-26. En aksjeeier som eier 90 prosent av aksjene, kan tvangsinnløse aksjonærminoriteten i selskapet og på denne måten sikre seg full kontroll på alle beslutninger som treffes på selskapets generalforsamling. Motsetningsvis har minoritetsaksjonær rett til å kreve at majoritetsaksjonæren innløser minoritetsaksjonærens aksjer.</w:t>
      </w:r>
    </w:p>
    <w:p w14:paraId="481EBD87" w14:textId="77777777" w:rsidR="004B1A63" w:rsidRDefault="004B1A63">
      <w:r>
        <w:t>I NOU 2023: 28 side 75 gis denne skjematiske oversikten over eierskap, rettigheter og kontroll i et aksjeselskap:</w:t>
      </w:r>
    </w:p>
    <w:p w14:paraId="5E59C2D3" w14:textId="77777777" w:rsidR="004B1A63" w:rsidRDefault="004B1A63">
      <w:pPr>
        <w:pStyle w:val="tabell-tittel"/>
      </w:pPr>
      <w:r>
        <w:lastRenderedPageBreak/>
        <w:t>Eierskap, rettigheter og kontroll i et aksjeselskap</w:t>
      </w:r>
    </w:p>
    <w:p w14:paraId="3494103D" w14:textId="307D16D4" w:rsidR="004B1A63" w:rsidRDefault="004B4E04">
      <w:r>
        <w:rPr>
          <w:noProof/>
        </w:rPr>
        <w:drawing>
          <wp:inline distT="0" distB="0" distL="0" distR="0" wp14:anchorId="41909FA6" wp14:editId="49B499CD">
            <wp:extent cx="3657600" cy="6667500"/>
            <wp:effectExtent l="0" t="0" r="0" b="0"/>
            <wp:docPr id="27"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57600" cy="6667500"/>
                    </a:xfrm>
                    <a:prstGeom prst="rect">
                      <a:avLst/>
                    </a:prstGeom>
                    <a:noFill/>
                    <a:ln>
                      <a:noFill/>
                    </a:ln>
                  </pic:spPr>
                </pic:pic>
              </a:graphicData>
            </a:graphic>
          </wp:inline>
        </w:drawing>
      </w:r>
    </w:p>
    <w:p w14:paraId="2F3FCA1B" w14:textId="77777777" w:rsidR="004B1A63" w:rsidRDefault="004B1A63">
      <w:pPr>
        <w:pStyle w:val="Kilde"/>
      </w:pPr>
      <w:r>
        <w:t xml:space="preserve">Kilde: NOU 2023: 26 </w:t>
      </w:r>
      <w:r w:rsidRPr="00015951">
        <w:rPr>
          <w:rStyle w:val="kursiv"/>
        </w:rPr>
        <w:t>Investeringskontroll</w:t>
      </w:r>
    </w:p>
    <w:p w14:paraId="3D392E66" w14:textId="77777777" w:rsidR="004B1A63" w:rsidRDefault="004B1A63">
      <w:pPr>
        <w:pStyle w:val="Overskrift2"/>
        <w:rPr>
          <w:spacing w:val="-8"/>
        </w:rPr>
      </w:pPr>
      <w:r>
        <w:rPr>
          <w:spacing w:val="-8"/>
        </w:rPr>
        <w:t>Kilder for norske myndigheters kontroll med eierskap</w:t>
      </w:r>
    </w:p>
    <w:p w14:paraId="55B5C88F" w14:textId="1EB44F31" w:rsidR="004B1A63" w:rsidRDefault="004B1A63" w:rsidP="006F4031">
      <w:r>
        <w:t xml:space="preserve">I NOU 2023: 28 kapittel 4 (side 36) pekes det på at for å få oversikt over hvem som kontrollerer eller har innflytelse over et foretak, er det en forutsetning at man kan identifisere de personene som er reelle rettighetshavere og at det i praksis kan være komplisert å få oversikt over hvem disse er. Med reelle rettighetshavere bruker Investeringskontrollutvalget i denne sammenheng begrepet om den </w:t>
      </w:r>
      <w:r>
        <w:lastRenderedPageBreak/>
        <w:t>fysiske personen eller de fysiske personene, eller den staten, som i siste instans eier eller kontrollerer en juridisk person</w:t>
      </w:r>
      <w:r w:rsidR="00015951" w:rsidRPr="00015951">
        <w:rPr>
          <w:rStyle w:val="Fotnotereferanse"/>
        </w:rPr>
        <w:footnoteReference w:id="76"/>
      </w:r>
      <w:r>
        <w:t>, enhet eller annen sammenslutning.</w:t>
      </w:r>
    </w:p>
    <w:p w14:paraId="39DBF70F" w14:textId="77777777" w:rsidR="004B1A63" w:rsidRDefault="004B1A63">
      <w:r>
        <w:t>Investeringskontrollutvalget fremhever at lange eierkjeder kan være en utfordring i saker hvor eierskap i et foretak kan ha betydning for nasjonale sikkerhetsinteresser, og viser til Nasjonal sikkerhetsmyndighets rapport Risiko 2023 side 16 der det står:</w:t>
      </w:r>
    </w:p>
    <w:p w14:paraId="46A1BD83" w14:textId="2E697982" w:rsidR="004B1A63" w:rsidRPr="00015951" w:rsidRDefault="00015951">
      <w:pPr>
        <w:pStyle w:val="blokksit"/>
      </w:pPr>
      <w:r>
        <w:t>«</w:t>
      </w:r>
      <w:r w:rsidR="004B1A63" w:rsidRPr="00015951">
        <w:t>Norske virksomheter som forvalter viktige verdier eller har strategisk plassert eiendom bør være oppmerksomme på fordekte investeringer og oppkjøp fra andre land Norge ikke har et sikkerhetssamarbeid med. Slike økonomiske transaksjoner kan skje gjennom stråselskaper og komplekse selskapsstrukturer og kan dermed være vanskelig å avdekke</w:t>
      </w:r>
      <w:r>
        <w:t>»</w:t>
      </w:r>
      <w:r w:rsidR="004B1A63" w:rsidRPr="00015951">
        <w:t>.</w:t>
      </w:r>
    </w:p>
    <w:p w14:paraId="45F013DF" w14:textId="1E3DA870" w:rsidR="004B1A63" w:rsidRDefault="004B1A63">
      <w:r>
        <w:t>Skatteetaten, Kartverket og Brønnøysundregistrene fikk i september 2023 oppdrag av Finansdepartementet (FIN), NFD og Kommunal- og distriktsdepartementet (KDD) om å kartlegge offentlige myndigheters behov for opplysninger om direkte og indirekte eierforhold til aksjer og fast eiendom. Rapporten</w:t>
      </w:r>
      <w:r w:rsidR="00015951" w:rsidRPr="00015951">
        <w:rPr>
          <w:rStyle w:val="Fotnotereferanse"/>
        </w:rPr>
        <w:footnoteReference w:id="77"/>
      </w:r>
      <w:r>
        <w:t xml:space="preserve"> som ble lagt fram i januar 2024, viser at opplysninger om eierskap er viktig for å utøve en rekke samfunnsoppdrag – herunder samfunnsoppdrag knyttet til stats- og samfunnssikkerhet. Kartleggingen viser at det kan være krevende å skaffe oversikt over viktige opplysninger på en effektiv måte og at det ofte er nødvendig å innhente opplysninger fra flere ulike kilder. Kartleggingen peker på at eierstrukturer kan være komplekse og at det ofte er vanskelig å finne fram til hvem som egentlig eier et aksjeselskap fordi selskapet eies gjennom flere ledd. Kartleggingen viser også at det er utfordrende å identifisere utenlandske eiere.</w:t>
      </w:r>
    </w:p>
    <w:p w14:paraId="26371E37" w14:textId="77777777" w:rsidR="004B1A63" w:rsidRDefault="004B1A63">
      <w:r>
        <w:t>I punkt 7.1 i NOU 2023: 28 redegjør utvalget for kilder til informasjon om eierskap. Nedenfor følger en beskrivelse hentet fra denne redegjørelsen av ulike kilder som også vil være relevante når det gjelder eierskap i foretak som eier eller råder over kritisk digital kommunikasjonsinfrastruktur, eller har en viktig eller kritisk rolle for utbygging, drift og vedlikehold av slik infrastruktur. I tillegg gis en særlig beskrivelse av registeret over reelle rettighetshavere som ble etablert fra 1. oktober 2024.</w:t>
      </w:r>
    </w:p>
    <w:p w14:paraId="2B8EF368" w14:textId="77777777" w:rsidR="004B1A63" w:rsidRDefault="004B1A63">
      <w:r>
        <w:t>Fra NOU 2023: 28 punkt 7.1 siteres følgende:</w:t>
      </w:r>
    </w:p>
    <w:p w14:paraId="261CA4F0" w14:textId="5469AFB3" w:rsidR="004B1A63" w:rsidRPr="00015951" w:rsidRDefault="00015951">
      <w:pPr>
        <w:pStyle w:val="blokksit"/>
      </w:pPr>
      <w:r>
        <w:t>«</w:t>
      </w:r>
      <w:r w:rsidR="004B1A63" w:rsidRPr="00015951">
        <w:t>Skatteetatens oversikt over aksjeeiere</w:t>
      </w:r>
    </w:p>
    <w:p w14:paraId="33F061F5" w14:textId="77777777" w:rsidR="004B1A63" w:rsidRPr="00015951" w:rsidRDefault="004B1A63">
      <w:pPr>
        <w:pStyle w:val="blokksit"/>
      </w:pPr>
      <w:r w:rsidRPr="00015951">
        <w:t>Det såkalte aksjonærregisteret i Skatteetaten er utviklet for skatteformål og inneholder opplysninger om aksjeeiere i alle norske aksjeselskaper og utenlandske aksjeselskaper registrert på Oslo Børs.</w:t>
      </w:r>
    </w:p>
    <w:p w14:paraId="27EAB485" w14:textId="77777777" w:rsidR="004B1A63" w:rsidRPr="00015951" w:rsidRDefault="004B1A63">
      <w:pPr>
        <w:pStyle w:val="blokksit"/>
      </w:pPr>
      <w:r w:rsidRPr="00015951">
        <w:t xml:space="preserve">Alle aksjeselskaper og allmennaksjeselskaper er forpliktet til å sende inn aksjonærregisteroppgave med informasjon om alle aksjeeiere per 31. desember, senest 31. januar påfølgende år. Registeret oppdateres ikke løpende gjennom året. Registeret skal gi oversikt over innskudd, gevinster, </w:t>
      </w:r>
      <w:r w:rsidRPr="00015951">
        <w:lastRenderedPageBreak/>
        <w:t>overdragelser osv. Registeret gjelder formelle aksjeeiere (fysisk eller juridisk person som direkte eier). Aksjonærregisteret gir dermed ikke nødvendigvis informasjon om hvem som er reell rettighetshaver.</w:t>
      </w:r>
    </w:p>
    <w:p w14:paraId="721C14DA" w14:textId="77777777" w:rsidR="004B1A63" w:rsidRPr="00015951" w:rsidRDefault="004B1A63">
      <w:pPr>
        <w:pStyle w:val="blokksit"/>
      </w:pPr>
      <w:r w:rsidRPr="00015951">
        <w:t>Aksjeeierregisteret (VPS)</w:t>
      </w:r>
    </w:p>
    <w:p w14:paraId="3A58D46D" w14:textId="77777777" w:rsidR="004B1A63" w:rsidRPr="00015951" w:rsidRDefault="004B1A63">
      <w:pPr>
        <w:pStyle w:val="blokksit"/>
      </w:pPr>
      <w:r w:rsidRPr="00015951">
        <w:t>Alle allmennaksjeselskaper skal registreres i en verdipapirsentral. I Norge er det kun Verdipapirsentralen ASA (Euronext VPS). Aksjeselskaper med mange eiere kan også velge å registrere aksjene i Euronext VPS.</w:t>
      </w:r>
    </w:p>
    <w:p w14:paraId="7CDA1C5B" w14:textId="77777777" w:rsidR="004B1A63" w:rsidRPr="00015951" w:rsidRDefault="004B1A63">
      <w:pPr>
        <w:pStyle w:val="blokksit"/>
      </w:pPr>
      <w:r w:rsidRPr="00015951">
        <w:t>Registrering i VPS skal dokumentere eierskap, og gir selskapet oversikt over aksjeeiernes kontaktinformasjon. Hvis selskapet er registrert i norsk verdipapirsentral, skal registrering også gi rettsvern (sikre rettigheten mot tredjeparter). VPS gjelder formelle aksjeeiere (fysisk eller juridisk person som direkte eier).</w:t>
      </w:r>
    </w:p>
    <w:p w14:paraId="567EC931" w14:textId="77777777" w:rsidR="004B1A63" w:rsidRPr="00015951" w:rsidRDefault="004B1A63">
      <w:pPr>
        <w:pStyle w:val="blokksit"/>
      </w:pPr>
      <w:r w:rsidRPr="00015951">
        <w:t>Utenlandske aksjeeiere kan velge å registrere eierskapet gjennom en forvalter. Det vil da være forvalterens navn som står oppført som eier av verdipapiret. Forvalter kan motta meldinger, bistå med kommunikasjon og bistå med informasjon om rapporteringsforpliktelser e.l. Forvalter er ofte en bank eller en annen finansinstitusjon som er godkjent av Finanstilsynet. Forvalter har ikke eierskap til aksjen. Forvalter er forpliktet til å oppgi informasjon om reell eier på forespørsel, og om nødvendig innhente opplysninger fra andre forvaltere i kjeden.</w:t>
      </w:r>
    </w:p>
    <w:p w14:paraId="58F939A3" w14:textId="77777777" w:rsidR="004B1A63" w:rsidRPr="00015951" w:rsidRDefault="004B1A63">
      <w:pPr>
        <w:pStyle w:val="blokksit"/>
      </w:pPr>
      <w:r w:rsidRPr="00015951">
        <w:t>Aksjeeierbok</w:t>
      </w:r>
    </w:p>
    <w:p w14:paraId="6C24FE13" w14:textId="4F270F1A" w:rsidR="004B1A63" w:rsidRPr="00015951" w:rsidRDefault="004B1A63">
      <w:pPr>
        <w:pStyle w:val="blokksit"/>
      </w:pPr>
      <w:r w:rsidRPr="00015951">
        <w:t xml:space="preserve">Ifølge aksjeloven er alle norske aksjeselskaper forpliktet til å holde en til enhver tid oppdatert aksjeeierbok, hvis de ikke vedtektsfester å ha aksjeeierregister. Denne oppbevares hos selskapet selv, regnskapsfører eller annen leverandør. Aksjeeierboken dokumenterer aksjeeiere (fysisk eller juridisk person som direkte eier). Registrering i aksjeeierboken gir rettigheter </w:t>
      </w:r>
      <w:r w:rsidR="00015951">
        <w:t>«</w:t>
      </w:r>
      <w:r w:rsidRPr="00015951">
        <w:t>som tilkommer en aksjeeier</w:t>
      </w:r>
      <w:r w:rsidR="00015951">
        <w:t>»</w:t>
      </w:r>
      <w:r w:rsidRPr="00015951">
        <w:t>, men gir ikke rettsvern. Disse kan også oppnås ved at eierskapet er meldt og godtgjort, ikke avhengig av innføring i aksjeeierboken.</w:t>
      </w:r>
    </w:p>
    <w:p w14:paraId="62341344" w14:textId="77777777" w:rsidR="004B1A63" w:rsidRPr="00015951" w:rsidRDefault="004B1A63">
      <w:pPr>
        <w:pStyle w:val="blokksit"/>
      </w:pPr>
      <w:r w:rsidRPr="00015951">
        <w:t>Foretaksregisteret</w:t>
      </w:r>
    </w:p>
    <w:p w14:paraId="02D3F4FE" w14:textId="77777777" w:rsidR="004B1A63" w:rsidRPr="00015951" w:rsidRDefault="004B1A63">
      <w:pPr>
        <w:pStyle w:val="blokksit"/>
      </w:pPr>
      <w:r w:rsidRPr="00015951">
        <w:t>Brønnøysundregistrene utvikler og driver flere registre, herunder Foretaksregisteret. Foretak som driver næringsvirksomhet i Norge, plikter å oppdatere informasjonen i Foretaksregisteret ved endringer. Registeret skal gi oversikt over hendelser i aksjeselskaper og allmennaksjeselskaper m.fl., som kapitalendringer, vedtekter, styreendringer og lignende.</w:t>
      </w:r>
    </w:p>
    <w:p w14:paraId="186A6D39" w14:textId="256B6CFE" w:rsidR="004B1A63" w:rsidRPr="00015951" w:rsidRDefault="004B1A63">
      <w:pPr>
        <w:pStyle w:val="blokksit"/>
      </w:pPr>
      <w:r w:rsidRPr="00015951">
        <w:t xml:space="preserve">Foretaksregisteret inneholder informasjon om hvem som stiftet aksjeselskapet, dvs. aksjeeiere på opprettelsestidspunktet, foretaksregisterloven </w:t>
      </w:r>
      <w:r w:rsidR="00015951">
        <w:t>§ </w:t>
      </w:r>
      <w:r w:rsidR="00015951" w:rsidRPr="00015951">
        <w:t>4</w:t>
      </w:r>
      <w:r w:rsidRPr="00015951">
        <w:t xml:space="preserve">-4 jf. aksjeloven </w:t>
      </w:r>
      <w:r w:rsidR="00015951">
        <w:t>§ </w:t>
      </w:r>
      <w:r w:rsidR="00015951" w:rsidRPr="00015951">
        <w:t>2</w:t>
      </w:r>
      <w:r w:rsidRPr="00015951">
        <w:t>-3. Foretaksregisteret inneholder også informasjon om deltakerne i ansvarlige selskaper. Foretaksregisteret inneholder ikke opplysninger om eiere utover dette.</w:t>
      </w:r>
    </w:p>
    <w:p w14:paraId="45ECD8FC" w14:textId="77777777" w:rsidR="004B1A63" w:rsidRPr="00015951" w:rsidRDefault="004B1A63">
      <w:pPr>
        <w:pStyle w:val="blokksit"/>
      </w:pPr>
      <w:r w:rsidRPr="00015951">
        <w:t>Foretaksregisteret inneholder blant annet følgende informasjon: Selskapets vedtekter, styremedlemmer og eventuelt varamedlemmer, og hvem som er styrets leder, daglig leder, hvem som representerer selskapet utad og tegner dets firma. Foretaksregisteret viser om selskapet er unntatt fra revisjonsplikt.</w:t>
      </w:r>
    </w:p>
    <w:p w14:paraId="2A4D0BA6" w14:textId="77777777" w:rsidR="004B1A63" w:rsidRPr="00015951" w:rsidRDefault="004B1A63">
      <w:pPr>
        <w:pStyle w:val="blokksit"/>
      </w:pPr>
      <w:r w:rsidRPr="00015951">
        <w:t>Grunnboken (Statens kartverk)</w:t>
      </w:r>
    </w:p>
    <w:p w14:paraId="68C49972" w14:textId="77777777" w:rsidR="004B1A63" w:rsidRPr="00015951" w:rsidRDefault="004B1A63">
      <w:pPr>
        <w:pStyle w:val="blokksit"/>
      </w:pPr>
      <w:r w:rsidRPr="00015951">
        <w:t xml:space="preserve">Grunnboken er et offentlig register som viser tinglyste rettigheter og forpliktelser i eiendom. Grunnboken viser hvem som er tinglyst eier av eiendommen. Den viser også eventuelle pengeheftelser, </w:t>
      </w:r>
      <w:r w:rsidRPr="00015951">
        <w:lastRenderedPageBreak/>
        <w:t>erklæringer og avtaler, eller om andre eiendommer eller personer har tinglyste rettigheter på eiendommen.</w:t>
      </w:r>
    </w:p>
    <w:p w14:paraId="593FA8D1" w14:textId="18B532A9" w:rsidR="004B1A63" w:rsidRPr="00015951" w:rsidRDefault="004B1A63">
      <w:pPr>
        <w:pStyle w:val="blokksit"/>
      </w:pPr>
      <w:r w:rsidRPr="00015951">
        <w:t>Statens kartverk fører også det offisielle eiendomsregisteret (matrikkelen). Matrikkelen omfatter ca. 3,3 millioner eiendommer, 4,3 millioner bygninger, 2,6 millioner boliger og 2,5 millioner veiadresser. Matrikkelen inneholder registrert eiers eller festers navn eller organisasjonsnummer. Matrikkelen inneholder også opplysninger om eiendomsgrenser, adresser, bygninger, boliger og gårds- og bruksnummer. Informasjonen omfatter også historiske opplysninger fra grunnboken.</w:t>
      </w:r>
      <w:r w:rsidR="00015951">
        <w:t>»</w:t>
      </w:r>
    </w:p>
    <w:p w14:paraId="7A3C442C" w14:textId="77777777" w:rsidR="004B1A63" w:rsidRDefault="004B1A63">
      <w:r w:rsidRPr="00015951">
        <w:rPr>
          <w:rStyle w:val="kursiv"/>
        </w:rPr>
        <w:t>Lov om register over reelle rettighetshavere</w:t>
      </w:r>
      <w:r>
        <w:t xml:space="preserve"> ble vedtatt i 2019 og formålet med loven er å sikre økt åpenhet om norske virksomheters eierstrukturer og gi bedre oversikt over utenlandske eiere av norske selskaper.</w:t>
      </w:r>
    </w:p>
    <w:p w14:paraId="75103B8D" w14:textId="77777777" w:rsidR="004B1A63" w:rsidRDefault="004B1A63">
      <w:r>
        <w:t>Reelle rettighetshavere er de fysiske personene som i siste instans eier eller kontrollerer en juridisk person, arrangement, enhet eller annen sammenslutning. En reell rettighetshaver er ifølge dette regelverket en fysisk person som gjennom sin eierandel eller stemmeandel i virksomheten, kontrollerer virksomheten. Andelen må overstige 25 prosent. Også en fysisk person som har rett til å utnevne eller avsette minimum 50 prosent av medlemmene i virksomhetens styrende organer, anses å være en reell rettighetshaver. Det skal også innhentes og registreres opplysninger om personer som på annen måte utøver kontroll over virksomheten. Regelverket vil bidra til å motvirke misbruk av de aktuelle virksomhetene til hvitvasking, terrorfinansiering og økonomisk kriminalitet.</w:t>
      </w:r>
    </w:p>
    <w:p w14:paraId="0AC97BE6" w14:textId="77777777" w:rsidR="004B1A63" w:rsidRDefault="004B1A63">
      <w:r>
        <w:t>Registeret skal inneholde opplysninger om reelle rettighetshavere samt hvilken måte de kontrollerer den registreringspliktige på, det vil si om det er gjennom eierskap, stemmerett eller annen måte. Det betyr at hvis det er relevant, må registreringspliktige innhente opplysninger om eventuelle formelle eller uformelle avtaler som regulerer utøvelsen av eierrettigheter og stemmerettigheter i den registreringspliktige virksomheten. Registreringen skal angi om det er direkte eller indirekte eierskap, altså om det foreligger mellomliggende norske eller utenlandske foretak. Eies eierandelen gjennom et annet foretak, skal navn og organisasjonsnummer på mellomliggende foretak registreres. På denne måten gir registeret bedre oversikt over selskapsstrukturen.</w:t>
      </w:r>
    </w:p>
    <w:p w14:paraId="6EA2DAC7" w14:textId="1A8BE89C" w:rsidR="004B1A63" w:rsidRDefault="004B1A63">
      <w:r>
        <w:t>Registreringspliktige virksomheter skal registrere reelle rettighetshavere. Med registreringspliktige menes juridiske personer, enheter og andre sammenslutninger og forvaltere av utenlandske truster og lignende juridiske arrangementer som driver virksomhet i Norge</w:t>
      </w:r>
      <w:r w:rsidR="00015951" w:rsidRPr="00015951">
        <w:rPr>
          <w:rStyle w:val="Fotnotereferanse"/>
        </w:rPr>
        <w:footnoteReference w:id="78"/>
      </w:r>
      <w:r>
        <w:t>. Det er altså foretaket selv som skal identifisere og registrere reelle rettighetshavere, og både navn, fødselsnummer/D-nummer, bostedsland og statsborgerskap skal registreres. Har ikke rettighetshaveren fødselsnummer eller D-nummer, skal fødselsdato registreres.</w:t>
      </w:r>
    </w:p>
    <w:p w14:paraId="78AFF548" w14:textId="77777777" w:rsidR="004B1A63" w:rsidRDefault="004B1A63">
      <w:r>
        <w:t>Registreringspliktig skal dokumentere grunnlaget for identifisering av den reelle rettighetshaveren. Mener den registreringspliktige at det ikke finnes noen reell rettighetshaver, skal det også begrunnes og dokumenteres.</w:t>
      </w:r>
    </w:p>
    <w:p w14:paraId="1161C811" w14:textId="254C3794" w:rsidR="004B1A63" w:rsidRDefault="004B1A63">
      <w:r>
        <w:lastRenderedPageBreak/>
        <w:t>Registeret – som driftes av Brønnøysundregistrene</w:t>
      </w:r>
      <w:r w:rsidR="00015951" w:rsidRPr="00015951">
        <w:rPr>
          <w:rStyle w:val="Fotnotereferanse"/>
        </w:rPr>
        <w:footnoteReference w:id="79"/>
      </w:r>
      <w:r>
        <w:t xml:space="preserve"> – åpnet mulighet til å starte registrering 1. oktober 2024. For at virksomhetene skal få tid til å innrette seg, er det en innfasingsperiode fram til 31. juli 2025 for virksomhetene til å gjennomføre registreringen.</w:t>
      </w:r>
    </w:p>
    <w:p w14:paraId="6F44DFDB" w14:textId="42961266" w:rsidR="004B1A63" w:rsidRDefault="004B1A63">
      <w:r>
        <w:t xml:space="preserve">Regelverket legger til rette for et register som gir visse offentlige myndigheter tilgang til opplysninger om hvem som i realiteten har kontroll over foretak. Informasjon fra registeret er tilgjengelig for følgende myndigheter, jf. forskriften </w:t>
      </w:r>
      <w:r w:rsidR="00015951">
        <w:t>§ </w:t>
      </w:r>
      <w:r w:rsidR="00015951">
        <w:t>3</w:t>
      </w:r>
      <w:r>
        <w:t>-11:</w:t>
      </w:r>
    </w:p>
    <w:p w14:paraId="404CD0CA" w14:textId="541DDA64" w:rsidR="004B1A63" w:rsidRDefault="004B1A63">
      <w:pPr>
        <w:pStyle w:val="alfaliste"/>
      </w:pPr>
      <w:r>
        <w:t>Politi- og påtalemyndighet</w:t>
      </w:r>
    </w:p>
    <w:p w14:paraId="5DF2B584" w14:textId="18810E11" w:rsidR="004B1A63" w:rsidRDefault="004B1A63">
      <w:pPr>
        <w:pStyle w:val="alfaliste"/>
      </w:pPr>
      <w:r>
        <w:t xml:space="preserve">Enheten for finansiell etterretning ansvarlig for å motta opplysninger om mistenkelige forhold etter hvitvaskingsloven </w:t>
      </w:r>
      <w:r w:rsidR="00015951">
        <w:t>§ </w:t>
      </w:r>
      <w:r w:rsidR="00015951">
        <w:t>2</w:t>
      </w:r>
      <w:r>
        <w:t>6</w:t>
      </w:r>
    </w:p>
    <w:p w14:paraId="432A6484" w14:textId="1B8864F1" w:rsidR="004B1A63" w:rsidRDefault="004B1A63">
      <w:pPr>
        <w:pStyle w:val="alfaliste"/>
      </w:pPr>
      <w:r>
        <w:t>Skattemyndigheter</w:t>
      </w:r>
    </w:p>
    <w:p w14:paraId="4C5EF471" w14:textId="26E578C7" w:rsidR="004B1A63" w:rsidRDefault="004B1A63">
      <w:pPr>
        <w:pStyle w:val="alfaliste"/>
      </w:pPr>
      <w:r>
        <w:t>Tilsynsmyndigheter for rapporteringspliktige etter hvitvaskingsregelverket</w:t>
      </w:r>
    </w:p>
    <w:p w14:paraId="71D480BE" w14:textId="497C0DEE" w:rsidR="004B1A63" w:rsidRDefault="004B1A63">
      <w:pPr>
        <w:pStyle w:val="alfaliste"/>
      </w:pPr>
      <w:r>
        <w:t>Andre myndigheter med ansvar for å etterforske og påtale hvitvasking, primærforbrytelser og terrorfinansiering</w:t>
      </w:r>
    </w:p>
    <w:p w14:paraId="005BF63C" w14:textId="2B779753" w:rsidR="004B1A63" w:rsidRDefault="004B1A63">
      <w:pPr>
        <w:pStyle w:val="alfaliste"/>
      </w:pPr>
      <w:r>
        <w:t>Andre myndigheter med ansvar for sporing, båndlegging og inndragning av utbytte</w:t>
      </w:r>
    </w:p>
    <w:p w14:paraId="6301FCFD" w14:textId="4828DAFD" w:rsidR="004B1A63" w:rsidRDefault="004B1A63">
      <w:pPr>
        <w:pStyle w:val="alfaliste"/>
      </w:pPr>
      <w:r>
        <w:t>Sikkerhetsmyndigheten</w:t>
      </w:r>
    </w:p>
    <w:p w14:paraId="5E5361A8" w14:textId="7D972CA6" w:rsidR="004B1A63" w:rsidRDefault="004B1A63">
      <w:pPr>
        <w:pStyle w:val="alfaliste"/>
      </w:pPr>
      <w:r>
        <w:t>Tilsynsmyndighet for stiftelser</w:t>
      </w:r>
    </w:p>
    <w:p w14:paraId="3FD659E6" w14:textId="7EBA092C" w:rsidR="004B1A63" w:rsidRDefault="004B1A63">
      <w:r>
        <w:t xml:space="preserve">Forskriften gir altså </w:t>
      </w:r>
      <w:r w:rsidR="00015951">
        <w:t>«</w:t>
      </w:r>
      <w:r>
        <w:t>sikkerhetsmyndigheten</w:t>
      </w:r>
      <w:r w:rsidR="00015951">
        <w:t>»</w:t>
      </w:r>
      <w:r>
        <w:t xml:space="preserve"> tilgang til opplysninger. Et departement er ansvarlige for forebyggende sikkerhetsarbeid innenfor sine ansvarsområder. Begrepet </w:t>
      </w:r>
      <w:r w:rsidR="00015951">
        <w:t>«</w:t>
      </w:r>
      <w:r>
        <w:t>sikkerhetsmyndigheten</w:t>
      </w:r>
      <w:r w:rsidR="00015951">
        <w:t>»</w:t>
      </w:r>
      <w:r>
        <w:t xml:space="preserve"> er i forskriften tatt inn i entallsform – i motsetning til </w:t>
      </w:r>
      <w:r w:rsidR="00015951">
        <w:t>«</w:t>
      </w:r>
      <w:r>
        <w:t>skattemyndigheter</w:t>
      </w:r>
      <w:r w:rsidR="00015951">
        <w:t>»</w:t>
      </w:r>
      <w:r>
        <w:t xml:space="preserve"> – noe som kan tilsi at </w:t>
      </w:r>
      <w:r w:rsidR="00015951">
        <w:t>«</w:t>
      </w:r>
      <w:r>
        <w:t>sikkerhetsmyndigheten</w:t>
      </w:r>
      <w:r w:rsidR="00015951">
        <w:t>»</w:t>
      </w:r>
      <w:r>
        <w:t xml:space="preserve"> kun omfatter NSM. Ordlyden i forskriften skaper usikkerhet om for eksempel et departement som er sektormyndighet etter sikkerhetsloven, anses som </w:t>
      </w:r>
      <w:r w:rsidR="00015951">
        <w:t>«</w:t>
      </w:r>
      <w:r>
        <w:t>sikkerhetsmyndigheten</w:t>
      </w:r>
      <w:r w:rsidR="00015951">
        <w:t>»</w:t>
      </w:r>
      <w:r>
        <w:t xml:space="preserve"> i denne sammenhengen og kan innhente opplysninger fra registeret. På denne bakgrunn har utvalget følgende anbefaling:</w:t>
      </w:r>
    </w:p>
    <w:p w14:paraId="1D43ADAA" w14:textId="5EB32191" w:rsidR="004B1A63" w:rsidRPr="00015951" w:rsidRDefault="00015951">
      <w:pPr>
        <w:pStyle w:val="blokksit"/>
      </w:pPr>
      <w:r w:rsidRPr="00015951">
        <w:rPr>
          <w:rStyle w:val="halvfet"/>
        </w:rPr>
        <w:t>«</w:t>
      </w:r>
      <w:r w:rsidR="004B1A63" w:rsidRPr="00015951">
        <w:rPr>
          <w:rStyle w:val="halvfet"/>
        </w:rPr>
        <w:t>Utvalget mener at Finansdepartementet må klargjøre hvem som etter dagens regelverk vil kunne få adgang til registeret over reelle rettighetshavere, knyttet til oppgaver etter sikkerhetsloven. Hvis dagens regelverk ikke åpner for at et departement som har sektoransvar etter sikkerhetsloven får tilgang til opplysninger, bør forskriften til lov om register over reelle rettighetshavere endres, slik at alle myndigheter som har sektoransvar etter sikkerhetsloven, gis tilgang til opplysninger fra registeret.</w:t>
      </w:r>
      <w:r w:rsidRPr="00015951">
        <w:rPr>
          <w:rStyle w:val="halvfet"/>
        </w:rPr>
        <w:t>»</w:t>
      </w:r>
    </w:p>
    <w:p w14:paraId="486A15D2" w14:textId="77777777" w:rsidR="004B1A63" w:rsidRDefault="004B1A63">
      <w:pPr>
        <w:pStyle w:val="Overskrift2"/>
      </w:pPr>
      <w:r>
        <w:t>Hva er spesielt med utenlandsk eierskap?</w:t>
      </w:r>
    </w:p>
    <w:p w14:paraId="28D3E292" w14:textId="77777777" w:rsidR="004B1A63" w:rsidRDefault="004B1A63">
      <w:pPr>
        <w:pStyle w:val="Overskrift3"/>
        <w:spacing w:before="0"/>
      </w:pPr>
      <w:r>
        <w:t>Innledning</w:t>
      </w:r>
    </w:p>
    <w:p w14:paraId="63A7C73D" w14:textId="77777777" w:rsidR="004B1A63" w:rsidRDefault="004B1A63">
      <w:r>
        <w:t xml:space="preserve">Utvalget har tidligere, særlig i kapittel 4, drøftet hvordan utenlandsk eierskap kan svekke nasjonal kontroll. Formålet med det utenlandske eierskapet kan i ekstreme tilfeller være sikkerhetstruende (jf. punkt 4.2.3). Imidlertid har utvalget også påpekt at de aller fleste utenlandske eiere ikke vil ha slike hensikter, men ha normale forretningsmotiver. Utvalget tar nå sistnevnte utgangspunkt og prøver å se nærmere på hva som likevel kan gi opphav til bekymring ved utenlandsk eierskap. Følgelig drøftes altså hva som synes å være kildene til at utenlandsk eierskap kan svekke nasjonal styringsevne selv </w:t>
      </w:r>
      <w:r>
        <w:lastRenderedPageBreak/>
        <w:t>om den utenlandske aktørens motiv er legitimt. Det bidrar også til at man får fram hvilke kilder som kan gjøre norske eiere utsatt for utilbørlig press fra en utenlandsk statsledelse.</w:t>
      </w:r>
    </w:p>
    <w:p w14:paraId="369364F3" w14:textId="77777777" w:rsidR="004B1A63" w:rsidRDefault="004B1A63">
      <w:r>
        <w:t>Diskusjonen her komplementerer den som er skrevet i 4.3 om økonomisk aktivitet som kan ha kontrollsvekkende effekt. Der er fokuset primært på organisatoriske forhold og eierskapsformer, mens her ser utvalget kun på eierskapets nasjonale tilknytning. Nærmere bestemt går man inn på de markedsmessige, økonomiske, juridiske og sikkerhetsmessige sidene ved utenlandsk eierskap i aksjeselskaper som kontrollerer kritisk digital kommunikasjonsinfrastruktur.</w:t>
      </w:r>
    </w:p>
    <w:p w14:paraId="4F94866F" w14:textId="77777777" w:rsidR="004B1A63" w:rsidRDefault="004B1A63">
      <w:r>
        <w:t>I de fleste tilfeller skulle det ikke være noen forskjell på nasjonalt eller utenlandsk eierskap så lenge alt annet enn nasjonaliteten til eierne er likt. Dersom eierne er frie og har samme formål – for eksempel profittmaksimering – og samme perspektiv, skulle de typisk treffe tilsvarende avgjørelser, for eksempel hva angår å opprettholde selskapets leveranseforpliktelser overfor sine kunder og gjøre investeringer i utvikling av selskapets tjenester for framtiden.</w:t>
      </w:r>
    </w:p>
    <w:p w14:paraId="0FF62718" w14:textId="77777777" w:rsidR="004B1A63" w:rsidRDefault="004B1A63">
      <w:r>
        <w:t>Åpenbart kan offentlige, utenlandske eiere (altså ikke private) ha andre formål enn profittmaksimering. I tillegg kan de være del av eller kontrollert av den utenlandske statsledelsen. Selv om formålet opprinnelig skulle vært profittmaksimering, kan statsledelsen formodentlig selv endre sitt formål. Således kan den utenlandske statsledelsen potensielt bruke sitt eierskap til å fremme sin egen nasjon sine interesser i strid med høyest mulig avkastning for det aktuelle selskapet og i strid med norske sikkerhetsinteresser.</w:t>
      </w:r>
    </w:p>
    <w:p w14:paraId="7146843B" w14:textId="77777777" w:rsidR="004B1A63" w:rsidRDefault="004B1A63">
      <w:r>
        <w:t>Det kan også forekomme politiske systemer som gjør at avstanden mellom myndigheter og private selskaper fra samme land blir kort og at skillet mellom offentlige og private selskaper blir uklart. Det vil si at myndighetenes innflytelse over private selskaper er betydelig og målsettingen sammenfaller mer med myndighetenes mål. Et eksempel på dette er følgende beskrivelse av det politiske systemet i Russland fra Bergen Engines-vedtaket (Kongelig resolusjon, 21/1898, s. 3):</w:t>
      </w:r>
    </w:p>
    <w:p w14:paraId="394BB455" w14:textId="563EA8A7" w:rsidR="004B1A63" w:rsidRPr="00015951" w:rsidRDefault="00015951">
      <w:pPr>
        <w:pStyle w:val="blokksit"/>
      </w:pPr>
      <w:r>
        <w:t>«</w:t>
      </w:r>
      <w:r w:rsidR="004B1A63" w:rsidRPr="00015951">
        <w:t>Russland har et politisk system med en tett sammenblanding mellom politikk og økonomi, mellom statlig og privat virksomhet, og mellom sivile og militære sfærer. De russiske etterretnings- og sikkerhetstjenestene griper dypt inn i alle samfunnssektorer. Det er i liten grad formålstjenlig å skille mellom statlige og private interesser og aktiviteter i Russland når det gjelder vurderinger som har betydning for Norges nasjonale sikkerhet. Russiske myndigheter bruker en stor bredde av virkemidler for å understøtte statlige målsettinger, inkludert sivile selskap og andre næringslivsaktører.</w:t>
      </w:r>
      <w:r>
        <w:t>»</w:t>
      </w:r>
    </w:p>
    <w:p w14:paraId="2852061C" w14:textId="77777777" w:rsidR="004B1A63" w:rsidRDefault="004B1A63">
      <w:r>
        <w:t>Det er ganske åpenbart at selskaper som den utenlandske statsledelsen kontrollerer enten direkte gjennom sitt eierskap eller grunnet uvanlig tette forbindelse som nevnt foran. Her velger utvalget derfor å fokusere på private utenlandske selskaper med en armlengde avstand til sin statsledelse, altså med hva man i Norge ville tenke på som en normal uavhengighet fra statsledelsen.</w:t>
      </w:r>
    </w:p>
    <w:p w14:paraId="6DC122DB" w14:textId="2ECEA175" w:rsidR="004B1A63" w:rsidRDefault="004B1A63">
      <w:r>
        <w:t xml:space="preserve">I drøftingen forutsettes så langt mulig at alt annet er likt utenom at nasjonaliteten til eierskapet er utenlandsk istedenfor norsk. Med alt annet likt menes, for eksempel, at eierne har identisk kompetanse, identiske eierandeler i det aktuelle og andre, relaterte selskaper, og at ikke slike forskjeller gir </w:t>
      </w:r>
      <w:r>
        <w:lastRenderedPageBreak/>
        <w:t>insentiver til å opptre forskjellig.</w:t>
      </w:r>
      <w:r w:rsidR="00015951" w:rsidRPr="00015951">
        <w:rPr>
          <w:rStyle w:val="Fotnotereferanse"/>
        </w:rPr>
        <w:footnoteReference w:id="80"/>
      </w:r>
      <w:r>
        <w:t xml:space="preserve"> Dette er selvsagt stilisert, men vil bidra til å holde fokuset på nasjonalitetsdimensjonen (andelen utenlandsk eierskap). Det legges til grunn at både utenlandske og norske private eiere er profittmaksimerende, altså at de søker å maksimere avkastningen på sin investering.</w:t>
      </w:r>
      <w:r w:rsidR="00015951" w:rsidRPr="00015951">
        <w:rPr>
          <w:rStyle w:val="Fotnotereferanse"/>
        </w:rPr>
        <w:footnoteReference w:id="81"/>
      </w:r>
      <w:r>
        <w:t xml:space="preserve"> Det forutsettes videre at eierne er uavhengige av staten i den forstand at staten ikke er medeier i selskapet eller har særlige bindinger til selskapet eller dets eiere. Utvalget søker altså å isolere betydningen av at det kun er eierens nasjonalitet som er forskjellig i drøftingen. Dette gjøres for å tydeligere belyse årsakene til at utenlandsk privat eierskap påvirker nasjonal kontroll.</w:t>
      </w:r>
    </w:p>
    <w:p w14:paraId="25631EBA" w14:textId="77777777" w:rsidR="004B1A63" w:rsidRDefault="004B1A63">
      <w:r>
        <w:t>Det kan være flere årsaker til at utenlandsk privat eierskap, selv med slik armlengde avstand, gir den utenlandske statsledelsen mer innflytelse enn om samme eierandel var eiet av norske private, noe som medfører økt risiko og redusert norsk nasjonal kontroll. Eksempler på slike årsaker kan være at utenlandske eiere er:</w:t>
      </w:r>
    </w:p>
    <w:p w14:paraId="669E8016" w14:textId="23898ACE" w:rsidR="004B1A63" w:rsidRDefault="004B1A63">
      <w:pPr>
        <w:pStyle w:val="Listebombe"/>
      </w:pPr>
      <w:r>
        <w:t>lovpålagt å samarbeide</w:t>
      </w:r>
    </w:p>
    <w:p w14:paraId="69A4C6DF" w14:textId="5B13403D" w:rsidR="004B1A63" w:rsidRDefault="004B1A63">
      <w:pPr>
        <w:pStyle w:val="Listebombe"/>
      </w:pPr>
      <w:r>
        <w:t>mer avhengige av sin nasjon</w:t>
      </w:r>
    </w:p>
    <w:p w14:paraId="716E5504" w14:textId="31B8EE08" w:rsidR="004B1A63" w:rsidRDefault="004B1A63">
      <w:pPr>
        <w:pStyle w:val="Listebombe"/>
      </w:pPr>
      <w:r>
        <w:t>lojale mot sin nasjon</w:t>
      </w:r>
    </w:p>
    <w:p w14:paraId="30C06BE5" w14:textId="77777777" w:rsidR="004B1A63" w:rsidRDefault="004B1A63">
      <w:pPr>
        <w:pStyle w:val="Overskrift3"/>
      </w:pPr>
      <w:r>
        <w:t>Lovpålagt innflytelse</w:t>
      </w:r>
    </w:p>
    <w:p w14:paraId="60F80A54" w14:textId="77777777" w:rsidR="004B1A63" w:rsidRDefault="004B1A63">
      <w:r>
        <w:t>Den utenlandske statsledelsen kan ha større innflytelse og kontroll dersom eieren er et privat selskap eller personlige eiere fra den utenlandske statsledelsens land og derfor underlagt den utenlandske statsledelsens jurisdiksjon. I noen tilfeller har den utenlandske statsledelsen eksplisitt innflytelse over egne statsborgere ved lov, jf. Waage et al. 2021 (FFI-rapport 20/03149), s. 63:</w:t>
      </w:r>
    </w:p>
    <w:p w14:paraId="26B12610" w14:textId="3BC21629" w:rsidR="004B1A63" w:rsidRPr="00015951" w:rsidRDefault="00015951">
      <w:pPr>
        <w:pStyle w:val="blokksit"/>
      </w:pPr>
      <w:r>
        <w:t>«</w:t>
      </w:r>
      <w:r w:rsidR="004B1A63" w:rsidRPr="00015951">
        <w:t>Enkelte land, herunder Kina, har sikkerhetslovgivning som pålegger kinesiske borgere i utlandet å samarbeide med kinesiske sikkerhetstjenester. På den måten kan en kinesisk samarbeidspartner bli satt under betydelig press for å samarbeide, og kan i praksis ha få muligheter til å nekte. Mange amerikanske selskaper har også rapportert om tilsvarende press fra amerikanske myndigheter, hjemlet i amerikansk sikkerhetslovgivning (Normann 2020).</w:t>
      </w:r>
      <w:r>
        <w:t>»</w:t>
      </w:r>
    </w:p>
    <w:p w14:paraId="750DFCB7" w14:textId="77777777" w:rsidR="004B1A63" w:rsidRDefault="004B1A63">
      <w:r>
        <w:t>Dette er juridiske sider ved utenlandsk eierskap som vil kunne øke trusselen fra et utenlandsk eierskap relativt til et norsk eierskap, ved at en utenlandsk stat får økt beslutningsdyktighet over kritisk digital kommunikasjonsinfrastruktur i fred, krise og krig, på bekostning av Norges nasjonale sikkerhetsinteresser.</w:t>
      </w:r>
    </w:p>
    <w:p w14:paraId="34A4EE92" w14:textId="77777777" w:rsidR="004B1A63" w:rsidRDefault="004B1A63">
      <w:pPr>
        <w:pStyle w:val="Overskrift3"/>
      </w:pPr>
      <w:r>
        <w:lastRenderedPageBreak/>
        <w:t>Avhengighet</w:t>
      </w:r>
    </w:p>
    <w:p w14:paraId="366114B5" w14:textId="77777777" w:rsidR="004B1A63" w:rsidRDefault="004B1A63">
      <w:r>
        <w:t>Utenlandske eiere (juridiske og fysiske personer) vil typisk ha en større avhengighet til sin nasjon og derigjennom kunne være mer utsatt for press eller tvang fra sin statsledelse, også i fravær av et lovpålegg om å samarbeide.</w:t>
      </w:r>
    </w:p>
    <w:p w14:paraId="45642A09" w14:textId="77777777" w:rsidR="004B1A63" w:rsidRDefault="004B1A63">
      <w:r>
        <w:t>Statsborgere har normalt en rettighetsavhengighet til sitt land hvor de har rettigheter som følger av statsborgerskapet, som for eksempel rett til permanent opphold, til å ta arbeid, til å eie eiendom, til sosiale ytelser, med mer. Motsvarende har de typisk færre og mer begrensede slike rettigheter i land hvor de ikke er statsborgere, eksempelvis begrenset oppholdstillatelse. Derfor kan de være mer utsatt for press fra sitt hjemlands statsledelse enn fra et annet lands statsledelse. De må typisk oppholde seg mest i sitt hjemland og er under sitt hjemlands jurisdiksjon. En statsledelse kan kreve dem utlevert til sitt hjemland under visse omstendigheter. Denne avhengigheten til hjemlandet, hvor de har sitt statsborgerskap, vil således kunne gjøre dem mer utsatt for press fra sitt hjemlands statsledelse.</w:t>
      </w:r>
    </w:p>
    <w:p w14:paraId="2EAD83A5" w14:textId="77777777" w:rsidR="004B1A63" w:rsidRDefault="004B1A63">
      <w:r>
        <w:t>Normalt vil det også foreligge ressursmessige avhengigheter, dersom man har betydelige eiendeler i sitt hjemland som er immobile, som fast eiendom. I tillegg er det gjerne også sosiale avhengigheter knyttet til familie og venner som følge av å være født og oppvokst i et land. Disse avhengighetene kan gjøre en person mer sårbar for sin statsledelses bruk av press. Selv om disse to avhengighetene normalt er knyttet til landet hvor man har statsborgerskap, kan også slike avhengigheter gjelde norske statsborgere som har bodd lenge i et annet land enn Norge. De kan også gjelde i mindre grad for utenlandske statsborgere som i liten grad har bodd i sitt hjemland.</w:t>
      </w:r>
    </w:p>
    <w:p w14:paraId="51A02BC1" w14:textId="77777777" w:rsidR="004B1A63" w:rsidRDefault="004B1A63">
      <w:r>
        <w:t>For selskaper vil det også kunne foreligge en viss juridisk avhengighet knyttet til sitt hjemland (hvor de har registrert sitt hovedkontor), eksempelvis skatteplikter eller nødvendige tillatelser, konsesjoner og lignende knyttet til virksomheten. I tillegg kommer ressursmessige avhengigheter eller bindinger som ofte følger av at et utenlandsk selskap normalt har virksomhet i sitt hjemland. For eksempel, dersom selskapet har betydelige verdier i hjemlandet som både er lite mobile og vanskelig omsettelige. Merk at slike avhengigheter også vil kunne gjelde norske selskaper som har investert betydelig i utlandet. Det vil kunne gjøre et norsk selskap utsatt for press fra den utenlandske statsledelsen.</w:t>
      </w:r>
    </w:p>
    <w:p w14:paraId="08BB6AA7" w14:textId="77777777" w:rsidR="004B1A63" w:rsidRDefault="004B1A63">
      <w:r>
        <w:t>Avhengigheten til selskaper kan også være knyttet til markeder eller kundesiden (analogt til på leverandørsiden, jf. fokuset på avhengighet til utenlandske leverandører omtalt tidligere). En norsk bedrift som eksporterer det meste av sin produksjon til et bestemt utland, eller har virksomhet i utlandet, vil kunne tape mye dersom de står i fare for å miste tilgang til det markedet. Derigjennom vil selskapet kunne være utsatt for press fra landets statsledelse, eksempelvis for tilgang til å selge i landet eller drive virksomhet der. Mange selskaper er multinasjonale med avhengigheter til flere land, både på leverandørsiden, i forhold til i hvilke land de har sine egne ressurser lokalisert, samt på markedssiden i forhold til land hvor de selger det meste av sin produksjon.</w:t>
      </w:r>
    </w:p>
    <w:p w14:paraId="18F72C7D" w14:textId="77777777" w:rsidR="004B1A63" w:rsidRDefault="004B1A63">
      <w:pPr>
        <w:pStyle w:val="Overskrift3"/>
      </w:pPr>
      <w:r>
        <w:t>Lojalitet</w:t>
      </w:r>
    </w:p>
    <w:p w14:paraId="5D726424" w14:textId="189FC5A8" w:rsidR="004B1A63" w:rsidRDefault="004B1A63">
      <w:r>
        <w:t xml:space="preserve">Statsborgere – både utenlandske og norske – vil generelt føle en lojalitet og tilhørighet til egen nasjon, noe som gjør at de gjerne ønsker å samarbeide med sin statsledelse til fordel for sin egen nasjons </w:t>
      </w:r>
      <w:r>
        <w:lastRenderedPageBreak/>
        <w:t>interesser, selv i fravær av et lovpålegg eller press om dette.</w:t>
      </w:r>
      <w:r w:rsidR="00015951" w:rsidRPr="00015951">
        <w:rPr>
          <w:rStyle w:val="Fotnotereferanse"/>
        </w:rPr>
        <w:footnoteReference w:id="82"/>
      </w:r>
      <w:r>
        <w:t xml:space="preserve"> Lojaliteten kan være knyttet til et språklig og kulturelt fellesskap, til sosiale relasjoner med andre statsborgere (som familie, venner og bekjente), med videre. Det kan også henge sammen med ressursmessige og sosiale avhengigheter nevnt foran og en interesse av å beskytte sine verdier i eget hjemland. Dette kan gjøre utenlandske eiere mer tilbøyelige til å samarbeide med sitt hjemlands statsledelse i strid med norske interesser og derigjennom utgjøre en økt risiko mot nasjonal sikkerhet. En slik lojalitet kan imidlertid også forekomme hos norske statsborgere som, for eksempel, har tilbragt mye tid i et annet land og fått en tilhørighet der. En slik lojalitet kan gjøre at eiere kan treffe avgjørelser til fordel for et annet land og som kan redusere avkastningen til selskapet. En slik lojalitet kan muligens også øke faren at eiere blir mottagelige for kompensasjon eller bestikkelser.</w:t>
      </w:r>
    </w:p>
    <w:p w14:paraId="0878A3C8" w14:textId="77777777" w:rsidR="004B1A63" w:rsidRDefault="004B1A63">
      <w:pPr>
        <w:pStyle w:val="Overskrift3"/>
      </w:pPr>
      <w:r>
        <w:t>Bestikkelser og økonomisk press</w:t>
      </w:r>
    </w:p>
    <w:p w14:paraId="172FD5F3" w14:textId="77777777" w:rsidR="004B1A63" w:rsidRDefault="004B1A63">
      <w:r>
        <w:t>Den utenlandske statsledelsen kan i hvert av tilfellene over hvor den utnytter en årsak eller kilde til innflytelse over private utenlandske eiere (lovpålegg, avhengighet, lojalitet), også kompensere dem for eventuell tapt avkastning eller andre kostnader slik at de private eierne ikke blir økonomisk skadelidende. En kompensasjon til eieren for å treffe ugunstige avgjørelser for seg selv og selskapet, ville kunne kategoriseres som belønning av lojalitet eller kompensasjon/bestikkelse. Statsledelsen kan utnytte en kombinasjon av årsakene samtidig til å utøve innflytelse, som trusler om press og lovnad om belønning.</w:t>
      </w:r>
    </w:p>
    <w:p w14:paraId="212F77C9" w14:textId="26DFC508" w:rsidR="004B1A63" w:rsidRDefault="004B1A63">
      <w:r>
        <w:t>En statsledelse kan ty til mange former for bestikkelser eller belønning for samarbeid til private eiere. Eksempler inkluderer tilskudd og andre direkte betalinger, skattelettelser, ettergivelse av gjeld, fordelaktig behandling i regulatoriske saker (eksempelvis tildeling av konsesjoner/driftstillatelser), subsidier i naturalier, fordelaktig finansiering fra statlige (eller statsstøttede) finansinstitusjoner, privilegert tilgang til informasjon, eksplisitt eller implisitte garantier, fordelaktig behandling ved offentlige anskaffelser, støtte i form av kommersielt diplomati og unntak fra antitrusthåndhevelse eller konkursregler.</w:t>
      </w:r>
      <w:r w:rsidR="00015951" w:rsidRPr="00015951">
        <w:rPr>
          <w:rStyle w:val="Fotnotereferanse"/>
        </w:rPr>
        <w:footnoteReference w:id="83"/>
      </w:r>
      <w:r>
        <w:t xml:space="preserve"> Slike fordeler kan også tildeles andre selskaper som de private eier, i bytte for samarbeid i selskapet som eier kritisk digital kommunikasjonsinfrastruktur.</w:t>
      </w:r>
    </w:p>
    <w:p w14:paraId="35132FD0" w14:textId="77777777" w:rsidR="004B1A63" w:rsidRDefault="004B1A63">
      <w:r>
        <w:t>De fleste av fordelene nevnt foran kan statsledelsen også bruke med motsatt fortegn for å presse private eiere til å samarbeide. For eksempel en trussel om ufordelaktig behandling ved offentlige anskaffelser.</w:t>
      </w:r>
    </w:p>
    <w:p w14:paraId="3C1E1794" w14:textId="77777777" w:rsidR="004B1A63" w:rsidRDefault="004B1A63">
      <w:r>
        <w:t xml:space="preserve">Her kan det igjen være på sin plass å minne om at også norske selskaper eller eiere som har en avhengighet til utlandet, kan være utsatt for en del av de samme pressmidlene fra den utenlandske </w:t>
      </w:r>
      <w:r>
        <w:lastRenderedPageBreak/>
        <w:t>statsledelsen. Det er selvsagt også slik at det finnes eiere som ut fra selviske hensyn er tilbøyelige til å bli bestukket, helt uavhengig av nasjonalitet.</w:t>
      </w:r>
    </w:p>
    <w:p w14:paraId="697B5A83" w14:textId="77777777" w:rsidR="004B1A63" w:rsidRDefault="004B1A63">
      <w:pPr>
        <w:pStyle w:val="Overskrift3"/>
      </w:pPr>
      <w:r>
        <w:t>Forsterkende faktorer</w:t>
      </w:r>
    </w:p>
    <w:p w14:paraId="3C4C33F3" w14:textId="337D9695" w:rsidR="004B1A63" w:rsidRDefault="004B1A63">
      <w:r>
        <w:t>Noen faktorer kan potensielt forsterke risikoen knyttet til utenlandsk eierskap som skyldes en av de tre grunnleggende årsakene; lovpålegg, avhengighet og lojalitet. En slik faktor er at utenlandske eiere kan lettere unndra seg norsk jurisdiksjon. Dette kan redusere nedsiden for utenlandske eiere ved ulovlige handlinger i Norge (f.eks. tyveri av informasjon eller sabotasje) på vegne av en utenlandsk statsledelse.</w:t>
      </w:r>
      <w:r w:rsidR="00015951" w:rsidRPr="00015951">
        <w:rPr>
          <w:rStyle w:val="Fotnotereferanse"/>
        </w:rPr>
        <w:footnoteReference w:id="84"/>
      </w:r>
      <w:r>
        <w:t xml:space="preserve"> Merk at også norske eiere kan prøve å unndra seg håndhevelse av norsk jurisdiksjon ved å flytte utenlands, og eventuelt få nytt statsborgerskap. Dette vil imidlertid være mer krevende slik at det er større risiko ved utenlandsk eierskap, alt annet likt.</w:t>
      </w:r>
    </w:p>
    <w:p w14:paraId="5271BB61" w14:textId="0451BB00" w:rsidR="004B1A63" w:rsidRDefault="004B1A63">
      <w:r>
        <w:t>En annen faktor er at eiere kan ha en (ubevisst) preferanse for å samarbeide og samhandle med lignende personer (</w:t>
      </w:r>
      <w:r w:rsidR="00015951">
        <w:t>«</w:t>
      </w:r>
      <w:r>
        <w:t>similarity attraction</w:t>
      </w:r>
      <w:r w:rsidR="00015951">
        <w:t>»</w:t>
      </w:r>
      <w:r>
        <w:t>), eksempelvis med samme nasjonalitet, kultur og språk. Dette kan gjøre at utenlandsk eierskap øker sannsynligheten for at det også blir flere utenlandske statsborgere ansatt i eller tilknyttet selskapet.</w:t>
      </w:r>
      <w:r w:rsidR="00015951" w:rsidRPr="00015951">
        <w:rPr>
          <w:rStyle w:val="Fotnotereferanse"/>
        </w:rPr>
        <w:footnoteReference w:id="85"/>
      </w:r>
      <w:r>
        <w:t xml:space="preserve"> Det kan igjen øke muligheten for en utenlandsk statsledelse til å utøve innflytelse grunnet årsakene nevnt foran (lovpålegg, avhengighet og lojalitet).</w:t>
      </w:r>
    </w:p>
    <w:p w14:paraId="702E6ABA" w14:textId="77777777" w:rsidR="004B1A63" w:rsidRDefault="004B1A63">
      <w:r>
        <w:t>Utvalget vil nå se på hvilke trusler mot nasjonal sikkerhet denne innflytelsen kan brukes til. Trusler er nevnt tidligere, eksempelvis i punkt 4.2, men vil her knyttes mer direkte opp mot utenlandsk kontra norsk eierskap.</w:t>
      </w:r>
    </w:p>
    <w:p w14:paraId="3FC15064" w14:textId="77777777" w:rsidR="004B1A63" w:rsidRDefault="004B1A63">
      <w:pPr>
        <w:pStyle w:val="Overskrift3"/>
      </w:pPr>
      <w:r>
        <w:t>Fra eierskap til trusler mot nasjonal sikkerhet</w:t>
      </w:r>
    </w:p>
    <w:p w14:paraId="7635D8AD" w14:textId="77777777" w:rsidR="004B1A63" w:rsidRDefault="004B1A63">
      <w:r>
        <w:t>Med eierskap følger kontroll og muligheten til å påvirke kritisk digital infrastruktur som nevnt innledningsvis i kapittelet. Videre vil utenlandsk eierskap kunne gi en utenlandsk statsledelse økt innflytelse i forhold til om samme eierandelen var norsk eier som diskutert foran. Denne innflytelsen eller kontrollen kan en utenlandsk statsledelse bruke til å arbeide langsiktig i fredstid for å svekke nasjonal sikkerhet i tilfelle en eventuell fremtidig krise eller konflikt. Innflytelsen vil også kunne brukes mer akutt i en krise eller konflikt til å skade funksjoner som er kritiske for norsk samfunn, som kritisk digital kommunikasjonsinfrastruktur.</w:t>
      </w:r>
    </w:p>
    <w:p w14:paraId="0AC66893" w14:textId="77777777" w:rsidR="004B1A63" w:rsidRDefault="004B1A63">
      <w:r>
        <w:lastRenderedPageBreak/>
        <w:t>Det er flere typer risiko for eller trusler mot nasjonale sikkerhetsinteresser. Disse inkluderer (Moran 2009, NOU 2023: 28, Waage et al. 2021):</w:t>
      </w:r>
    </w:p>
    <w:p w14:paraId="78A68F77" w14:textId="27EB2124" w:rsidR="004B1A63" w:rsidRDefault="004B1A63" w:rsidP="00007D65">
      <w:pPr>
        <w:pStyle w:val="Nummerertliste"/>
        <w:numPr>
          <w:ilvl w:val="0"/>
          <w:numId w:val="46"/>
        </w:numPr>
      </w:pPr>
      <w:r>
        <w:t>tilgang til og kontroll med kunnskap, informasjon, infrastruktur og/eller eiendom</w:t>
      </w:r>
    </w:p>
    <w:p w14:paraId="28DAADAF" w14:textId="77777777" w:rsidR="004B1A63" w:rsidRDefault="004B1A63" w:rsidP="00007D65">
      <w:pPr>
        <w:pStyle w:val="alfaliste3"/>
        <w:numPr>
          <w:ilvl w:val="0"/>
          <w:numId w:val="47"/>
        </w:numPr>
      </w:pPr>
      <w:r>
        <w:t>infiltrasjon (forberede sabotasje)</w:t>
      </w:r>
    </w:p>
    <w:p w14:paraId="6845EA50" w14:textId="77777777" w:rsidR="004B1A63" w:rsidRDefault="004B1A63" w:rsidP="00007D65">
      <w:pPr>
        <w:pStyle w:val="alfaliste3"/>
        <w:numPr>
          <w:ilvl w:val="0"/>
          <w:numId w:val="47"/>
        </w:numPr>
      </w:pPr>
      <w:r>
        <w:t>overvåking og informasjonslekkasje</w:t>
      </w:r>
    </w:p>
    <w:p w14:paraId="5D3AF3CD" w14:textId="77777777" w:rsidR="004B1A63" w:rsidRDefault="004B1A63" w:rsidP="00007D65">
      <w:pPr>
        <w:pStyle w:val="alfaliste3"/>
        <w:numPr>
          <w:ilvl w:val="0"/>
          <w:numId w:val="47"/>
        </w:numPr>
      </w:pPr>
      <w:r>
        <w:t>overføring av kapasitet og kompetanse til utenlandsk eiers hjemstat</w:t>
      </w:r>
    </w:p>
    <w:p w14:paraId="39A7D92A" w14:textId="77777777" w:rsidR="004B1A63" w:rsidRDefault="004B1A63" w:rsidP="00007D65">
      <w:pPr>
        <w:pStyle w:val="alfaliste3"/>
        <w:numPr>
          <w:ilvl w:val="0"/>
          <w:numId w:val="47"/>
        </w:numPr>
      </w:pPr>
      <w:r>
        <w:t>utkontraktering og nedbygging av kapasitet og kompetanse i Norge</w:t>
      </w:r>
    </w:p>
    <w:p w14:paraId="7742E3FD" w14:textId="335D7F49" w:rsidR="004B1A63" w:rsidRDefault="004B1A63" w:rsidP="00007D65">
      <w:pPr>
        <w:pStyle w:val="Nummerertliste"/>
        <w:numPr>
          <w:ilvl w:val="0"/>
          <w:numId w:val="46"/>
        </w:numPr>
      </w:pPr>
      <w:r>
        <w:t>påvirkning av norske politikere eller andre sentrale aktører til å endre beslutninger, eller motivere oppførsel og beslutninger som er fordelaktige for hjemstaten til eier</w:t>
      </w:r>
    </w:p>
    <w:p w14:paraId="5C3168E7" w14:textId="16EC8AD7" w:rsidR="004B1A63" w:rsidRDefault="004B1A63" w:rsidP="00007D65">
      <w:pPr>
        <w:pStyle w:val="Nummerertliste"/>
        <w:numPr>
          <w:ilvl w:val="0"/>
          <w:numId w:val="46"/>
        </w:numPr>
      </w:pPr>
      <w:r>
        <w:t>bortfall av varer, tjenester eller kompetanse (typisk høyt i krisespennet)</w:t>
      </w:r>
    </w:p>
    <w:p w14:paraId="6E9259D4" w14:textId="77777777" w:rsidR="004B1A63" w:rsidRDefault="004B1A63" w:rsidP="00007D65">
      <w:pPr>
        <w:pStyle w:val="alfaliste3"/>
      </w:pPr>
      <w:r>
        <w:t>leveransenekt (kritiske ressurser er ikke i Norge)</w:t>
      </w:r>
    </w:p>
    <w:p w14:paraId="7F8D1A24" w14:textId="77777777" w:rsidR="004B1A63" w:rsidRDefault="004B1A63" w:rsidP="00007D65">
      <w:pPr>
        <w:pStyle w:val="alfaliste3"/>
      </w:pPr>
      <w:r>
        <w:t>sabotasje (kritiske ressurser er i Norge)</w:t>
      </w:r>
    </w:p>
    <w:p w14:paraId="6330C84B" w14:textId="77777777" w:rsidR="004B1A63" w:rsidRDefault="004B1A63">
      <w:r>
        <w:t>Utvalget minner om at vårt fokus er på hvilken ytterligere innflytelse en utenlandsk statsledelse kan oppnå gjennom utenlandsk privat eierskap kontra at samme eierandel hadde vært norskeid. Det er ikke nødvendigvis slik at risikoen vil være lav dersom eierne er norske. Som nevnt tidligere kan også norske eiere ha avhengigheter til utlandet som gjør dem utsatt for press, eller de kan føle lojalitet med eller sympatisere med utenlandske nasjoner, eller simpelthen være tilbøyelige til å motta bestikkelser eller oppnå fordeler fra utlandets statsledelse. Dette kan kanskje særlig gjelde lavt i krisespennet når en mulig konflikt, krise eller krig synes fjernt. Under drøftes kort noen av truslene knyttet til økonomisk aktivitet.</w:t>
      </w:r>
    </w:p>
    <w:p w14:paraId="6180D0C4" w14:textId="4D944815" w:rsidR="004B1A63" w:rsidRDefault="004B1A63">
      <w:r>
        <w:t>Dersom ressurser som er kritiske for digital kommunikasjonsinfrastruktur flyttes utenlands, for eksempel gradvis over tid gjennom utkontraktering, reduseres nasjonal kontroll. Utenlandsk eierskap med bestemmende innflytelse vil kunne øke sannsynligheten for at ressurser flyttes ut av Norge og dermed faller utenfor norsk kontroll.</w:t>
      </w:r>
      <w:r w:rsidR="00015951" w:rsidRPr="00015951">
        <w:rPr>
          <w:rStyle w:val="Fotnotereferanse"/>
        </w:rPr>
        <w:footnoteReference w:id="86"/>
      </w:r>
      <w:r>
        <w:t xml:space="preserve"> Det er imidlertid viktig å være oppmerksom på at profittmaksimerende eiere kan treffe avgjørelser som svekker nasjonal kontroll, uavhengig av deres nasjonalitet. Dersom et selskap kunne øke lønnsomheten ved å flytte deler av produksjonen til et lavkostland eller endatil flytte hovedkontor til et land med lavere selskapsskatt, så ville både utenlandske og norske profittmaksimerende eiere ha insentiv til å flytte ut virksomhet. Slik utflytting vil derfor også kunne skje under norsk eierskap, men sannsynligheten kan kanskje være noe lavere dersom norske eiere har en preferanse for å ha virksomhet i Norge, for eksempel grunnet lojalitet.</w:t>
      </w:r>
    </w:p>
    <w:p w14:paraId="25D5E225" w14:textId="77777777" w:rsidR="004B1A63" w:rsidRDefault="004B1A63">
      <w:r>
        <w:t>Uavhengig av nasjonaliteten til profittmaksimerende eiere, ville en slik utflytting av aktiviteter og ressurser fra Norge svekke nasjonal kontroll over de utflyttede ressursene.</w:t>
      </w:r>
    </w:p>
    <w:p w14:paraId="19517159" w14:textId="77777777" w:rsidR="004B1A63" w:rsidRDefault="004B1A63">
      <w:r>
        <w:lastRenderedPageBreak/>
        <w:t>Bortfall av kritiske tjenester grunnet leveransenekt kan være en alvorlig trussel. Et eksempel på bekymringen for et slikt bortfall av samfunnskritiske tjenester grunnet utenlandsk eierskap er uttrykt slik i Waage et al. (2021, s. 48):</w:t>
      </w:r>
    </w:p>
    <w:p w14:paraId="647616E1" w14:textId="7451CC33" w:rsidR="004B1A63" w:rsidRPr="00015951" w:rsidRDefault="00015951">
      <w:pPr>
        <w:pStyle w:val="blokksit"/>
      </w:pPr>
      <w:r>
        <w:t>«</w:t>
      </w:r>
      <w:r w:rsidR="004B1A63" w:rsidRPr="00015951">
        <w:t>Muligheten til å stenge ned telekomtjenester for hele landet og slik utøve press, var blant annet en bekymring i Nederland i kjølvannet av det meksikanske selskapet America Móvil sitt forsøk på å kjøpe opp hele det nederlandske telekomselskapet KPN (Retter et al. 2020).</w:t>
      </w:r>
      <w:r>
        <w:t>»</w:t>
      </w:r>
    </w:p>
    <w:p w14:paraId="2158B4BE" w14:textId="158567D2" w:rsidR="004B1A63" w:rsidRDefault="004B1A63">
      <w:r>
        <w:t>Som nevnt tidligere, er det imidlertid i utgangspunktet ingen grunn til at en profitt-maksimerende utenlandsk eier skulle ha større insentiv til å stenge ned tjenester og utøve press, enn en norsk eier. Den ville jo tape lønnsomhet på å stenge ned. Om den er under innflytelse (kontroll) fra egen statsledelse som er i konflikt med Norge, kan dette endre seg og den vil kunne bli presset til eller kompensert for å treffe ulønnsomme avgjørelser, som å stenge ned. Som nevnt tidligere, er det derfor tvang, press fra den utenlandske eierens statsledelse og politikere eller økt tilbøyelighet til å samarbeide ut fra lojalitet, som er kilden til bekymring fordi dette kan medføre sikkerhetstruende avvik fra normal profittmaksimering.</w:t>
      </w:r>
      <w:r w:rsidR="00015951" w:rsidRPr="00015951">
        <w:rPr>
          <w:rStyle w:val="Fotnotereferanse"/>
        </w:rPr>
        <w:footnoteReference w:id="87"/>
      </w:r>
      <w:r>
        <w:t xml:space="preserve"> Bortfall av tjenester, for eksempel gjennom leveringsnekt, ville gjerne være spesielt aktuelt høyere opp i krisespennet. Om alle nødvendige ressurser for drift befinner seg i Norge, eksempelvis ved beredskapslagre, personell med nødvendig kompetanse, med videre, så vil norske myndigheter likevel kunne gripe inn og gjenoppstarte driften.</w:t>
      </w:r>
    </w:p>
    <w:p w14:paraId="631AB24A" w14:textId="77777777" w:rsidR="004B1A63" w:rsidRDefault="004B1A63">
      <w:r>
        <w:t>En annen utfordring er at norske selskaper kan være utsatt for utenlandsk innflytelse indirekte ved at de er avhengige av innsatsfaktorer fra en internasjonal verdikjede hvor det er utenlandske eiere. Da kan det være krevende både å ha oversikt over eierskapet og avgrense tydelig hvor i verdikjeden man tillater utenlandsk eierskap. Videre kan det være at norsk eierskap av viktige deler av en slik internasjonal verdikjede ikke helt løser utfordringen. Som nevnt tidligere kan norske selskap være eksponert for økonomisk press fra andre land de har betydelig eksport til eller virksomhet i (f.eks. utenlandsk datterselskap). Waage et al. (2021) påpeker at dette er et viktig område, men som de ikke har hatt mulighet til å drøfte innenfor sin rapport. Utvalget går i noen grad inn på verdikjedeproblematikken i kapittel 6 ved at man spør om hvem eierne av underleverandører er og hvor disse er hjemmehørende.</w:t>
      </w:r>
    </w:p>
    <w:p w14:paraId="1236B5D9" w14:textId="77777777" w:rsidR="004B1A63" w:rsidRDefault="004B1A63">
      <w:r>
        <w:t>Utvalget har nå sett på negative sider ved utenlandsk eierskap, men det vil også være negative sider ved å begrense utenlandsk eierskap.</w:t>
      </w:r>
    </w:p>
    <w:p w14:paraId="57EB0E10" w14:textId="77777777" w:rsidR="004B1A63" w:rsidRDefault="004B1A63">
      <w:pPr>
        <w:pStyle w:val="Overskrift3"/>
      </w:pPr>
      <w:r>
        <w:t>Negative sider ved begrensninger på utenlandsk eierskap</w:t>
      </w:r>
    </w:p>
    <w:p w14:paraId="6F87598C" w14:textId="77777777" w:rsidR="004B1A63" w:rsidRDefault="004B1A63">
      <w:r>
        <w:t xml:space="preserve">Begrensninger på utenlandsk eierskap vil redusere tilgangen til finansiell kapital, fysisk kapital (teknologi) og human kapital (ekspertise). I utvalgets spørreundersøkelse av og dialog med aktørene (vedlegg 5) har flere aktører påpekt bekymringer for redusert tilgang til alle tre typene kapital. Særlig kan særnorske regler for ekomsektoren ha negativ innvirkning på kapitaltilgang, innovasjon, teknologitilgang, utvikling og effektiv drift. Aktører bemerket også at slike regler kan svekke konkurranseevnen og markedsadgangen for selskaper i sektoren. Ettersom begrensninger på utenlandsk eierskap vil kunne </w:t>
      </w:r>
      <w:r>
        <w:lastRenderedPageBreak/>
        <w:t>ha negative effekter på utviklingen av og kvaliteten på digital kommunikasjonsinfrastruktur, må disse balanseres opp mot sikkerhetshensynet.</w:t>
      </w:r>
    </w:p>
    <w:p w14:paraId="3683329E" w14:textId="5EFDD84C" w:rsidR="004B1A63" w:rsidRDefault="004B1A63">
      <w:pPr>
        <w:rPr>
          <w:spacing w:val="-2"/>
        </w:rPr>
      </w:pPr>
      <w:r>
        <w:rPr>
          <w:spacing w:val="-2"/>
        </w:rPr>
        <w:t xml:space="preserve">Norge har tradisjonelt vært i en gunstig situasjon i forhold til finansiell kapitaltilgang (NOU 2018: 5 </w:t>
      </w:r>
      <w:r w:rsidRPr="00015951">
        <w:rPr>
          <w:rStyle w:val="kursiv"/>
        </w:rPr>
        <w:t>Kapital i omstillingens tid – Næringslivets tilgang til kapital</w:t>
      </w:r>
      <w:r>
        <w:rPr>
          <w:spacing w:val="-2"/>
        </w:rPr>
        <w:t>). Det er en betydelig andel utenlandsk eierskap i norsk næringsliv, og enda større innen digital kommunikasjonsinfrastruktur, hvor Menons undersøkelse indikerer en utenlandsk eierandel på om lag 50 prosent for selskaper som eier kommunikasjonsinfrastruktur og enda høyere for deres underleverandører. Imidlertid gjelder eierbegrensningen typisk ikke land som Norge har et sikkerhetssamarbeid med.</w:t>
      </w:r>
      <w:r w:rsidR="00015951" w:rsidRPr="00015951">
        <w:rPr>
          <w:rStyle w:val="Fotnotereferanse"/>
        </w:rPr>
        <w:footnoteReference w:id="88"/>
      </w:r>
      <w:r>
        <w:rPr>
          <w:spacing w:val="-2"/>
        </w:rPr>
        <w:t xml:space="preserve"> Videre har begrensninger i utenlandsk eierskap </w:t>
      </w:r>
      <w:r w:rsidRPr="00015951">
        <w:rPr>
          <w:rStyle w:val="kursiv"/>
        </w:rPr>
        <w:t>de facto</w:t>
      </w:r>
      <w:r>
        <w:rPr>
          <w:spacing w:val="-2"/>
        </w:rPr>
        <w:t xml:space="preserve"> vært på plass i mange år allerede. Menons kartlegging av utenlandsk eierskap i kritisk digital infrastruktur indikerer at begrensningen har fungert i den forstand at det ikke er noe utenlandsk eierskap som gir grunn til bekymring per i dag.</w:t>
      </w:r>
      <w:r w:rsidR="00015951" w:rsidRPr="00015951">
        <w:rPr>
          <w:rStyle w:val="Fotnotereferanse"/>
        </w:rPr>
        <w:footnoteReference w:id="89"/>
      </w:r>
    </w:p>
    <w:p w14:paraId="62399A75" w14:textId="77777777" w:rsidR="004B1A63" w:rsidRDefault="004B1A63">
      <w:r>
        <w:t>Av de tre typene kapital er finansiell kapital meget mobil og relativt lett å substituere, mens de to andre typene kapital er mindre mobile og kan være vanskelige å substituere. Sagt annerledes, et lån fra ett land kan antagelig enklere refinansieres med et lån med tilsvarende vilkår fra et annet land, enn man kan bytte leverandør av utstyr eller tilgang til kompetanse.</w:t>
      </w:r>
    </w:p>
    <w:p w14:paraId="56E76A25" w14:textId="6C291002" w:rsidR="004B1A63" w:rsidRDefault="004B1A63">
      <w:r>
        <w:t xml:space="preserve">Generelt vil handel med utlandet gjøre at Norge kan dra nytte av komparative fortrinn og stordriftsfordeler, slik at selv om man i teorien kunne produsere noe nasjonalt, vil det være betydelig gunstigere å kjøpe dette fra utlandet. Deler av kritisk digital infrastruktur er meget teknologitung og det kreves store, ofte irreversible, investeringer i forskning og utvikling, samt gjerne også i produksjonsutstyr, for å følge med i utviklingen. Dette gir opphav til stordriftsfordeler som gjør det naturlig at slike produktmarkeder blir internasjonale og domineres av noen få, store aktører. Et eksempel på dette er mobilnett, nå i sin femte generasjon (5G). Utvikling av programvare for digital kommunikasjon kan være et annet eksempel. For programvare kan utviklingskostnaden være meget høy, samtidig som det koster lite å distribuere programvaren til brukere. Denne kostnadsstrukturen – høye faste og irreversible kostnader kombinert med lave variable kostnader – gir opphav til stordriftsfordeler, som igjen kan føre til at markedet blir konsentrert med et fåtall store aktører. I møte med slike stordriftsfordeler vil det gjerne være økonomisk uoppnåelig for de fleste små land å oppnå digital suverenitet og uavhengighet kun basert på sin egen etterspørsel. Selv om store land har bedre mulighet til dette simpelthen fordi de utgjør større markeder, vil det også for disse kunne medføre tap av stordriftsfordeler å skulle </w:t>
      </w:r>
      <w:r>
        <w:lastRenderedPageBreak/>
        <w:t>insistere på nasjonal produksjon for å sikre full nasjonal kontroll på alle områder, med mindre de også kan selge til andre land og derigjennom oppnå økte stordriftsfordeler.</w:t>
      </w:r>
      <w:r w:rsidR="00015951" w:rsidRPr="00015951">
        <w:rPr>
          <w:rStyle w:val="Fotnotereferanse"/>
        </w:rPr>
        <w:footnoteReference w:id="90"/>
      </w:r>
    </w:p>
    <w:p w14:paraId="06E00003" w14:textId="77777777" w:rsidR="004B1A63" w:rsidRDefault="004B1A63">
      <w:r>
        <w:t>Steen (2022, FAFO Rapport 2022:22) påpeker at tyske myndigheter allerede i 2011 startet en prosess for å etablere en nasjonal, offentlig kompetanse og kapasitet for skyløsninger. Selv om dette er kostbart å utvikle og etablere, kan antagelig en stor nasjon som Tyskland like fullt oppnå en rimelig grad av stordriftsdeler ved at kostnaden kan spres over et stort antall offentlige virksomheter og innbyggere. En slik strategi om digital suverenitet og autonomi kan derfor svare seg i et sikkerhetsperspektiv. Det vil si at tapet av stordriftsfordeler oppveies av gevinsten ved økt nasjonal kontroll.</w:t>
      </w:r>
    </w:p>
    <w:p w14:paraId="5A6D1C26" w14:textId="77777777" w:rsidR="004B1A63" w:rsidRDefault="004B1A63">
      <w:r>
        <w:t>Norge er derimot et lite land og vil antagelig ikke kunne oppnå i nærheten av samme skala-fordeler. Derfor vil en slik strategi typisk bli for kostbar og Norge vil i større grad måtte akseptere utenlandsk eierskap og avhengighet. Det vil igjen bety redusert nasjonal kontroll. Imidlertid vil det å inngå sikkerhetssamarbeid og allianser med andre land øke det markedet Norge er en del av. Innenfor en allianse kan dermed små land samle sin etterspørsel for derigjennom å oppnå stordriftsfordeler i fellesskap. Produsenter kan gjerne komme fra små land, som eksempelvis 5G-produsentene Nokia (Finland) og Ericsson (Sverige), men det som gjør at de blir store og er blant et fåtall internasjonalt ledende leverandører, er nettopp at de har vunnet fram i en internasjonal konkurranse om store volum. Tilgangen til et stort marked, øker sjansene for å oppnå stordriftsfordeler.</w:t>
      </w:r>
    </w:p>
    <w:p w14:paraId="26DDCC53" w14:textId="77777777" w:rsidR="004B1A63" w:rsidRDefault="004B1A63">
      <w:r>
        <w:t>Allianser som NATO eller unioner som EU, utgjør relativt store markeder og kan derfor mest sannsynlig romme et fåtall konkurrerende leverandører på de aller fleste deler av en digital kommunikasjonsinfrastruktur. Desto tettere og mer pålitelige slike internasjonale samarbeidsrelasjoner er, desto mindre blir tapet av nasjonal kontroll for det enkelte land ved å velge leverandører innenfor en slik allianse. Det synes klart at dette må være veien å gå for et lite land som Norge på de fleste områder hvor det er betydelige stordriftsfordeler.</w:t>
      </w:r>
    </w:p>
    <w:p w14:paraId="25F462EC" w14:textId="77777777" w:rsidR="004B1A63" w:rsidRDefault="004B1A63">
      <w:r>
        <w:t>Et viktig moment er betydningen av at begrensningene på utenlandsk eierskap harmoniseres med begrensningene som sammenlignbare land har. I valget mellom ellers like land, vil investorer foretrekke det landet som har færrest begrensninger eller usikkerhet knyttet til sitt regelverk. Det bør av den grunn ikke være relativt vanskeligere for utenlandske investorer å investere i Norge enn eksempelvis i øvrige nordiske land.</w:t>
      </w:r>
    </w:p>
    <w:p w14:paraId="2B83B840" w14:textId="77777777" w:rsidR="004B1A63" w:rsidRDefault="004B1A63" w:rsidP="0095372D">
      <w:pPr>
        <w:pStyle w:val="Overskrift1"/>
      </w:pPr>
      <w:r>
        <w:lastRenderedPageBreak/>
        <w:t>Virkemidler for nasjonal kontroll</w:t>
      </w:r>
    </w:p>
    <w:p w14:paraId="186FFBF3" w14:textId="08EDDFEE" w:rsidR="00466718" w:rsidRPr="00466718" w:rsidRDefault="004B4E04" w:rsidP="00466718">
      <w:r>
        <w:rPr>
          <w:noProof/>
        </w:rPr>
        <w:drawing>
          <wp:inline distT="0" distB="0" distL="0" distR="0" wp14:anchorId="69EE9E3D" wp14:editId="7FEAEF08">
            <wp:extent cx="3657600" cy="2581275"/>
            <wp:effectExtent l="0" t="0" r="0" b="0"/>
            <wp:docPr id="28" name="Bilde 12" descr="Bilde av en lovsamling (Norges lover). I bakgrunnen skimtes andre bøker i en bokhy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12" descr="Bilde av en lovsamling (Norges lover). I bakgrunnen skimtes andre bøker i en bokhyll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774031C9" w14:textId="77777777" w:rsidR="004B1A63" w:rsidRDefault="004B1A63">
      <w:pPr>
        <w:pStyle w:val="Overskrift2"/>
      </w:pPr>
      <w:r>
        <w:t>Innledning om ulike typer virkemidler for nasjonal kontroll</w:t>
      </w:r>
    </w:p>
    <w:p w14:paraId="74C2D13F" w14:textId="5A5484F5" w:rsidR="004B1A63" w:rsidRDefault="004B1A63" w:rsidP="006F4031">
      <w:r>
        <w:t xml:space="preserve">I </w:t>
      </w:r>
      <w:r w:rsidR="00015951">
        <w:t xml:space="preserve">Meld. St. </w:t>
      </w:r>
      <w:r w:rsidR="00015951">
        <w:t>9</w:t>
      </w:r>
      <w:r>
        <w:t xml:space="preserve"> (2022–2023) pekes det på at nasjonal kontroll på områder som er strategisk viktige for nasjonal sikkerhet, er en meget viktig del av arbeidet med å styrke samfunnets kollektive motstandskraft. Regjeringens formål med meldingen var å tydeliggjøre den strategiske retningen, prioriteringene og tiltakene som kan treffes for å sikre nasjonal kontroll og nasjonal sikkerhet på ulike områder, og det vises til en rekke virkemidler som kan brukes for å styrke nasjonal kontroll.</w:t>
      </w:r>
    </w:p>
    <w:p w14:paraId="70E24702" w14:textId="25B57C45" w:rsidR="004B1A63" w:rsidRDefault="004B1A63">
      <w:r>
        <w:t xml:space="preserve">I meldingen redegjøres det for virkemidler som nasjonalt eierskap, regulering, samarbeid nasjonalt og internasjonalt, råd og veiledning samt nasjonal deteksjonsevne og hendelseshåndtering, og det framgår på side 14 at </w:t>
      </w:r>
      <w:r w:rsidR="00015951">
        <w:t>«</w:t>
      </w:r>
      <w:r w:rsidRPr="00015951">
        <w:rPr>
          <w:rStyle w:val="kursiv"/>
        </w:rPr>
        <w:t>Virkemidlene må vurderes både enkeltvis og i sammenheng, og de vil variere, avhengig av hvor man befinner seg i krisespennet, hvor stor grad av kontroll som er ønskelig i ulike sammenhenger og eventuelle kostnader knyttet til dette</w:t>
      </w:r>
      <w:r w:rsidR="00015951">
        <w:t>»</w:t>
      </w:r>
      <w:r>
        <w:t>. Inngripen for å sikre nasjonal kontroll må altså vurderes ut fra trussel- og risikobildet, og veies mot kostnadene eventuelle inngrep kan medføre.</w:t>
      </w:r>
    </w:p>
    <w:p w14:paraId="33CB11F0" w14:textId="77777777" w:rsidR="004B1A63" w:rsidRDefault="004B1A63">
      <w:r>
        <w:rPr>
          <w:spacing w:val="-2"/>
        </w:rPr>
        <w:t xml:space="preserve">I en vurdering av om virkemidler må tas i bruk for å sikre tilstrekkelig nasjonal kontroll, må forholdsmessigheten og kostnaden med det, vurderes opp mot effekten virkemiddelbruken </w:t>
      </w:r>
      <w:r>
        <w:rPr>
          <w:spacing w:val="-4"/>
        </w:rPr>
        <w:t xml:space="preserve">vil ha. Bruk av virkemidler må også vurderes i lys av de folkerettslige forpliktelsene Norge har. I denne sammenheng er særlig EØS-avtalen viktig. Avtalen åpner i noen tilfeller for at statene kan gjennomføre tiltak som ellers ville stride med forpliktelser etter EØS-avtalen. Rekkevidden </w:t>
      </w:r>
      <w:r>
        <w:t>av unntakene må vurderes ved bruk av virkemidler som skal sikre nasjonal kontroll, slik at tiltak ikke kommer i strid med EØS-avtalens konkurranseregler, statsstøtteregler samt reglene om fritt varebytte og fri bevegelighet av personer, tjenester og kapital.</w:t>
      </w:r>
    </w:p>
    <w:p w14:paraId="107BE18F" w14:textId="77777777" w:rsidR="004B1A63" w:rsidRDefault="004B1A63">
      <w:r>
        <w:t>Utvalget redegjør nedenfor for ulike typer virkemidler som kan være aktuelle å ta i bruk – alene eller i kombinasjon med andre virkemidler – for å bidra til å sikre nasjonal kontroll over kritisk digital kommunikasjonsinfrastruktur.</w:t>
      </w:r>
    </w:p>
    <w:p w14:paraId="7B88D55B" w14:textId="77777777" w:rsidR="004B1A63" w:rsidRDefault="004B1A63">
      <w:pPr>
        <w:pStyle w:val="Overskrift2"/>
      </w:pPr>
      <w:r>
        <w:lastRenderedPageBreak/>
        <w:t>Nasjonalt eierskap</w:t>
      </w:r>
    </w:p>
    <w:p w14:paraId="4B6DFCEB" w14:textId="77777777" w:rsidR="004B1A63" w:rsidRDefault="004B1A63">
      <w:pPr>
        <w:pStyle w:val="Overskrift3"/>
        <w:spacing w:before="0"/>
      </w:pPr>
      <w:r>
        <w:t>Overordnet om nasjonalt eierskap</w:t>
      </w:r>
    </w:p>
    <w:p w14:paraId="558C9CC2" w14:textId="2C0107A7" w:rsidR="004B1A63" w:rsidRDefault="00015951">
      <w:r>
        <w:t>«</w:t>
      </w:r>
      <w:r w:rsidR="004B1A63">
        <w:t>Nasjonalt eierskap omfatter statlig, fylkeskommunalt og kommunalt eierskap, samt privat norsk eierskap</w:t>
      </w:r>
      <w:r>
        <w:t>»</w:t>
      </w:r>
      <w:r w:rsidR="004B1A63">
        <w:t xml:space="preserve"> (</w:t>
      </w:r>
      <w:r>
        <w:t xml:space="preserve">Meld. St. </w:t>
      </w:r>
      <w:r>
        <w:t>9</w:t>
      </w:r>
      <w:r w:rsidR="004B1A63">
        <w:t>, 2022–2023, s. 18). Nasjonalt eierskap kan sikre nasjonal kontroll av kritisk digital kommunikasjonsinfrastruktur gjennom at det er norske eiere som har innflytelse på eller kontroll over virksomheten som eier viktig infrastruktur. Nasjonalt eierskap kan sikre at uønskede aktører ikke får kontroll over infrastruktur som er viktig for samfunnssikkerheten og kritiske samfunnsfunksjoner.</w:t>
      </w:r>
    </w:p>
    <w:p w14:paraId="0E66B311" w14:textId="77777777" w:rsidR="004B1A63" w:rsidRDefault="004B1A63">
      <w:pPr>
        <w:pStyle w:val="Overskrift3"/>
      </w:pPr>
      <w:r>
        <w:t>Statlig eierskap</w:t>
      </w:r>
    </w:p>
    <w:p w14:paraId="14F05EEE" w14:textId="080FEB4B" w:rsidR="004B1A63" w:rsidRDefault="004B1A63">
      <w:r>
        <w:t xml:space="preserve">Med statlig eierskap menes i denne sammenheng at staten direkte eier andeler i selskaper. I </w:t>
      </w:r>
      <w:r w:rsidR="00015951">
        <w:t xml:space="preserve">Meld. St. </w:t>
      </w:r>
      <w:r w:rsidR="00015951">
        <w:t>6</w:t>
      </w:r>
      <w:r>
        <w:t xml:space="preserve"> (2022–2023) </w:t>
      </w:r>
      <w:r w:rsidRPr="00015951">
        <w:rPr>
          <w:rStyle w:val="kursiv"/>
        </w:rPr>
        <w:t>Et grønnere og mer aktivt statlig eierskap – Statens direkte eierskap i selskaper</w:t>
      </w:r>
      <w:r>
        <w:t xml:space="preserve"> (eierskapsmeldingen) fra oktober 2022, redegjør regjeringen for retningen i statlig eierskap. I eierskapsmeldingen punkt 4.1.2 står det blant annet om begrunnelser for statlig eierskap:</w:t>
      </w:r>
    </w:p>
    <w:p w14:paraId="64769C70" w14:textId="1E92321C" w:rsidR="004B1A63" w:rsidRPr="00015951" w:rsidRDefault="00015951">
      <w:pPr>
        <w:pStyle w:val="blokksit"/>
      </w:pPr>
      <w:r>
        <w:t>«</w:t>
      </w:r>
      <w:r w:rsidR="004B1A63" w:rsidRPr="00015951">
        <w:t>Samfunnsutviklingen og den geopolitiske situasjonen har de siste årene bidratt til økt oppmerksomhet om beredskapshensyn, for eksempel matproduksjon og beredskapslager for smittevernutstyr, vaksiner, legemidler og korn. Det er også økt oppmerksomhet om ivaretagelse av kritiske innsatsfaktorer, produksjon, tjenesteyting og infrastruktur.</w:t>
      </w:r>
    </w:p>
    <w:p w14:paraId="355C5592" w14:textId="77777777" w:rsidR="004B1A63" w:rsidRPr="00015951" w:rsidRDefault="004B1A63">
      <w:pPr>
        <w:pStyle w:val="blokksit"/>
      </w:pPr>
      <w:r w:rsidRPr="00015951">
        <w:t>Regulering er det primære virkemiddelet for å ivareta hensyn knyttet til nasjonal sikkerhet, samfunnssikkerhet og beredskap. Eksempler på slik regulering er næringsberedskapsloven, kraftberedskapsforskriften, sikkerhetsloven og ekomloven. Statlige overføringer til produsenter, kontraktsinngåelser med private aktører eller andre former for samarbeid med næringslivsaktører administrert og forvaltet gjennom respektive sektordepartement er eksempler på andre virkemidler.</w:t>
      </w:r>
    </w:p>
    <w:p w14:paraId="324B968F" w14:textId="30CEDB68" w:rsidR="004B1A63" w:rsidRPr="00015951" w:rsidRDefault="004B1A63">
      <w:pPr>
        <w:pStyle w:val="blokksit"/>
      </w:pPr>
      <w:r w:rsidRPr="00015951">
        <w:t>Staten kan i særskilte tilfeller vurdere det som nødvendig å unngå at uønskede interesser kan få tilgang til informasjon, innflytelse på eller kontroll over selskaper som har betydning for nasjonal sikkerhet, samfunnssikkerhet eller beredskap, noe som blant annet kan gjøres ved å underlegge selskapene sikkerhetsloven eller eie en gitt andel i enkelte selskaper</w:t>
      </w:r>
      <w:r w:rsidR="00015951">
        <w:t>»</w:t>
      </w:r>
      <w:r w:rsidRPr="00015951">
        <w:t>.</w:t>
      </w:r>
    </w:p>
    <w:p w14:paraId="18DBC198" w14:textId="77777777" w:rsidR="004B1A63" w:rsidRDefault="004B1A63">
      <w:r>
        <w:t>I eierskapsmeldingen punkt 1.2 fremgår seks begrunnelser for statlig eierskap for å oppnå ulike samfunnsmål:</w:t>
      </w:r>
    </w:p>
    <w:p w14:paraId="419EAF4C" w14:textId="4D38B838" w:rsidR="004B1A63" w:rsidRDefault="004B1A63">
      <w:pPr>
        <w:pStyle w:val="Listebombe"/>
      </w:pPr>
      <w:r>
        <w:t>Hovedkontorfunksjoner i Norge</w:t>
      </w:r>
    </w:p>
    <w:p w14:paraId="7FB7D098" w14:textId="65903604" w:rsidR="004B1A63" w:rsidRDefault="004B1A63">
      <w:pPr>
        <w:pStyle w:val="Listebombe"/>
      </w:pPr>
      <w:r>
        <w:t>Samfunnssikkerhet og beredskap</w:t>
      </w:r>
    </w:p>
    <w:p w14:paraId="49CA5D31" w14:textId="70E85C1A" w:rsidR="004B1A63" w:rsidRDefault="004B1A63">
      <w:pPr>
        <w:pStyle w:val="Listebombe"/>
      </w:pPr>
      <w:r>
        <w:t>Energi og naturressurser</w:t>
      </w:r>
    </w:p>
    <w:p w14:paraId="7365F1F2" w14:textId="461F3C05" w:rsidR="004B1A63" w:rsidRDefault="004B1A63">
      <w:pPr>
        <w:pStyle w:val="Listebombe"/>
      </w:pPr>
      <w:r>
        <w:t>Tilrettelegging for bærekraftig omstilling og økt verdiskaping</w:t>
      </w:r>
    </w:p>
    <w:p w14:paraId="28FFC641" w14:textId="56F4C050" w:rsidR="004B1A63" w:rsidRDefault="004B1A63">
      <w:pPr>
        <w:pStyle w:val="Listebombe"/>
      </w:pPr>
      <w:r>
        <w:t>Infrastruktur, monopoler og tildelte rettigheter</w:t>
      </w:r>
    </w:p>
    <w:p w14:paraId="77657078" w14:textId="5C11C002" w:rsidR="004B1A63" w:rsidRDefault="004B1A63">
      <w:pPr>
        <w:pStyle w:val="Listebombe"/>
      </w:pPr>
      <w:r>
        <w:t>Fellesgoder og/eller sosial og geografisk fordeling</w:t>
      </w:r>
    </w:p>
    <w:p w14:paraId="0998A907" w14:textId="77777777" w:rsidR="004B1A63" w:rsidRDefault="004B1A63">
      <w:r>
        <w:t xml:space="preserve">Både hovedkontorfunksjon i Norge og samfunnssikkerhet og beredskap fremheves som begrunnelser for statlig eierskap. Når det gjelder hovedkontorfunksjonen, trekkes ofte frem verdien av at lokalisering av hovedkontorer i Norge vil skape positive økonomiske effekter for samfunnet (samfunnsøkonomisk overskudd) utover et eventuelt bedriftsøkonomisk overskudd. At hovedkontorfunksjonen er i </w:t>
      </w:r>
      <w:r>
        <w:lastRenderedPageBreak/>
        <w:t>Norge, vil også medføre at styrefunksjonen i selskapet og andre sentrale administrative oppgaver, normalt utføres i Norge.</w:t>
      </w:r>
    </w:p>
    <w:p w14:paraId="409927B7" w14:textId="77777777" w:rsidR="004B1A63" w:rsidRDefault="004B1A63">
      <w:r>
        <w:t>For å sikre at hovedkontoret forblir i Norge, er det normalt nødvendig med en eierandel på over en tredel av aksjene. Dersom formålet med statlig eierskap er begrunnet ut fra samfunnssikkerhet og beredskap gjennom at staten som eier har innflytelse i styringen av selskapet, bør eierandelen være på mer enn 50 prosent av aksjene. Ved å sitte med aksjemajoriteten, vil staten kunne sikre seg innflytelse gjennom valg av styremedlemmer, og på den måten også sikre at uønskede interesser ikke får innflytelse gjennom styreposisjoner. Styremedlemmene vil imidlertid måtte ivareta alle aksjonærenes interesser med utgangspunkt i de formål som er vedtektsfestet for selskapet.</w:t>
      </w:r>
    </w:p>
    <w:p w14:paraId="4E957DD5" w14:textId="77777777" w:rsidR="004B1A63" w:rsidRDefault="004B1A63">
      <w:r>
        <w:t>I denne sammenheng er det sentralt at når aksjeselskapsformen benyttes for statlige investeringer, bygger det på en generell forutsetning om at slike selskaper i utgangspunktet har bedriftsøkonomisk avkastning som formål og på en forutsetning om en klar rollefordeling mellom selskapets eiere på den ene side – der statens eiermyndighet i selskapet utøves på generalforsamlingen – og selskapets ledelse bestående av styret og daglig leder på den annen side. At bedriftsøkonomisk avkastning står sentralt, betyr ikke at det må være det eneste formålet, og heller ikke at gevinst for aksjonærene skal gå foran alle andre formål eller interesser. Er samfunnssikkerhet og beredskap sentralt for eierskapet, kan en eierandel på minst to tredeler av selskapet sikre at vedtektene ivaretar slike interesser. Et slik formål med eierskapet vil imidlertid kunne svekke andres interesse i å investere i selskapet.</w:t>
      </w:r>
    </w:p>
    <w:p w14:paraId="580932DD" w14:textId="7FA7D7BF" w:rsidR="004B1A63" w:rsidRDefault="004B1A63">
      <w:r>
        <w:t>Statlig eierskap deles nå inn i to kategorier ut fra målet med eierskapet</w:t>
      </w:r>
      <w:r w:rsidR="00015951" w:rsidRPr="00015951">
        <w:rPr>
          <w:rStyle w:val="Fotnotereferanse"/>
        </w:rPr>
        <w:footnoteReference w:id="91"/>
      </w:r>
      <w:r>
        <w:t>. Kategori 1 der statens mål er høyest mulig avkastning over tid innenfor bærekraftige rammer, og kategori 2 der statens mål som eier er bærekraftig og mest mulig effektiv oppnåelse av sektorpolitiske mål. Tidligere</w:t>
      </w:r>
      <w:r w:rsidR="00015951" w:rsidRPr="00015951">
        <w:rPr>
          <w:rStyle w:val="Fotnotereferanse"/>
        </w:rPr>
        <w:footnoteReference w:id="92"/>
      </w:r>
      <w:r>
        <w:t xml:space="preserve"> har man operert med tre kategorier med mål for eierskap. I tillegg til </w:t>
      </w:r>
      <w:r w:rsidR="00015951">
        <w:t>«</w:t>
      </w:r>
      <w:r>
        <w:t>Kategori 1 – Mål om høyest mulig avkastning over tid</w:t>
      </w:r>
      <w:r w:rsidR="00015951">
        <w:t>»</w:t>
      </w:r>
      <w:r>
        <w:t xml:space="preserve"> og </w:t>
      </w:r>
      <w:r w:rsidR="00015951">
        <w:t>«</w:t>
      </w:r>
      <w:r>
        <w:t>Kategori 3 – Mål om mest mulig effektiv oppnåelse av sektorpolitiske mål</w:t>
      </w:r>
      <w:r w:rsidR="00015951">
        <w:t>»</w:t>
      </w:r>
      <w:r>
        <w:t xml:space="preserve">, brukte man </w:t>
      </w:r>
      <w:r w:rsidR="00015951">
        <w:t>«</w:t>
      </w:r>
      <w:r>
        <w:t>Kategori 2 – Mål om høyest mulig avkasting over tid og særskilt begrunnelse for å eie</w:t>
      </w:r>
      <w:r w:rsidR="00015951">
        <w:t>»</w:t>
      </w:r>
      <w:r>
        <w:t>. I Kategori 2 inngikk selskapene der staten har mål om høyest mulig avkastning over tid, og hvor staten har særskilte begrunnelser for eierskapet. I eierskapsmeldingen fra 2022</w:t>
      </w:r>
      <w:r w:rsidR="00015951" w:rsidRPr="00015951">
        <w:rPr>
          <w:rStyle w:val="Fotnotereferanse"/>
        </w:rPr>
        <w:footnoteReference w:id="93"/>
      </w:r>
      <w:r>
        <w:t xml:space="preserve"> begrunnes denne endringen med at:</w:t>
      </w:r>
    </w:p>
    <w:p w14:paraId="73F123FF" w14:textId="0EFF0EE0" w:rsidR="004B1A63" w:rsidRPr="00015951" w:rsidRDefault="00015951">
      <w:pPr>
        <w:pStyle w:val="blokksit"/>
      </w:pPr>
      <w:r>
        <w:lastRenderedPageBreak/>
        <w:t>«</w:t>
      </w:r>
      <w:r w:rsidR="004B1A63" w:rsidRPr="00015951">
        <w:t>Regjeringen anser det ikke hensiktsmessig å foreta denne oppsplittingen, da det vesentligste med å kategorisere selskapene er tydelighet om statens mål som eier i selskapene. Denne forenklingen av kategoriseringen innebærer ikke endringer i statens eierutøvelse</w:t>
      </w:r>
      <w:r>
        <w:t>»</w:t>
      </w:r>
      <w:r w:rsidR="004B1A63" w:rsidRPr="00015951">
        <w:t>.</w:t>
      </w:r>
    </w:p>
    <w:p w14:paraId="04FED411" w14:textId="10145CA6" w:rsidR="004B1A63" w:rsidRDefault="004B1A63">
      <w:r>
        <w:t xml:space="preserve">Innenfor sektoren digital infrastruktur, eier staten direkte i dag aksjer i Space Norway AS (heleid av staten) og Telenor ASA (53,97 prosent av aksjene). I tillegg er Norid AS heleid av staten. Ifølge eierskapsmeldingen har staten eierandeler i Telenor ASA for </w:t>
      </w:r>
      <w:r w:rsidR="00015951">
        <w:t>«</w:t>
      </w:r>
      <w:r>
        <w:t>å opprettholde et ledende telekommunikasjons-selskap med hovedkontorfunksjoner i Norge samt å ha kontroll med samfunnskritisk kommunikasjonsinfrastruktur</w:t>
      </w:r>
      <w:r w:rsidR="00015951">
        <w:t>»</w:t>
      </w:r>
      <w:r>
        <w:t xml:space="preserve">, mens eierskapet i Space Norway AS er begrunnet i </w:t>
      </w:r>
      <w:r w:rsidR="00015951">
        <w:t>«</w:t>
      </w:r>
      <w:r>
        <w:t>å utvikle, forvalte og eie sikkerhetskritisk romrelatert infrastruktur som dekker viktige, norske samfunnsbehov</w:t>
      </w:r>
      <w:r w:rsidR="00015951">
        <w:t>»</w:t>
      </w:r>
      <w:r>
        <w:t xml:space="preserve">. Begge selskapene er nå plassert i kategori 1. Etter at Space Norway AS kjøpte Telenor Satellite AS i januar 2024, endret staten sitt mål som eier i Space Norway AS fra kategori 2 til kategori 1 fordi oppkjøpet medfører større kommersiell virksomhet. Begrunnelsen for eierskap i Norid AS er </w:t>
      </w:r>
      <w:r w:rsidR="00015951">
        <w:t>«</w:t>
      </w:r>
      <w:r>
        <w:t>å ha kontroll med sentral nasjonal internettinfrastruktur</w:t>
      </w:r>
      <w:r w:rsidR="00015951">
        <w:t>»</w:t>
      </w:r>
      <w:r>
        <w:t xml:space="preserve"> og målet med eierskapet er </w:t>
      </w:r>
      <w:r w:rsidR="00015951">
        <w:t>«</w:t>
      </w:r>
      <w:r>
        <w:t>sikre og tilgjengelige registrerings- og navnetjenester til internettbrukerne</w:t>
      </w:r>
      <w:r w:rsidR="00015951">
        <w:t>»</w:t>
      </w:r>
      <w:r>
        <w:t>.</w:t>
      </w:r>
    </w:p>
    <w:p w14:paraId="4BC00E76" w14:textId="29CD69CC" w:rsidR="004B1A63" w:rsidRDefault="004B1A63">
      <w:r>
        <w:t xml:space="preserve">Det framgår av </w:t>
      </w:r>
      <w:r w:rsidR="00015951">
        <w:t xml:space="preserve">Meld. St. </w:t>
      </w:r>
      <w:r w:rsidR="00015951">
        <w:t>6</w:t>
      </w:r>
      <w:r>
        <w:t xml:space="preserve"> (2022–2023) kapittel 8 at det er et mål at staten skal være en aktiv eier. Eierutøvelsen skal bidra til å nå statens mål som eier, enten høyest mulig avkastning over tid innenfor bærekraftige rammer eller bærekraftig og mest mulig effektiv oppnåelse av sektorpolitiske mål. For å nå målene, skal staten som eier stille tydelige forventninger til selskapene, velge kompetente styrer, følge opp selskapene systematisk og stemme på generalforsamling. I denne sammenheng har regjeringen utformet ti prinsipper</w:t>
      </w:r>
      <w:r w:rsidR="00015951" w:rsidRPr="00015951">
        <w:rPr>
          <w:rStyle w:val="Fotnotereferanse"/>
        </w:rPr>
        <w:footnoteReference w:id="94"/>
      </w:r>
      <w:r>
        <w:t xml:space="preserve"> for god eierutøvelse.</w:t>
      </w:r>
    </w:p>
    <w:tbl>
      <w:tblPr>
        <w:tblStyle w:val="StandardBoks"/>
        <w:tblW w:w="0" w:type="auto"/>
        <w:tblLook w:val="04A0" w:firstRow="1" w:lastRow="0" w:firstColumn="1" w:lastColumn="0" w:noHBand="0" w:noVBand="1"/>
      </w:tblPr>
      <w:tblGrid>
        <w:gridCol w:w="10466"/>
      </w:tblGrid>
      <w:tr w:rsidR="00B46B24" w14:paraId="175BB48B" w14:textId="77777777" w:rsidTr="00015951">
        <w:tc>
          <w:tcPr>
            <w:tcW w:w="10606" w:type="dxa"/>
          </w:tcPr>
          <w:p w14:paraId="058DD98F" w14:textId="77777777" w:rsidR="00015951" w:rsidRDefault="00B46B24" w:rsidP="00B46B24">
            <w:pPr>
              <w:pStyle w:val="tittel-ramme"/>
              <w:rPr>
                <w:rStyle w:val="halvfet"/>
                <w:b/>
                <w:bCs/>
              </w:rPr>
            </w:pPr>
            <w:r>
              <w:rPr>
                <w:rStyle w:val="halvfet"/>
                <w:b/>
                <w:bCs/>
              </w:rPr>
              <w:lastRenderedPageBreak/>
              <w:t>Statens ti prinsipper for god eierutøvelse.</w:t>
            </w:r>
          </w:p>
          <w:p w14:paraId="4F9493C3" w14:textId="391569EF" w:rsidR="00B46B24" w:rsidRDefault="00B46B24" w:rsidP="00B46B24">
            <w:pPr>
              <w:pStyle w:val="Nummerertliste"/>
              <w:numPr>
                <w:ilvl w:val="0"/>
                <w:numId w:val="48"/>
              </w:numPr>
            </w:pPr>
            <w:r>
              <w:t>Staten skal være en aktiv og ansvarlig eier med et langsiktig perspektiv.</w:t>
            </w:r>
          </w:p>
          <w:p w14:paraId="11F57C14" w14:textId="34E3EA9C" w:rsidR="00B46B24" w:rsidRDefault="00B46B24" w:rsidP="00B46B24">
            <w:pPr>
              <w:pStyle w:val="Nummerertliste"/>
              <w:numPr>
                <w:ilvl w:val="0"/>
                <w:numId w:val="48"/>
              </w:numPr>
            </w:pPr>
            <w:r>
              <w:t>Staten skal vise åpenhet om statens eierskap, eierutøvelse og stemmegivning på generalforsamling.</w:t>
            </w:r>
          </w:p>
          <w:p w14:paraId="11A5D5BF" w14:textId="310903B7" w:rsidR="00B46B24" w:rsidRDefault="00B46B24" w:rsidP="00B46B24">
            <w:pPr>
              <w:pStyle w:val="Nummerertliste"/>
              <w:numPr>
                <w:ilvl w:val="0"/>
                <w:numId w:val="48"/>
              </w:numPr>
            </w:pPr>
            <w:r>
              <w:t>Statens eierutøvelse skal bidra til å nå statens mål som eier. Dette skjer gjennom forventninger til selskapene, stemmegivning på generalforsamling og annen eierutøvelse.</w:t>
            </w:r>
          </w:p>
          <w:p w14:paraId="2205C8FF" w14:textId="4BABE519" w:rsidR="00B46B24" w:rsidRDefault="00B46B24" w:rsidP="00B46B24">
            <w:pPr>
              <w:pStyle w:val="Nummerertliste"/>
              <w:numPr>
                <w:ilvl w:val="0"/>
                <w:numId w:val="48"/>
              </w:numPr>
            </w:pPr>
            <w:r>
              <w:t>Statens eierutøvelse skal legge til grunn selskapslovgivningens ansvars- og rollefordeling mellom eier, styre og daglig leder, samt allment anerkjente eierstyringsprinsipper og -standarder.</w:t>
            </w:r>
          </w:p>
          <w:p w14:paraId="52FC927C" w14:textId="193BF8B8" w:rsidR="00B46B24" w:rsidRDefault="00B46B24" w:rsidP="00B46B24">
            <w:pPr>
              <w:pStyle w:val="Nummerertliste"/>
              <w:numPr>
                <w:ilvl w:val="0"/>
                <w:numId w:val="48"/>
              </w:numPr>
            </w:pPr>
            <w:r>
              <w:t>Statens eiermyndighet i selskapet skal utøves på generalforsamling.</w:t>
            </w:r>
          </w:p>
          <w:p w14:paraId="3E8C9390" w14:textId="01F1F429" w:rsidR="00B46B24" w:rsidRDefault="00B46B24" w:rsidP="00B46B24">
            <w:pPr>
              <w:pStyle w:val="Nummerertliste"/>
              <w:numPr>
                <w:ilvl w:val="0"/>
                <w:numId w:val="48"/>
              </w:numPr>
            </w:pPr>
            <w:r>
              <w:t>Styret har ansvaret for å forvalte selskapet. Staten skal vurdere selskapets måloppnåelse og arbeid med statens forventninger og styrets bidrag til dette.</w:t>
            </w:r>
          </w:p>
          <w:p w14:paraId="3205C019" w14:textId="6B41B036" w:rsidR="00B46B24" w:rsidRDefault="00B46B24" w:rsidP="00B46B24">
            <w:pPr>
              <w:pStyle w:val="Nummerertliste"/>
              <w:numPr>
                <w:ilvl w:val="0"/>
                <w:numId w:val="48"/>
              </w:numPr>
            </w:pPr>
            <w:r>
              <w:t>Relevant kompetanse skal være hovedhensynet ved statens arbeid med styresammensetting. Gitt kompetanse skal staten vektlegge kapasitet og mangfold.</w:t>
            </w:r>
          </w:p>
          <w:p w14:paraId="21A74F2F" w14:textId="1FA1F4C2" w:rsidR="00B46B24" w:rsidRDefault="00B46B24" w:rsidP="00B46B24">
            <w:pPr>
              <w:pStyle w:val="Nummerertliste"/>
              <w:numPr>
                <w:ilvl w:val="0"/>
                <w:numId w:val="48"/>
              </w:numPr>
            </w:pPr>
            <w:r>
              <w:t>Statens eierskap skal utøves i tråd med selskapsrettens prinsipp om likebehandling av aksjeeiere.</w:t>
            </w:r>
          </w:p>
          <w:p w14:paraId="2A957838" w14:textId="1B01DFDF" w:rsidR="00B46B24" w:rsidRDefault="00B46B24" w:rsidP="00B46B24">
            <w:pPr>
              <w:pStyle w:val="Nummerertliste"/>
              <w:numPr>
                <w:ilvl w:val="0"/>
                <w:numId w:val="48"/>
              </w:numPr>
            </w:pPr>
            <w:r>
              <w:t>Statens eierrolle skal skilles fra statens øvrige roller.</w:t>
            </w:r>
          </w:p>
          <w:p w14:paraId="059DF20E" w14:textId="69390084" w:rsidR="00B46B24" w:rsidRDefault="00B46B24" w:rsidP="00B46B24">
            <w:pPr>
              <w:pStyle w:val="Nummerertliste"/>
              <w:numPr>
                <w:ilvl w:val="0"/>
                <w:numId w:val="48"/>
              </w:numPr>
            </w:pPr>
            <w:r>
              <w:t>Statlig eierskap skal ikke urettmessig medføre andre konkurransevilkår, verken fordeler eller ulemper, sammenlignet med selskaper uten statlig eierandel.</w:t>
            </w:r>
          </w:p>
        </w:tc>
      </w:tr>
    </w:tbl>
    <w:p w14:paraId="21F7AB12" w14:textId="77777777" w:rsidR="004B1A63" w:rsidRDefault="004B1A63">
      <w:pPr>
        <w:spacing w:before="340"/>
      </w:pPr>
      <w:r>
        <w:t>Det er åpenbart at gjennom en aktiv eierutøvelse, kan staten – avhengig av eierandel – utøve innflytelse i virksomheten den eier. I den grad begrunnelsen for eierskap er å kunne kontrollere kritisk digital kommunikasjonsinfrastruktur, bør eierandelen være over 50 prosent. Med en slik eierandel vil staten ha bestemmende innflytelse på en rekke avgjørelser knyttet til driften av selskapet og dermed sikre nasjonal kontroll over infrastrukturen, blant annet gjennom valg av styremedlemmer. Staten vil med en slik eierandel også kunne blokkere generalforsamlingsbeslutninger som krever flertall.</w:t>
      </w:r>
    </w:p>
    <w:p w14:paraId="356AA217" w14:textId="77777777" w:rsidR="004B1A63" w:rsidRDefault="004B1A63">
      <w:r>
        <w:t xml:space="preserve">Hvorvidt staten skal sikre nasjonal kontroll gjennom eierskap må vurderes konkret i hvert enkelt tilfelle i lys av trussel- og risikobildet. I vurderingen må man se hen til hvilke andre tiltak som kan sikre et tilfredsstillende nivå av nasjonal kontroll, og veie forholdsmessigheten, kostnaden og effektiviteten av eierskap kontra bruk av </w:t>
      </w:r>
      <w:r>
        <w:rPr>
          <w:spacing w:val="2"/>
        </w:rPr>
        <w:t xml:space="preserve">andre virkemidler. I eierskapsmeldingen fremgår det også eksplisitt at regulering er det primære virkemiddelet for å ivareta hensyn knyttet til nasjonal sikkerhet, </w:t>
      </w:r>
      <w:r>
        <w:t>samfunnssikkerhet og beredskap. Å bruke eierskap for å nå dette målet skal kun vurderes i særskilte tilfeller.</w:t>
      </w:r>
    </w:p>
    <w:p w14:paraId="56D909F2" w14:textId="77777777" w:rsidR="004B1A63" w:rsidRDefault="004B1A63">
      <w:r>
        <w:t>I forhold til de øvrige virkemidlene som regulering og avtaler, gir eierskap kontroll over alle gjenværende rettigheter, det vil si dem som ikke er regulert eller avtalt på forhånd – såkalte residuale rettigheter. I tilfeller hvor det er vanskelig å forutsi eller spesifisere behovet for kontroll i form av en regulering eller avtale, vil eierskap derfor kunne være bedre.</w:t>
      </w:r>
    </w:p>
    <w:p w14:paraId="5F5F6E97" w14:textId="77777777" w:rsidR="004B1A63" w:rsidRDefault="004B1A63">
      <w:r>
        <w:lastRenderedPageBreak/>
        <w:t>En annen styrke ved (tilstrekkelig) eierskapsandel er at det gir innsikt i selskapets strategiske beslutninger, herunder utkontraktering, nedleggelse av enkelte tjenester og salg av eiendeler og rettigheter. Slike beslutninger kan svekke nasjonal kontroll og vil typisk ikke fanges opp av reguleringer om meldeplikt knyttet til eierskap etter sikkerhetsloven. Normalt skal slike beslutninger styrebehandles, og en statlig eierandel på mer enn halvparten vil dermed kunne gi innsikt og innflytelse gjennom styreposisjon.</w:t>
      </w:r>
    </w:p>
    <w:p w14:paraId="6B228359" w14:textId="6C007AB1" w:rsidR="004B1A63" w:rsidRDefault="004B1A63">
      <w:r>
        <w:t>Statens direkte eierskap i selskaper må alltid ha grunnlag i et vedtak fra Stortinget som gir fullmakt til dette. Slik fullmakt ble for eksempel gitt i statsbudsjettet for 2024</w:t>
      </w:r>
      <w:r w:rsidR="00015951" w:rsidRPr="00015951">
        <w:rPr>
          <w:rStyle w:val="Fotnotereferanse"/>
        </w:rPr>
        <w:footnoteReference w:id="95"/>
      </w:r>
      <w:r>
        <w:t xml:space="preserve"> der NFD ble gitt fullmakt til </w:t>
      </w:r>
      <w:r w:rsidR="00015951">
        <w:t>«</w:t>
      </w:r>
      <w:r w:rsidRPr="00015951">
        <w:rPr>
          <w:rStyle w:val="kursiv"/>
        </w:rPr>
        <w:t>å utøve forkjøpsrett og utgiftsføre uten bevilgning under kap. 950 Forvaltning av statlig eierskap, post 96 Aksjer, og dermed erverve 3</w:t>
      </w:r>
      <w:r w:rsidR="00015951" w:rsidRPr="00015951">
        <w:rPr>
          <w:rStyle w:val="kursiv"/>
        </w:rPr>
        <w:t>0</w:t>
      </w:r>
      <w:r w:rsidR="00015951" w:rsidRPr="00015951">
        <w:rPr>
          <w:rStyle w:val="kursiv"/>
        </w:rPr>
        <w:t> pst.</w:t>
      </w:r>
      <w:r w:rsidRPr="00015951">
        <w:rPr>
          <w:rStyle w:val="kursiv"/>
        </w:rPr>
        <w:t xml:space="preserve"> av aksjene i Telenor Fiber AS dersom Telenor ASA ikke ønsker å benytte denne retten og retten overføres til Nærings- og fiskeridepartementet, ved et eventuelt fremtidig salg av minoritetsandelen i Telenor Fiber AS</w:t>
      </w:r>
      <w:r w:rsidR="00015951">
        <w:t>»</w:t>
      </w:r>
      <w:r>
        <w:t>. Vedtaket hadde sammenheng med Telenor ASAs salg av en 30 prosent eierandel i Telenor Fiber AS til et konsortium bestående av KKR</w:t>
      </w:r>
      <w:r w:rsidR="00015951" w:rsidRPr="00015951">
        <w:rPr>
          <w:rStyle w:val="Fotnotereferanse"/>
        </w:rPr>
        <w:footnoteReference w:id="96"/>
      </w:r>
      <w:r>
        <w:t xml:space="preserve"> og Oslo Pensjonsforsikring, og der Telenor ASA i avtalen hadde sikret seg en forkjøpsrett ved et eventuelt salg av de aktuelle aksjene i fremtiden.</w:t>
      </w:r>
    </w:p>
    <w:p w14:paraId="2615EE23" w14:textId="3D579038" w:rsidR="004B1A63" w:rsidRDefault="004B1A63">
      <w:r>
        <w:t>Fullmakt ble også gitt av Stortinget da Space Norway AS (100 prosent statlig eiet) kjøpte Telenor Satellite AS 4. januar 2024. Kjøpet ble finansiert gjennom en forhøyelse av egenkapitalen i Space Norway AS på 2,3</w:t>
      </w:r>
      <w:r w:rsidR="00015951">
        <w:t>6</w:t>
      </w:r>
      <w:r w:rsidR="00015951">
        <w:t> mrd.</w:t>
      </w:r>
      <w:r>
        <w:t xml:space="preserve"> kroner</w:t>
      </w:r>
      <w:r w:rsidR="00015951" w:rsidRPr="00015951">
        <w:rPr>
          <w:rStyle w:val="Fotnotereferanse"/>
        </w:rPr>
        <w:footnoteReference w:id="97"/>
      </w:r>
      <w:r>
        <w:t>, som ble tilført fra staten på en ekstraordinær generalforsamling 21. desember 2023.</w:t>
      </w:r>
    </w:p>
    <w:p w14:paraId="325D717C" w14:textId="62576838" w:rsidR="004B1A63" w:rsidRDefault="004B1A63">
      <w:r>
        <w:t>Space Norway AS sitt oppkjøp av Telenor Satellite AS er et eksempel på at staten ønsket å sikre statlig eierskap i infrastruktur som kritiske samfunnsfunksjoner er avhengig av. I pressemeldingen</w:t>
      </w:r>
      <w:r w:rsidR="00015951" w:rsidRPr="00015951">
        <w:rPr>
          <w:rStyle w:val="Fotnotereferanse"/>
        </w:rPr>
        <w:footnoteReference w:id="98"/>
      </w:r>
      <w:r>
        <w:t xml:space="preserve"> fra NFD om oppkjøpet står det at </w:t>
      </w:r>
      <w:r w:rsidR="00015951">
        <w:t>«</w:t>
      </w:r>
      <w:r>
        <w:t>Oppkjøpet vil bidra til at vi får en stor norsk satellittoperatør som, sammen med en norsk romnæring i vekst, kan styrke Norge som romnasjon. Samtidig sikrer oppkjøpet at Norge – i en tid med økende geopolitisk uro – har kontroll over satellitter som kritiske samfunnsfunksjoner er avhengige av og som er strategisk viktige for Norge</w:t>
      </w:r>
      <w:r w:rsidR="00015951">
        <w:t>»</w:t>
      </w:r>
      <w:r>
        <w:t>.</w:t>
      </w:r>
    </w:p>
    <w:p w14:paraId="45D76170" w14:textId="77777777" w:rsidR="004B1A63" w:rsidRDefault="004B1A63">
      <w:r>
        <w:t xml:space="preserve">Selv om statlig eierskap kan gi stor grad av nasjonal kontroll, illustrerer eksemplene at statlig oppkjøp som virkemiddel til å sikre nasjonal kontroll, først og fremst egner seg som virkemiddel i et mer langsiktig perspektiv, og ikke i situasjoner der en står overfor en aktuell trussel. Skal eierskap brukes som effektivt virkemiddel for å unngå at uønskede interesser får kontroll og innflytelse i selskaper som eier kritisk digital infrastruktur, må staten proaktivt og løpende vurdere det sikkerhetspolitiske bildet, ha </w:t>
      </w:r>
      <w:r>
        <w:lastRenderedPageBreak/>
        <w:t>oversikt over hva som må anses som kritisk digital kommunikasjonsinfrastruktur samt ha oversikt over eierskapet i den aktuelle infrastrukturen, og treffe avgjørelser ut fra potensielle utfordringer som risikobildet gir. Slike vurderinger krever ressurser og oppfølging, og avgjørelsen vil kunne være politisk sensitiv.</w:t>
      </w:r>
    </w:p>
    <w:p w14:paraId="72C1D2C9" w14:textId="77777777" w:rsidR="004B1A63" w:rsidRDefault="004B1A63">
      <w:r>
        <w:t>EØS-avtalen kan legge begrensninger på bruk av eierskap for å sikre nasjonal kontroll. Avtalens bestemmelser om statsstøtte gjelder uavhengig av om eierskapet i en virksomhet er offentlig eller privat, og gjelder også selskaper med statlig eierandel. Dette betyr at statsstøtteregelverket kan legge begrensninger på statens mulighet til å vektlegge ikke-kommersielle sikkerhetshensyn i eierutøvelsen når virksomheten driver økonomisk aktivitet etter EØS-avtalens artikkel 61 (1). I St. Meld. 6 (2022–2023) punkt 9.4 framgår det at</w:t>
      </w:r>
    </w:p>
    <w:p w14:paraId="10C065B4" w14:textId="17782CA0" w:rsidR="004B1A63" w:rsidRPr="00015951" w:rsidRDefault="00015951">
      <w:pPr>
        <w:pStyle w:val="blokksit"/>
      </w:pPr>
      <w:r>
        <w:t>«</w:t>
      </w:r>
      <w:r w:rsidR="004B1A63" w:rsidRPr="00015951">
        <w:t>Dersom det offentlige tilfører kapital på grunnlag av andre hensyn og andre vilkår enn hva en sammenlignbar privat investor antas å ville ha stilt, kan det bety at tilførselen innebærer en økonomisk fordel for det aktuelle selskapet som kan gjøre det til offentlig støtte etter EØS-avtalens artikkel 61 (1), såfremt de andre vilkårene er oppfylt. Dette innebærer at staten må operere i samsvar med markedsaktørprinsippet når staten investerer i et foretak, gitt at alle kriteriene i EØS-avtalens artikkel 61 (1) er oppfylt, for å unngå at en investering blir offentlig støtte</w:t>
      </w:r>
      <w:r>
        <w:t>»</w:t>
      </w:r>
      <w:r w:rsidR="004B1A63" w:rsidRPr="00015951">
        <w:t>.</w:t>
      </w:r>
    </w:p>
    <w:p w14:paraId="400A6775" w14:textId="35411656" w:rsidR="004B1A63" w:rsidRDefault="004B1A63">
      <w:r>
        <w:t>Det kan synes å være tilfeller av inkonsistens mellom begrunnelsen for staten sitt eierskap og statens mål med eierskapet i eierskapsmeldingen, eksempelvis i Telenor. Eierskapet er satt til kategori 1 hvor målet er høyest mulig avkastning gitt bærekraftighet. I tillegg begrunnes eierskapet i å sikre at hovedkontorfunksjoner forblir i Norge samt av hensyn til samfunnssikkerhet og beredskap.</w:t>
      </w:r>
      <w:r w:rsidR="00015951" w:rsidRPr="00015951">
        <w:rPr>
          <w:rStyle w:val="Fotnotereferanse"/>
        </w:rPr>
        <w:footnoteReference w:id="99"/>
      </w:r>
      <w:r>
        <w:t xml:space="preserve"> Dette er uproblematisk så lenge beslutninger som gir høyest mulig avkastning for selskapet sammenfaller med samfunnssikkerhet. Imidlertid gir begrunnelsen bare mening dersom den tenkes utøvet, noe som bare vil være aktuelt i de tilfeller hvor det </w:t>
      </w:r>
      <w:r w:rsidRPr="00015951">
        <w:rPr>
          <w:rStyle w:val="kursiv"/>
        </w:rPr>
        <w:t>ikke</w:t>
      </w:r>
      <w:r>
        <w:t xml:space="preserve"> er sammenfall, med andre ord, når samfunnssikkerhet går på bekostning av avkastning. Utvalget mener at når staten begrunner eierskap med å ivareta samfunnssikkerhet gjennom eierskapet, bør forvaltningen av eierskapet være tydeligere når det gjelder hvordan hensynet til samfunnssikkerhet og beredskap veies mot hensynet til avkastning, andre aksjonærer og for eksempel statsstøtteregler.</w:t>
      </w:r>
    </w:p>
    <w:p w14:paraId="6A2FCEC4" w14:textId="77777777" w:rsidR="004B1A63" w:rsidRDefault="004B1A63">
      <w:pPr>
        <w:pStyle w:val="Overskrift3"/>
      </w:pPr>
      <w:r>
        <w:t>Kommunalt og fylkeskommunalt eierskap</w:t>
      </w:r>
    </w:p>
    <w:p w14:paraId="471C182F" w14:textId="206EF9AC" w:rsidR="004B1A63" w:rsidRDefault="004B1A63">
      <w:r>
        <w:t xml:space="preserve">Grunnloven </w:t>
      </w:r>
      <w:r w:rsidR="00015951">
        <w:t>§ </w:t>
      </w:r>
      <w:r w:rsidR="00015951">
        <w:t>4</w:t>
      </w:r>
      <w:r>
        <w:t xml:space="preserve">9 annet ledd sier at </w:t>
      </w:r>
      <w:r w:rsidR="00015951">
        <w:t>«</w:t>
      </w:r>
      <w:r>
        <w:t>Innbyggerne har rett til å styre lokale anliggender gjennom lokale folkevalgte organer. Nærmere bestemmelser om det lokale folkevalgte nivå fastsettes ved lov</w:t>
      </w:r>
      <w:r w:rsidR="00015951">
        <w:t>»</w:t>
      </w:r>
      <w:r>
        <w:t xml:space="preserve">. Bestemmelsen grunnlovfester prinsippet om det lokale selvstyret, men setter ikke </w:t>
      </w:r>
      <w:r w:rsidR="00015951">
        <w:t>«</w:t>
      </w:r>
      <w:r>
        <w:t xml:space="preserve">skranke for den funksjons- og oppgavefordeling innen offentlig forvaltning som Stortinget gjennom ordinær lovgivning </w:t>
      </w:r>
      <w:r>
        <w:lastRenderedPageBreak/>
        <w:t>finner hensiktsmessig,</w:t>
      </w:r>
      <w:r w:rsidR="00015951">
        <w:t>»</w:t>
      </w:r>
      <w:r>
        <w:t xml:space="preserve"> se </w:t>
      </w:r>
      <w:r w:rsidR="00015951">
        <w:t xml:space="preserve">Innst. </w:t>
      </w:r>
      <w:r w:rsidR="00015951">
        <w:t>182</w:t>
      </w:r>
      <w:r w:rsidR="00015951">
        <w:t xml:space="preserve"> </w:t>
      </w:r>
      <w:r w:rsidR="00015951">
        <w:t>S (2015</w:t>
      </w:r>
      <w:r w:rsidR="00015951">
        <w:t>–</w:t>
      </w:r>
      <w:r w:rsidR="00015951">
        <w:t>2016)</w:t>
      </w:r>
      <w:r>
        <w:t xml:space="preserve"> side 7. Kommunalt og fylkeskommunalt selvstyre nærmere regulert i kommuneloven </w:t>
      </w:r>
      <w:r w:rsidR="00015951">
        <w:t>§ </w:t>
      </w:r>
      <w:r w:rsidR="00015951">
        <w:t>2</w:t>
      </w:r>
      <w:r>
        <w:t>-1:</w:t>
      </w:r>
    </w:p>
    <w:p w14:paraId="1BD89AE5" w14:textId="15E194A1" w:rsidR="004B1A63" w:rsidRPr="00015951" w:rsidRDefault="00015951">
      <w:pPr>
        <w:pStyle w:val="blokksit"/>
      </w:pPr>
      <w:r>
        <w:t>«§ </w:t>
      </w:r>
      <w:r w:rsidRPr="00015951">
        <w:t>2</w:t>
      </w:r>
      <w:r w:rsidR="004B1A63" w:rsidRPr="00015951">
        <w:t>-1.Kommunalt og fylkeskommunalt selvstyre</w:t>
      </w:r>
    </w:p>
    <w:p w14:paraId="5FBAF22B" w14:textId="77777777" w:rsidR="004B1A63" w:rsidRPr="00015951" w:rsidRDefault="004B1A63">
      <w:pPr>
        <w:pStyle w:val="blokksit"/>
      </w:pPr>
      <w:r w:rsidRPr="00015951">
        <w:t>Norge er inndelt i kommuner og fylkeskommuner med en egen folkevalgt ledelse.</w:t>
      </w:r>
    </w:p>
    <w:p w14:paraId="21E9578E" w14:textId="77777777" w:rsidR="004B1A63" w:rsidRPr="00015951" w:rsidRDefault="004B1A63">
      <w:pPr>
        <w:pStyle w:val="blokksit"/>
      </w:pPr>
      <w:r w:rsidRPr="00015951">
        <w:t>Hver kommune og fylkeskommune er et eget rettssubjekt og kan ta avgjørelser på eget initiativ og ansvar.</w:t>
      </w:r>
    </w:p>
    <w:p w14:paraId="0FD0A6B3" w14:textId="122E63B9" w:rsidR="004B1A63" w:rsidRPr="00015951" w:rsidRDefault="004B1A63">
      <w:pPr>
        <w:pStyle w:val="blokksit"/>
        <w:rPr>
          <w:spacing w:val="-4"/>
        </w:rPr>
      </w:pPr>
      <w:r w:rsidRPr="00015951">
        <w:t xml:space="preserve">Kommunene og fylkeskommunene utøver sitt selvstyre innenfor nasjonale rammer. </w:t>
      </w:r>
      <w:r w:rsidRPr="00015951">
        <w:rPr>
          <w:spacing w:val="-4"/>
        </w:rPr>
        <w:t>Begrensninger i det kommunale og fylkeskommunale selvstyret må ha hjemmel i lov.</w:t>
      </w:r>
      <w:r w:rsidR="00015951">
        <w:rPr>
          <w:spacing w:val="-4"/>
        </w:rPr>
        <w:t>»</w:t>
      </w:r>
    </w:p>
    <w:p w14:paraId="5297D8C6" w14:textId="77777777" w:rsidR="004B1A63" w:rsidRDefault="004B1A63">
      <w:r>
        <w:t>Kommunenes kompetanse er negativt avgrenset, noe som betyr at de kan ta på seg oppgaver og treffe beslutninger ut fra de behovene kommunene har, så lenge oppgavene ikke i lov er gitt andre eller der er særskilt forbud mot det. Kommuner kan involvere seg i en rekke frivillige aktiviteter, herunder å drive næringsvirksomhet.</w:t>
      </w:r>
    </w:p>
    <w:p w14:paraId="2664032A" w14:textId="4C612B97" w:rsidR="004B1A63" w:rsidRDefault="004B1A63">
      <w:r>
        <w:t>En rekke kommuner eier i dag – direkte eller indirekte – andeler av selskaper som eier digital kommunikasjonsinfrastruktur og leverer tjenester i denne infrastrukturen. Det er særlig fiberinfrastruktur og bredbåndstjenester som eies og leveres av selskaper eid av kommuner. For eksempel eies Lyse Tele AS 100 prosent av Lyse AS som eies av 14 kommuner i Sør-Rogaland.</w:t>
      </w:r>
      <w:r w:rsidR="00015951" w:rsidRPr="00015951">
        <w:rPr>
          <w:rStyle w:val="Fotnotereferanse"/>
        </w:rPr>
        <w:footnoteReference w:id="100"/>
      </w:r>
      <w:r>
        <w:t xml:space="preserve"> Viken fiber eies indirekte av Lyse AS samt Statskraft og en rekke kommuner i Agder, Buskerud og Oppland (gjennom eierskap i Å Energi AS, Lier Everk Holding AS og Hadeland Energi AS). Eidsiva AS som eier Eidsiva bredbånd, eies direkte og indirekte av til sammen 29 kommuner.</w:t>
      </w:r>
      <w:r w:rsidR="00015951" w:rsidRPr="00015951">
        <w:rPr>
          <w:rStyle w:val="Fotnotereferanse"/>
        </w:rPr>
        <w:footnoteReference w:id="101"/>
      </w:r>
      <w:r>
        <w:t xml:space="preserve"> Eidsiva AS eier også et datasenter.</w:t>
      </w:r>
    </w:p>
    <w:p w14:paraId="65DA36ED" w14:textId="77777777" w:rsidR="004B1A63" w:rsidRDefault="004B1A63">
      <w:r>
        <w:t>På samme måte som for statlig eierskap, vil kommunalt eller fylkeskommunalt eierskap kunne sikre at uønskede aktører ikke får kontroll over kritisk digital kommunikasjons-infrastruktur. Mens statlig eierskap i slik infrastruktur normalt er begrunnet nettopp i behovet for nasjonal kontroll, vil det neppe være utgangspunktet for kommunalt eller fylkeskommunalt eierskap.</w:t>
      </w:r>
    </w:p>
    <w:p w14:paraId="7F7A05AC" w14:textId="77777777" w:rsidR="004B1A63" w:rsidRDefault="004B1A63">
      <w:r>
        <w:t>En begrunnelse for eierskap kan være å sikre innbyggerne tjenester. Kommuner og fylkeskommuner har stor frihet til å velge hvordan tjenestene og virksomheten skal organiseres. I stor grad skjer tjenesteproduksjonen innenfor kommunen eller fylkeskommunen som organisasjon. Kommunestyret eller fylkestinget kan imidlertid velge å organisere en del av virksomheten i egne foretak, for eksempel aksjeselskaper eller interkommunale selskaper.</w:t>
      </w:r>
    </w:p>
    <w:p w14:paraId="0738A70D" w14:textId="3E0727CC" w:rsidR="004B1A63" w:rsidRDefault="004B1A63">
      <w:r>
        <w:t xml:space="preserve">Kommuner og fylkeskommuner eier store deler av kraftsektoren. Tradisjonelt har motivet for slikt eierskap særlig vært å sikre energi til befolkning og næringsliv, mens i dag er økonomisk utbytte og mulighet for å sikre kommuneøkonomien, mer sentralt for eierskap. Flere kraftselskaper med kommunalt eierskap har investert i bredbåndinfrastruktur, og bredbåndvirksomhet utgjør en vesentlig del av </w:t>
      </w:r>
      <w:r>
        <w:lastRenderedPageBreak/>
        <w:t>inntektene</w:t>
      </w:r>
      <w:r w:rsidR="00015951" w:rsidRPr="00015951">
        <w:rPr>
          <w:rStyle w:val="Fotnotereferanse"/>
        </w:rPr>
        <w:footnoteReference w:id="102"/>
      </w:r>
      <w:r>
        <w:t xml:space="preserve"> i mange kommunalt eide konsernselskaper. Muligheten for økonomisk utbytte og styrket kommuneøkonomi, vil nok ofte være hovedmotivet for slike investeringer.</w:t>
      </w:r>
    </w:p>
    <w:p w14:paraId="236D5219" w14:textId="607690A6" w:rsidR="004B1A63" w:rsidRDefault="004B1A63">
      <w:r>
        <w:t>Likevel kan hensynet til nasjonalt eierskap for å sikre trygge samfunnskritiske tjenester også være av betydning for kommunalt og fylkeskommunalt eierskap. Da Eidsiva kjøpte fjellanlegget til Tietoevry på Gjøvik, uttalte selskapet i sin pressemelding at Eidsiva ville bidra til å bygge en viktig del av den samfunnskritiske infrastrukturen for digitaliseringen av landet.</w:t>
      </w:r>
      <w:r w:rsidR="00015951" w:rsidRPr="00015951">
        <w:rPr>
          <w:rStyle w:val="Fotnotereferanse"/>
        </w:rPr>
        <w:footnoteReference w:id="103"/>
      </w:r>
    </w:p>
    <w:p w14:paraId="33F361A6" w14:textId="77777777" w:rsidR="004B1A63" w:rsidRDefault="004B1A63">
      <w:r>
        <w:t>Uavhengig av hva motivasjonen for eierskap er, kan staten ikke instruere kommuner og fylkeskommuner om hvordan eierskapet skal forvaltes. Hvis staten ønsker å gripe inn i forvaltningen av eierskapet, må dette gjøre innenfor de samme rammer som gjelder for andre markedsaktører, for eksempel gjennom bruk av sikkerhetsloven.</w:t>
      </w:r>
    </w:p>
    <w:p w14:paraId="1AF5EB9B" w14:textId="77777777" w:rsidR="004B1A63" w:rsidRDefault="004B1A63">
      <w:pPr>
        <w:pStyle w:val="Overskrift3"/>
      </w:pPr>
      <w:r>
        <w:t>Privat eierskap</w:t>
      </w:r>
    </w:p>
    <w:p w14:paraId="675C6C07" w14:textId="77777777" w:rsidR="004B1A63" w:rsidRDefault="004B1A63">
      <w:r>
        <w:t>Privat eierskap er hovedregelen i den forstand at det er den største eierkategorien i norsk næringsliv. Privat norsk eierskap kan hindre at uønskede utenlandske aktører får innflytelse og kontroll, og på den måten treffe beslutninger og tiltak til skade for nasjonal sikkerhet, i virksomheter som eier kritisk digital kommunikasjonsinfrastruktur. Eierandeler i disse selskapene vil i utgangspunktet kunne omsettes uten norske myndigheters inngripen. Skal staten kunne gripe inn overfor private aktører for å sikre tilstrekkelig nasjonal kontroll ved et salg av eierandeler, krever det hjemmel i lov. Her står sikkerhetsloven særlig sentral og åpner for at det kan treffes vedtak om at kjøp av foretak ikke kan gjennomføres eller sette vilkår for gjennomføringen. Regulering som virkemiddel er beskrevet nærmere nedenfor.</w:t>
      </w:r>
    </w:p>
    <w:p w14:paraId="5FA936C3" w14:textId="77777777" w:rsidR="004B1A63" w:rsidRDefault="004B1A63">
      <w:r>
        <w:t>Privat norsk eierskap som virkemiddel for nasjonal kontroll av kritisk digital kommunikasjonsinfrastruktur, bygger på en forutsetning om at man har tillit til at norske eiere i større grad enn utenlandske eiere, vil ha fokus på å ivareta nasjonale sikkerhetshensyn i forvaltningen av eierskapet. Som nevnt i punkt 8.4 kan imidlertid også norske eiere være utsatt for innflytelse av utenlandske statsledelser.</w:t>
      </w:r>
    </w:p>
    <w:p w14:paraId="79A6B818" w14:textId="77777777" w:rsidR="004B1A63" w:rsidRDefault="004B1A63">
      <w:pPr>
        <w:pStyle w:val="Overskrift2"/>
      </w:pPr>
      <w:r>
        <w:lastRenderedPageBreak/>
        <w:t>Regulering</w:t>
      </w:r>
    </w:p>
    <w:p w14:paraId="0BF16815" w14:textId="77777777" w:rsidR="004B1A63" w:rsidRDefault="004B1A63">
      <w:pPr>
        <w:pStyle w:val="Overskrift3"/>
        <w:spacing w:before="0"/>
      </w:pPr>
      <w:r>
        <w:t>Innledning</w:t>
      </w:r>
    </w:p>
    <w:p w14:paraId="4732AEBE" w14:textId="150392A8" w:rsidR="004B1A63" w:rsidRDefault="004B1A63">
      <w:r>
        <w:t>Som det framgår av eierskapsmeldingen punkt 4.1.2</w:t>
      </w:r>
      <w:r w:rsidR="00015951" w:rsidRPr="00015951">
        <w:rPr>
          <w:rStyle w:val="Fotnotereferanse"/>
        </w:rPr>
        <w:footnoteReference w:id="104"/>
      </w:r>
      <w:r>
        <w:t xml:space="preserve"> er regulering det primære virkemiddelet for å ivareta hensyn knyttet til nasjonal sikkerhet, samfunnssikkerhet og beredskap. I innstilling fra Stortingets justiskomité om Nasjonal kontroll og digital motstandskraft for å ivareta nasjonal sikkerhet</w:t>
      </w:r>
      <w:r w:rsidR="00015951" w:rsidRPr="00015951">
        <w:rPr>
          <w:rStyle w:val="Fotnotereferanse"/>
        </w:rPr>
        <w:footnoteReference w:id="105"/>
      </w:r>
      <w:r>
        <w:t>, sier komitéen knyttet til redegjørelsen av virkemiddelapparatet for å sikre nasjonal kontroll og digital motstandskraft:</w:t>
      </w:r>
    </w:p>
    <w:p w14:paraId="7E6682F1" w14:textId="4D09293E" w:rsidR="004B1A63" w:rsidRDefault="00015951">
      <w:pPr>
        <w:rPr>
          <w:spacing w:val="-3"/>
        </w:rPr>
      </w:pPr>
      <w:r>
        <w:rPr>
          <w:spacing w:val="-3"/>
        </w:rPr>
        <w:t>«</w:t>
      </w:r>
      <w:r w:rsidR="004B1A63">
        <w:rPr>
          <w:spacing w:val="-3"/>
        </w:rPr>
        <w:t>Komiteen viser til at flere saker de siste årene har synliggjort hvor viktig det er å ha både regulatoriske virkemidler og evne til å tenke langsiktig for å sikre nasjonal kontroll og nasjonal sikkerhet. Flere virksomheter har blitt utsatt for alvorlige dataangrep de siste årene, hvilket er en påminnelse på behovet for digital motstandskraft. Komiteen er derfor enig i behovet for utvikling og tilpasning av tiltak for å kunne imøtekomme aktuelle situasjoner som kan oppstå. Det å forebygge uønskede hendelser blir stadig viktigere, spesielt i lys av de endrede økonomiske rammene. Selv om enkelte tiltak vil kunne påføre både offentlige og private virksomheter direkte kostnader og utløse økte krav til rapportering, må omkostningene veies opp mot hensynet til å kunne ivareta nasjonal sikkerhet</w:t>
      </w:r>
      <w:r>
        <w:rPr>
          <w:spacing w:val="-3"/>
        </w:rPr>
        <w:t>»</w:t>
      </w:r>
      <w:r w:rsidR="004B1A63">
        <w:rPr>
          <w:spacing w:val="-3"/>
        </w:rPr>
        <w:t>.</w:t>
      </w:r>
    </w:p>
    <w:p w14:paraId="3DBA422D" w14:textId="2EC3F970" w:rsidR="004B1A63" w:rsidRDefault="004B1A63">
      <w:r>
        <w:t xml:space="preserve">Nedenfor beskrives ulike regelverk med bestemmelser knyttet til nasjonal sikkerhet og sikkerhet i digital infrastruktur samt beredskap, og som er eksempel på at regulering brukes som virkemiddel for å styrke nasjonal kontroll og nasjonal sikkerhet i kritisk digital kommunikasjonsinfrastruktur. Regelverkene som beskrives inneholder regulering som fungerer som proaktivt virkemiddel – som krav i sikkerhetsloven </w:t>
      </w:r>
      <w:r w:rsidR="00015951">
        <w:t>§ </w:t>
      </w:r>
      <w:r w:rsidR="00015951">
        <w:t>4</w:t>
      </w:r>
      <w:r>
        <w:t xml:space="preserve">-3 og ekomloven </w:t>
      </w:r>
      <w:r w:rsidR="00015951">
        <w:t>§ </w:t>
      </w:r>
      <w:r w:rsidR="00015951">
        <w:t>3</w:t>
      </w:r>
      <w:r>
        <w:t xml:space="preserve">-1 om </w:t>
      </w:r>
      <w:r w:rsidR="00015951">
        <w:t>«</w:t>
      </w:r>
      <w:r>
        <w:t>forsvarlig sikkerhet</w:t>
      </w:r>
      <w:r w:rsidR="00015951">
        <w:t>»</w:t>
      </w:r>
      <w:r>
        <w:t xml:space="preserve"> – og som reaktivt virkemiddel som gir myndigheter hjemmel til å agere når sikkerhetstruende hendelser inntrer – som sikkerhetsloven </w:t>
      </w:r>
      <w:r w:rsidR="00015951">
        <w:t>§ </w:t>
      </w:r>
      <w:r w:rsidR="00015951">
        <w:t>2</w:t>
      </w:r>
      <w:r>
        <w:t xml:space="preserve">-5 (for å hindre sikkerhetstruende aktivitet) og </w:t>
      </w:r>
      <w:r w:rsidR="00015951">
        <w:t>§ </w:t>
      </w:r>
      <w:r w:rsidR="00015951">
        <w:t>1</w:t>
      </w:r>
      <w:r>
        <w:t>0-3 (om stans i erverv av virksomhet).</w:t>
      </w:r>
    </w:p>
    <w:p w14:paraId="2D897E1B" w14:textId="77777777" w:rsidR="004B1A63" w:rsidRDefault="004B1A63">
      <w:pPr>
        <w:pStyle w:val="Overskrift3"/>
      </w:pPr>
      <w:r>
        <w:t>Adgangen til å vedta, anvende og håndheve regler</w:t>
      </w:r>
    </w:p>
    <w:p w14:paraId="0EB7AFC6" w14:textId="77777777" w:rsidR="004B1A63" w:rsidRDefault="004B1A63">
      <w:r>
        <w:t>Staten kan pålegge private parter plikter gjennom utøvelse av offentlig myndighet. Når pliktene går ut på at virksomheter skal ha bestemte strukturer eller handle på bestemte måter, og dette ikke kan forankres i statens eierrådighet eller i en avtale, er det nødvendig med hjemmel i lov (legalitetsprinsippet).</w:t>
      </w:r>
    </w:p>
    <w:p w14:paraId="37DEE9DD" w14:textId="77777777" w:rsidR="004B1A63" w:rsidRDefault="004B1A63">
      <w:pPr>
        <w:rPr>
          <w:spacing w:val="-2"/>
        </w:rPr>
      </w:pPr>
      <w:r>
        <w:rPr>
          <w:spacing w:val="-6"/>
        </w:rPr>
        <w:t xml:space="preserve">Hvis lovgivningen krever tillatelse fra forvaltningen til å foreta visse handlinger, og forvaltningen </w:t>
      </w:r>
      <w:r>
        <w:rPr>
          <w:spacing w:val="-2"/>
        </w:rPr>
        <w:t xml:space="preserve">i tillegg er gitt en viss frihet til å velge om tillatelse skal gis, vil det også være lovgrunnlag for å stille vilkår for tillatelsen. Dette følger av den såkalte vilkårslæren som innebærer at når forvaltningen kan gjøre det mer, nekte tillatelse, kan forvaltningen også gjøre det mindre, stille vilkår for en tillatelse. Det vil imidlertid </w:t>
      </w:r>
      <w:r>
        <w:rPr>
          <w:spacing w:val="-2"/>
        </w:rPr>
        <w:lastRenderedPageBreak/>
        <w:t>være en grense for hvilke inngrep forvaltningen kan gjøre – vilkårene må ha saklig sammenheng med tillatelsen, ikke være uforholdsmessig tyngende og ligge innenfor lovens formål for ikke å utfordre legalitetsprinsippet. Hvorvidt lovgivningen utfordrer legalitetsprinsippet i tilfeller der betingelsene for inngrepet er upresise, vil bero på en vurdering der relevante momenter blant annet vil være hva slags forvaltningsområde det gjelder, om de aktuelle lovbestemmelsene i realiteten omfatter hele eller deler av det aktuelle forvaltningsområdet, og hvorvidt lovens formål setter snevre eller vide rammer for hvilke inngrep forvaltningen kan foreta.</w:t>
      </w:r>
    </w:p>
    <w:p w14:paraId="7DBEA031" w14:textId="77777777" w:rsidR="004B1A63" w:rsidRDefault="004B1A63">
      <w:r>
        <w:t>For at staten skal kunne anvende og håndheve regler overfor andre, må den ha jurisdiksjon til å fastsette både generelle og individuelle normer innenfor sine grenser, samt myndighet til å håndheve disse normene. Lovgivningsjurisdiksjon handler om at lovgivningen kan gjøres gjeldende overfor noen eller noe. Domsjurisdiksjon handler om at det kan treffes avgjørelser basert på lovgivningen. Tvangsjurisdiksjon handler om adgangen til å håndheve lovgivningen.</w:t>
      </w:r>
    </w:p>
    <w:p w14:paraId="151480FF" w14:textId="37718482" w:rsidR="004B1A63" w:rsidRDefault="004B1A63">
      <w:r>
        <w:t>Når det gjelder statens mulighet til å vedta og anvende regler overfor utenlandske aktører, sier Eriksen (2024)</w:t>
      </w:r>
      <w:r w:rsidR="00015951" w:rsidRPr="00015951">
        <w:rPr>
          <w:rStyle w:val="Fotnotereferanse"/>
        </w:rPr>
        <w:footnoteReference w:id="106"/>
      </w:r>
      <w:r>
        <w:t xml:space="preserve"> følgende:</w:t>
      </w:r>
    </w:p>
    <w:p w14:paraId="4EA58097" w14:textId="0C5CE775" w:rsidR="004B1A63" w:rsidRPr="00015951" w:rsidRDefault="00015951">
      <w:pPr>
        <w:pStyle w:val="blokksit"/>
      </w:pPr>
      <w:r>
        <w:t>«</w:t>
      </w:r>
      <w:r w:rsidR="004B1A63" w:rsidRPr="00015951">
        <w:t>Norske myndigheter har jurisdiksjon til å fastsette vilkår gjennom myndighetsutøvelse, også overfor utenlandske virksomheter. Det virksomhetene gjør i Norge har norske myndighetene allerede jurisdiksjon over i kraft territorialhøyheten. Jeg antar derfor at norske myndigheter i kraft av sin suverenitet over norsk territorium kan stille vilkår om at en ny utenlandsk eier i norsk selskap, ikke skal ha tilgang til informasjon om hvor digital infrastruktur er lokalisert.</w:t>
      </w:r>
    </w:p>
    <w:p w14:paraId="3E430569" w14:textId="77777777" w:rsidR="004B1A63" w:rsidRPr="00015951" w:rsidRDefault="004B1A63">
      <w:pPr>
        <w:pStyle w:val="blokksit"/>
      </w:pPr>
      <w:r w:rsidRPr="00015951">
        <w:t>Norske myndigheter har også jurisdiksjon til å regulere, og pålegge vilkår overfor det virksomheter gjør i utlandet, såfremt det er tale om handlinger som først blir fullført i Norge. Vilkår kan derfor pålegges utenlandsk selskap såfremt vilkårene angår handlinger som først blir fullført i Norge. Konkret innebærer dette at norske myndigheter kan pålegge utenlandske selskap vilkår som gjelder handlinger som først blir fullført i Norge, uavhengig av om det utenlandske selskapet selv eier infrastruktur eller tilbyr ekom- eller datasentertjenester i Norge, eller om det har kontroll over infrastrukturen og tjenestene gjennom norske datterselskaper.</w:t>
      </w:r>
    </w:p>
    <w:p w14:paraId="2C335DD8" w14:textId="148F1254" w:rsidR="004B1A63" w:rsidRPr="00015951" w:rsidRDefault="004B1A63">
      <w:pPr>
        <w:pStyle w:val="blokksit"/>
      </w:pPr>
      <w:r w:rsidRPr="00015951">
        <w:t>I tillegg antar jeg at norske myndigheter har jurisdiksjon over handlinger som foretas av utenlandske virksomheter som har direkte, vesentlige og forutsigbare virkninger i Norge jf. den folkerettslige effektdoktrinen. Det innebærer at norske myndigheter har jurisdiksjon til å fastsette vilkår overfor utenlandske virksomheter i den grad det er tale om vilkår for handlinger som har direkte, vesentlige og forutsigbare virkninger i Norge. Det kan for eksempel gi grunnlag for å stille vilkår til en utenlandsks virksomhets håndtering av informasjon om digital infrastruktur i Norge, i den grad visse måter å håndtere informasjonen på har direkte, vesentlige og forutsigbare skadevirkninger i Norge. Effektdoktrinen kan også gi adgang for norske myndigheter til å stille vilkår til utenlandske virksomheter som ikke eier infrastruktur i Norge, men som tilbyr tjenester som anvendes i riket, forutsatt at vilkårene gjelder forhold som har direkte, vesentlige og forutsigbare virkninger i Norge.</w:t>
      </w:r>
      <w:r w:rsidR="00015951">
        <w:t>»</w:t>
      </w:r>
    </w:p>
    <w:p w14:paraId="49A3F2FF" w14:textId="77777777" w:rsidR="004B1A63" w:rsidRDefault="004B1A63">
      <w:r>
        <w:t>Utvalget antar på denne bakgrunn at statens mulighet til å vedta og anvende regler knyttet til eierskap i eller kontroll av virksomheter som eier kritisk digital infrastruktur eller tilbyr tjenester i slik infrastruktur, i praksis vil være lik uavhengig av om eierskapet er norsk eller utenlandsk.</w:t>
      </w:r>
    </w:p>
    <w:p w14:paraId="31ADFE13" w14:textId="77777777" w:rsidR="004B1A63" w:rsidRDefault="004B1A63">
      <w:r>
        <w:lastRenderedPageBreak/>
        <w:t>Knyttet til utenlandske aktører, er det imidlertid muligheten til å følge opp risikoreduserende plikter og pålegg som kan være utfordrende. For å sikre at regulering kan være et effektivt virkemiddel for å utøve offentlig myndighet, må det også foreligge mulighet til å presse virksomhetene til å oppfylle forpliktelser, med tvangstiltak. Tvangstiltakene kan kun håndheves ved tvang av norske myndigheter dersom de kan gjennomføres uten å krenke andre staters suverenitet. Norske myndigheter har ikke adgang til å gjennomføre tvangstiltak utenfor Norge uten aksept fra den staten der tvangstiltakene skjer. Selv om det er inngått en rekke avtaler – både nordiske, europeiske og andre internasjonale avtaler – om grensekryssende samarbeid om tvangsjurisdiksjon, gjelder ingen av disse konvensjonene vilkår fastsatt i kraft av offentlig myndighetsutøvelse. Det kan bety at regulering som virkemiddel for å ivareta sikkerhetsinteresser gjennom å stille vilkår overfor utenlandske aktører som eier eller kontrollerer kritisk digital infrastruktur, ikke alltid er hensiktsmessig og effektivt.</w:t>
      </w:r>
    </w:p>
    <w:p w14:paraId="7AF8E5C8" w14:textId="77777777" w:rsidR="004B1A63" w:rsidRDefault="004B1A63">
      <w:pPr>
        <w:pStyle w:val="Overskrift3"/>
      </w:pPr>
      <w:r>
        <w:t>EØS-retten og norske myndigheters handlefrihet</w:t>
      </w:r>
    </w:p>
    <w:p w14:paraId="3994236A" w14:textId="77777777" w:rsidR="004B1A63" w:rsidRDefault="004B1A63">
      <w:r>
        <w:t>EØS-retten etablerer rettslige begrensninger i handlefriheten til nasjonale myndigheter. Prinsippene om de fire friheter innebærer at Norge i utgangspunktet ikke kan ha regler som behandler grenseoverskridende bevegelser og transaksjoner mellom Norge og andre EØS-stater strengere enn rent nasjonale bevegelser og transaksjoner. Slik forskjellsbehandling vil anses som en restriksjon på den frie bevegeligheten over landegrensene. I visse tilfeller kan likevel nasjonalstatene opprettholde eller innføre regler som i utgangspunktet innebærer en restriksjon.</w:t>
      </w:r>
    </w:p>
    <w:p w14:paraId="031F79CB" w14:textId="77777777" w:rsidR="004B1A63" w:rsidRDefault="004B1A63">
      <w:r>
        <w:t>EØS-avtalen åpner for at medlemslandene ut fra blant annet sikkerhetsmessige grunner, kan gjøre inngrep som medfører restriksjoner på fri bevegelighet. Blant annet kan det treffes tiltak om særbehandling av utenlandske statsborgere når det er begrunnet med hensynet til offentlig orden, sikkerhet og folkehelse, jf. EØS-avtalens artikkel 33. Bestemmelsen åpnes for restriksjoner i etableringsadgangen (artikkel 31) og unntakshjemmelen kan anvendes i tilfeller hvor det er behov for å hindre en etablering av hensyn til nasjonal sikkerhet. Unntakshjemmelen kan altså ikke anvendes for å hindre retten til fri bevegelighet av kapital i artikkel 40.</w:t>
      </w:r>
    </w:p>
    <w:p w14:paraId="699023E1" w14:textId="77777777" w:rsidR="004B1A63" w:rsidRDefault="004B1A63">
      <w:r>
        <w:t>Videre åpner EØS-avtalen artikkel 123 opp for enkelte unntak. Bestemmelsen har tre ulike unntak – en avtalepart kan treffe tiltak</w:t>
      </w:r>
    </w:p>
    <w:p w14:paraId="59BD655A" w14:textId="672C9778" w:rsidR="004B1A63" w:rsidRDefault="004B1A63" w:rsidP="00347456">
      <w:pPr>
        <w:pStyle w:val="alfaliste"/>
        <w:numPr>
          <w:ilvl w:val="0"/>
          <w:numId w:val="49"/>
        </w:numPr>
      </w:pPr>
      <w:r>
        <w:t>som den anser nødvendig for å hindre spredning av opplysninger som er i strid med dens vesentlige sikkerhetsinteresser;</w:t>
      </w:r>
    </w:p>
    <w:p w14:paraId="51E60CC7" w14:textId="1FDF5ED3" w:rsidR="004B1A63" w:rsidRDefault="004B1A63" w:rsidP="00347456">
      <w:pPr>
        <w:pStyle w:val="alfaliste"/>
        <w:numPr>
          <w:ilvl w:val="0"/>
          <w:numId w:val="49"/>
        </w:numPr>
      </w:pPr>
      <w:r>
        <w:t>som angår produksjon av eller handel med våpen, ammunisjon og krigsmateriell eller andre varer som er uunnværlige for forsvarsformål, eller forskning, utvikling eller produksjon som er uunnværlig for forsvarsformål, såfremt disse tiltak ikke endrer konkurransevilkårene for varer som ikke er bestemt for direkte militære formål;</w:t>
      </w:r>
    </w:p>
    <w:p w14:paraId="01851B65" w14:textId="2317EDE1" w:rsidR="004B1A63" w:rsidRDefault="004B1A63" w:rsidP="00347456">
      <w:pPr>
        <w:pStyle w:val="alfaliste"/>
        <w:numPr>
          <w:ilvl w:val="0"/>
          <w:numId w:val="49"/>
        </w:numPr>
      </w:pPr>
      <w:r>
        <w:t>som den anser vesentlig for sin sikkerhet i tilfelle av alvorlig indre uro som truer den offentlige orden, i krigstid eller ved alvorlig internasjonal spenning som innebærer en fare for krig, eller for å oppfylle forpliktelser den har påtatt seg med sikte på å opprettholde fred og internasjonal sikkerhet.</w:t>
      </w:r>
    </w:p>
    <w:p w14:paraId="6A7890C9" w14:textId="77777777" w:rsidR="004B1A63" w:rsidRDefault="004B1A63">
      <w:r>
        <w:t>Muligheten for unntak er snever og terskelen for å bruke bestemmelsen er høy.</w:t>
      </w:r>
    </w:p>
    <w:p w14:paraId="2E575779" w14:textId="77777777" w:rsidR="004B1A63" w:rsidRDefault="004B1A63">
      <w:r>
        <w:lastRenderedPageBreak/>
        <w:t>Tiltakene må også underlegges en proporsjonalitetsvurdering, der det må vurderes om sikkerhetsinteressene som eventuelt kan begrunne unntak kan ivaretas på en annen måte. Hvis mindre inngripende tiltak er tilgjengelige, må disse benyttes.</w:t>
      </w:r>
    </w:p>
    <w:p w14:paraId="67C383D6" w14:textId="77777777" w:rsidR="004B1A63" w:rsidRDefault="004B1A63">
      <w:r>
        <w:t>EØS-avtalens regler om de fire friheter stiller også minstekrav til hvordan lovgivningen skal utformes for at den skal gi forvaltningen hjemmel til å pålegge private parter plikter. Gir en lovbestemmelse en for vid og upresis hjemmel for forvaltningen, vil bestemmelsen kunne anses som en uforholdsmessig restriksjon på retten til fri bevegelse av varer, personer, tjenester og kapital på tvers av landegrensene, og derfor være i strid med EØS-avtalens forpliktelser.</w:t>
      </w:r>
    </w:p>
    <w:p w14:paraId="52A5A280" w14:textId="77777777" w:rsidR="004B1A63" w:rsidRDefault="004B1A63">
      <w:pPr>
        <w:pStyle w:val="Overskrift3"/>
      </w:pPr>
      <w:r>
        <w:t>Sikkerhetsloven</w:t>
      </w:r>
    </w:p>
    <w:p w14:paraId="3757E8B5" w14:textId="77777777" w:rsidR="004B1A63" w:rsidRDefault="004B1A63">
      <w:pPr>
        <w:pStyle w:val="Overskrift4"/>
      </w:pPr>
      <w:r>
        <w:t>Formål og virkeområde</w:t>
      </w:r>
    </w:p>
    <w:p w14:paraId="42874A49" w14:textId="77777777" w:rsidR="004B1A63" w:rsidRDefault="004B1A63" w:rsidP="006F4031">
      <w:r>
        <w:t>Sikkerhetsloven trådte i kraft 1. januar 2019 og erstatter den tidligere sikkerhetsloven av 1998. Sikkerhetslovens formål er å trygge nasjonale sikkerhetsinteresser. Definisjonen på nasjonale sikkerhetsinteresser etter sikkerhetsloven er beskrevet i punkt 4.1.2.</w:t>
      </w:r>
    </w:p>
    <w:p w14:paraId="5B39A6E3" w14:textId="77777777" w:rsidR="004B1A63" w:rsidRDefault="004B1A63">
      <w:r>
        <w:t>Loven gjelder for statlige, fylkeskommunale og kommunale organer. Den gjelder også for leverandører av varer eller tjenester i forbindelse med sikkerhetsgraderte anskaffelser. I tillegg skal det enkelte sektordepartement fatte vedtak om at loven helt eller delvis også skal gjelde for virksomheter som</w:t>
      </w:r>
    </w:p>
    <w:p w14:paraId="4DC44089" w14:textId="7AF0AD89" w:rsidR="004B1A63" w:rsidRDefault="004B1A63" w:rsidP="00347456">
      <w:pPr>
        <w:pStyle w:val="alfaliste"/>
        <w:numPr>
          <w:ilvl w:val="0"/>
          <w:numId w:val="50"/>
        </w:numPr>
      </w:pPr>
      <w:r>
        <w:t>behandler sikkerhetsgradert informasjon</w:t>
      </w:r>
    </w:p>
    <w:p w14:paraId="7CEC9B16" w14:textId="374C6289" w:rsidR="004B1A63" w:rsidRDefault="004B1A63" w:rsidP="00347456">
      <w:pPr>
        <w:pStyle w:val="alfaliste"/>
        <w:numPr>
          <w:ilvl w:val="0"/>
          <w:numId w:val="50"/>
        </w:numPr>
      </w:pPr>
      <w:r>
        <w:t>råder over informasjon, informasjonssystemer, objekter eller infrastruktur som har avgjørende betydning for grunnleggende nasjonale funksjoner, eller som har avgjørende betydning for nasjonale sikkerhetsinteresser, uten å kunne knyttes direkte til en grunnleggende nasjonal funksjon</w:t>
      </w:r>
    </w:p>
    <w:p w14:paraId="1C069A99" w14:textId="58259F88" w:rsidR="004B1A63" w:rsidRDefault="004B1A63" w:rsidP="00347456">
      <w:pPr>
        <w:pStyle w:val="alfaliste"/>
        <w:numPr>
          <w:ilvl w:val="0"/>
          <w:numId w:val="50"/>
        </w:numPr>
      </w:pPr>
      <w:r>
        <w:t>driver aktivitet som har avgjørende betydning for grunnleggende nasjonale funksjoner, eller som har avgjørende betydning for nasjonale sikkerhetsinteresser, uten å kunne knyttes direkte til en grunnleggende nasjonal funksjon.</w:t>
      </w:r>
    </w:p>
    <w:p w14:paraId="44659FF2" w14:textId="65CF14D7" w:rsidR="004B1A63" w:rsidRDefault="004B1A63">
      <w:r>
        <w:t xml:space="preserve">Departementet kan også fatte vedtak om at lovens kapittel 10 Eierskapskontroll skal gjelde for </w:t>
      </w:r>
      <w:r w:rsidR="00015951">
        <w:t>«</w:t>
      </w:r>
      <w:r>
        <w:t>virksomheter som har vesentlig betydning for grunnleggende nasjonale funksjoner, eller virksomheter som har vesentlig betydning for nasjonale sikkerhetsinteresser, uten å kunne knyttes direkte til en grunnleggende nasjonal funksjon.</w:t>
      </w:r>
    </w:p>
    <w:p w14:paraId="09B5E1E1" w14:textId="6498B3D5" w:rsidR="004B1A63" w:rsidRDefault="004B1A63">
      <w:r>
        <w:t xml:space="preserve">Ifølge sikkerhetsloven skal </w:t>
      </w:r>
      <w:r w:rsidR="00015951">
        <w:t>«</w:t>
      </w:r>
      <w:r>
        <w:t>grunnleggende nasjonale funksjoner</w:t>
      </w:r>
      <w:r w:rsidR="00015951">
        <w:t>»</w:t>
      </w:r>
      <w:r>
        <w:t xml:space="preserve"> som understøtter nasjonale sikkerhetsinteresser, identifiseres og beskyttes etter kravene i loven, og DFD har innenfor sin sektor identifisert følgende grunnleggende nasjonale funksjonert:</w:t>
      </w:r>
    </w:p>
    <w:p w14:paraId="21A73BD9" w14:textId="04A0687D" w:rsidR="004B1A63" w:rsidRDefault="004B1A63">
      <w:pPr>
        <w:pStyle w:val="Listebombe"/>
      </w:pPr>
      <w:r>
        <w:t>Evne til å ivareta talekommunikasjonstjenester basert på norsk nummerplan</w:t>
      </w:r>
    </w:p>
    <w:p w14:paraId="27AFB5C5" w14:textId="48A71D1E" w:rsidR="004B1A63" w:rsidRDefault="004B1A63">
      <w:pPr>
        <w:pStyle w:val="Listebombe"/>
      </w:pPr>
      <w:r>
        <w:t>Evne til å ivareta tekstbaserte meldingstjenester basert på norsk nummerplan</w:t>
      </w:r>
    </w:p>
    <w:p w14:paraId="1ADD1A6A" w14:textId="11616A21" w:rsidR="004B1A63" w:rsidRDefault="004B1A63">
      <w:pPr>
        <w:pStyle w:val="Listebombe"/>
      </w:pPr>
      <w:r>
        <w:t>Evne til å ivareta grunnleggende internettilgang</w:t>
      </w:r>
    </w:p>
    <w:p w14:paraId="2F4B11CD" w14:textId="3772FE81" w:rsidR="004B1A63" w:rsidRDefault="004B1A63">
      <w:pPr>
        <w:pStyle w:val="Listebombe"/>
      </w:pPr>
      <w:r>
        <w:t>Evne til å ivareta datalagring og prosesseringskapasitet i Norge</w:t>
      </w:r>
    </w:p>
    <w:p w14:paraId="6DF6AF46" w14:textId="2CC3F757" w:rsidR="004B1A63" w:rsidRDefault="004B1A63">
      <w:pPr>
        <w:pStyle w:val="Listebombe"/>
      </w:pPr>
      <w:r>
        <w:t>Satellittbasert kommunikasjon</w:t>
      </w:r>
    </w:p>
    <w:p w14:paraId="2BAF0D69" w14:textId="3B845389" w:rsidR="004B1A63" w:rsidRDefault="004B1A63">
      <w:r>
        <w:lastRenderedPageBreak/>
        <w:t xml:space="preserve">I tillegg er </w:t>
      </w:r>
      <w:r w:rsidR="00015951">
        <w:t>«</w:t>
      </w:r>
      <w:r>
        <w:t>Posisjonsbestemmelse, navigasjon og tidsbestemmelse</w:t>
      </w:r>
      <w:r w:rsidR="00015951">
        <w:t>»</w:t>
      </w:r>
      <w:r>
        <w:t xml:space="preserve"> identifisert av NFD som grunnleggende nasjonale funksjoner. Især tidsbestemmelse er en funksjon som er viktig for mobilnettene.</w:t>
      </w:r>
    </w:p>
    <w:p w14:paraId="75A24E15" w14:textId="77777777" w:rsidR="004B1A63" w:rsidRDefault="004B1A63">
      <w:r>
        <w:t>Som følge av de identifiserte grunnleggende nasjonale funksjonene innen kritisk digital kommunikasjonsinfrastruktur, er en rekke virksomheter som leverer tjenester til de grunnleggende nasjonale funksjonene, underlagt sikkerhetsloven. Hvilke foretak dette gjelder er i sin helhet ikke offentlig informasjon, selv om enkelte av virksomhetene som er underlagt loven, er kjent.</w:t>
      </w:r>
    </w:p>
    <w:p w14:paraId="6E9A6CC5" w14:textId="2AF7D38D" w:rsidR="004B1A63" w:rsidRDefault="004B1A63">
      <w:r>
        <w:t xml:space="preserve">Departementet skal også identifisere og holde oversikt over virksomheter som har </w:t>
      </w:r>
      <w:r w:rsidR="00015951">
        <w:t>«</w:t>
      </w:r>
      <w:r>
        <w:t>vesentlig betydning</w:t>
      </w:r>
      <w:r w:rsidR="00015951">
        <w:t>»</w:t>
      </w:r>
      <w:r>
        <w:t xml:space="preserve"> for grunnleggende nasjonale funksjoner eller for nasjonale sikkerhetsinteresser. I vesentlig betydning ligger det at virksomheten leverer én eller flere innsatsfaktorer for at én eller flere grunnleggende nasjonale funksjoner opprettholder sin funksjonalitet, uten at virksomheten kan sies å være av avgjørende betydning. Det at en virksomhet anses å være av vesentlig betydning for grunnleggende nasjonale funksjoner eller for nasjonale sikkerhetsinteresser, medfører ikke i seg selv at virksomheten har plikter etter sikkerhetsloven. Hensikten med å identifisere denne type virksomheter er å ha oversikt. Hvilken betydning slike foretak har, kan endre seg over tid, avhengig av trusselbildet, redundans og den generelle samfunnsutviklingen.</w:t>
      </w:r>
    </w:p>
    <w:p w14:paraId="354BA632" w14:textId="4658C6B9" w:rsidR="004B1A63" w:rsidRDefault="004B1A63">
      <w:r>
        <w:t>Sikkerhetsloven §</w:t>
      </w:r>
      <w:r w:rsidR="00015951">
        <w:t>§ </w:t>
      </w:r>
      <w:r w:rsidR="00015951">
        <w:t>2</w:t>
      </w:r>
      <w:r>
        <w:t>-5, 9-4 og 10-3 gir Kongen i statsråd kompetanse (myndighet)til å stoppe en aktivitet, anskaffelse eller erverv når den innebærer en ikke ubetydelig risiko for at nasjonale sikkerhetsinteresser blir truet. Etter §</w:t>
      </w:r>
      <w:r w:rsidR="00015951">
        <w:t>§ </w:t>
      </w:r>
      <w:r w:rsidR="00015951">
        <w:t>9</w:t>
      </w:r>
      <w:r>
        <w:t xml:space="preserve">-4 og 10-3 kan det alternativt stilles vilkår for at transaksjonen skal kunne gjennomføres. Bestemmelsen i </w:t>
      </w:r>
      <w:r w:rsidR="00015951">
        <w:t>§ </w:t>
      </w:r>
      <w:r w:rsidR="00015951">
        <w:t>2</w:t>
      </w:r>
      <w:r>
        <w:t>-5 om vedtak ved risiko for skadevirkninger for nasjonale sikkerhetsinteresser, gir myndighetene i ytterste konsekvens muligheten til å gripe inn i økonomisk aktivitet mot virksomheter som ikke er underlagt sikkerhetsloven. Mekanismen består av et departementsnettverk ledet av Justis og beredskapsdepartementet, samt et etatsnettverk ledet av NSM.</w:t>
      </w:r>
    </w:p>
    <w:p w14:paraId="3233A3E8" w14:textId="77777777" w:rsidR="004B1A63" w:rsidRDefault="004B1A63">
      <w:pPr>
        <w:pStyle w:val="Overskrift4"/>
      </w:pPr>
      <w:r>
        <w:t>Sikkerhetsloven kapittel 10 om eierskapskontroll</w:t>
      </w:r>
    </w:p>
    <w:p w14:paraId="0223C9A9" w14:textId="1CC94147" w:rsidR="004B1A63" w:rsidRDefault="004B1A63" w:rsidP="006F4031">
      <w:r>
        <w:t xml:space="preserve">Det overordnede målet med eierskapskontroll er å avdekke og hindre erverv som kan utgjøre en ikke ubetydelig risiko for at nasjonale sikkerhetsinteresser blir truet. Hovedelementene i dette systemet består av tre trinn; privates meldeplikt etter </w:t>
      </w:r>
      <w:r w:rsidR="00015951">
        <w:t>§ </w:t>
      </w:r>
      <w:r w:rsidR="00015951">
        <w:t>1</w:t>
      </w:r>
      <w:r>
        <w:t xml:space="preserve">0-1, departementets vurderingsplikt etter </w:t>
      </w:r>
      <w:r w:rsidR="00015951">
        <w:t>§ </w:t>
      </w:r>
      <w:r w:rsidR="00015951">
        <w:t>1</w:t>
      </w:r>
      <w:r>
        <w:t xml:space="preserve">0-2 og Kongen i statsråds kompetanse (myndighet) til å stanse eller pålegge vilkår for erverv etter </w:t>
      </w:r>
      <w:r w:rsidR="00015951">
        <w:t>§ </w:t>
      </w:r>
      <w:r w:rsidR="00015951">
        <w:t>1</w:t>
      </w:r>
      <w:r>
        <w:t>0-3. Reglene ble innført med gjeldende sikkerhetslov som trådte i kraft i 2019, og er vedtatt endret ved lov 20. juni 2023 nr. 77. Endringsloven er ikke trådt i kraft.</w:t>
      </w:r>
    </w:p>
    <w:p w14:paraId="31FC0BB9" w14:textId="2A880C6E" w:rsidR="004B1A63" w:rsidRDefault="004B1A63">
      <w:r>
        <w:t xml:space="preserve">Ifølge gjeldende </w:t>
      </w:r>
      <w:r w:rsidR="00015951">
        <w:t>§ </w:t>
      </w:r>
      <w:r w:rsidR="00015951">
        <w:t>1</w:t>
      </w:r>
      <w:r>
        <w:t xml:space="preserve">0-1 første ledd gjelder meldeplikten den som ved ervervet vil oppnå en eierandel på minst en tredel av en virksomhet som er underlagt sikkerhetsloven etter </w:t>
      </w:r>
      <w:r w:rsidR="00015951">
        <w:t>§ </w:t>
      </w:r>
      <w:r w:rsidR="00015951">
        <w:t>1</w:t>
      </w:r>
      <w:r>
        <w:t xml:space="preserve">-3. Meldeplikten gjelder virksomheter utpekt av departementet etter </w:t>
      </w:r>
      <w:r w:rsidR="00015951">
        <w:t>§ </w:t>
      </w:r>
      <w:r w:rsidR="00015951">
        <w:t>1</w:t>
      </w:r>
      <w:r>
        <w:t>-3 første ledd fordi virksomheten</w:t>
      </w:r>
    </w:p>
    <w:p w14:paraId="2D5A7BF2" w14:textId="3F3975CC" w:rsidR="004B1A63" w:rsidRDefault="004B1A63" w:rsidP="000D1FB3">
      <w:pPr>
        <w:pStyle w:val="alfaliste"/>
        <w:numPr>
          <w:ilvl w:val="0"/>
          <w:numId w:val="51"/>
        </w:numPr>
      </w:pPr>
      <w:r>
        <w:t>behandler sikkerhetsgradert informasjon</w:t>
      </w:r>
    </w:p>
    <w:p w14:paraId="0351C530" w14:textId="482FD2A3" w:rsidR="004B1A63" w:rsidRDefault="004B1A63" w:rsidP="000D1FB3">
      <w:pPr>
        <w:pStyle w:val="alfaliste"/>
        <w:numPr>
          <w:ilvl w:val="0"/>
          <w:numId w:val="51"/>
        </w:numPr>
      </w:pPr>
      <w:r>
        <w:t>råder over informasjon, informasjonssystemer, objekter eller infrastruktur som har avgjørende betydning for grunnleggende nasjonale funksjoner, eller som har avgjørende betydning for nasjonale sikkerhetsinteresser, uten å kunne knyttes direkte til en grunnleggende nasjonal funksjon</w:t>
      </w:r>
    </w:p>
    <w:p w14:paraId="730686D8" w14:textId="2B0708C2" w:rsidR="004B1A63" w:rsidRDefault="004B1A63" w:rsidP="000D1FB3">
      <w:pPr>
        <w:pStyle w:val="alfaliste"/>
        <w:numPr>
          <w:ilvl w:val="0"/>
          <w:numId w:val="51"/>
        </w:numPr>
      </w:pPr>
      <w:r>
        <w:lastRenderedPageBreak/>
        <w:t>driver aktivitet som har avgjørende betydning for grunnleggende nasjonale funksjoner, eller som har avgjørende betydning for nasjonale sikkerhetsinteresser, uten å kunne knyttes direkte til en grunnleggende nasjonal funksjon</w:t>
      </w:r>
    </w:p>
    <w:p w14:paraId="5C700674" w14:textId="6D629A4F" w:rsidR="004B1A63" w:rsidRDefault="004B1A63">
      <w:r>
        <w:t xml:space="preserve">I tillegg har departementene en mulighet til å fatte vedtak om at sikkerhetslovens bestemmelser om eierskapskontroll skal gjelde for virksomheter som har vesentlig betydning for grunnleggende nasjonale funksjoner, jf. </w:t>
      </w:r>
      <w:r w:rsidR="00015951">
        <w:t>§ </w:t>
      </w:r>
      <w:r w:rsidR="00015951">
        <w:t>1</w:t>
      </w:r>
      <w:r>
        <w:t xml:space="preserve">-3 annet ledd. Det følger av </w:t>
      </w:r>
      <w:r w:rsidR="00015951">
        <w:t>§ </w:t>
      </w:r>
      <w:r w:rsidR="00015951">
        <w:t>2</w:t>
      </w:r>
      <w:r>
        <w:t>-1 første ledd bokstav b at departementene skal identifisere og holde oversikt over virksomheter som har vesentlig betydning for grunnleggende nasjonale funksjoner.</w:t>
      </w:r>
    </w:p>
    <w:p w14:paraId="50B475F8" w14:textId="24D92E92" w:rsidR="004B1A63" w:rsidRDefault="004B1A63">
      <w:r>
        <w:t xml:space="preserve">I ny </w:t>
      </w:r>
      <w:r w:rsidR="00015951">
        <w:t>§ </w:t>
      </w:r>
      <w:r w:rsidR="00015951">
        <w:t>1</w:t>
      </w:r>
      <w:r>
        <w:t>0-1</w:t>
      </w:r>
      <w:r w:rsidR="00015951" w:rsidRPr="00015951">
        <w:rPr>
          <w:rStyle w:val="Fotnotereferanse"/>
        </w:rPr>
        <w:footnoteReference w:id="107"/>
      </w:r>
      <w:r>
        <w:t xml:space="preserve"> som er vedtatt, men ikke trådt i kraft, utvides meldeplikten til også å gjelde avhenderen av eierandelene og virksomheten selv. Erverver får meldeplikt når ervervet vil føre til at erververen direkte eller indirekte samlet oppnår minst 10 prosent av aksjekapitalen, andelen eller stemmene i virksomheten, og videre når:</w:t>
      </w:r>
    </w:p>
    <w:p w14:paraId="361E7F2A" w14:textId="21171823" w:rsidR="004B1A63" w:rsidRDefault="004B1A63" w:rsidP="000D1FB3">
      <w:pPr>
        <w:pStyle w:val="alfaliste"/>
        <w:numPr>
          <w:ilvl w:val="0"/>
          <w:numId w:val="52"/>
        </w:numPr>
      </w:pPr>
      <w:r>
        <w:t>erververens kvalifiserte eierandel økes til minst 20 prosent, en tredel, 50 prosent, to tredeler eller 90 prosent av aksjekapitalen, andelene eller stemmene i virksomheten</w:t>
      </w:r>
    </w:p>
    <w:p w14:paraId="4B014074" w14:textId="0ECB7886" w:rsidR="004B1A63" w:rsidRDefault="004B1A63" w:rsidP="000D1FB3">
      <w:pPr>
        <w:pStyle w:val="alfaliste"/>
        <w:numPr>
          <w:ilvl w:val="0"/>
          <w:numId w:val="52"/>
        </w:numPr>
      </w:pPr>
      <w:r>
        <w:t>erververen oppnår betydelig innflytelse over forvaltningen av virksomheten på annen måte</w:t>
      </w:r>
    </w:p>
    <w:p w14:paraId="0A1285F3" w14:textId="00F49733" w:rsidR="004B1A63" w:rsidRDefault="004B1A63" w:rsidP="000D1FB3">
      <w:pPr>
        <w:pStyle w:val="alfaliste"/>
        <w:numPr>
          <w:ilvl w:val="0"/>
          <w:numId w:val="52"/>
        </w:numPr>
      </w:pPr>
      <w:r>
        <w:t xml:space="preserve">erververen sammen med sine nærstående, jf. verdipapirhandelloven </w:t>
      </w:r>
      <w:r w:rsidR="00015951">
        <w:t>§ </w:t>
      </w:r>
      <w:r w:rsidR="00015951">
        <w:t>2</w:t>
      </w:r>
      <w:r>
        <w:t>-5, oppnår en kvalifisert eierandel eller en posisjon som nevnt i bokstav a eller b.</w:t>
      </w:r>
    </w:p>
    <w:p w14:paraId="03A96CA9" w14:textId="77777777" w:rsidR="004B1A63" w:rsidRDefault="004B1A63">
      <w:r>
        <w:t>Avhenderen og virksomheten ervervet gjelder, får meldeplikt når erververen samlet vil oppnå en direkte eierandel på minst 10 prosent, eller direkte eierandel eller en posisjon etter bokstav b eller c.</w:t>
      </w:r>
    </w:p>
    <w:p w14:paraId="433A3370" w14:textId="2F35D2F5" w:rsidR="004B1A63" w:rsidRDefault="004B1A63" w:rsidP="000D1FB3">
      <w:pPr>
        <w:spacing w:after="227"/>
      </w:pPr>
      <w:r>
        <w:t xml:space="preserve">Endringen i sikkerhetsloven vil når den trer i kraft, også innebære at gruppen av meldepliktige erverv utvides, slik at erverv av en kvalifisert eierandel i virksomheter som har leverandørklarering etter </w:t>
      </w:r>
      <w:r w:rsidR="00015951">
        <w:t>§ </w:t>
      </w:r>
      <w:r w:rsidR="00015951">
        <w:t>9</w:t>
      </w:r>
      <w:r>
        <w:t xml:space="preserve">-3 blir meldepliktige etter </w:t>
      </w:r>
      <w:r w:rsidR="00015951">
        <w:t>§ </w:t>
      </w:r>
      <w:r w:rsidR="00015951">
        <w:t>1</w:t>
      </w:r>
      <w:r>
        <w:t>0-1. Reglene om leverandørklarering er nærmere omtalt nedenfor.</w:t>
      </w:r>
    </w:p>
    <w:tbl>
      <w:tblPr>
        <w:tblStyle w:val="StandardBoks"/>
        <w:tblW w:w="0" w:type="auto"/>
        <w:tblLook w:val="04A0" w:firstRow="1" w:lastRow="0" w:firstColumn="1" w:lastColumn="0" w:noHBand="0" w:noVBand="1"/>
      </w:tblPr>
      <w:tblGrid>
        <w:gridCol w:w="10466"/>
      </w:tblGrid>
      <w:tr w:rsidR="000D1FB3" w14:paraId="2036D196" w14:textId="77777777" w:rsidTr="00015951">
        <w:tc>
          <w:tcPr>
            <w:tcW w:w="10606" w:type="dxa"/>
          </w:tcPr>
          <w:p w14:paraId="02A1B4EC" w14:textId="77777777" w:rsidR="00015951" w:rsidRDefault="000D1FB3" w:rsidP="000D1FB3">
            <w:pPr>
              <w:pStyle w:val="tittel-ramme"/>
              <w:rPr>
                <w:rStyle w:val="halvfet"/>
                <w:b/>
                <w:bCs/>
              </w:rPr>
            </w:pPr>
            <w:r>
              <w:rPr>
                <w:rStyle w:val="halvfet"/>
                <w:b/>
                <w:bCs/>
              </w:rPr>
              <w:lastRenderedPageBreak/>
              <w:t>Viktige endringer ved ikrafttredelse av endringer ved lov 20. juni 2023 nr. 77</w:t>
            </w:r>
          </w:p>
          <w:p w14:paraId="6A863FE3" w14:textId="2DDFED5C" w:rsidR="000D1FB3" w:rsidRDefault="000D1FB3" w:rsidP="000D1FB3">
            <w:r>
              <w:t>Langt flere erverv enn i dag vil bli omfattet av meldeplikten.</w:t>
            </w:r>
          </w:p>
          <w:p w14:paraId="3B4DDDC7" w14:textId="77777777" w:rsidR="000D1FB3" w:rsidRDefault="000D1FB3" w:rsidP="000D1FB3">
            <w:pPr>
              <w:pStyle w:val="Listebombe"/>
            </w:pPr>
            <w:r>
              <w:t>behov for ny melding ved suksessive erverv</w:t>
            </w:r>
          </w:p>
          <w:p w14:paraId="5CD74B32" w14:textId="77777777" w:rsidR="00015951" w:rsidRDefault="000D1FB3" w:rsidP="000D1FB3">
            <w:pPr>
              <w:pStyle w:val="Listebombe"/>
            </w:pPr>
            <w:r>
              <w:t>tydeliggjøring av erverv av indirekte eierskap</w:t>
            </w:r>
          </w:p>
          <w:p w14:paraId="3D4F1792" w14:textId="10A674B0" w:rsidR="000D1FB3" w:rsidRDefault="000D1FB3" w:rsidP="000D1FB3">
            <w:pPr>
              <w:pStyle w:val="Listebombe"/>
            </w:pPr>
            <w:r>
              <w:t>eierskap mellom nærstående selskaper eller personer slås sammen ved vurdering av om terskelen for meldeplikt er oppfylt</w:t>
            </w:r>
          </w:p>
          <w:p w14:paraId="1E47FF2D" w14:textId="77777777" w:rsidR="000D1FB3" w:rsidRDefault="000D1FB3" w:rsidP="000D1FB3">
            <w:pPr>
              <w:pStyle w:val="Listebombe"/>
            </w:pPr>
            <w:r>
              <w:t>både den som erverver og virksomheten som blir ervervet etter omstendighetene kan ha meldeplikt</w:t>
            </w:r>
          </w:p>
          <w:p w14:paraId="4B153198" w14:textId="4833F081" w:rsidR="000D1FB3" w:rsidRDefault="000D1FB3" w:rsidP="000D1FB3">
            <w:r>
              <w:t xml:space="preserve">Ingen meldepliktige erverv kan gjennomføres før meldingen er behandlet etter </w:t>
            </w:r>
            <w:r>
              <w:br/>
            </w:r>
            <w:r w:rsidR="00015951">
              <w:t>§ </w:t>
            </w:r>
            <w:r w:rsidR="00015951">
              <w:t>1</w:t>
            </w:r>
            <w:r>
              <w:t>0-2</w:t>
            </w:r>
          </w:p>
          <w:p w14:paraId="378C6621" w14:textId="3534EF7B" w:rsidR="000D1FB3" w:rsidRDefault="000D1FB3" w:rsidP="000D1FB3">
            <w:r>
              <w:t xml:space="preserve">En ny </w:t>
            </w:r>
            <w:r w:rsidR="00015951">
              <w:t>§ </w:t>
            </w:r>
            <w:r w:rsidR="00015951">
              <w:t>1</w:t>
            </w:r>
            <w:r>
              <w:t>0-4 om at informasjon som kan brukes til sikkerhetstruende virksomhet, ikke skal deles uten samtykke før ervervet er gjennomført</w:t>
            </w:r>
          </w:p>
        </w:tc>
      </w:tr>
    </w:tbl>
    <w:p w14:paraId="2AD420E9" w14:textId="369E5915" w:rsidR="004B1A63" w:rsidRDefault="004B1A63">
      <w:pPr>
        <w:spacing w:before="340"/>
      </w:pPr>
      <w:r>
        <w:t xml:space="preserve">Det departementet som mottar melding, skal ta stilling til meldingen så raskt som mulig. Departementet </w:t>
      </w:r>
      <w:r w:rsidR="00015951">
        <w:t>«</w:t>
      </w:r>
      <w:r>
        <w:t>kan be relevante organer uttale seg om ervervets risikopotensial og erververens sikkerhetsmessige pålitelighet</w:t>
      </w:r>
      <w:r w:rsidR="00015951">
        <w:t>»</w:t>
      </w:r>
      <w:r>
        <w:t>. Departementet eller sikkerhetsmyndigheten skal innen 60 arbeidsdager orientere melderen om ervervet er godkjent eller om saken skal behandles av Kongen i statsråd. Denne avgjørelsen skal tas på bakgrunn av en helhetsvurdering, som tar utgangspunkt i meldingen fra erverver.</w:t>
      </w:r>
    </w:p>
    <w:p w14:paraId="26FF6097" w14:textId="5D835BD8" w:rsidR="004B1A63" w:rsidRDefault="004B1A63">
      <w:r>
        <w:t xml:space="preserve">Etter sikkerhetsloven </w:t>
      </w:r>
      <w:r w:rsidR="00015951">
        <w:t>§ </w:t>
      </w:r>
      <w:r w:rsidR="00015951">
        <w:t>1</w:t>
      </w:r>
      <w:r>
        <w:t xml:space="preserve">0-3 kan Kongen i statsråd – dersom et erverv kan medføre en </w:t>
      </w:r>
      <w:r w:rsidR="00015951">
        <w:t>«</w:t>
      </w:r>
      <w:r>
        <w:t>ikke ubetydelig risiko for at nasjonale sikkerhetsinteresser blir truet</w:t>
      </w:r>
      <w:r w:rsidR="00015951">
        <w:t>»</w:t>
      </w:r>
      <w:r>
        <w:t xml:space="preserve"> – fatte vedtak om at ervervet ikke kan gjennomføres, eller sette vilkår for gjennomføring av ervervet. Det er i forarbeidene ikke sagt noe konkret om hvilke vilkår som kan settes for gjennomføringen av et erverv, utover at </w:t>
      </w:r>
      <w:r w:rsidR="00015951">
        <w:t>«</w:t>
      </w:r>
      <w:r>
        <w:t>vedtak etter bestemmelsen må ligge innenfor formålet med sikkerhetsloven [og] må også være forholdsmessig, slik at hensynet til nasjonale sikkerhetsinteresser må veie opp for de negative økonomiske konsekvensene av vedtaket</w:t>
      </w:r>
      <w:r w:rsidR="00015951">
        <w:t>»</w:t>
      </w:r>
      <w:r>
        <w:t xml:space="preserve">, jf. </w:t>
      </w:r>
      <w:r w:rsidR="00015951">
        <w:t xml:space="preserve">Prop. </w:t>
      </w:r>
      <w:r w:rsidR="00015951">
        <w:t>143</w:t>
      </w:r>
      <w:r w:rsidR="00015951">
        <w:t xml:space="preserve"> </w:t>
      </w:r>
      <w:r w:rsidR="00015951">
        <w:t>L (2016</w:t>
      </w:r>
      <w:r>
        <w:t xml:space="preserve">–2017), s. 152. Formålet med loven er blant annet å trygge Norges </w:t>
      </w:r>
      <w:r w:rsidR="00015951">
        <w:t>«</w:t>
      </w:r>
      <w:r>
        <w:t>nasjonale sikkerhetsinteresser</w:t>
      </w:r>
      <w:r w:rsidR="00015951">
        <w:t>»</w:t>
      </w:r>
      <w:r>
        <w:t xml:space="preserve">, som er definert slik at det omfatter mer avgrensete kategorier interesser som </w:t>
      </w:r>
      <w:r w:rsidR="00015951">
        <w:t>«</w:t>
      </w:r>
      <w:r>
        <w:t>landets suverenitet, territorielle integritet og demokratiske styreform</w:t>
      </w:r>
      <w:r w:rsidR="00015951">
        <w:t>»</w:t>
      </w:r>
      <w:r>
        <w:t xml:space="preserve">, og en videre kategori, </w:t>
      </w:r>
      <w:r w:rsidR="00015951">
        <w:t>«</w:t>
      </w:r>
      <w:r>
        <w:t>overordnede sikkerhetspolitiske interesser</w:t>
      </w:r>
      <w:r w:rsidR="00015951">
        <w:t>»</w:t>
      </w:r>
      <w:r>
        <w:t>. Vilkårene som stilles må ha en saklig sammenheng med godkjenningen av ervervet, og ikke være uforholdsmessig tyngende.</w:t>
      </w:r>
    </w:p>
    <w:p w14:paraId="2E294172" w14:textId="77777777" w:rsidR="004B1A63" w:rsidRDefault="004B1A63">
      <w:pPr>
        <w:pStyle w:val="Overskrift4"/>
      </w:pPr>
      <w:r>
        <w:t>Sikkerhetsloven paragraf 2-5 om vedtak ved risiko for skadevirkninger for nasjonale sikkerhetsinteresser</w:t>
      </w:r>
    </w:p>
    <w:p w14:paraId="7FC07BEA" w14:textId="3E728391" w:rsidR="004B1A63" w:rsidRDefault="004B1A63" w:rsidP="006F4031">
      <w:r>
        <w:t xml:space="preserve">Bestemmelsen gir Kongen i statsråd myndighet til å fatte </w:t>
      </w:r>
      <w:r w:rsidR="00015951">
        <w:t>«</w:t>
      </w:r>
      <w:r>
        <w:t xml:space="preserve">nødvendige vedtak for å hindre sikkerhetstruende virksomhet eller annen planlagt eller pågående aktivitet som kan innebære </w:t>
      </w:r>
      <w:r w:rsidR="00015951">
        <w:t>«</w:t>
      </w:r>
      <w:r>
        <w:t>en ikke ubetydelig risiko for at nasjonale sikkerhetsinteresser blir truet</w:t>
      </w:r>
      <w:r w:rsidR="00015951">
        <w:t>»</w:t>
      </w:r>
      <w:r>
        <w:t>. Bestemmelsen omfatter enhver aktivitet som kan medføre en ikke ubetydelig risiko for at nasjonale sikkerhetsinteresser blir truet, og er ikke en spesifikk eierskapskontrollbestemmelse.</w:t>
      </w:r>
    </w:p>
    <w:p w14:paraId="165EC77B" w14:textId="61BD7091" w:rsidR="004B1A63" w:rsidRDefault="004B1A63">
      <w:r>
        <w:lastRenderedPageBreak/>
        <w:t xml:space="preserve">Begrepet </w:t>
      </w:r>
      <w:r w:rsidR="00015951">
        <w:t>«</w:t>
      </w:r>
      <w:r>
        <w:t>ikke ubetydelig risiko</w:t>
      </w:r>
      <w:r w:rsidR="00015951">
        <w:t>»</w:t>
      </w:r>
      <w:r>
        <w:t xml:space="preserve"> kom inn som en del av flere nye bestemmelser i den nå opphevde sikkerhetsloven av 1998, ved en lovendring i 2016. I </w:t>
      </w:r>
      <w:r w:rsidR="00015951">
        <w:t xml:space="preserve">Prop. </w:t>
      </w:r>
      <w:r w:rsidR="00015951">
        <w:t>97</w:t>
      </w:r>
      <w:r w:rsidR="00015951">
        <w:t xml:space="preserve"> </w:t>
      </w:r>
      <w:r w:rsidR="00015951">
        <w:t>L (2015</w:t>
      </w:r>
      <w:r>
        <w:t xml:space="preserve">–2016) Endringer i sikkerhetsloven s. 64 sier departementet følgende om innholdet i uttrykket </w:t>
      </w:r>
      <w:r w:rsidR="00015951">
        <w:t>«</w:t>
      </w:r>
      <w:r>
        <w:t>ikke ubetydelig risiko</w:t>
      </w:r>
      <w:r w:rsidR="00015951">
        <w:t>»</w:t>
      </w:r>
      <w:r>
        <w:t xml:space="preserve">: </w:t>
      </w:r>
      <w:r w:rsidR="00015951">
        <w:t>«</w:t>
      </w:r>
      <w:r>
        <w:t xml:space="preserve">Begrepet </w:t>
      </w:r>
      <w:r w:rsidR="00015951">
        <w:t>«</w:t>
      </w:r>
      <w:r>
        <w:t>ikke ubetydelig risiko</w:t>
      </w:r>
      <w:r w:rsidR="00015951">
        <w:t>»</w:t>
      </w:r>
      <w:r>
        <w:t xml:space="preserve"> innebærer at det er situasjoner med risiko ut over det </w:t>
      </w:r>
      <w:r w:rsidR="00015951">
        <w:t>«</w:t>
      </w:r>
      <w:r>
        <w:t>normale</w:t>
      </w:r>
      <w:r w:rsidR="00015951">
        <w:t>»</w:t>
      </w:r>
      <w:r>
        <w:t xml:space="preserve"> som skal varsles. Vurderingen vil måtte omfatte både sannsynlighet, sårbarhet og mulige konsekvenser. På sannsynlighetssiden innebærer kriteriet at det normalt ikke skal varsles dersom det kun foreligger en helt fjerntliggende eller rent teoretisk mulighet for at anskaffelsen skal kunne resultere i sikkerhetstruende virksomhet. Det bør være noe konkret med den aktuelle anskaffelsen som tilsier at risikoen er noe høyere enn ved andre anskaffelser. Bestemmelsen innebærer imidlertid ikke et krav om sannsynlighetsovervekt.</w:t>
      </w:r>
      <w:r w:rsidR="00015951">
        <w:t>»</w:t>
      </w:r>
    </w:p>
    <w:p w14:paraId="4D177CBE" w14:textId="53A5AAE4" w:rsidR="004B1A63" w:rsidRDefault="004B1A63">
      <w:r>
        <w:t xml:space="preserve">Departementet sier videre at uttrykket </w:t>
      </w:r>
      <w:r w:rsidR="00015951">
        <w:t>«</w:t>
      </w:r>
      <w:r>
        <w:t>ikke ubetydelig risiko</w:t>
      </w:r>
      <w:r w:rsidR="00015951">
        <w:t>»</w:t>
      </w:r>
      <w:r>
        <w:t xml:space="preserve"> må tolkes på bakgrunn av at det </w:t>
      </w:r>
      <w:r w:rsidR="00015951">
        <w:t>«</w:t>
      </w:r>
      <w:r>
        <w:t>i mange tilfeller kan være tilnærmet umulig å gjøre nøyaktige sannsynlighetsberegninger av risikoen</w:t>
      </w:r>
      <w:r w:rsidR="00015951">
        <w:t>»</w:t>
      </w:r>
      <w:r>
        <w:t xml:space="preserve"> for at handlinger skal inntreffe, og at vurderingene da må konsentreres om </w:t>
      </w:r>
      <w:r w:rsidR="00015951">
        <w:t>«</w:t>
      </w:r>
      <w:r>
        <w:t>sårbarhet og mulige konsekvenser</w:t>
      </w:r>
      <w:r w:rsidR="00015951">
        <w:t>»</w:t>
      </w:r>
      <w:r>
        <w:t>.</w:t>
      </w:r>
    </w:p>
    <w:p w14:paraId="191974AB" w14:textId="4253FAF6" w:rsidR="004B1A63" w:rsidRDefault="004B1A63">
      <w:r>
        <w:t xml:space="preserve">Etter sikkerhetsloven </w:t>
      </w:r>
      <w:r w:rsidR="00015951">
        <w:t>§ </w:t>
      </w:r>
      <w:r w:rsidR="00015951">
        <w:t>2</w:t>
      </w:r>
      <w:r>
        <w:t>-5 kan Kongen i statsråd treffe vedtak rettet både mot virksomheter som er underlagt sikkerhetsloven og andre virksomheter, i tillegg til fysiske personer. Dersom et selskap som eier eller kontrollerer kritisk digital infrastruktur i Norge, inngår i en konsernstruktur eller i en annen kompleks eierstruktur, kan det også treffes vedtak rettet mot andre deler av konsernet eller eierne, såfremt lovens vilkår er oppfylt.</w:t>
      </w:r>
    </w:p>
    <w:p w14:paraId="009D9054" w14:textId="5D9AA5C0" w:rsidR="004B1A63" w:rsidRDefault="004B1A63">
      <w:r>
        <w:t xml:space="preserve">I </w:t>
      </w:r>
      <w:r w:rsidR="00015951">
        <w:t xml:space="preserve">Prop. </w:t>
      </w:r>
      <w:r w:rsidR="00015951">
        <w:t>97</w:t>
      </w:r>
      <w:r w:rsidR="00015951">
        <w:t xml:space="preserve"> </w:t>
      </w:r>
      <w:r w:rsidR="00015951">
        <w:t>L (2015</w:t>
      </w:r>
      <w:r>
        <w:t xml:space="preserve">−2016) påpekes det i punkt 4.2.2 at det </w:t>
      </w:r>
      <w:r w:rsidR="00015951">
        <w:t>«</w:t>
      </w:r>
      <w:r>
        <w:t>vil være tale om et lite antall saker, og at disse sakene etter sin art vil være alvorlige og spesielle</w:t>
      </w:r>
      <w:r w:rsidR="00015951">
        <w:t>»</w:t>
      </w:r>
      <w:r>
        <w:t xml:space="preserve">. Sikkerhetsloven </w:t>
      </w:r>
      <w:r w:rsidR="00015951">
        <w:t>§ </w:t>
      </w:r>
      <w:r w:rsidR="00015951">
        <w:t>2</w:t>
      </w:r>
      <w:r>
        <w:t>-5 er ment som en snever sikkerhetsventil, og vil typisk kunne brukes der det ikke finnes hjemmel i andre regelverk for å stanse eller gripe inn i aktivitet som kan medføre et skadepotensiale for nasjonale sikkerhetsinteresser. Hva slags inngrep i aktiviteten vedtaket medfører, skal tilpasses og være gjenstand for en nødvendighets- og forholdsmessighetsvurdering.</w:t>
      </w:r>
    </w:p>
    <w:p w14:paraId="37B68F94" w14:textId="7C72F129" w:rsidR="004B1A63" w:rsidRDefault="004B1A63">
      <w:r>
        <w:t xml:space="preserve">Vedtakskompetansen etter </w:t>
      </w:r>
      <w:r w:rsidR="00015951">
        <w:t>§ </w:t>
      </w:r>
      <w:r w:rsidR="00015951">
        <w:t>2</w:t>
      </w:r>
      <w:r>
        <w:t xml:space="preserve">-5 har blitt brukt kun få ganger. I 2017 (under tidligere sikkerhetslov) ble det fattet vedtak om forbud mot å bygge en planlagt gangbro i Nydalen i Oslo, fordi gangbroen på grunn av sin beliggenhet ville kunne brukes som plattform for spionasje, sabotasje og terror rettet mot PST. I 2021 ble </w:t>
      </w:r>
      <w:r w:rsidR="00015951">
        <w:t>§ </w:t>
      </w:r>
      <w:r w:rsidR="00015951">
        <w:t>2</w:t>
      </w:r>
      <w:r>
        <w:t xml:space="preserve">-5 brukt for å stanse salget av Bergen Engines AS til TMH Group. I mars 2023 ble </w:t>
      </w:r>
      <w:r w:rsidR="00015951">
        <w:t>§ </w:t>
      </w:r>
      <w:r w:rsidR="00015951">
        <w:t>2</w:t>
      </w:r>
      <w:r>
        <w:t xml:space="preserve">-5 benyttet i vedtaket som gjaldt GlobalConnect. I juni 2024 tok regjeringen i bruk sikkerhetsloven </w:t>
      </w:r>
      <w:r w:rsidR="00015951">
        <w:t>§ </w:t>
      </w:r>
      <w:r w:rsidR="00015951">
        <w:t>2</w:t>
      </w:r>
      <w:r>
        <w:t xml:space="preserve">-5 for å stanse et mulig salg av eiendommen Søre Fagerfjord på Svalbard. I desember 2024 ble </w:t>
      </w:r>
      <w:r w:rsidR="00015951">
        <w:t>§ </w:t>
      </w:r>
      <w:r w:rsidR="00015951">
        <w:t>2</w:t>
      </w:r>
      <w:r>
        <w:t>-5 brukt for å sørge for at fartøyet LLV Azurit forlot Båtsfjord havn.</w:t>
      </w:r>
    </w:p>
    <w:p w14:paraId="71AEE8EC" w14:textId="77777777" w:rsidR="004B1A63" w:rsidRDefault="004B1A63">
      <w:pPr>
        <w:pStyle w:val="Overskrift4"/>
      </w:pPr>
      <w:r>
        <w:t>Sikkerhetsloven kapittel 9 om sikkerhetsgraderte anskaffelser mv.</w:t>
      </w:r>
    </w:p>
    <w:p w14:paraId="5E2A87F7" w14:textId="4E529ECD" w:rsidR="004B1A63" w:rsidRDefault="004B1A63" w:rsidP="006F4031">
      <w:r>
        <w:t xml:space="preserve">Sikkerhetsgraderte anskaffelser er regulert i sikkerhetsloven kapittel 9. </w:t>
      </w:r>
      <w:r w:rsidR="00015951">
        <w:t>§ </w:t>
      </w:r>
      <w:r w:rsidR="00015951">
        <w:t>9</w:t>
      </w:r>
      <w:r>
        <w:t xml:space="preserve">-1 sier at en sikkerhetsgradert anskaffelse er </w:t>
      </w:r>
      <w:r w:rsidR="00015951">
        <w:t>«</w:t>
      </w:r>
      <w:r>
        <w:t>en anskaffelse som innebærer at leverandøren av varen eller tjenesten kan få tilgang til eller tilvirker sikkerhetsgradert informasjon</w:t>
      </w:r>
      <w:r w:rsidR="00015951">
        <w:t>»</w:t>
      </w:r>
      <w:r>
        <w:t xml:space="preserve"> eller får </w:t>
      </w:r>
      <w:r w:rsidR="00015951">
        <w:t>«</w:t>
      </w:r>
      <w:r>
        <w:t>tilgang til et skjermingsverdig objekt eller infrastruktur …</w:t>
      </w:r>
      <w:r w:rsidR="00015951">
        <w:t>»</w:t>
      </w:r>
      <w:r>
        <w:t>.</w:t>
      </w:r>
    </w:p>
    <w:p w14:paraId="20AEEDAB" w14:textId="3DF834C3" w:rsidR="004B1A63" w:rsidRDefault="004B1A63">
      <w:r>
        <w:lastRenderedPageBreak/>
        <w:t xml:space="preserve">For anskaffelser som vil medføre at en leverandør kan få tilgang til informasjon gradert KONFIDENSIELT eller høyere, skal leverandøren ha gyldig klarering for angitt sikkerhetsgrad (leverandørklarering). En leverandørklarering gis av NSM etter en vurdering av om leverandøren er sikkerhetsmessig skikket. En personkontroll av leverandørens styre og ledelse skal være en del av vurderingsgrunnlaget. Klareringsforskriften </w:t>
      </w:r>
      <w:r w:rsidR="00015951">
        <w:t>§ </w:t>
      </w:r>
      <w:r w:rsidR="00015951">
        <w:t>3</w:t>
      </w:r>
      <w:r>
        <w:t>3 fastsetter at NSM blant annet skal legge vekt på økonomiske forhold og organisasjonsform og eierstruktur. Vurderingen gjøres på bakgrunn av informasjon gitt av virksomheten selv, og informasjon innhentet fra andre kilder. For utenlandske leverandører forutsetter en slik gjennomgang at Norge har en bilateral eller multilateral sikkerhetsavtale med det aktuelle landet, slik at en eventuell utenlandsk leverandørklarering kan legges til grunn for anskaffelsen.</w:t>
      </w:r>
    </w:p>
    <w:p w14:paraId="71E071EA" w14:textId="136DA084" w:rsidR="004B1A63" w:rsidRDefault="004B1A63">
      <w:r>
        <w:t xml:space="preserve">Leverandøren har etter sikkerhetsloven </w:t>
      </w:r>
      <w:r w:rsidR="00015951">
        <w:t>§ </w:t>
      </w:r>
      <w:r w:rsidR="00015951">
        <w:t>9</w:t>
      </w:r>
      <w:r>
        <w:t xml:space="preserve">-3 en varslingsplikt og skal </w:t>
      </w:r>
      <w:r w:rsidR="00015951">
        <w:t>«</w:t>
      </w:r>
      <w:r>
        <w:t>så snart som mulig orientere klareringsmyndigheten om endringer i styret eller ledelsen, endringer i eierstrukturen, flytting av lokaliteter og utstyr, åpning av gjeldsforhandling, begjæring om konkurs og annet som kan påvirke vurderingen av om leverandøren er sikkerhetsmessig skikket</w:t>
      </w:r>
      <w:r w:rsidR="00015951">
        <w:t>»</w:t>
      </w:r>
      <w:r>
        <w:t>. Dersom det som følge av den varslede endringen oppstår en risiko som ikke kan håndteres ved forebyggende sikkerhetstiltak, kan klareringsmyndigheten inndra leverandørklareringen.</w:t>
      </w:r>
    </w:p>
    <w:p w14:paraId="4A7F1212" w14:textId="5A066EF5" w:rsidR="004B1A63" w:rsidRDefault="004B1A63">
      <w:r>
        <w:t xml:space="preserve">Myndighetene har mulighet til å gripe inn i en konkret anskaffelsesprosess som gjelder anskaffelser til skjermingsverdig informasjonssystem, objekt eller infrastruktur. Varslingsplikten og myndighet til å fatte vedtak er beskrevet i sikkerhetsloven </w:t>
      </w:r>
      <w:r w:rsidR="00015951">
        <w:t>§ </w:t>
      </w:r>
      <w:r w:rsidR="00015951">
        <w:t>9</w:t>
      </w:r>
      <w:r>
        <w:t>-4. Bestemmelsen stiller krav om at den virksomheten som skal anskaffe, selv vurdere om risikoen knyttet til anskaffelsen kan innebære en ikke ubetydelig risiko for at infrastruktur kan bli rammet av eller brukt til sikkerhetstruende virksomhet. Dersom anskaffelsen kan medføre en slik risiko, kan Kongen i statsråd fatte vedtak om at anskaffelsen ikke skal gjennomføres, eller at det skal settes vilkår for den. Slikt vedtak kan fattes selv om det allerede er inngått avtale om anskaffelsen. For øvrig forutsetter bestemmelsen at underliggende organer har vurdert sikkerhetsrisiko ved anskaffelsen og varslet departementet om anskaffelsen innebærer risiko. Kongen i statsråd må likevel kunne fatte vedtak etter bestemmelsen, selv om slikt varsel ikke er gitt, såfremt de øvrige vilkårene er oppfylt.</w:t>
      </w:r>
    </w:p>
    <w:p w14:paraId="07E52452" w14:textId="77777777" w:rsidR="004B1A63" w:rsidRDefault="004B1A63">
      <w:pPr>
        <w:pStyle w:val="Overskrift3"/>
      </w:pPr>
      <w:r>
        <w:t>Ekomloven</w:t>
      </w:r>
    </w:p>
    <w:p w14:paraId="7CAF00DA" w14:textId="77777777" w:rsidR="004B1A63" w:rsidRDefault="004B1A63">
      <w:r>
        <w:t>Ekomsektoren bærer en stadig større andel av samfunnets verdier, og det er derfor svært viktig å kunne stille krav til forsvarlig sikkerhet og beredskap i elektroniske kommunikasjonsnett og -tjenester. Fra 1. januar 2025 fikk ny ekomlov av 13. desember 2024 virkning.</w:t>
      </w:r>
    </w:p>
    <w:p w14:paraId="60C0ABB2" w14:textId="43F21C1F" w:rsidR="004B1A63" w:rsidRDefault="004B1A63">
      <w:r>
        <w:t xml:space="preserve">Lovens formål framgår av </w:t>
      </w:r>
      <w:r w:rsidR="00015951">
        <w:t>§ </w:t>
      </w:r>
      <w:r w:rsidR="00015951">
        <w:t>1</w:t>
      </w:r>
      <w:r>
        <w:t>-1 som sier:</w:t>
      </w:r>
    </w:p>
    <w:p w14:paraId="5A87B948" w14:textId="0699532D" w:rsidR="004B1A63" w:rsidRPr="00015951" w:rsidRDefault="00015951">
      <w:pPr>
        <w:pStyle w:val="blokksit"/>
      </w:pPr>
      <w:r>
        <w:t>«</w:t>
      </w:r>
      <w:r w:rsidR="004B1A63" w:rsidRPr="00015951">
        <w:t>Lovens formål er å sikre brukerne i hele landet gode, rimelige, fremtidsrettede elektroniske kommunikasjonstjenester med forsvarlig sikkerhet, legge til rette for bærekraftig konkurranse, effektiv bruk av samfunnets ressurser og stimulere til næringsutvikling og innovasjon. Loven skal også gi forsvarlig sikkerhet i datasentre</w:t>
      </w:r>
      <w:r>
        <w:t>»</w:t>
      </w:r>
      <w:r w:rsidR="004B1A63" w:rsidRPr="00015951">
        <w:t>.</w:t>
      </w:r>
    </w:p>
    <w:p w14:paraId="23DBF565" w14:textId="4A4AF1B1" w:rsidR="004B1A63" w:rsidRDefault="004B1A63">
      <w:r>
        <w:t xml:space="preserve">I den nye loven er det gjort enkelte endringer i ordlyden i formålsbestemmelsen i forhold til ekomloven fra 2003, ved å ta inn referanser til </w:t>
      </w:r>
      <w:r w:rsidR="00015951">
        <w:t>«</w:t>
      </w:r>
      <w:r>
        <w:t>forsvarlig sikkerhet</w:t>
      </w:r>
      <w:r w:rsidR="00015951">
        <w:t>»</w:t>
      </w:r>
      <w:r>
        <w:t xml:space="preserve">. Endringene er gjort fordi man ønsket å </w:t>
      </w:r>
      <w:r>
        <w:lastRenderedPageBreak/>
        <w:t>synliggjøre i bestemmelsen at elektroniske kommunikasjonstjenester og datasentertjenenester skal leveres med forsvarlig sikkerhet.</w:t>
      </w:r>
    </w:p>
    <w:p w14:paraId="4861EF4B" w14:textId="77777777" w:rsidR="004B1A63" w:rsidRDefault="004B1A63">
      <w:r>
        <w:t xml:space="preserve">Det kan være verd å merke seg at begrepet tilbyder er utvidet i den nye ekomloven og </w:t>
      </w:r>
      <w:r>
        <w:rPr>
          <w:spacing w:val="-2"/>
        </w:rPr>
        <w:t xml:space="preserve">omfatter en større krets av tilbydere. Det betyr at plikten til å ivareta sikkerhet i elektroniske </w:t>
      </w:r>
      <w:r>
        <w:t>kommunikasjonsnett og -tjenester nå også gjelder for de nummeruavhengige person-til-person-kommunikasjonstjenestene, herunder chattetjenester og tale over IP, samt alle former for e-post. I tillegg reguleres også datasentre i den nye ekomloven.</w:t>
      </w:r>
    </w:p>
    <w:p w14:paraId="7025F4A6" w14:textId="28EAA35C" w:rsidR="004B1A63" w:rsidRDefault="004B1A63">
      <w:r w:rsidRPr="00015951">
        <w:rPr>
          <w:rStyle w:val="kursiv"/>
        </w:rPr>
        <w:t xml:space="preserve">Ekomloven </w:t>
      </w:r>
      <w:r w:rsidR="00015951" w:rsidRPr="00015951">
        <w:rPr>
          <w:rStyle w:val="kursiv"/>
        </w:rPr>
        <w:t>§ </w:t>
      </w:r>
      <w:r w:rsidR="00015951" w:rsidRPr="00015951">
        <w:rPr>
          <w:rStyle w:val="kursiv"/>
        </w:rPr>
        <w:t>3</w:t>
      </w:r>
      <w:r w:rsidRPr="00015951">
        <w:rPr>
          <w:rStyle w:val="kursiv"/>
        </w:rPr>
        <w:t>-1</w:t>
      </w:r>
      <w:r>
        <w:t xml:space="preserve"> fastsetter at tilbyder skal tilby elektroniske kommunikasjonsnett og -tjenester med forsvarlig sikkerhet for brukerne i fred, krise og krig. Tilbyder skal opprettholde forsvarlig beredskap, og viktige samfunnsaktører skal prioriteres ved behov. Formålet er å sikre at tilbyder ivaretar den grunnleggende sikkerheten i nett og tjenester, og at man sørger for nødvendig beredskap også for å kunne håndtere situasjoner utover det normale. Tilbydere skal også sikre vern av kommunikasjon og data.</w:t>
      </w:r>
    </w:p>
    <w:p w14:paraId="7B276D6D" w14:textId="77777777" w:rsidR="004B1A63" w:rsidRDefault="004B1A63">
      <w:r>
        <w:t>Bestemmelsens første ledd sier at tilbydere skal</w:t>
      </w:r>
    </w:p>
    <w:p w14:paraId="329DE8CF" w14:textId="7EFE2668" w:rsidR="004B1A63" w:rsidRDefault="004B1A63" w:rsidP="00CA2A5A">
      <w:pPr>
        <w:pStyle w:val="alfaliste"/>
        <w:numPr>
          <w:ilvl w:val="0"/>
          <w:numId w:val="53"/>
        </w:numPr>
      </w:pPr>
      <w:r>
        <w:t>tilby elektroniske kommunikasjonsnett og -tjenester med forsvarlig sikkerhet for brukerne i fred, krise og krig</w:t>
      </w:r>
    </w:p>
    <w:p w14:paraId="6EF90A90" w14:textId="63FEEFB5" w:rsidR="004B1A63" w:rsidRDefault="004B1A63" w:rsidP="00CA2A5A">
      <w:pPr>
        <w:pStyle w:val="alfaliste"/>
        <w:numPr>
          <w:ilvl w:val="0"/>
          <w:numId w:val="53"/>
        </w:numPr>
      </w:pPr>
      <w:r>
        <w:t>opprettholde forsvarlig beredskap i elektroniske kommunikasjonsnett og -tjenester, og prioritere viktige samfunnsaktører ved behov, og</w:t>
      </w:r>
    </w:p>
    <w:p w14:paraId="63172D72" w14:textId="775A79EA" w:rsidR="004B1A63" w:rsidRDefault="004B1A63" w:rsidP="00CA2A5A">
      <w:pPr>
        <w:pStyle w:val="alfaliste"/>
        <w:numPr>
          <w:ilvl w:val="0"/>
          <w:numId w:val="53"/>
        </w:numPr>
      </w:pPr>
      <w:r>
        <w:t>sikre forsvarlig vern av kommunikasjon og data i elektroniske kommunikasjonsnett og -tjenester</w:t>
      </w:r>
    </w:p>
    <w:p w14:paraId="0B37676D" w14:textId="702CFFCF" w:rsidR="004B1A63" w:rsidRDefault="004B1A63">
      <w:r>
        <w:t xml:space="preserve">Knyttet til bokstav b står det i forarbeidene i merknadene til bestemmelsen at </w:t>
      </w:r>
      <w:r w:rsidR="00015951">
        <w:t>«</w:t>
      </w:r>
      <w:r>
        <w:t xml:space="preserve">Ordlyden er endret ved at forsvarlighetsnivået høynes fra </w:t>
      </w:r>
      <w:r w:rsidR="00015951">
        <w:t>«</w:t>
      </w:r>
      <w:r>
        <w:t>nødvendig</w:t>
      </w:r>
      <w:r w:rsidR="00015951">
        <w:t>»</w:t>
      </w:r>
      <w:r>
        <w:t xml:space="preserve"> til </w:t>
      </w:r>
      <w:r w:rsidR="00015951">
        <w:t>«</w:t>
      </w:r>
      <w:r>
        <w:t>forsvarlig</w:t>
      </w:r>
      <w:r w:rsidR="00015951">
        <w:t>»</w:t>
      </w:r>
      <w:r>
        <w:t xml:space="preserve"> beredskap i tråd med viktigheten av elektronisk kommunikasjon for samfunnet</w:t>
      </w:r>
      <w:r w:rsidR="00015951">
        <w:t>»</w:t>
      </w:r>
      <w:r>
        <w:t>. Tilsvarende endring og med samme begrunnelse, er gjort når det gjelder vern av kommunikasjon og data i bokstav c.</w:t>
      </w:r>
    </w:p>
    <w:p w14:paraId="6787817C" w14:textId="77777777" w:rsidR="004B1A63" w:rsidRDefault="004B1A63">
      <w:r>
        <w:t>Forsvarlig sikkerhet er en rettslig standard der innholdet vil kunne forandre seg over tid basert på situasjonen i markedet, utviklingen av teknologi og endringer i samfunnet ellers. Hva som utgjør forsvarlig sikkerhet, kan også være forskjellige for virksomhetene ut fra en konkret risiko- og sårbarhetsanalyse. Tilbyders plikt til å opprettholde forsvarlig sikkerhet innebærer at tilbyder av nett og tjenester må gjennomføre fortløpende risikovurderinger og i lys av hva som kan anses som akseptabel restrisiko og kostnadene med tiltak, vurdere hvilke sikkerhetstiltak som er nødvendige for å opprettholde et forsvarlig sikkerhetsnivå.</w:t>
      </w:r>
    </w:p>
    <w:p w14:paraId="547F576D" w14:textId="14A9C16D" w:rsidR="004B1A63" w:rsidRDefault="004B1A63">
      <w:r>
        <w:t xml:space="preserve">Etter bokstav b skal tilbydere også prioritere viktige samfunnsaktører ved behov. I ekomforskriften </w:t>
      </w:r>
      <w:r w:rsidR="00015951">
        <w:t>§ </w:t>
      </w:r>
      <w:r w:rsidR="00015951">
        <w:t>2</w:t>
      </w:r>
      <w:r>
        <w:t xml:space="preserve">-10 er Nkom gitt hjemmel til i særlige tilfeller så langt det er nødvendig for å sikre offentlige interesser, å pålegge tilbyder å gi prioritet til viktige samfunnsaktører ved gjenoppretting etter driftsstans. Mennesker som er avhengig av mobiltelefon for å utføre særlige samfunnsviktige oppgaver kan få prioritetsabonnement som gjør at brukeren kan komme gjennom på telefonen dersom det er stor belastning i tilbyderens mobilnett. I tillegg gir tjenesten nasjonal gjesting i andre tilbyderes mobilnett ved dekningsutfall i eget mobilnett. Prioritetsfunksjonen og nasjonal gjesting har primært virkning mot </w:t>
      </w:r>
      <w:r>
        <w:lastRenderedPageBreak/>
        <w:t>lokal metning og lokale utfall i radionett, for eksempler hvis basestasjoner mister strømtilførsel eller sin forbindelse med resten av nettet ved at fiberkabler går i stykker. Nasjonal gjesting er avhengig av at egen tilbyders kjernenett er oppe. Er problemet knyttet til tilbyders kjernenett, vil ikke et prioritetsabonnement sikre fortsatt mulighet til kommunikasjon.</w:t>
      </w:r>
    </w:p>
    <w:p w14:paraId="3449C139" w14:textId="410464D7" w:rsidR="004B1A63" w:rsidRDefault="004B1A63">
      <w:r w:rsidRPr="00015951">
        <w:rPr>
          <w:rStyle w:val="kursiv"/>
        </w:rPr>
        <w:t xml:space="preserve">Ekomloven </w:t>
      </w:r>
      <w:r w:rsidR="00015951" w:rsidRPr="00015951">
        <w:rPr>
          <w:rStyle w:val="kursiv"/>
        </w:rPr>
        <w:t>§ </w:t>
      </w:r>
      <w:r w:rsidR="00015951" w:rsidRPr="00015951">
        <w:rPr>
          <w:rStyle w:val="kursiv"/>
        </w:rPr>
        <w:t>3</w:t>
      </w:r>
      <w:r w:rsidRPr="00015951">
        <w:rPr>
          <w:rStyle w:val="kursiv"/>
        </w:rPr>
        <w:t>-7 annet ledd</w:t>
      </w:r>
      <w:r>
        <w:t xml:space="preserve"> setter krav til sikkerhet i datasentre. Bestemmelsen er ny, og stiller krav til forsvarlig sikkerhet i datasenter og er utformet med utgangspunkt i de samme forpliktelsene som stilles til sikkerhet i elektronisk kommunikasjonsnett og -tjenester, jf. ekomloven </w:t>
      </w:r>
      <w:r w:rsidR="00015951">
        <w:t>§ </w:t>
      </w:r>
      <w:r w:rsidR="00015951">
        <w:t>3</w:t>
      </w:r>
      <w:r>
        <w:t>-1.</w:t>
      </w:r>
    </w:p>
    <w:p w14:paraId="0C866C45" w14:textId="7AE54A03" w:rsidR="004B1A63" w:rsidRDefault="004B1A63">
      <w:r w:rsidRPr="00015951">
        <w:rPr>
          <w:rStyle w:val="kursiv"/>
        </w:rPr>
        <w:t>Ekomloven 3-5</w:t>
      </w:r>
      <w:r>
        <w:t xml:space="preserve"> sier i første ledd at </w:t>
      </w:r>
      <w:r w:rsidR="00015951">
        <w:t>«</w:t>
      </w:r>
      <w:r>
        <w:t>Når det er nødvendig av hensyn til nasjonal sikkerhet eller andre viktige samfunnsinteresser, kan departementet i særlige tilfeller fatte vedtak om at tilbyder nektes tilgang til markedet</w:t>
      </w:r>
      <w:r w:rsidR="00015951">
        <w:t>»</w:t>
      </w:r>
      <w:r>
        <w:t>. Departementet kan nekte tilgang til markedet for elektroniske kommunikasjonsnett og -tjenester både ved oppstart av virksomhet og etter at virksomheten er i gang, dersom det er forhold som tilsier at tilbyder bør nektes tilgang til markedet. Bestemmelsen er ment for tilfeller der alternative tiltak ikke finnes og terskelen for å ta i bruk bestemmelsen er høy, jf. merknadene til bestemmelsen i forarbeidene.</w:t>
      </w:r>
      <w:r w:rsidR="00015951" w:rsidRPr="00015951">
        <w:rPr>
          <w:rStyle w:val="Fotnotereferanse"/>
        </w:rPr>
        <w:footnoteReference w:id="108"/>
      </w:r>
      <w:r>
        <w:t xml:space="preserve"> Det framgår også av forarbeidene at </w:t>
      </w:r>
      <w:r w:rsidR="00015951">
        <w:t>«</w:t>
      </w:r>
      <w:r>
        <w:t xml:space="preserve">Bestemmelsen må også ses i sammenheng med sikkerhetsloven </w:t>
      </w:r>
      <w:r w:rsidR="00015951">
        <w:t>§ </w:t>
      </w:r>
      <w:r w:rsidR="00015951">
        <w:t>2</w:t>
      </w:r>
      <w:r>
        <w:t xml:space="preserve">-5 om vedtak ved risiko for skadevirkninger for nasjonale sikkerhetsinteresser slik disse er definert i sikkerhetsloven </w:t>
      </w:r>
      <w:r w:rsidR="00015951">
        <w:t>§ </w:t>
      </w:r>
      <w:r w:rsidR="00015951">
        <w:t>1</w:t>
      </w:r>
      <w:r>
        <w:t xml:space="preserve">-5. Den foreslåtte bestemmelsen om begrensinger i markedsadgang vil imidlertid omfatte sikkerhet ut over nasjonale sikkerhetsinteresser slik dette er definert i sikkerhetsloven. Andre viktige samfunnsinteresser omfatter både offentlig sikkerhet, helse eller andre særlige forhold. Det vil kunne forekomme situasjoner hvor det kan være aktuelt å fatte vedtak etter sikkerhetsloven </w:t>
      </w:r>
      <w:r w:rsidR="00015951">
        <w:t>§ </w:t>
      </w:r>
      <w:r w:rsidR="00015951">
        <w:t>2</w:t>
      </w:r>
      <w:r>
        <w:t>-5 og vedtak om å nekte adgang til markedet etter ekomloven</w:t>
      </w:r>
      <w:r w:rsidR="00015951">
        <w:t>»</w:t>
      </w:r>
      <w:r>
        <w:t>.</w:t>
      </w:r>
    </w:p>
    <w:p w14:paraId="1BF44E43" w14:textId="56F35ACC" w:rsidR="004B1A63" w:rsidRDefault="004B1A63">
      <w:r>
        <w:t xml:space="preserve">Bestemmelsen er en videreføring av ekomloven fra 2003 </w:t>
      </w:r>
      <w:r w:rsidR="00015951">
        <w:t>§ </w:t>
      </w:r>
      <w:r w:rsidR="00015951">
        <w:t>2</w:t>
      </w:r>
      <w:r>
        <w:t xml:space="preserve">-10 tredje ledd (opprinnelig femte ledd). Det finnes imidlertid ingen omtale av bestemmelsen fra forarbeidene til den loven. Omfanget av bestemmelsen og forholdet til sikkerhetsloven </w:t>
      </w:r>
      <w:r w:rsidR="00015951">
        <w:t>§ </w:t>
      </w:r>
      <w:r w:rsidR="00015951">
        <w:t>2</w:t>
      </w:r>
      <w:r>
        <w:t>-5 framstår som uklart. Utvalget antar at bestemmelsen først og fremst er aktuell å ta i bruk overfor virksomheter hjemmehørende i en stat utenfor EØS som Norge ikke har sikkerhetspolitisk samarbeid med, eller overfor en virksomhet hjemmehørende innenfor EØS som har eller får eiere som er hjemmehørende i stater Norge ikke har slikt samarbeid med.</w:t>
      </w:r>
    </w:p>
    <w:p w14:paraId="066B26DA" w14:textId="4234DD62" w:rsidR="004B1A63" w:rsidRDefault="004B1A63">
      <w:pPr>
        <w:rPr>
          <w:spacing w:val="-2"/>
        </w:rPr>
      </w:pPr>
      <w:r>
        <w:rPr>
          <w:spacing w:val="-2"/>
        </w:rPr>
        <w:t xml:space="preserve">Mens sikkerhetsloven </w:t>
      </w:r>
      <w:r w:rsidR="00015951">
        <w:rPr>
          <w:spacing w:val="-2"/>
        </w:rPr>
        <w:t>§ </w:t>
      </w:r>
      <w:r w:rsidR="00015951">
        <w:rPr>
          <w:spacing w:val="-2"/>
        </w:rPr>
        <w:t>1</w:t>
      </w:r>
      <w:r>
        <w:rPr>
          <w:spacing w:val="-2"/>
        </w:rPr>
        <w:t xml:space="preserve">0-3 gir Kongen i statsråd adgang til å nekte erverve av en kvalifisert eierandel i en virksomhet som er underlagt loven, vil ekomloven </w:t>
      </w:r>
      <w:r w:rsidR="00015951">
        <w:rPr>
          <w:spacing w:val="-2"/>
        </w:rPr>
        <w:t>§ </w:t>
      </w:r>
      <w:r w:rsidR="00015951">
        <w:rPr>
          <w:spacing w:val="-2"/>
        </w:rPr>
        <w:t>3</w:t>
      </w:r>
      <w:r>
        <w:rPr>
          <w:spacing w:val="-2"/>
        </w:rPr>
        <w:t xml:space="preserve">-5 gi departementet hjemmel til å nekte enhver tilbyder der eierandeler er blitt kjøpt opp, adgang til markedet, og dermed stanse virksomheten hvis man anser at virksomheten vil utgjøre en nasjonal sikkerhetsrisiko etter oppkjøpet. Utvalget antar at det også kan være aktuelt å bruke ekomloven </w:t>
      </w:r>
      <w:r w:rsidR="00015951">
        <w:rPr>
          <w:spacing w:val="-2"/>
        </w:rPr>
        <w:t>§ </w:t>
      </w:r>
      <w:r w:rsidR="00015951">
        <w:rPr>
          <w:spacing w:val="-2"/>
        </w:rPr>
        <w:t>3</w:t>
      </w:r>
      <w:r>
        <w:rPr>
          <w:spacing w:val="-2"/>
        </w:rPr>
        <w:t xml:space="preserve">-5 dersom en tilbyder overfører rådigheten over hele eller deler av sin infrastruktur til en virksomhet hjemmehørende i land Norge ikke har sikkerhetspolitisk samarbeid med. I slike tilfeller er det ikke snakk om å selge eierandeler i virksomheten, men eierskap til innhold i virksomheten – altså tilfeller som ikke er omfattet av sikkerhetsloven </w:t>
      </w:r>
      <w:r w:rsidR="00015951">
        <w:rPr>
          <w:spacing w:val="-2"/>
        </w:rPr>
        <w:t>§ </w:t>
      </w:r>
      <w:r w:rsidR="00015951">
        <w:rPr>
          <w:spacing w:val="-2"/>
        </w:rPr>
        <w:t>1</w:t>
      </w:r>
      <w:r>
        <w:rPr>
          <w:spacing w:val="-2"/>
        </w:rPr>
        <w:t xml:space="preserve">0-3. Det følger av ekomloven </w:t>
      </w:r>
      <w:r w:rsidR="00015951">
        <w:rPr>
          <w:spacing w:val="-2"/>
        </w:rPr>
        <w:t>§ </w:t>
      </w:r>
      <w:r w:rsidR="00015951">
        <w:rPr>
          <w:spacing w:val="-2"/>
        </w:rPr>
        <w:t>5</w:t>
      </w:r>
      <w:r>
        <w:rPr>
          <w:spacing w:val="-2"/>
        </w:rPr>
        <w:t xml:space="preserve">-4 at dersom tilbyderen som avhender hele eller vesentlige deler av aksessnettet, har </w:t>
      </w:r>
      <w:r>
        <w:rPr>
          <w:spacing w:val="-2"/>
        </w:rPr>
        <w:lastRenderedPageBreak/>
        <w:t>leveringsplikt, har tilbyderen plikt til å varsle departementet på et tidspunkt som gir departementet mulighet til å vurdere konsekvensene av avhendelsen og behovet for å begrense markedsadgangen.</w:t>
      </w:r>
    </w:p>
    <w:p w14:paraId="57BE29BF" w14:textId="6A3B5BFD" w:rsidR="004B1A63" w:rsidRDefault="004B1A63">
      <w:r w:rsidRPr="00015951">
        <w:rPr>
          <w:rStyle w:val="kursiv"/>
        </w:rPr>
        <w:t xml:space="preserve">Ekomloven </w:t>
      </w:r>
      <w:r w:rsidR="00015951" w:rsidRPr="00015951">
        <w:rPr>
          <w:rStyle w:val="kursiv"/>
        </w:rPr>
        <w:t>§ </w:t>
      </w:r>
      <w:r w:rsidR="00015951" w:rsidRPr="00015951">
        <w:rPr>
          <w:rStyle w:val="kursiv"/>
        </w:rPr>
        <w:t>3</w:t>
      </w:r>
      <w:r w:rsidRPr="00015951">
        <w:rPr>
          <w:rStyle w:val="kursiv"/>
        </w:rPr>
        <w:t>-8 første ledd</w:t>
      </w:r>
      <w:r>
        <w:t xml:space="preserve"> åpner for at myndigheten kan pålegge en tilbyder eller en datasenteroperatør å gjennomføre begrensninger i bruken av elektroniske kommunikasjonsnett og -tjenester, eller i datasentertjeneste, av hensyn til nasjonal sikkerhet eller andre viktige samfunnsinteresser. I avgjørelsen av om bruksbegrensning skal pålegges, må det tas hensyn til at brukere av tjenestene kan bli stående uten kommunikasjonstjenester eller datasentertjenester i en periode. I vurderingen av om pålegg skal gis, må hensynet til nasjonal sikkerhet og andre viktige samfunnshensyn veies mot de sikkerhets- og samfunnsmessige konsekvensene en bruksbegrensning kan ha for de berørte. Det betyr at det er en viss terskel for å pålegge bruksbegrensninger.</w:t>
      </w:r>
    </w:p>
    <w:p w14:paraId="35547933" w14:textId="77777777" w:rsidR="004B1A63" w:rsidRDefault="004B1A63">
      <w:r>
        <w:t xml:space="preserve">Etter </w:t>
      </w:r>
      <w:r w:rsidRPr="00015951">
        <w:rPr>
          <w:rStyle w:val="kursiv"/>
        </w:rPr>
        <w:t>annet ledd</w:t>
      </w:r>
      <w:r>
        <w:t xml:space="preserve"> i bestemmelsen skal tilbyder og datasenteroperatør gjennomføre nødvendige bruksbegrensninger i nødssituasjoner som innebærer alvorlige trusler mot liv eller helse, nasjonal sikkerhet eller offentlig orden, eller fare for sabotasje mot datasenter, nett eller tjeneste. Knyttet til de aktuelle nødsituasjonene, må tilbyder eller datasenteroperatør selv ta stilling til om det foreligger fare for sabotasje mot nett eller tjenester. Når det gjelder alvorlige trusler mot liv eller helse så kan tilbyder eller datasenteroperatør selv ta stilling til dette, eller det kan skje i samarbeid med myndigheter. I praksis vil også bruksbegrensninger knyttet til trusler mot nasjonal sikkerhet eller offentlig orden, iverksettes i samråd med tilsynsmyndigheten. Dersom tilbyder eller datasenteroperatør iverksetter bruksbegrensning uten konsultasjon med tilsynsmyndigheten, skal de straks varsle myndigheten.</w:t>
      </w:r>
    </w:p>
    <w:p w14:paraId="04BA7A30" w14:textId="77777777" w:rsidR="004B1A63" w:rsidRDefault="004B1A63">
      <w:pPr>
        <w:pStyle w:val="Overskrift3"/>
      </w:pPr>
      <w:r>
        <w:t>Digitalsikkerhetsloven</w:t>
      </w:r>
    </w:p>
    <w:p w14:paraId="00EE430E" w14:textId="702D7131" w:rsidR="004B1A63" w:rsidRDefault="004B1A63">
      <w:r>
        <w:t>Digitalsikkerhetsloven gjennomfører Europaparlaments- og rådsdirektiv (EU) 2016/1148 av 6. juli 2016 om tiltak for å sikre et høyt felles nivå for sikkerhet i nettverks- og informasjonssystemer i hele Unionen (NIS-direktivet). Loven er også et utgangspunkt for videre kravstilling og regulering innen digital sikkerhet. Direktivet og tilhørende gjennomføringsforordning</w:t>
      </w:r>
      <w:r w:rsidR="00015951" w:rsidRPr="00015951">
        <w:rPr>
          <w:rStyle w:val="Fotnotereferanse"/>
        </w:rPr>
        <w:footnoteReference w:id="109"/>
      </w:r>
      <w:r>
        <w:t xml:space="preserve"> ble besluttet tatt inn i EØS-avtalen 3. februar 2023. Samme dag ble også forordningen om ENISA</w:t>
      </w:r>
      <w:r w:rsidR="00015951" w:rsidRPr="00015951">
        <w:rPr>
          <w:rStyle w:val="Fotnotereferanse"/>
        </w:rPr>
        <w:footnoteReference w:id="110"/>
      </w:r>
      <w:r>
        <w:t>, om cybersikkerhetssertifisering av informasjons- og kommunikasjonsteknologi tatt inn i EØS-avtalen. Forordningen er planlagt inkorporert i forskrift til digitalsikkerhetsloven</w:t>
      </w:r>
    </w:p>
    <w:p w14:paraId="4F8F2BBA" w14:textId="304C8D1F" w:rsidR="004B1A63" w:rsidRDefault="004B1A63">
      <w:r>
        <w:t xml:space="preserve">Loven ble vedtatt i desember 2023, men er ennå ikke trådt i kraft fordi forskriften til loven ikke er ferdig. Utkast til forskrift har vært på høring med frist 11. desember 2024, og Justisdepartementet jobber nå med å ferdigstille forskriften. Loven gjelder ikke for tilbydere av tilgang til elektronisk kommunikasjonsnett eller -tjeneste samt datasentre – for disse gjelder ekomlovens regler om sikkerhet. I utkastet </w:t>
      </w:r>
      <w:r>
        <w:lastRenderedPageBreak/>
        <w:t xml:space="preserve">til forskrift, er imidlertid visse tjenester innenfor digital infrastruktur foreslått omfattet av samfunnsviktige tjenester i digitalsikkerhetsloven </w:t>
      </w:r>
      <w:r w:rsidR="00015951">
        <w:t>§ </w:t>
      </w:r>
      <w:r w:rsidR="00015951">
        <w:t>2</w:t>
      </w:r>
      <w:r>
        <w:t>. Dette gjelder sentralt register over norske toppnivådomener (Norid), rekursiv navneservertjeneste (tjeneste innenfor domenenavnsystemet (DNS)) med flere enn 5</w:t>
      </w:r>
      <w:r w:rsidR="00015951">
        <w:t>0</w:t>
      </w:r>
      <w:r w:rsidR="00015951">
        <w:t> </w:t>
      </w:r>
      <w:r w:rsidR="00015951">
        <w:t>000</w:t>
      </w:r>
      <w:r>
        <w:t xml:space="preserve"> aktive brukere, samt samtrafikkpunkter for internett.</w:t>
      </w:r>
    </w:p>
    <w:p w14:paraId="428D6EE4" w14:textId="77777777" w:rsidR="004B1A63" w:rsidRDefault="004B1A63">
      <w:r>
        <w:t xml:space="preserve">Loven stiller krav til forebyggende digital sikkerhet hos virksomheter som leverer </w:t>
      </w:r>
      <w:r>
        <w:rPr>
          <w:spacing w:val="-4"/>
        </w:rPr>
        <w:t xml:space="preserve">samfunnsviktige eller digitale tjenester innen en rekke ulike sektorer, herunder for sektoren digital infrastruktur. Virksomhetene blir også pålagt en varslingsplikt ved alvorlige hendelser </w:t>
      </w:r>
      <w:r>
        <w:t>som rammer deres nettverk eller informasjonssystemer, og som er egnet til å forstyrre leveransen av en samfunnsviktig tjeneste. Digitalsikkerhetsloven stiller grunnleggende krav om forsvarlig sikkerhet i nettverk og informasjonssystemer som ligger til grunn for leveransen av en samfunnsviktig tjeneste. Sikkerhetstiltakene skal være risikobaserte, som igjen forutsetter at virksomheten utarbeider risikovurderinger av nettverk og informasjonssystemer. Virksomheter som er underlagt sikkerhetsloven og eller regulert i ekomloven, er allerede underlagt krav til forsvarlig sikkerhet gjennom disse regelverkene.</w:t>
      </w:r>
    </w:p>
    <w:p w14:paraId="46E3EA7C" w14:textId="77777777" w:rsidR="004B1A63" w:rsidRDefault="004B1A63">
      <w:pPr>
        <w:rPr>
          <w:spacing w:val="-2"/>
        </w:rPr>
      </w:pPr>
      <w:r>
        <w:rPr>
          <w:spacing w:val="-2"/>
        </w:rPr>
        <w:t>I november 2022 vedtok EU direktiv (EU) 2022/2555, et nytt direktiv (NIS2-direktivet) som opphever NIS1. Det nye NIS-direktivet fikk virkning fra 24. oktober 2024 i EU. NIS2-direktivet er foreløpig ikke tatt inn i EØS-avtalen, men det fremgår av Totalberedskapsmeldingen at regjeringen forbereder gjennomføring av direktivet i norsk rett. Innlemmelse av NIS2-direktivet i EØS-avtalen vil medføre behov for enderinger i regelverket.</w:t>
      </w:r>
    </w:p>
    <w:p w14:paraId="30A75FBB" w14:textId="77777777" w:rsidR="004B1A63" w:rsidRDefault="004B1A63">
      <w:pPr>
        <w:pStyle w:val="Overskrift3"/>
      </w:pPr>
      <w:r>
        <w:t>Beredskapslovgivning</w:t>
      </w:r>
    </w:p>
    <w:p w14:paraId="201043C1" w14:textId="77777777" w:rsidR="004B1A63" w:rsidRDefault="004B1A63">
      <w:r>
        <w:t>Dersom det oppstår en sikkerhetspolitisk krise eller krig – altså situasjoner øverst i krisespennet – vil det kunne være behov for at staten kan trekke på samfunnets samlede ressurser for å understøtte forsvaret av landet, ivareta sivilsamfunnets grunnleggende funksjonalitet og beskytte sivilbefolkningen. For å understøtte dette behovet finnes det ulike beredskapsregelverk der regjeringen blant annet gis adgang til å regulere tilgang til sivile beredskapskapskapasiteter gjennom definert rammelovgivning som er fastsatt på forhånd. Dette bygger på at forhåndsutarbeidet rammelovgivning om sivil beredskap er å foretrekke fremfor gjennomføring av tilsvarende tiltak når krisen oppstår med hjemmel i generelle unntaksregler som beredskapslovens system eller med forankring i konstitusjonell nødrett. Utvalget antar at deler av beredskapslovgivningen kan bli aktuell å benytte i en situasjon der tilgang til tjeneste i kritisk digital kommunikasjonsinfrastruktur står i fare eller ikke er tilgjengelig.</w:t>
      </w:r>
    </w:p>
    <w:p w14:paraId="2B040D25" w14:textId="77777777" w:rsidR="004B1A63" w:rsidRDefault="004B1A63">
      <w:r w:rsidRPr="00015951">
        <w:rPr>
          <w:rStyle w:val="kursiv"/>
        </w:rPr>
        <w:t>Beredskapsloven</w:t>
      </w:r>
      <w:r>
        <w:t xml:space="preserve"> regulerer vilkår for utøvelse av nødrett i lovs form, og begrunnelsen for loven er at myndighetsutøvelse i nødssituasjoner burde reguleres nærmere før nødsituasjonen inntrer. Loven er en utpreget fullmaktslov som blant annet gir Kongen vide fullmakter i situasjoner som krig i riket eller hvis krig truer, eller rikets selvstendighet eller sikkerhet er i fare.</w:t>
      </w:r>
    </w:p>
    <w:p w14:paraId="55790999" w14:textId="058D226C" w:rsidR="004B1A63" w:rsidRDefault="004B1A63">
      <w:r w:rsidRPr="00015951">
        <w:rPr>
          <w:rStyle w:val="kursiv"/>
        </w:rPr>
        <w:t>Næringsberedskapsloven</w:t>
      </w:r>
      <w:r>
        <w:t xml:space="preserve"> er en tverrsektoriell lov med formål om </w:t>
      </w:r>
      <w:r w:rsidR="00015951">
        <w:t>«</w:t>
      </w:r>
      <w:r>
        <w:t>å avhjelpe forsyningsmessige konsekvenser av kriser ved å styrke tilgangen på varer og tjenester og sørge for nødvendig prioritering og omfordeling av varer og tjenester gjennom samarbeid mellom offentlige myndigheter og næringsdrivende</w:t>
      </w:r>
      <w:r w:rsidR="00015951">
        <w:t>»</w:t>
      </w:r>
      <w:r>
        <w:t xml:space="preserve">, jf. </w:t>
      </w:r>
      <w:r w:rsidR="00015951">
        <w:t>§ </w:t>
      </w:r>
      <w:r w:rsidR="00015951">
        <w:t>1</w:t>
      </w:r>
      <w:r>
        <w:t xml:space="preserve">. Dersom det oppstår risiko for eller er inntruffet kriser med forsyningsmessige konsekvenser, har Kongen etter </w:t>
      </w:r>
      <w:r w:rsidR="00015951">
        <w:t>§ </w:t>
      </w:r>
      <w:r w:rsidR="00015951">
        <w:t>6</w:t>
      </w:r>
      <w:r>
        <w:t xml:space="preserve"> en rekke forskriftshjemler til å regulere tilgang til og omsetning av varer </w:t>
      </w:r>
      <w:r>
        <w:lastRenderedPageBreak/>
        <w:t>og tjenester, samt pålegge næringsdrivende nærmere bestemte plikter, herunder fremstilling av varer, yting av tjenester eller midlertidig avståelse av løsøre og fast eiendom.</w:t>
      </w:r>
    </w:p>
    <w:p w14:paraId="1F722586" w14:textId="2C9425E8" w:rsidR="004B1A63" w:rsidRDefault="004B1A63">
      <w:r>
        <w:t xml:space="preserve">I </w:t>
      </w:r>
      <w:r w:rsidR="00015951">
        <w:t xml:space="preserve">Prop. </w:t>
      </w:r>
      <w:r w:rsidR="00015951">
        <w:t>11</w:t>
      </w:r>
      <w:r w:rsidR="00015951">
        <w:t xml:space="preserve"> </w:t>
      </w:r>
      <w:r w:rsidR="00015951">
        <w:t>L (2024</w:t>
      </w:r>
      <w:r>
        <w:t>–2025) Endringer i sivilbeskyttelsesloven (sivil arbeidskraftberedskap) foreslås det et nytt kapittel VII A om sivil arbeidskraftberedskap. I proposisjonen sies det blant annet at:</w:t>
      </w:r>
    </w:p>
    <w:p w14:paraId="79165194" w14:textId="74F9558B" w:rsidR="004B1A63" w:rsidRPr="00015951" w:rsidRDefault="00015951">
      <w:pPr>
        <w:pStyle w:val="blokksit"/>
      </w:pPr>
      <w:r>
        <w:t>«</w:t>
      </w:r>
      <w:r w:rsidR="004B1A63" w:rsidRPr="00015951">
        <w:t>Etter departementets vurdering vil det være helt nødvendig å prioritere arbeidskraften til de oppgavene og funksjonene som det er størst behov for i en gitt situasjon. Dette vil på den andre siden kunne medføre at noen oppgaver som i en normalsituasjon skal ivaretas, ikke får tilsvarende prioritet. De sentrale funksjonene som må prioriteres opprettholdt på sivil side er understøttelse av forsvaret av landet, ivaretakelse av sivilsamfunnets grunnleggende funksjonalitet og beskyttelse av sivilbefolkningen. De mest kritiske leveransene til befolkningen er typisk rent drikkevann, matforsyning, varme og grunnleggende helsehjelp. Disse leveransene fordrer gjerne fungerende infrastruktur som kommunikasjonsinfrastruktur, transportinfrastruktur, strøm med videre</w:t>
      </w:r>
      <w:r>
        <w:t>»</w:t>
      </w:r>
      <w:r w:rsidR="004B1A63" w:rsidRPr="00015951">
        <w:t>.</w:t>
      </w:r>
    </w:p>
    <w:p w14:paraId="68449B0A" w14:textId="77777777" w:rsidR="004B1A63" w:rsidRDefault="004B1A63">
      <w:pPr>
        <w:pStyle w:val="Overskrift3"/>
      </w:pPr>
      <w:r>
        <w:t>Lov om militære rekvisisjoner</w:t>
      </w:r>
    </w:p>
    <w:p w14:paraId="2AFCCDA3" w14:textId="71602200" w:rsidR="004B1A63" w:rsidRDefault="004B1A63">
      <w:r>
        <w:t xml:space="preserve">Rekvisisjonsloven med forskrift gir militære myndigheter lov til å rekvirere utstyr som er nødvendig i krig eller når krig truer. Loven skal sikre Forsvarets stridsevne og gir blant annet hjemmel til å rekvirere disposisjonsrett over sambandsmidler, jf. rekvisisjonsloven </w:t>
      </w:r>
      <w:r w:rsidR="00015951">
        <w:t>§ </w:t>
      </w:r>
      <w:r w:rsidR="00015951">
        <w:t>1</w:t>
      </w:r>
      <w:r>
        <w:t xml:space="preserve"> første ledd nr. 3. Etter nr. 5 kan det også rekvireres </w:t>
      </w:r>
      <w:r w:rsidR="00015951">
        <w:t>«</w:t>
      </w:r>
      <w:r>
        <w:t>arbeids- og produksjonsytelser</w:t>
      </w:r>
      <w:r w:rsidR="00015951">
        <w:t>»</w:t>
      </w:r>
      <w:r>
        <w:t xml:space="preserve"> av virksomheter og bedrifter som nevnt i nr. 3, og av nr. 6 følger at militære myndigheter kan rekvirere </w:t>
      </w:r>
      <w:r w:rsidR="00015951">
        <w:t>«</w:t>
      </w:r>
      <w:r>
        <w:t>[a]rbeid og annen tjeneste for krigsmakten og institusjoner som er knyttet til den (…)</w:t>
      </w:r>
      <w:r w:rsidR="00015951">
        <w:t>»</w:t>
      </w:r>
      <w:r>
        <w:t>. Det omfatter for eksempel rekvirering av arbeidskraft fra en bedrift til bruk i en annen slik at denne kan drives i flere skift i samsvar med forsvarsmaktens behov.</w:t>
      </w:r>
    </w:p>
    <w:p w14:paraId="3F69BB7C" w14:textId="77777777" w:rsidR="004B1A63" w:rsidRDefault="004B1A63">
      <w:r>
        <w:t>Rekvisisjonsordningen skal bidra til å sikre Forsvaret stridsevne.</w:t>
      </w:r>
    </w:p>
    <w:p w14:paraId="564A52A5" w14:textId="77777777" w:rsidR="004B1A63" w:rsidRDefault="004B1A63">
      <w:pPr>
        <w:pStyle w:val="Overskrift2"/>
      </w:pPr>
      <w:r>
        <w:t>Statlige overføringer</w:t>
      </w:r>
    </w:p>
    <w:p w14:paraId="7C517288" w14:textId="77777777" w:rsidR="004B1A63" w:rsidRDefault="004B1A63" w:rsidP="006F4031">
      <w:r>
        <w:t>Offentlige myndigheter kan gjennom overføringer gi støtte til enkelte virksomheter eller enkelte næringer for eksempel i form av direkte kapitaloverføringer, reduserte skattesatser eller støtte gjennom billige lån eller andre innsatsfaktorer. Knyttet til nasjonal kontroll over kritisk digital kommunikasjonsinfrastruktur, kan overføringer i første rekke være aktuelt å bruke for å styrke sikkerheten i slik infrastruktur, men også for å sikre infrastrukturutbygging slik at flest mulig får tilgang til ekomtjenester.</w:t>
      </w:r>
    </w:p>
    <w:p w14:paraId="5BA3CF81" w14:textId="77777777" w:rsidR="004B1A63" w:rsidRDefault="004B1A63">
      <w:r>
        <w:t>Reglene om statsstøtte i EØS-avtalen, som gjelder på alle områdene som EØS-avtalen regulerer, skal hindre at offentlige myndigheter tilgodeser enkelte foretak eller næringer fremfor andre på en måte som påvirker samhandelen negativt. Utgangspunktet etter EØS-avtalen er at statsstøtte er forbudt, jf. avtalen artikkel 61(1). EØS-avtalen har likevel ulike regler som på nærmere vilkår åpner for å gi statsstøtte. Utvalget går ikke inn på de ulike ordningene som åpner for statsstøtte, men viser til at det åpnes for støtte til visse tjenester av allmenn økonomisk betydning som myndighetene anser som særlig viktige for innbyggerne og som ikke vil bli levert på en tilfredsstillende måte av markedet alene.</w:t>
      </w:r>
    </w:p>
    <w:p w14:paraId="365C6AB2" w14:textId="1C190BA9" w:rsidR="004B1A63" w:rsidRDefault="004B1A63">
      <w:r>
        <w:t xml:space="preserve">I ekomloven </w:t>
      </w:r>
      <w:r w:rsidR="00015951">
        <w:t>§ </w:t>
      </w:r>
      <w:r w:rsidR="00015951">
        <w:t>3</w:t>
      </w:r>
      <w:r>
        <w:t xml:space="preserve">-1 sjette ledd gis departementet hjemmel til å fatte enkeltvedtak eller inngå avtale om gjennomføring av tiltak for å sikre oppfyllelse av nasjonale behov for sikkerhet, beredskap og </w:t>
      </w:r>
      <w:r>
        <w:lastRenderedPageBreak/>
        <w:t xml:space="preserve">funksjonalitet i elektroniske kommunikasjonsnett og -tjenester utover det som følger av første ledd. Vedtak kan rettes mot eller avtale kan inngås med virksomhet som tilbyr elektronisk kommunikasjonsnett eller – tjeneste, eller tilbyr tilhørende fasilitet og tilhørende tjeneste, herunder virksomhet som har ansvar for passiv infrastruktur. I praksis gjennomføres slike tiltak ved at det inngås avtaler mellom Nkom og tilbydere. Tilsvarende gjelder for sikkerhet i datasentre – </w:t>
      </w:r>
      <w:r w:rsidR="00015951">
        <w:t>«</w:t>
      </w:r>
      <w:r>
        <w:t>Departementet kan fatte enkeltvedtak eller inngå avtale om gjennomføring av tiltak for å sikre oppfyllelse av nasjonale behov for sikkerhet, beredskap og funksjonalitet i datasentre utover det som følger av andre ledd</w:t>
      </w:r>
      <w:r w:rsidR="00015951">
        <w:t>»</w:t>
      </w:r>
      <w:r>
        <w:t xml:space="preserve"> (jf. ekomloven </w:t>
      </w:r>
      <w:r w:rsidR="00015951">
        <w:t>§ </w:t>
      </w:r>
      <w:r w:rsidR="00015951">
        <w:t>3</w:t>
      </w:r>
      <w:r>
        <w:t>-7 fjerde ledd).</w:t>
      </w:r>
    </w:p>
    <w:p w14:paraId="1275F88C" w14:textId="310D3BD8" w:rsidR="004B1A63" w:rsidRDefault="004B1A63">
      <w:r>
        <w:t xml:space="preserve">Det er her snakk om å inngå avtale om, eller eventuelt pålegge tilbydere, å gjennomføre tiltak som går utover det som faller inn under begrepet forsvarlig sikkerhet i ekomloven </w:t>
      </w:r>
      <w:r w:rsidR="00015951">
        <w:t>§ </w:t>
      </w:r>
      <w:r w:rsidR="00015951">
        <w:t>3</w:t>
      </w:r>
      <w:r>
        <w:t xml:space="preserve">-1 første ledd og </w:t>
      </w:r>
      <w:r w:rsidR="00015951">
        <w:t>§ </w:t>
      </w:r>
      <w:r w:rsidR="00015951">
        <w:t>3</w:t>
      </w:r>
      <w:r>
        <w:t>-7 første ledd og som henholdsvis tilbyder og datasenteroperatør må dekke selv. Tilbyders og datasenteroperatørs merkostnader knyttet til slike ytterligere tiltak kompenseres av staten. Hvert år bevilger Stortinget midler i statsbudsjettet som skal styrke beredskapsevnen og gjøre ekomnettene mer robuste. For 2025 ble det bevilget 195,</w:t>
      </w:r>
      <w:r w:rsidR="00015951">
        <w:t>1</w:t>
      </w:r>
      <w:r w:rsidR="00015951">
        <w:t> mill.</w:t>
      </w:r>
      <w:r>
        <w:t xml:space="preserve"> kroner til slike tiltak. I </w:t>
      </w:r>
      <w:r w:rsidR="00015951">
        <w:t xml:space="preserve">Prop. </w:t>
      </w:r>
      <w:r w:rsidR="00015951">
        <w:t>1</w:t>
      </w:r>
      <w:r w:rsidR="00015951">
        <w:t xml:space="preserve"> </w:t>
      </w:r>
      <w:r w:rsidR="00015951">
        <w:t>S (2024</w:t>
      </w:r>
      <w:r>
        <w:t>–2025) Digitaliserings- og forvaltningsdepartementet side 89 flg.</w:t>
      </w:r>
      <w:r w:rsidR="00015951" w:rsidRPr="00015951">
        <w:rPr>
          <w:rStyle w:val="Fotnotereferanse"/>
        </w:rPr>
        <w:footnoteReference w:id="111"/>
      </w:r>
      <w:r>
        <w:t xml:space="preserve"> er ordningen nærmere beskrevet. Om målet for ordningen står det:</w:t>
      </w:r>
    </w:p>
    <w:p w14:paraId="52CCCA15" w14:textId="029EF789" w:rsidR="004B1A63" w:rsidRPr="00015951" w:rsidRDefault="00015951">
      <w:pPr>
        <w:pStyle w:val="blokksit"/>
        <w:rPr>
          <w:lang w:val="nn-NO"/>
        </w:rPr>
      </w:pPr>
      <w:r>
        <w:t>«</w:t>
      </w:r>
      <w:r w:rsidR="004B1A63" w:rsidRPr="00015951">
        <w:t xml:space="preserve">Det er eit mål med auka beredskap i krisesituasjonar og ved hendingar. Beredskapsavtaler med utvalde tilbydarar sørgjer for administrative og organisatoriske beredskapstiltak, lagring og vedlikehald av transportabelt beredskapsutstyr og investeringar i ekominfrastruktur og beredskapsmateriell. </w:t>
      </w:r>
      <w:r w:rsidR="004B1A63" w:rsidRPr="00015951">
        <w:rPr>
          <w:lang w:val="nn-NO"/>
        </w:rPr>
        <w:t>Dette skal bidra til auka beredskap i krisesituasjonar.</w:t>
      </w:r>
    </w:p>
    <w:p w14:paraId="15715C73" w14:textId="77777777" w:rsidR="004B1A63" w:rsidRPr="00015951" w:rsidRDefault="004B1A63">
      <w:pPr>
        <w:pStyle w:val="blokksit"/>
        <w:rPr>
          <w:lang w:val="nn-NO"/>
        </w:rPr>
      </w:pPr>
      <w:r w:rsidRPr="00015951">
        <w:rPr>
          <w:lang w:val="nn-NO"/>
        </w:rPr>
        <w:t>Eit anna mål er at utbygging av forsterka ekom i nye kommunar skal bidra til vesentleg forbedra sikkerheit og beredskap for den lokale kriseleiinga og befolkninga i tilfelle med langvarige straumbrot.</w:t>
      </w:r>
    </w:p>
    <w:p w14:paraId="38F472EE" w14:textId="17BF8FF4" w:rsidR="004B1A63" w:rsidRPr="00015951" w:rsidRDefault="004B1A63">
      <w:pPr>
        <w:pStyle w:val="blokksit"/>
        <w:rPr>
          <w:lang w:val="nn-NO"/>
        </w:rPr>
      </w:pPr>
      <w:r w:rsidRPr="00015951">
        <w:rPr>
          <w:lang w:val="nn-NO"/>
        </w:rPr>
        <w:t>I tillegg er det eit mål at styrking av transportnetta gjennom fleire alternative føringsvegar og forsterking av viktige punkt i infrastrukturen gir vesentleg auka beredskap i sårbare regionar.</w:t>
      </w:r>
      <w:r w:rsidR="00015951">
        <w:rPr>
          <w:lang w:val="nn-NO"/>
        </w:rPr>
        <w:t>»</w:t>
      </w:r>
      <w:r w:rsidRPr="00015951">
        <w:rPr>
          <w:lang w:val="nn-NO"/>
        </w:rPr>
        <w:t>.</w:t>
      </w:r>
    </w:p>
    <w:p w14:paraId="14E9F56C" w14:textId="77777777" w:rsidR="004B1A63" w:rsidRDefault="004B1A63">
      <w:pPr>
        <w:rPr>
          <w:spacing w:val="-2"/>
        </w:rPr>
      </w:pPr>
      <w:r>
        <w:rPr>
          <w:spacing w:val="-2"/>
        </w:rPr>
        <w:t>Midler har blant annet blitt brukt til Nkoms program for forsterket ekom for å styrke den fysiske robustheten i den digitale grunnmuren ved å sikre nødstrøm i minimum 72 timer til basestasjoner som dekker et utpekt område i en rekke kommuner. Videre har staten for å bøte på sårbarheten og øke sikkerheten for kommunikasjon mellom Norge og utlandet, gitt støtte til utbygging av sjøfiberkabelen mellom Kristiansand og Esbjerg i Danmark.</w:t>
      </w:r>
    </w:p>
    <w:p w14:paraId="6E78E55B" w14:textId="77777777" w:rsidR="004B1A63" w:rsidRDefault="004B1A63">
      <w:r>
        <w:t>Offentlig støtte til bredbåndsutbygging er et annet virkemiddel for å stimulere til utbygging av bredbånd i områder hvor det ikke er kommersielt lønnsomt å bygge ut digital infrastruktur. I slike områder kan stat, fylkeskommune og kommune, etter gitte kriterier gi offentlig tilskudd til utbygging av bredbånd. For 2025 er det bevilget 415,6 millioner kroner til utbygging av høyhastighetsbredbånd for en sikker og fremtidsrettet digital infrastruktur.</w:t>
      </w:r>
    </w:p>
    <w:p w14:paraId="2F03CBF2" w14:textId="77777777" w:rsidR="004B1A63" w:rsidRDefault="004B1A63">
      <w:pPr>
        <w:pStyle w:val="Overskrift2"/>
      </w:pPr>
      <w:r>
        <w:lastRenderedPageBreak/>
        <w:t>Kontrakt og avtaler</w:t>
      </w:r>
    </w:p>
    <w:p w14:paraId="3FB3CE5E" w14:textId="77777777" w:rsidR="004B1A63" w:rsidRDefault="004B1A63" w:rsidP="006F4031">
      <w:r>
        <w:t>Enhver kan ved avtale forplikte seg til å gjøre eller unnlate noe. Det gjelder også for private parter i deres relasjoner med staten. Det offentlige kan inngå privatrettslige avtaler på linje med enhver person eller privat virksomhet. Staten kan derfor gjennom avtalevilkår sikre at virksomheter som leverer infrastruktur eller tjenester, forplikter seg til ha bestemte organisasjonsstrukturer, å handle på bestemte måter, eller unnlate å foreta visse handlinger. Offentlig sektor, både på kommunalt-, fylkeskommunalt og statlig nivå, gjennomfører anskaffelser av ekomtjenester og utgjør samlet en stor kjøpergruppe. Komplekse offentlige anskaffelser av ekomtjenester skal i tillegg til konkurransemessige forhold, også ivareta viktige aspekter av juridisk, kommersiell, teknisk og sikkerhetsmessig art, som må vurderes og balanseres utfra det behov som skal dekkes, og hva slags type løsning som skal anskaffes. Å forsikre at de sikkerhetsmessige aspektene ved en anskaffelse er ivaretatt og i tilstrekkelig grad vektet, vil kunne bidra til sterkere nasjonal kontroll.</w:t>
      </w:r>
    </w:p>
    <w:p w14:paraId="7000C29D" w14:textId="6D604DFC" w:rsidR="004B1A63" w:rsidRDefault="004B1A63">
      <w:r>
        <w:t>Anskaffelsesregelverket som kommer til anvendelse dersom den økonomiske verdien av anskaffelsen overstiger 10</w:t>
      </w:r>
      <w:r w:rsidR="00015951">
        <w:t>0</w:t>
      </w:r>
      <w:r w:rsidR="00015951">
        <w:t> </w:t>
      </w:r>
      <w:r w:rsidR="00015951">
        <w:t>000</w:t>
      </w:r>
      <w:r w:rsidR="00015951">
        <w:t> kroner</w:t>
      </w:r>
      <w:r>
        <w:t>, er for øvrig et eksempel på at forvaltningen kan være underlagt omfattende saksbehandlingsregler som ikke gjelder for private, også der forvaltningen inngå avtaler på rent privatrettslig grunnlag, og dessuten at forvaltningslovens alminnelige regler om inhabilitet og taushetsplikt også får betydning.</w:t>
      </w:r>
    </w:p>
    <w:p w14:paraId="6836F266" w14:textId="77777777" w:rsidR="004B1A63" w:rsidRDefault="004B1A63">
      <w:r>
        <w:t>For virksomheter som eier eller leverer kommunikasjonstjenester i kritisk digital infrastruktur, vil kontrakter være det viktigste virkemiddelet til å sikre kontroll med underleverandører.</w:t>
      </w:r>
    </w:p>
    <w:p w14:paraId="1EFE2C84" w14:textId="77777777" w:rsidR="004B1A63" w:rsidRDefault="004B1A63">
      <w:r>
        <w:t>Den sikkerhetsmessige situasjonen kan endre seg, og det er viktig at kontrakter gir rom for å håndtere en situasjon med økt trusselnivå. Sikkerhetsklausuler i avtaler må derfor ivareta dette. Det kan for eksempel tas inn i kontrakten at leverandør skal varsle om eierskifte i virksomheten og andre hendelser av betydning for sikkerhet. Samtidig bør kontrakten regulere mekanismene for slik varsling og hvilke konsekvenser slike hendelser skal ha dersom slike hendelser inntrer.</w:t>
      </w:r>
    </w:p>
    <w:p w14:paraId="17FE884A" w14:textId="6B23FC51" w:rsidR="004B1A63" w:rsidRDefault="004B1A63">
      <w:r>
        <w:t xml:space="preserve">En virksomhet som er underlagt sikkerhetsloven, må etterleve sikkerhetslovens regler i kapittel 9 når det gjelder sikkerhetsgraderte anskaffelser – det vil si når anskaffelsen </w:t>
      </w:r>
      <w:r w:rsidR="00015951">
        <w:t>«</w:t>
      </w:r>
      <w:r>
        <w:t xml:space="preserve">innebærer at leverandøren av varen eller tjenesten kan få tilgang til eller tilvirker sikkerhetsgradert informasjon, jf. </w:t>
      </w:r>
      <w:r w:rsidR="00015951">
        <w:t>§ </w:t>
      </w:r>
      <w:r w:rsidR="00015951">
        <w:t>5</w:t>
      </w:r>
      <w:r>
        <w:t xml:space="preserve">-3, eller få tilgang til et skjermingsverdig objekt eller infrastruktur, jf. </w:t>
      </w:r>
      <w:r w:rsidR="00015951">
        <w:t>§ </w:t>
      </w:r>
      <w:r w:rsidR="00015951">
        <w:t>7</w:t>
      </w:r>
      <w:r>
        <w:t>-1</w:t>
      </w:r>
      <w:r w:rsidR="00015951">
        <w:t>»</w:t>
      </w:r>
      <w:r>
        <w:t>. Dette innebærer blant annet krav om sikkerhetsavtale, leverandørklarering og at virksomhetene pålegges en varslingsplikt ved sikkerhetsgraderte anskaffelser. En offentlig virksomhet som foretar en anskaffelse som er underlagt både regelverket om offentlige anskaffelser og sikkerhetsloven, bør allerede ved utformingen av konkurransegrunnlaget ta stilling til om en leverandør vil kunne få tilgang til sikkerhetsgradert informasjon, skjermingsverdig objekt eller infrastruktur, og hvilke av sikkerhetslovens krav leverandøren må kunne oppfylle ved anskaffelsen.</w:t>
      </w:r>
    </w:p>
    <w:p w14:paraId="1ABF4B89" w14:textId="22C34C42" w:rsidR="004B1A63" w:rsidRDefault="004B1A63">
      <w:r>
        <w:t xml:space="preserve">Siden muligheten til å gjennomføre tvangstiltak når det gjelder vilkår fastsatt i kraft av myndighetsutøvelse utenfor Norge er begrenset, peker Eriksen (2024) i sin rapport på muligheten til å fastsette vilkår i en avtale framfor gjennom myndighetsutøvelse, fordi en avtale gir større mulighet for å gjennomføre tvangstiltak når aktøren er bosatt eller hjemmehørende i utlandet. Han sier på side 53 at </w:t>
      </w:r>
      <w:r w:rsidR="00015951">
        <w:lastRenderedPageBreak/>
        <w:t>«</w:t>
      </w:r>
      <w:r>
        <w:t>Selv om staten ikke kan kreve fullbyrdet forvaltningsvedtak gjennom Lugano-konvensjonen og New York-konvensjonen, kan staten likevel påberope seg konvensjonene når staten har inngått privatrettslig avtaler med virksomheter i andre land, og det er aktuelt å begjøre tvangsfullbyrdelse av avtalevilkårene</w:t>
      </w:r>
      <w:r w:rsidR="00015951">
        <w:t>»</w:t>
      </w:r>
      <w:r>
        <w:t>. Forutsetningen for å pålegge vilkår i en avtale, er imidlertid at det ikke gjelder vilkår fastsatt i kraft av offentlig myndighetsutøvelse, det vil si plikter som norske myndigheter ensidig pålegger private parter. Han sier på side 7:</w:t>
      </w:r>
    </w:p>
    <w:p w14:paraId="37C199A4" w14:textId="70BFFF0A" w:rsidR="004B1A63" w:rsidRPr="00015951" w:rsidRDefault="00015951">
      <w:pPr>
        <w:pStyle w:val="blokksit"/>
      </w:pPr>
      <w:r w:rsidRPr="00015951">
        <w:rPr>
          <w:rStyle w:val="kursiv"/>
        </w:rPr>
        <w:t>«</w:t>
      </w:r>
      <w:r w:rsidR="004B1A63" w:rsidRPr="00015951">
        <w:rPr>
          <w:rStyle w:val="kursiv"/>
        </w:rPr>
        <w:t>Staten har avtalefrihet og kan i utgangspunktet inngå avtaler med enhver privat part, også utenlandske virksomheter om forhold staten ikke har jurisdiksjon over. Når staten inngår avtaler med virksomheter om forhold som ligger utenfor norsk jurisdiksjon, kan staten heller ikke utøve offentlig myndighet ved avtaleinngåelsen. Såfremt staten uten utøvelse av offentlig myndighet oppnår enighet med utenlandske virksomheter om vilkår for deres eierskap eller kontroll over kritisk digital infrastruktur i Norge, kan vilkårene både gjelde strukturelle og adferdsbaserte forhold</w:t>
      </w:r>
      <w:r w:rsidRPr="00015951">
        <w:rPr>
          <w:rStyle w:val="kursiv"/>
        </w:rPr>
        <w:t>»</w:t>
      </w:r>
      <w:r w:rsidR="004B1A63" w:rsidRPr="00015951">
        <w:rPr>
          <w:rStyle w:val="kursiv"/>
        </w:rPr>
        <w:t>.</w:t>
      </w:r>
    </w:p>
    <w:p w14:paraId="192FFE60" w14:textId="77777777" w:rsidR="004B1A63" w:rsidRDefault="004B1A63">
      <w:r>
        <w:t>Når det offentlige inngår avtaler med private parter, kan det dreie seg om privatrettslige avtaler i den forstand at avtalen kunne vært inngått også mellom to private avtaleparter, eller avtaler der et forvaltningsorgan handler på vegne av det offentlige og det dreier seg om offentlig myndighetsutøving. Utvalget er av den oppfatning at for eksempel en avtale om å tillate at en utenlandsk aktør erverver eierandeler i et norsk selskap som eier kritisk digital kommunikasjonsinfrastruktur, mot at erverver godtar visse vilkår, må anses som myndighetsutøvelse. Både formålet med en slik avtale og balansen i avtalen gjør at den ikke har preg av å være en privatrettslig avtale, men en fordeling av rettigheter og plikter under utøving av offentlig myndighet.</w:t>
      </w:r>
    </w:p>
    <w:p w14:paraId="613E5B86" w14:textId="77777777" w:rsidR="004B1A63" w:rsidRDefault="004B1A63">
      <w:pPr>
        <w:pStyle w:val="Overskrift2"/>
      </w:pPr>
      <w:r>
        <w:t>Informasjon, rådgiving, dialog og samarbeid</w:t>
      </w:r>
    </w:p>
    <w:p w14:paraId="304A1BCB" w14:textId="36AC24E8" w:rsidR="004B1A63" w:rsidRDefault="004B1A63" w:rsidP="006F4031">
      <w:r>
        <w:rPr>
          <w:spacing w:val="-2"/>
        </w:rPr>
        <w:t xml:space="preserve">Det følger av forvaltningsloven </w:t>
      </w:r>
      <w:r w:rsidR="00015951">
        <w:rPr>
          <w:spacing w:val="-2"/>
        </w:rPr>
        <w:t>§ </w:t>
      </w:r>
      <w:r w:rsidR="00015951">
        <w:rPr>
          <w:spacing w:val="-2"/>
        </w:rPr>
        <w:t>1</w:t>
      </w:r>
      <w:r>
        <w:rPr>
          <w:spacing w:val="-2"/>
        </w:rPr>
        <w:t xml:space="preserve">1 at forvaltningsorganer innenfor sitt saksområde har en alminnelig veiledningsplikt. Formålet med veiledningen skal være å gi parter og andre interesserte adgang til å vareta sine interesser </w:t>
      </w:r>
      <w:r w:rsidRPr="00015951">
        <w:rPr>
          <w:rStyle w:val="kursiv"/>
        </w:rPr>
        <w:t>i bestemte saker</w:t>
      </w:r>
      <w:r>
        <w:rPr>
          <w:spacing w:val="-2"/>
        </w:rPr>
        <w:t xml:space="preserve"> på best mulig måte. I denne sammenheng er det imidlertid snakk om å gi råd, veiledning og informasjon samt ha dialog og samarbeid uten at det er knyttet til en bestemt sak forvaltningen har til behandling.</w:t>
      </w:r>
    </w:p>
    <w:p w14:paraId="2618F4BE" w14:textId="77777777" w:rsidR="004B1A63" w:rsidRDefault="004B1A63">
      <w:r>
        <w:t>Eiere av kritisk digital kommunikasjonsinfrastruktur har – fordi nettene er bærere av svært viktige tjenester for samfunnet – et sentralt ansvar for samfunnssikkerheten. For å sikre at dette ansvaret ivaretas pålegges virksomhetene plikt til å sørge for et forsvarlig sikkerhetsnivå først og fremst gjennom regulering. Dialog og samarbeid mellom det offentlige og det private kan imidlertid også brukes for å sikre at private styrer virksomheten på en måte som både oppfyller virksomhetens egne behov samtidig som den ivaretar samfunnssikkerhet. Dette kan for eksempel være informasjon og rådgivning om plikter og rettigheter, holdningsskapende informasjon, informasjon knyttet til særskilte hendelser eller informasjon om trussel- og risikovurderinger og andre opplysninger som er viktige både for sikkerhetsarbeidet i den enkelte virksomhet og i samfunnet for øvrig. Deling av informasjon for å få felles forståelse av risikoer i hele krisespennet, felles situasjonsforståelse og kartlegging av tilgjengelige ressurser for krisehåndtering og gjenoppretting, vil åpenbart styrke beredskapsfunksjonen og dermed bidra til nasjonal kontroll av kritisk digital kommunikasjonsinfrastruktur.</w:t>
      </w:r>
    </w:p>
    <w:p w14:paraId="2671E721" w14:textId="77777777" w:rsidR="004B1A63" w:rsidRDefault="004B1A63">
      <w:r>
        <w:lastRenderedPageBreak/>
        <w:t>Som virkemiddel kan informasjon virke alene eller sammen med andre virkemidler – som et eksempel på det siste vil være informasjon om rettigheter og plikter som følger av regulering på et område.</w:t>
      </w:r>
    </w:p>
    <w:p w14:paraId="7ABCA91D" w14:textId="4E0880D5" w:rsidR="004B1A63" w:rsidRDefault="004B1A63">
      <w:r>
        <w:t xml:space="preserve">I enkelte tilfeller følger det en veiledningsplikt i regelverket. Etter sikkerhetsloven </w:t>
      </w:r>
      <w:r w:rsidR="00015951">
        <w:t>§ </w:t>
      </w:r>
      <w:r w:rsidR="00015951">
        <w:t>2</w:t>
      </w:r>
      <w:r>
        <w:t xml:space="preserve">-2 annet ledd bokstav d følger det at NSM skal </w:t>
      </w:r>
      <w:r w:rsidR="00015951">
        <w:t>«</w:t>
      </w:r>
      <w:r>
        <w:t>gi informasjon, råd og veiledning om forebyggende sikkerhetsarbeid og krav til tiltak</w:t>
      </w:r>
      <w:r w:rsidR="00015951">
        <w:t>»</w:t>
      </w:r>
      <w:r>
        <w:t xml:space="preserve">. I merknadene til bestemmelsen i </w:t>
      </w:r>
      <w:r w:rsidR="00015951">
        <w:t xml:space="preserve">Prop. </w:t>
      </w:r>
      <w:r w:rsidR="00015951">
        <w:t>153</w:t>
      </w:r>
      <w:r w:rsidR="00015951">
        <w:t xml:space="preserve"> </w:t>
      </w:r>
      <w:r w:rsidR="00015951">
        <w:t>L (2016</w:t>
      </w:r>
      <w:r>
        <w:t>–2017) Lov om nasjonal sikkerhet (sikkerhetsloven)</w:t>
      </w:r>
      <w:r w:rsidR="00015951" w:rsidRPr="00015951">
        <w:rPr>
          <w:rStyle w:val="Fotnotereferanse"/>
        </w:rPr>
        <w:footnoteReference w:id="112"/>
      </w:r>
      <w:r>
        <w:t xml:space="preserve"> står det at </w:t>
      </w:r>
      <w:r w:rsidR="00015951">
        <w:t>«</w:t>
      </w:r>
      <w:r>
        <w:t>I bokstav d reguleres sikkerhetsmyndighetens råd- og veiledningsansvar etter loven. Sikkerhetsmyndigheten skal ha en aktiv rolle når det gjelder konkret rådgivning overfor virksomhetene. Av ressursmessige og praktiske grunner forutsetter departementet at slik rådgivning fortrinnsvis gis gjennom generelle veiledere og felles kursopplegg o.l.</w:t>
      </w:r>
      <w:r w:rsidR="00015951">
        <w:t>»</w:t>
      </w:r>
      <w:r>
        <w:t>. NSM har utdypet myndighetens regelverkforståelse og sammenhengen mellom ulike bestemmelser i sikkerhetsloven og tilhørende forskrifter gjennom en rekke veiledningsdokumenter. NSM har myndighet og ansvar som sikkerhetsmyndighet etter sikkerhetsloven, mens Nkom er sektormyndighet. NSM og Nkom har inngått en samarbeidsavtale om at Nkom har veiledningsansvar og skal gi råd og veiledning om hvordan bestemmelser og tiltak kan tilpasses sektorens egenart.</w:t>
      </w:r>
    </w:p>
    <w:p w14:paraId="32B0AC5B" w14:textId="75A64B1B" w:rsidR="004B1A63" w:rsidRDefault="004B1A63">
      <w:pPr>
        <w:rPr>
          <w:spacing w:val="-2"/>
        </w:rPr>
      </w:pPr>
      <w:r>
        <w:t xml:space="preserve">Knyttet til tilbydernes fremtidige utbygging av 5G-nett og for å gi forutsigbarhet for </w:t>
      </w:r>
      <w:r>
        <w:rPr>
          <w:spacing w:val="-2"/>
        </w:rPr>
        <w:t xml:space="preserve">fremtidige anskaffelser, var det allerede i planleggingsfasen av utbyggingen dialog mellom myndighetene og mobiltilbyderne om å gjennomføre forebyggende sikkerhetstiltak for å sørge for et </w:t>
      </w:r>
      <w:r w:rsidR="00015951">
        <w:rPr>
          <w:spacing w:val="-2"/>
        </w:rPr>
        <w:t>«</w:t>
      </w:r>
      <w:r>
        <w:rPr>
          <w:spacing w:val="-2"/>
        </w:rPr>
        <w:t>forsvarlig sikkerhetsnivå</w:t>
      </w:r>
      <w:r w:rsidR="00015951">
        <w:rPr>
          <w:spacing w:val="-2"/>
        </w:rPr>
        <w:t>»</w:t>
      </w:r>
      <w:r>
        <w:rPr>
          <w:spacing w:val="-2"/>
        </w:rPr>
        <w:t xml:space="preserve"> og redusere risikoen knyttet til sikkerhetstruende </w:t>
      </w:r>
      <w:r>
        <w:t xml:space="preserve">virksomhet. Før tilbyderne hadde konkludert i sine anskaffelsesprosesser, valgte </w:t>
      </w:r>
      <w:r>
        <w:rPr>
          <w:spacing w:val="-4"/>
        </w:rPr>
        <w:t xml:space="preserve">departementet å konkretisere hva som vil bli ansett som forsvarlig sikkerhet når det kommer </w:t>
      </w:r>
      <w:r>
        <w:rPr>
          <w:spacing w:val="-2"/>
        </w:rPr>
        <w:t xml:space="preserve">til utstyrsleverandører til 5G, for å gi større grad av forutsigbarhet når virksomhetene skulle treffe investeringsbeslutninger. Departementet utelukket ikke spesifikke leverandører fra det norske markedet, men formålet var åpenbart å sikre at det kinesiske selskapet Huawei ikke kunne velges som eneste leverandør når kravet til </w:t>
      </w:r>
      <w:r w:rsidR="00015951">
        <w:rPr>
          <w:spacing w:val="-2"/>
        </w:rPr>
        <w:t>«</w:t>
      </w:r>
      <w:r>
        <w:rPr>
          <w:spacing w:val="-2"/>
        </w:rPr>
        <w:t>forsvarlig sikkerhet</w:t>
      </w:r>
      <w:r w:rsidR="00015951">
        <w:rPr>
          <w:spacing w:val="-2"/>
        </w:rPr>
        <w:t>»</w:t>
      </w:r>
      <w:r>
        <w:rPr>
          <w:spacing w:val="-2"/>
        </w:rPr>
        <w:t xml:space="preserve"> innebærer at minst 50 prosent av basestasjonene skal være fra land Norge har sikkerhetsavtale med.</w:t>
      </w:r>
    </w:p>
    <w:p w14:paraId="3ED0EB69" w14:textId="77777777" w:rsidR="004B1A63" w:rsidRDefault="004B1A63">
      <w:r>
        <w:t>Dialog og samarbeid kan bidra til kompetanse og bevisstgjøring om sikkerhet både hos virksomhetene og hos myndighetene, og offentlig-privat samarbeid kan på den måten styrke det nasjonale arbeidet for digital sikkerhet. Hvorvidt virksomhetene vil sette i gang tiltak på grunnlag av dialog med myndigheter, vil imidlertid i mange tilfeller være avhengig av hva konsekvensene av å ikke gjøre anbefalte tiltak, er. Myndighetenes mulighet til å treffe vedtak om et aktuelt tiltak – altså at manglende frivillig oppfyllelse kan tvinges gjennom med pålegg med hjemmel i lov – vil åpenbart ha betydning. Tilsvarende vil myndigheters mulighet til bruk av økonomiske støtteordninger kunne bidra til igangsetting av tiltak som ellers ikke hadde blitt gjennomført.</w:t>
      </w:r>
    </w:p>
    <w:p w14:paraId="6FE3F881" w14:textId="77777777" w:rsidR="004B1A63" w:rsidRDefault="004B1A63">
      <w:r>
        <w:t xml:space="preserve">I en tid med stadige endringer i den sikkerhetspolitiske situasjonen kan det være krevende for virksomheter å opprettholde et forsvarlig sikkerhetsnivå gjennom hele krisespennet. Tilstrekkelig informasjon fra myndighetene kan bedre næringslivets mulighet til og kunnskap om å sikre egne verdier og bli mindre sårbare. Åpenhet om trussel- og risikovurderinger kan gjøre både virksomhetene og </w:t>
      </w:r>
      <w:r>
        <w:lastRenderedPageBreak/>
        <w:t>myndigheten i bedre stand til å vurdere både om det bør settes i gang tiltak og eventuelt hvilke tiltak. Det er derfor viktig at relevante myndigheter både har rammer, ressurser og vilje til å dele informasjon av betydning for å ivareta nasjonal sikkerhet.</w:t>
      </w:r>
    </w:p>
    <w:p w14:paraId="17C15325" w14:textId="77777777" w:rsidR="004B1A63" w:rsidRDefault="004B1A63">
      <w:pPr>
        <w:pStyle w:val="Overskrift2"/>
      </w:pPr>
      <w:r>
        <w:t>Internasjonalt samarbeid</w:t>
      </w:r>
    </w:p>
    <w:p w14:paraId="6E9F63AB" w14:textId="77777777" w:rsidR="004B1A63" w:rsidRDefault="004B1A63" w:rsidP="006F4031">
      <w:r>
        <w:rPr>
          <w:spacing w:val="-2"/>
        </w:rPr>
        <w:t>Som det er pekt på i kapittel 7.4 har den geopolitiske utviklingen gjort behovet for nasjonal kontroll av kritisk digital kommunikasjonsinfrastruktur tydeligere. Samtidig medfører komplekse og dynamiske verdikjeder at det ikke er mulig med fullstendig nasjonal kontroll.</w:t>
      </w:r>
    </w:p>
    <w:p w14:paraId="73BF7DEB" w14:textId="47E124BC" w:rsidR="004B1A63" w:rsidRDefault="004B1A63">
      <w:pPr>
        <w:rPr>
          <w:spacing w:val="-2"/>
        </w:rPr>
      </w:pPr>
      <w:r>
        <w:rPr>
          <w:spacing w:val="-2"/>
        </w:rPr>
        <w:t>St. meld. 9 (2022–2023)</w:t>
      </w:r>
      <w:r w:rsidR="00015951" w:rsidRPr="00015951">
        <w:rPr>
          <w:rStyle w:val="Fotnotereferanse"/>
        </w:rPr>
        <w:footnoteReference w:id="113"/>
      </w:r>
      <w:r>
        <w:rPr>
          <w:spacing w:val="-2"/>
        </w:rPr>
        <w:t xml:space="preserve"> framhever at i en internasjonal økonomi og et digitalisert samfunn, hvor avhengigheter, virkemiddelbruk og trusselaktører ikke forholder seg til landegrenser, er det viktig med internasjonalt samarbeid for å oppnå nasjonal kontroll. Stortingsmeldingen trekker fram at dette blant annet innebærer å arbeide for ansvarlig statlig oppførsel i det digitale rom og søke å benytte eksisterende kanaler, som EUs screeningmekanisme, for tilgang til informasjon om sikkerhetstruende økonomisk aktivitet.</w:t>
      </w:r>
    </w:p>
    <w:p w14:paraId="144EA8AB" w14:textId="77777777" w:rsidR="004B1A63" w:rsidRDefault="004B1A63">
      <w:r>
        <w:t>I en slik sammenheng kan samarbeid og tiltak som gjøres for å styrke sikkerhetsnivået hos samarbeidspartnere, bidra til å redusere risikonivået og gjøre behovet for nasjonal norsk kontroll mindre. Delvis gjennom at regional kontroll reduserer risikoen ved manglende nasjonal kontroll og delvis gjennom at internasjonalt regelverk og standarder medfører en forutsigbarhet som reduserer sikkerhetsrisiko.</w:t>
      </w:r>
    </w:p>
    <w:p w14:paraId="28A96B2F" w14:textId="77777777" w:rsidR="004B1A63" w:rsidRDefault="004B1A63">
      <w:pPr>
        <w:pStyle w:val="Overskrift3"/>
      </w:pPr>
      <w:r>
        <w:t>NATO</w:t>
      </w:r>
    </w:p>
    <w:p w14:paraId="0681B35C" w14:textId="77777777" w:rsidR="004B1A63" w:rsidRDefault="004B1A63">
      <w:r>
        <w:t>Norge er avhengig av internasjonalt samarbeid for å stå imot grenseoverskridende trusler. Medlemskapet i NATO er grunnleggende for forsvaret av Norge, vår evne til å avskrekke mot angrep og forebygge konflikt. NATOs kollektive forsvar bygger på at medlemslandene også har en godt fungerende sivil beredskap og motstandsdyktige kritiske samfunnsfunksjoner og infrastruktur. Motstandskraft krever tett sivil-militært samarbeid, og sivile ressurser og infrastruktur er sentralt for NATOs motstandskraft. Det er derfor utarbeidet retningslinjer og konkrete mål om at medlemslandene skal sikre:</w:t>
      </w:r>
    </w:p>
    <w:p w14:paraId="38CA7643" w14:textId="517FFE49" w:rsidR="004B1A63" w:rsidRDefault="004B1A63" w:rsidP="00372969">
      <w:pPr>
        <w:pStyle w:val="Nummerertliste"/>
        <w:numPr>
          <w:ilvl w:val="0"/>
          <w:numId w:val="54"/>
        </w:numPr>
      </w:pPr>
      <w:r>
        <w:t>kontinuitet for styresmaktene og kritiske offentlige tjenester,</w:t>
      </w:r>
    </w:p>
    <w:p w14:paraId="4A27B7C3" w14:textId="79EA5DA4" w:rsidR="004B1A63" w:rsidRDefault="004B1A63" w:rsidP="00372969">
      <w:pPr>
        <w:pStyle w:val="Nummerertliste"/>
        <w:numPr>
          <w:ilvl w:val="0"/>
          <w:numId w:val="54"/>
        </w:numPr>
      </w:pPr>
      <w:r>
        <w:t>en robust kraftforsyning,</w:t>
      </w:r>
    </w:p>
    <w:p w14:paraId="70C1A25B" w14:textId="2D410290" w:rsidR="004B1A63" w:rsidRDefault="004B1A63" w:rsidP="00372969">
      <w:pPr>
        <w:pStyle w:val="Nummerertliste"/>
        <w:numPr>
          <w:ilvl w:val="0"/>
          <w:numId w:val="54"/>
        </w:numPr>
      </w:pPr>
      <w:r>
        <w:t>evnen til å håndtere ukontrollert forflytning av mennesker,</w:t>
      </w:r>
    </w:p>
    <w:p w14:paraId="4F7E7A30" w14:textId="13374257" w:rsidR="004B1A63" w:rsidRDefault="004B1A63" w:rsidP="00372969">
      <w:pPr>
        <w:pStyle w:val="Nummerertliste"/>
        <w:numPr>
          <w:ilvl w:val="0"/>
          <w:numId w:val="54"/>
        </w:numPr>
      </w:pPr>
      <w:r>
        <w:t>robust mat- og vannforsyning,</w:t>
      </w:r>
    </w:p>
    <w:p w14:paraId="42226A77" w14:textId="67240053" w:rsidR="004B1A63" w:rsidRDefault="004B1A63" w:rsidP="00372969">
      <w:pPr>
        <w:pStyle w:val="Nummerertliste"/>
        <w:numPr>
          <w:ilvl w:val="0"/>
          <w:numId w:val="54"/>
        </w:numPr>
      </w:pPr>
      <w:r>
        <w:t>evnene til å håndtere masseskadesituasjoner,</w:t>
      </w:r>
    </w:p>
    <w:p w14:paraId="3D5B27B4" w14:textId="43CFC332" w:rsidR="004B1A63" w:rsidRDefault="004B1A63" w:rsidP="00372969">
      <w:pPr>
        <w:pStyle w:val="Nummerertliste"/>
        <w:numPr>
          <w:ilvl w:val="0"/>
          <w:numId w:val="54"/>
        </w:numPr>
      </w:pPr>
      <w:r>
        <w:t>robuste sivile kommunikasjonssystemer, og</w:t>
      </w:r>
    </w:p>
    <w:p w14:paraId="6D0F0160" w14:textId="3BC1BDC3" w:rsidR="004B1A63" w:rsidRDefault="004B1A63" w:rsidP="00372969">
      <w:pPr>
        <w:pStyle w:val="Nummerertliste"/>
        <w:numPr>
          <w:ilvl w:val="0"/>
          <w:numId w:val="54"/>
        </w:numPr>
      </w:pPr>
      <w:r>
        <w:t>robuste transportsystemer.</w:t>
      </w:r>
      <w:r w:rsidR="00015951" w:rsidRPr="00015951">
        <w:rPr>
          <w:rStyle w:val="Fotnotereferanse"/>
        </w:rPr>
        <w:footnoteReference w:id="114"/>
      </w:r>
    </w:p>
    <w:p w14:paraId="73B4A9AC" w14:textId="0832AC5B" w:rsidR="004B1A63" w:rsidRDefault="004B1A63">
      <w:r>
        <w:lastRenderedPageBreak/>
        <w:t xml:space="preserve">Robusthet i sivil digital kommunikasjonsinfrastruktur er altså en del av denne beredskapen. NATO har i denne sammenheng hatt særlig fokus på beskyttelse av </w:t>
      </w:r>
      <w:r>
        <w:rPr>
          <w:spacing w:val="-2"/>
        </w:rPr>
        <w:t xml:space="preserve">undersjøisk infrastruktur fordi slik infrastruktur er kritisk for både stabiliteten i økonomien, </w:t>
      </w:r>
      <w:r>
        <w:t>samfunnssikkerheten og forsvaret av alliansen. I mai 2024 åpnet NATO et nytt maritimt senter for sikkerhet i kritisk undersjøisk infrastruktur.</w:t>
      </w:r>
      <w:r w:rsidR="00015951" w:rsidRPr="00015951">
        <w:rPr>
          <w:rStyle w:val="Fotnotereferanse"/>
        </w:rPr>
        <w:footnoteReference w:id="115"/>
      </w:r>
      <w:r>
        <w:t xml:space="preserve"> Initiativet bygger blant annet på et tysk-norsk forslag om å styrke NATOs rolle i å beskytte undersjøisk infrastruktur fra november 2022. Under NATOs forsvarsministermøte 17. oktober 2024 signerte forsvarsministrene fra Norge og Tyskland en felles uttalelse hvor partene tar ytterligere initiativ til å styrke NATOs rolle i beskyttelsen av kritisk undersjøisk infrastruktur, ved at det opprettes regionale sentre for ulike havområder som skal overvåke undersjøisk </w:t>
      </w:r>
      <w:r>
        <w:rPr>
          <w:spacing w:val="-2"/>
        </w:rPr>
        <w:t>infrastruktur og avdekke mistenkelige aktiviteter og avskrekke potensielle motstandere.</w:t>
      </w:r>
      <w:r w:rsidR="00015951" w:rsidRPr="00015951">
        <w:rPr>
          <w:rStyle w:val="Fotnotereferanse"/>
        </w:rPr>
        <w:footnoteReference w:id="116"/>
      </w:r>
      <w:r>
        <w:rPr>
          <w:spacing w:val="-2"/>
        </w:rPr>
        <w:t xml:space="preserve"> I januar 2025 annonserte utenriksminister Espen Barth Eide at Norge sammen med USA og våre nordisk-baltiske allierte er enige om fire konkrete tiltak som skal øke sikkerheten for undersjøisk infrastruktur.</w:t>
      </w:r>
      <w:r w:rsidR="00015951" w:rsidRPr="00015951">
        <w:rPr>
          <w:rStyle w:val="Fotnotereferanse"/>
        </w:rPr>
        <w:footnoteReference w:id="117"/>
      </w:r>
      <w:r>
        <w:rPr>
          <w:spacing w:val="-2"/>
        </w:rPr>
        <w:t xml:space="preserve"> Tiltakene gjelder informasjonsdeling, partnerskap mellom offentlige og private virksomheter for å forbedre reparasjons- og vedlikeholdskapasiteten, </w:t>
      </w:r>
      <w:r>
        <w:t>informasjonsdeling mellom kommersielle operatører om utilsiktede kabelfeil og skader, utført reparasjonsarbeid, samt å effektivisere prosessene for import og eksport og legge til rette for raskere transport av nødvendig kommersielt utstyr.</w:t>
      </w:r>
    </w:p>
    <w:p w14:paraId="74DE179A" w14:textId="77777777" w:rsidR="004B1A63" w:rsidRDefault="004B1A63">
      <w:pPr>
        <w:pStyle w:val="Overskrift3"/>
      </w:pPr>
      <w:r>
        <w:t>Europeisk samarbeid</w:t>
      </w:r>
    </w:p>
    <w:p w14:paraId="073C7359" w14:textId="77777777" w:rsidR="004B1A63" w:rsidRDefault="004B1A63">
      <w:r>
        <w:t>Ved siden av NATO, er EU Norges viktigste samarbeidspartner i sikkerhetspolitiske spørsmål. Det sikkerhets- og forsvarspolitiske samarbeidet omfattes ikke av EØS-avtalen. Det er likevel klart at Norge bygger sin sikkerhet ikke bare gjennom NATO-samarbeidet, men også gjennom tett samarbeid med EU.</w:t>
      </w:r>
    </w:p>
    <w:p w14:paraId="3521CF4F" w14:textId="77777777" w:rsidR="004B1A63" w:rsidRDefault="004B1A63">
      <w:r>
        <w:t>EØS-avtalen er den mest omfattende internasjonale avtalen Norge har inngått. Tidligere var EUs sentrale fokus å utvikle et velfungerende marked mellom medlemsstatene, mens man nå ser at en dreining mot at det handler mer om hvordan EU som fellesskap skal møte de store utfordringene og forsvare felles interesser. EUs betydning for europeisk sikkerhet – og norsk sikkerhet – har økt etter Russlands invasjon av Ukraina. I den grad EU gjennom ulike initiativer tar ansvar for europeisk sikkerhet, vil et tett samarbeid med EU også styrke sikkerheten i Norge.</w:t>
      </w:r>
    </w:p>
    <w:p w14:paraId="6D1AE975" w14:textId="08AC137E" w:rsidR="004B1A63" w:rsidRDefault="004B1A63">
      <w:r>
        <w:t xml:space="preserve">Kommisjonen presenterte i februar 2024 en såkalt </w:t>
      </w:r>
      <w:r w:rsidR="00015951">
        <w:t>«</w:t>
      </w:r>
      <w:r>
        <w:t>hvitbok</w:t>
      </w:r>
      <w:r w:rsidR="00015951">
        <w:t>»</w:t>
      </w:r>
      <w:r>
        <w:t xml:space="preserve"> med en rekke forslag til tiltak for å fremme innovasjon, sikkerhet og motstandsdyktighet i digital infrastruktur. Bakgrunnen er at utrulling av nye viktige, digitale tjenester i samfunnet, avhenger av konnektivitet som er sikker, har høy kapasitet og er tilgengelig for alle. Det er ventet at Europakommisjonen i 2025 vil følge opp dette arbeidet der målet er å fremme felleseuropeiske ekomtjenester og infrastruktur, sikre investeringer i digital </w:t>
      </w:r>
      <w:r>
        <w:lastRenderedPageBreak/>
        <w:t>infrastruktur og sikre motstandsdyktig infrastruktur. Samtidig med hvitboken, la Kommisjonen fram en anbefaling knyttet til sikkerhet og motstandsdyktighet i sjøfiberkabler. Utvalget mener det er viktig at departementet følger disse prosessene tett og kopler Norge på eventuelle nye samarbeidsprosjekter knyttet til sikkerhet og motstandsdyktighet i digital infrastruktur. Det er også viktig at et eventuelt nytt EØS-relevant regelverk gjennomføres raskt i Norge.</w:t>
      </w:r>
    </w:p>
    <w:p w14:paraId="3C7B0C97" w14:textId="46EA29A4" w:rsidR="004B1A63" w:rsidRPr="005342B1" w:rsidRDefault="004B1A63">
      <w:pPr>
        <w:rPr>
          <w:spacing w:val="-2"/>
        </w:rPr>
      </w:pPr>
      <w:r>
        <w:t>Norge og EU inngikk i mai 2024 en partnerskapsavtale</w:t>
      </w:r>
      <w:r w:rsidR="00015951" w:rsidRPr="00015951">
        <w:rPr>
          <w:rStyle w:val="Fotnotereferanse"/>
        </w:rPr>
        <w:footnoteReference w:id="118"/>
      </w:r>
      <w:r>
        <w:t xml:space="preserve"> om forsvar – og sikkerhetssamarbeid. Partnerskapsavtalen bekrefter Norges status som en av EUs nærmeste partnere. Avtalen er ikke folkerettslig bindene, men stadfester det allerede pågående samarbeidet Norge og EU har på forsvars- og sikkerhetsområdet og gir Norge og EU en struktur for dialog og konsultasjoner. Formålet med partnerskapet er blant </w:t>
      </w:r>
      <w:r>
        <w:rPr>
          <w:spacing w:val="-2"/>
        </w:rPr>
        <w:t xml:space="preserve">annet å styrke samarbeidet om krisehåndtering, forsvarsindustri, romsamarbeid, kritisk infrastruktur og hybride trusler. </w:t>
      </w:r>
      <w:r w:rsidRPr="005342B1">
        <w:rPr>
          <w:spacing w:val="-2"/>
        </w:rPr>
        <w:t xml:space="preserve">Knyttet til </w:t>
      </w:r>
      <w:r w:rsidR="00015951">
        <w:rPr>
          <w:spacing w:val="-2"/>
        </w:rPr>
        <w:t>«</w:t>
      </w:r>
      <w:r w:rsidRPr="005342B1">
        <w:rPr>
          <w:spacing w:val="-2"/>
        </w:rPr>
        <w:t>Resilience of critical infrastructure</w:t>
      </w:r>
      <w:r w:rsidR="00015951">
        <w:rPr>
          <w:spacing w:val="-2"/>
        </w:rPr>
        <w:t>»</w:t>
      </w:r>
      <w:r w:rsidRPr="005342B1">
        <w:rPr>
          <w:spacing w:val="-2"/>
        </w:rPr>
        <w:t xml:space="preserve"> sier avtalen:</w:t>
      </w:r>
    </w:p>
    <w:p w14:paraId="579EC3A9" w14:textId="32AF71DC" w:rsidR="004B1A63" w:rsidRPr="00015951" w:rsidRDefault="00015951">
      <w:pPr>
        <w:pStyle w:val="blokksit"/>
        <w:rPr>
          <w:lang w:val="en-US"/>
        </w:rPr>
      </w:pPr>
      <w:r>
        <w:rPr>
          <w:lang w:val="en-US"/>
        </w:rPr>
        <w:t>«</w:t>
      </w:r>
      <w:r w:rsidR="004B1A63" w:rsidRPr="00015951">
        <w:rPr>
          <w:lang w:val="en-US"/>
        </w:rPr>
        <w:t>31. Norway and the EU will strengthen consultations on their respective approaches to enhance the resilience of critical infrastructure in Europe, including underwater infrastructure. The EU will base its efforts on the EU Directive on the Resilience of Critical Entities and the Council recommendation on a Union wide coordinated approach.</w:t>
      </w:r>
      <w:r>
        <w:rPr>
          <w:lang w:val="en-US"/>
        </w:rPr>
        <w:t>»</w:t>
      </w:r>
    </w:p>
    <w:p w14:paraId="00C51D30" w14:textId="77777777" w:rsidR="004B1A63" w:rsidRDefault="004B1A63">
      <w:r>
        <w:t>EU kobler nå i langt større grad ulike saksområder til målet om et mer sikkert, motstandsdyktig og selvforsynt EU. Samarbeidet mellom de 27 medlemslandene utvikles raskt på områder som ikke dekkes av EØS-avtalen og Norges øvrige avtaleverk med EU. Det skaper et nytt sett av utfordringer som krever større grad av samordning.</w:t>
      </w:r>
    </w:p>
    <w:p w14:paraId="24FD7868" w14:textId="77777777" w:rsidR="004B1A63" w:rsidRDefault="004B1A63">
      <w:r>
        <w:t>Man ser også at EØS-avtalens regler om de fire friheter får betydning for regelverk som ligger utenfor avtalen. Det er derfor viktig å se hen til hvordan EUs regler som ivaretar sikkerhet utformes, for å sikre at norske regler som skal ivareta nasjonal kontroll ikke kommer i konflikt med våre forpliktelser etter EØS-avtalen. Nasjonale tiltak vil også, når de harmoniseres og håndheves likt med EU-tiltak, bedre ivareta konkurransemessige og økonomiske konsekvenser av tiltakene for norske virksomheter, og dermed begrenses eventuelle negative effekter.</w:t>
      </w:r>
    </w:p>
    <w:p w14:paraId="2B00E994" w14:textId="5CB12B52" w:rsidR="004B1A63" w:rsidRDefault="004B1A63">
      <w:r>
        <w:t xml:space="preserve">EØS-avtalen er en dynamisk avtale som løpende oppdateres. Når nye rettsakter vedtas i EU, skal regelverket som er omfattet av EØS-avtalens virkeområde, også tas inn i EØS-avtalen, slik at regelverket blir likt i EU- og EØS EFTA -landene. Nytt EØS-relevant regelverk skal etter avtalen artikkel 102 innføres </w:t>
      </w:r>
      <w:r w:rsidR="00015951">
        <w:t>«</w:t>
      </w:r>
      <w:r>
        <w:t>så nær som mulig i tid</w:t>
      </w:r>
      <w:r w:rsidR="00015951">
        <w:t>»</w:t>
      </w:r>
      <w:r>
        <w:t xml:space="preserve"> etter vedtak av tilsvarende regelverk i EU. Forsinkelser i implementering og gjennomføring av EU-regelverk kan, i tillegg til å være et problem for næringslivet som kan oppleve uklarhet om plikter og rettigheter og være negativt både for investeringer og etableringer, også medføre svekket tillit i samarbeidet mellom EU- og EØS EFTA-landene, og kan få som konsekvens at sikkerhetssamarbeidet generelt svekkes. Det vises i denne sammenheng til Eldringutvalget</w:t>
      </w:r>
      <w:r w:rsidR="00015951" w:rsidRPr="00015951">
        <w:rPr>
          <w:rStyle w:val="skrift-hevet"/>
        </w:rPr>
        <w:t xml:space="preserve"> </w:t>
      </w:r>
      <w:r>
        <w:t xml:space="preserve">NOU 2024: 7 </w:t>
      </w:r>
      <w:r w:rsidRPr="00015951">
        <w:rPr>
          <w:rStyle w:val="kursiv"/>
        </w:rPr>
        <w:t>Norge og EØS: Utvikling og erfaringer</w:t>
      </w:r>
      <w:r>
        <w:t xml:space="preserve">, som peker på at etterslepet av rettsakter har økt de senere årene og at det på EU-siden skaper misnøye og kan oppfattes som </w:t>
      </w:r>
      <w:r w:rsidR="00015951">
        <w:t>«</w:t>
      </w:r>
      <w:r>
        <w:t>cherry-picking</w:t>
      </w:r>
      <w:r w:rsidR="00015951">
        <w:t>»</w:t>
      </w:r>
      <w:r>
        <w:t xml:space="preserve"> fra Norge og de andre EØS EFTA-landenes side. Eldringutvalget sier at </w:t>
      </w:r>
      <w:r w:rsidR="00015951">
        <w:t>«</w:t>
      </w:r>
      <w:r>
        <w:t xml:space="preserve">Risikoen ved å bruke uforholdsmessig lang tid på </w:t>
      </w:r>
      <w:r>
        <w:lastRenderedPageBreak/>
        <w:t>innlemmelsesprosessen er at Norge og de andre EØS/EFTA-statene kan bli møtt med mottiltak fra EUs side</w:t>
      </w:r>
      <w:r w:rsidR="00015951">
        <w:t>»</w:t>
      </w:r>
      <w:r>
        <w:t>.</w:t>
      </w:r>
    </w:p>
    <w:p w14:paraId="5D0D8FCB" w14:textId="77777777" w:rsidR="004B1A63" w:rsidRDefault="004B1A63">
      <w:r>
        <w:t>Et svekket samarbeid med våre nærmeste samarbeidspartnere kan bli alvorlig, fordi Norge er avhengig av samarbeid med land – og leverandører fra land – som vi har tillit til, for å kunne sikre trygge og gode digitale tjenester. Om kontroll over kritisk digital infrastruktur oppfattes som dårligere enn hos våre sikkerhetspolitiske partnere, kan dette utfordre det bredere samarbeidet, skape friksjon og misnøye og begrense videre samarbeid.</w:t>
      </w:r>
    </w:p>
    <w:p w14:paraId="6C5249B4" w14:textId="77777777" w:rsidR="004B1A63" w:rsidRDefault="004B1A63">
      <w:pPr>
        <w:pStyle w:val="Overskrift3"/>
      </w:pPr>
      <w:r>
        <w:t>Nordisk samarbeid</w:t>
      </w:r>
    </w:p>
    <w:p w14:paraId="2BE27694" w14:textId="77777777" w:rsidR="004B1A63" w:rsidRDefault="004B1A63">
      <w:r>
        <w:t>Etter Finlands og Sveriges inntreden i NATO, er forutsetningene for bredere sikkerhetspolitisk samarbeid i Norden endret. Gitt at robuste sivile kommunikasjonssystemer er viktig for NATOs kollektive forsvar, er det naturlig at det sikkerhetspolitiske regionale samarbeidet også omfatter samarbeid for å styrke motstandskraft og beredskap knyttet til kritisk digital kommunikasjonsinfrastruktur. Et slikt nordisk samarbeid bør især fokusere på felles nordiske løsninger på områder der landene kan oppnå bedre resultater ved å samarbeide enn ved å løse oppgavene hver for seg. Utvalget viser til at også tilbyderne mener nordisk samarbeid er viktig og at mulighetene for økt nordisk samarbeid som et risikoreduserende tiltak bør utforskes, spesielt innen sikkerhetsklarering og deling av ressurser og teknologi.</w:t>
      </w:r>
    </w:p>
    <w:p w14:paraId="29EBCCBB" w14:textId="77777777" w:rsidR="004B1A63" w:rsidRDefault="004B1A63">
      <w:r>
        <w:t>Norge samarbeider med våre nordiske naboland på digitaliseringsområdet blant annet innenfor rammene av Nordisk ministerråd. Det nordiske samarbeidet er i mange sammenhenger utvidet til et nordisk-baltisk samarbeid. I tillegg til å styrke samarbeidet i denne regionen, gir det også Norge en mulighet til å sammen med disse samarbeidspartnerne, å få en felles stemme inn mot EU.</w:t>
      </w:r>
    </w:p>
    <w:p w14:paraId="5619E7EA" w14:textId="069EB1EB" w:rsidR="004B1A63" w:rsidRPr="005744AF" w:rsidRDefault="004B1A63">
      <w:pPr>
        <w:rPr>
          <w:lang w:val="en-US"/>
        </w:rPr>
      </w:pPr>
      <w:r>
        <w:t xml:space="preserve">Akkurat som i NATO og EU, har samarbeid for å beskyttes undersjøisk kommunikasjonsinfrastruktur stått sentralt den senere tid. På nordisk-baltisk møte mellom digitaliseringsministrene i november 2024, ble grunnlaget for styrket samarbeid om kritisk kommunikasjonsinfrastruktur under vann, lagt. </w:t>
      </w:r>
      <w:r w:rsidRPr="005744AF">
        <w:rPr>
          <w:lang w:val="en-US"/>
        </w:rPr>
        <w:t>I en felleserklæring</w:t>
      </w:r>
      <w:r w:rsidR="00015951" w:rsidRPr="00015951">
        <w:rPr>
          <w:rStyle w:val="Fotnotereferanse"/>
        </w:rPr>
        <w:footnoteReference w:id="119"/>
      </w:r>
      <w:r w:rsidRPr="005744AF">
        <w:rPr>
          <w:lang w:val="en-US"/>
        </w:rPr>
        <w:t xml:space="preserve"> uttalte ministrene blant annet:</w:t>
      </w:r>
    </w:p>
    <w:p w14:paraId="3AE2EEE0" w14:textId="268669B6" w:rsidR="004B1A63" w:rsidRPr="00015951" w:rsidRDefault="00015951">
      <w:pPr>
        <w:pStyle w:val="blokksit"/>
        <w:rPr>
          <w:lang w:val="en-US"/>
        </w:rPr>
      </w:pPr>
      <w:r>
        <w:rPr>
          <w:lang w:val="en-US"/>
        </w:rPr>
        <w:t>«</w:t>
      </w:r>
      <w:r w:rsidR="004B1A63" w:rsidRPr="00015951">
        <w:rPr>
          <w:lang w:val="en-US"/>
        </w:rPr>
        <w:t>With the ongoing policy development within the EU concerning subsea communication cables and an increased NATO cooperation, we the Nordic and Baltic Ministers of Digitalisation would like to highlight the importance of a joint Nordic-Baltic approach.</w:t>
      </w:r>
    </w:p>
    <w:p w14:paraId="44DDFC88" w14:textId="77777777" w:rsidR="00015951" w:rsidRPr="00015951" w:rsidRDefault="004B1A63">
      <w:pPr>
        <w:pStyle w:val="blokksit"/>
        <w:rPr>
          <w:lang w:val="en-US"/>
        </w:rPr>
      </w:pPr>
      <w:r w:rsidRPr="00015951">
        <w:rPr>
          <w:lang w:val="en-US"/>
        </w:rPr>
        <w:t>To enable this, we the Nordic and Baltic Ministers for Digitalisation:</w:t>
      </w:r>
    </w:p>
    <w:p w14:paraId="3394D0BC" w14:textId="3DBD5A5A" w:rsidR="004B1A63" w:rsidRPr="00015951" w:rsidRDefault="004B1A63">
      <w:pPr>
        <w:pStyle w:val="blokksit"/>
        <w:rPr>
          <w:lang w:val="en-US"/>
        </w:rPr>
      </w:pPr>
      <w:r w:rsidRPr="00015951">
        <w:rPr>
          <w:rStyle w:val="halvfet"/>
          <w:lang w:val="en-US"/>
        </w:rPr>
        <w:t xml:space="preserve">RECOGNIZE </w:t>
      </w:r>
      <w:r w:rsidRPr="00015951">
        <w:rPr>
          <w:lang w:val="en-US"/>
        </w:rPr>
        <w:t>that the underwater infrastructure for electronic communications constitute a critical infrastructure, essential for securing our countries</w:t>
      </w:r>
      <w:r w:rsidR="00015951">
        <w:rPr>
          <w:lang w:val="en-US"/>
        </w:rPr>
        <w:t>’</w:t>
      </w:r>
      <w:r w:rsidRPr="00015951">
        <w:rPr>
          <w:lang w:val="en-US"/>
        </w:rPr>
        <w:t xml:space="preserve"> needs for connectivity and competitiveness in the international digital economy.</w:t>
      </w:r>
    </w:p>
    <w:p w14:paraId="6F18948F" w14:textId="77777777" w:rsidR="004B1A63" w:rsidRPr="00015951" w:rsidRDefault="004B1A63">
      <w:pPr>
        <w:pStyle w:val="blokksit"/>
        <w:rPr>
          <w:lang w:val="en-US"/>
        </w:rPr>
      </w:pPr>
      <w:r w:rsidRPr="00015951">
        <w:rPr>
          <w:rStyle w:val="halvfet"/>
          <w:lang w:val="en-US"/>
        </w:rPr>
        <w:lastRenderedPageBreak/>
        <w:t>RECOGNIZE</w:t>
      </w:r>
      <w:r w:rsidRPr="00015951">
        <w:rPr>
          <w:lang w:val="en-US"/>
        </w:rPr>
        <w:t xml:space="preserve"> that security considerations have become a more essential part in the design and implementation of subsea and land-based infrastructure.</w:t>
      </w:r>
    </w:p>
    <w:p w14:paraId="1D08311B" w14:textId="77777777" w:rsidR="004B1A63" w:rsidRPr="00015951" w:rsidRDefault="004B1A63">
      <w:pPr>
        <w:pStyle w:val="blokksit"/>
        <w:rPr>
          <w:lang w:val="en-US"/>
        </w:rPr>
      </w:pPr>
      <w:r w:rsidRPr="00015951">
        <w:rPr>
          <w:rStyle w:val="halvfet"/>
          <w:lang w:val="en-US"/>
        </w:rPr>
        <w:t xml:space="preserve">ENCOURAGE </w:t>
      </w:r>
      <w:r w:rsidRPr="00015951">
        <w:rPr>
          <w:lang w:val="en-US"/>
        </w:rPr>
        <w:t>increased exchange between our countries in matters of joint interest concerning subsea communication cables.</w:t>
      </w:r>
    </w:p>
    <w:p w14:paraId="5E5095B9" w14:textId="77777777" w:rsidR="004B1A63" w:rsidRPr="00015951" w:rsidRDefault="004B1A63">
      <w:pPr>
        <w:pStyle w:val="blokksit"/>
        <w:rPr>
          <w:lang w:val="en-US"/>
        </w:rPr>
      </w:pPr>
      <w:r w:rsidRPr="00015951">
        <w:rPr>
          <w:rStyle w:val="halvfet"/>
          <w:lang w:val="en-US"/>
        </w:rPr>
        <w:t>EMPHASIZE</w:t>
      </w:r>
      <w:r w:rsidRPr="00015951">
        <w:rPr>
          <w:lang w:val="en-US"/>
        </w:rPr>
        <w:t xml:space="preserve"> the need to ensure redundancy in subsea communication cables systems within our region as well as in the infrastructure for global connectivity.</w:t>
      </w:r>
    </w:p>
    <w:p w14:paraId="548CCDE5" w14:textId="77777777" w:rsidR="004B1A63" w:rsidRPr="00015951" w:rsidRDefault="004B1A63">
      <w:pPr>
        <w:pStyle w:val="blokksit"/>
        <w:rPr>
          <w:lang w:val="en-US"/>
        </w:rPr>
      </w:pPr>
      <w:r w:rsidRPr="00015951">
        <w:rPr>
          <w:rStyle w:val="halvfet"/>
          <w:lang w:val="en-US"/>
        </w:rPr>
        <w:t>EMPHASIZE</w:t>
      </w:r>
      <w:r w:rsidRPr="00015951">
        <w:rPr>
          <w:lang w:val="en-US"/>
        </w:rPr>
        <w:t xml:space="preserve"> the importance of secure supply chains for the development, manufacturing, deployment, management, maintenance and repair of subsea communication cables for secure global connectivity and communication between the Nordic countries.</w:t>
      </w:r>
    </w:p>
    <w:p w14:paraId="38C3B56A" w14:textId="77777777" w:rsidR="004B1A63" w:rsidRPr="00015951" w:rsidRDefault="004B1A63">
      <w:pPr>
        <w:pStyle w:val="blokksit"/>
        <w:rPr>
          <w:lang w:val="en-US"/>
        </w:rPr>
      </w:pPr>
      <w:r w:rsidRPr="00015951">
        <w:rPr>
          <w:rStyle w:val="halvfet"/>
          <w:lang w:val="en-US"/>
        </w:rPr>
        <w:t>EMPHASIZE</w:t>
      </w:r>
      <w:r w:rsidRPr="00015951">
        <w:rPr>
          <w:lang w:val="en-US"/>
        </w:rPr>
        <w:t xml:space="preserve"> the importance of joint international efforts, within and between the EU and NATO, in order to secure increased cable laying and repair capabilities and ensure the security of our critical infrastructure in the Nordic region.</w:t>
      </w:r>
    </w:p>
    <w:p w14:paraId="47137A93" w14:textId="77777777" w:rsidR="004B1A63" w:rsidRPr="00015951" w:rsidRDefault="004B1A63">
      <w:pPr>
        <w:pStyle w:val="blokksit"/>
        <w:rPr>
          <w:lang w:val="en-US"/>
        </w:rPr>
      </w:pPr>
      <w:r w:rsidRPr="00015951">
        <w:rPr>
          <w:rStyle w:val="halvfet"/>
          <w:lang w:val="en-US"/>
        </w:rPr>
        <w:t xml:space="preserve">RECOGNIZE </w:t>
      </w:r>
      <w:r w:rsidRPr="00015951">
        <w:rPr>
          <w:lang w:val="en-US"/>
        </w:rPr>
        <w:t>that the security and protection of subsea communication cables is a whole of government affair that requires civil-military as well as public-private collaboration.</w:t>
      </w:r>
    </w:p>
    <w:p w14:paraId="515235CA" w14:textId="3BAC27DF" w:rsidR="004B1A63" w:rsidRPr="00015951" w:rsidRDefault="004B1A63">
      <w:pPr>
        <w:pStyle w:val="blokksit"/>
        <w:rPr>
          <w:lang w:val="en-US"/>
        </w:rPr>
      </w:pPr>
      <w:r w:rsidRPr="00015951">
        <w:rPr>
          <w:rStyle w:val="halvfet"/>
          <w:lang w:val="en-US"/>
        </w:rPr>
        <w:t>RECOGNIZE</w:t>
      </w:r>
      <w:r w:rsidRPr="00015951">
        <w:rPr>
          <w:lang w:val="en-US"/>
        </w:rPr>
        <w:t xml:space="preserve"> the importance of international cooperation concerning subsea communication cables and with this ENDORSE the New York Joint Statement on the Security and Resilience of Undersea Cables in a Globally Digitalized World</w:t>
      </w:r>
      <w:r w:rsidR="00015951" w:rsidRPr="00015951">
        <w:rPr>
          <w:rStyle w:val="Fotnotereferanse"/>
        </w:rPr>
        <w:footnoteReference w:id="120"/>
      </w:r>
      <w:r w:rsidRPr="00015951">
        <w:rPr>
          <w:lang w:val="en-US"/>
        </w:rPr>
        <w:t>.</w:t>
      </w:r>
      <w:r w:rsidR="00015951">
        <w:rPr>
          <w:lang w:val="en-US"/>
        </w:rPr>
        <w:t>»</w:t>
      </w:r>
    </w:p>
    <w:p w14:paraId="59E65ECC" w14:textId="77777777" w:rsidR="004B1A63" w:rsidRDefault="004B1A63">
      <w:r w:rsidRPr="005342B1">
        <w:rPr>
          <w:lang w:val="en-US"/>
        </w:rPr>
        <w:t xml:space="preserve">New York-erklæringen om sikkerhet og motstandsdyktighet i undersjøiske kabler i en global, digitalisert verden, fastsetter globale prinsipper for å sikre at undersjøisk kabelinfrastruktur er sikker, pålitelig, bærekraftig og motstandsdyktig. </w:t>
      </w:r>
      <w:r>
        <w:t>Erklæringen ble initiert av USA i september 2024 og har senere fått sin tilslutning av en rekke land.</w:t>
      </w:r>
    </w:p>
    <w:p w14:paraId="75CF9ED5" w14:textId="77777777" w:rsidR="004B1A63" w:rsidRDefault="004B1A63">
      <w:r>
        <w:t>For å møte fremtidige utfordringer innenfor kommunikasjon, sikkerhet og infrastruktur, mener utvalget at det er viktig å benytte de nordiske landenes samlede ressurser på best mulig måte. Samarbeid mellom myndighetene i de nordiske landene kan styrke situasjonen for ekomtilbydere knyttet til de utfordringene som følger med globalisering, teknologisk utvikling og økende krav til robusthet i infrastrukturen. Det er for eksempel et økende press på å tiltrekke kompetanse, og samarbeid mellom landene kan fremme løsninger som gjør det lettere å benytte knappe personalressurser på tvers av landegrensene. Samarbeid som legger til rette for robuste felles løsninger knyttet til for eksempel transportnett og mobilkjernenett vil kunne styrke den tekniske infrastrukturen i regionen, sikre mer robust og integrert infrastruktur i Norden og dermed å styrke både nasjonal og regional sikkerhet i kommunikasjonsinfrastrukturer.</w:t>
      </w:r>
    </w:p>
    <w:p w14:paraId="390D52B5" w14:textId="77777777" w:rsidR="004B1A63" w:rsidRDefault="004B1A63">
      <w:pPr>
        <w:pStyle w:val="Overskrift2"/>
      </w:pPr>
      <w:r>
        <w:t>Oppsummering og tiltak</w:t>
      </w:r>
    </w:p>
    <w:p w14:paraId="4F2AB103" w14:textId="77777777" w:rsidR="004B1A63" w:rsidRDefault="004B1A63" w:rsidP="006F4031">
      <w:r>
        <w:t xml:space="preserve">I dagens situasjon står Norge overfor sammensatte trusler som blant annet sikkerhetstruende økonomisk aktivitet og skadelig eierskap, digitale angrep og forstyrrelser, samt påvirkning, og det er </w:t>
      </w:r>
      <w:r>
        <w:lastRenderedPageBreak/>
        <w:t>nødvendig med ulike tiltak og virkemidler for å ivareta nasjonal kontroll. Regulering er fremhevet som det primære virkemiddelet for å sørge for nasjonal kontroll. Det krever at de aktuelle regelverkene oppdateres og endres i tråd med situasjonen i sektoren. Til dette kreves oversikt, innsikt og kunnskap. Det er derfor behov for samarbeid og informasjonsdeling både nasjonalt mellom myndigheter og aktører og mellom militær og sivil sektor, samt internasjonalt samarbeid fordi ulike aktører har relevant informasjon som samlet kan bidra til bred innsikt og forståelse av utfordringsbildet og som kan styrke beslutningsgrunnlag og styrke regulering som virkemiddel. Samtidig må forvaltere av regelverk ha ressurser og kompetanse til å gi råd og veiledning til relevante aktører som kontrollerer kritisk digital kommunikasjonsinfrastruktur slik at de er i stand til å etterleve reguleringen. Dette viser at selv om regulering er det sentrale virkemiddelet, styrkes dette virkemidlet når det brukes sammen med øvrige virkemidler. I arbeidet med å sikre nasjonal kontroll, må også virkemiddelbruken hele tiden balansere målet om å ivareta nasjonale sikkerhetsinteresser og samtidig sørge for at Norge forblir et attraktivt land å investere i.</w:t>
      </w:r>
    </w:p>
    <w:p w14:paraId="33D58FF7" w14:textId="77777777" w:rsidR="004B1A63" w:rsidRDefault="004B1A63">
      <w:r>
        <w:t>I det internasjonale samarbeidet er EØS-avtalen og øvrig samarbeid med EU sentralt. EØS-relevant regelverk skal gjennomføres i norsk rett, og det er viktig å sikre at annet nasjonalt regelverk som skal ivareta nasjonal kontroll ikke kommer i konflikt med våre forpliktelser etter EØS-avtalen. Utvalget har på denne bakgrunn følgende forslag til tiltak:</w:t>
      </w:r>
    </w:p>
    <w:p w14:paraId="2300C256" w14:textId="76846D11" w:rsidR="004B1A63" w:rsidRPr="00015951" w:rsidRDefault="00015951">
      <w:pPr>
        <w:pStyle w:val="blokksit"/>
        <w:rPr>
          <w:rStyle w:val="halvfet"/>
        </w:rPr>
      </w:pPr>
      <w:r w:rsidRPr="00015951">
        <w:rPr>
          <w:rStyle w:val="halvfet"/>
        </w:rPr>
        <w:t>«</w:t>
      </w:r>
      <w:r w:rsidR="004B1A63" w:rsidRPr="00015951">
        <w:rPr>
          <w:rStyle w:val="halvfet"/>
        </w:rPr>
        <w:t>Utvalget mener at Digitaliserings- og forvaltningsdepartementet og Justis- og beredskapsdepartementet bør se til at EØS-relevant regelverk for digital kommunikasjonsinfrastruktur gjennomføres i Norge og at det skjer i så nær tid som mulig med tilsvarende regulering i EU.</w:t>
      </w:r>
      <w:r w:rsidRPr="00015951">
        <w:rPr>
          <w:rStyle w:val="halvfet"/>
        </w:rPr>
        <w:t>»</w:t>
      </w:r>
    </w:p>
    <w:p w14:paraId="6F2C1B48" w14:textId="7972B26F" w:rsidR="004B1A63" w:rsidRDefault="004B1A63">
      <w:r>
        <w:t xml:space="preserve">Det er i flere sammenhenger uttalt at statlig eierskap er et virkemiddel som kan tas bruk i særskilte tilfeller. Samtidig sier regjeringen i Hurdalsplattformen at det er </w:t>
      </w:r>
      <w:r w:rsidR="00015951">
        <w:t>«</w:t>
      </w:r>
      <w:r>
        <w:t>avgjørende at fellesskapet bruker statlig eierskap for å sikre nasjonal kontroll</w:t>
      </w:r>
      <w:r w:rsidR="00015951">
        <w:t>»</w:t>
      </w:r>
      <w:r>
        <w:t xml:space="preserve"> og at </w:t>
      </w:r>
      <w:r w:rsidR="00015951">
        <w:t>«</w:t>
      </w:r>
      <w:r>
        <w:t>statlige eierskapet skal utvikles og forsterkes i omstillingen av norsk økonomi</w:t>
      </w:r>
      <w:r w:rsidR="00015951">
        <w:t>»</w:t>
      </w:r>
      <w:r>
        <w:t>. Det pekes i denne sammenheng blant annet på kontroll av viktig infrastruktur.</w:t>
      </w:r>
    </w:p>
    <w:p w14:paraId="0A1F8249" w14:textId="77777777" w:rsidR="004B1A63" w:rsidRDefault="004B1A63">
      <w:r>
        <w:t>Selv om staten allerede i dag begrunner eierskap utfra hensynet til samfunnssikkerhet og beredskap, er det ikke tydelig hvordan dette hensynet forvaltes gjennom eierskapet. På denne bakgrunn har utvalget følgende forslag til tiltak:</w:t>
      </w:r>
    </w:p>
    <w:p w14:paraId="75D5D800" w14:textId="600E6212" w:rsidR="004B1A63" w:rsidRPr="00015951" w:rsidRDefault="00015951">
      <w:pPr>
        <w:pStyle w:val="blokksit"/>
      </w:pPr>
      <w:r w:rsidRPr="00015951">
        <w:rPr>
          <w:rStyle w:val="halvfet"/>
        </w:rPr>
        <w:t>«</w:t>
      </w:r>
      <w:r w:rsidR="004B1A63" w:rsidRPr="00015951">
        <w:rPr>
          <w:rStyle w:val="halvfet"/>
        </w:rPr>
        <w:t>Utvalget mener at når staten begrunner eierskap med å ivareta samfunnssikkerhet gjennom eierskap, må staten i forvaltningen av eierskapet være tydeligere på hvordan hensynet til samfunnssikkerhet og beredskap veies mot hensynet til avkastning, andre aksjonærer og for eksempel statsstøtteregler.</w:t>
      </w:r>
      <w:r w:rsidRPr="00015951">
        <w:rPr>
          <w:rStyle w:val="halvfet"/>
        </w:rPr>
        <w:t>»</w:t>
      </w:r>
    </w:p>
    <w:p w14:paraId="27CC5BA8" w14:textId="77777777" w:rsidR="004B1A63" w:rsidRDefault="004B1A63" w:rsidP="00DC7C89">
      <w:pPr>
        <w:pStyle w:val="Overskrift1"/>
      </w:pPr>
      <w:r>
        <w:lastRenderedPageBreak/>
        <w:t>Screeningregelverk i sammenlignbare land</w:t>
      </w:r>
    </w:p>
    <w:p w14:paraId="70009699" w14:textId="683141DA" w:rsidR="00F25864" w:rsidRPr="00F25864" w:rsidRDefault="004B4E04" w:rsidP="00F25864">
      <w:r>
        <w:rPr>
          <w:noProof/>
        </w:rPr>
        <w:drawing>
          <wp:inline distT="0" distB="0" distL="0" distR="0" wp14:anchorId="11B73C84" wp14:editId="703B6BCF">
            <wp:extent cx="3657600" cy="2581275"/>
            <wp:effectExtent l="0" t="0" r="0" b="0"/>
            <wp:docPr id="29" name="Bilde 11" descr="Bilde av en EU-bygning med flere flaggstenger med EU-flagg på i for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11" descr="Bilde av en EU-bygning med flere flaggstenger med EU-flagg på i forgrunne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65E505FC" w14:textId="77777777" w:rsidR="004B1A63" w:rsidRDefault="004B1A63">
      <w:pPr>
        <w:pStyle w:val="Overskrift2"/>
      </w:pPr>
      <w:r>
        <w:t>Innledning</w:t>
      </w:r>
    </w:p>
    <w:p w14:paraId="1E23791A" w14:textId="2CF52A69" w:rsidR="004B1A63" w:rsidRDefault="004B1A63" w:rsidP="006F4031">
      <w:r>
        <w:t xml:space="preserve">Det følger av mandatet at </w:t>
      </w:r>
      <w:r w:rsidR="00015951" w:rsidRPr="00015951">
        <w:rPr>
          <w:rStyle w:val="kursiv"/>
        </w:rPr>
        <w:t>«</w:t>
      </w:r>
      <w:r w:rsidRPr="00015951">
        <w:rPr>
          <w:rStyle w:val="kursiv"/>
        </w:rPr>
        <w:t>Utvalget skal beskrive hvordan reguleringsregimer eller andre hensyn til nasjonal kontroll er ivaretatt i nordiske land</w:t>
      </w:r>
      <w:r w:rsidR="00015951" w:rsidRPr="00015951">
        <w:rPr>
          <w:rStyle w:val="kursiv"/>
        </w:rPr>
        <w:t>»</w:t>
      </w:r>
      <w:r w:rsidRPr="00015951">
        <w:rPr>
          <w:rStyle w:val="kursiv"/>
        </w:rPr>
        <w:t xml:space="preserve">, </w:t>
      </w:r>
      <w:r>
        <w:t>og i dette kapittelet gis en beskrivelse av screeningregelverket i Sverige, Danmark og Finland.</w:t>
      </w:r>
      <w:r w:rsidRPr="00015951">
        <w:rPr>
          <w:rStyle w:val="kursiv"/>
        </w:rPr>
        <w:t xml:space="preserve"> </w:t>
      </w:r>
      <w:r>
        <w:t>Mange vestlige land, inkludert de nordiske, har regelverk for å redusere sårbarheter knyttet til utenlandske investeringer som kan true nasjonale sikkerhetsinteresser. Dette som et motsvar mot staters økte bruk av sikkerhetstruende økonomisk aktivitet. Det skilles gjerne mellom første- og andregenerasjons regelverk;</w:t>
      </w:r>
    </w:p>
    <w:p w14:paraId="51E9AB24" w14:textId="77777777" w:rsidR="004B1A63" w:rsidRDefault="004B1A63">
      <w:r>
        <w:t>Førstegenerasjonsregelverk inneholder typisk en tillatelsesordning for investeringer i utpekte foretak eller i en avgrenset sektor, slik som vi har i Norge. Andregenerasjonsregelverk er mer omfattende og legger opp til løpende behandling av et større antall meldinger i henhold til faste kriterier og gjerne utført av en dedikert offentlig myndighet. De nordiske landene utvalget skal omtale i dette kapitlet er eksempler på land som har et andregenerasjons screeningregelverk.</w:t>
      </w:r>
    </w:p>
    <w:p w14:paraId="0C5775F9" w14:textId="77777777" w:rsidR="004B1A63" w:rsidRDefault="004B1A63">
      <w:r>
        <w:t>Videre er det relevant å se til forordning (EU) 2019/452 om kontroll av utenlandske direkteinvesteringer som er EUs gjeldende regelverk for screening (ikke del av EØS-avtalen). Formålet bak dette regelverket er å etablere en felles tilnærming til kontrollen av investeringer fra land utenfor EU som kan utgjøre en sikkerhetsrisiko, og oppstiller noen minstekrav til hvordan nasjonale screeningregelverk skal utformes. Dermed vil vi se at Sverige, Danmark og Finlands screeningregelverk har mange likhetstrekk med hverandre da de bygger på EUs screeningregelverk. Etter en evaluering av det gjeldende screeningregelverket har man kommet frem til at mangel på harmonisering blant medlemslandene er et problem, og i januar 2024 la Europakommisjonen frem et forslag til et nytt screeningregelverk. Dermed vil både EUs gjeldende screeningregelverk og forslaget til ny forordning også bli omtalt i kapittelet.</w:t>
      </w:r>
    </w:p>
    <w:p w14:paraId="12558888" w14:textId="77777777" w:rsidR="004B1A63" w:rsidRDefault="004B1A63">
      <w:pPr>
        <w:pStyle w:val="Overskrift2"/>
      </w:pPr>
      <w:r>
        <w:lastRenderedPageBreak/>
        <w:t>Sverige</w:t>
      </w:r>
    </w:p>
    <w:p w14:paraId="76639049" w14:textId="77777777" w:rsidR="004B1A63" w:rsidRDefault="004B1A63" w:rsidP="006F4031">
      <w:r w:rsidRPr="00015951">
        <w:rPr>
          <w:rStyle w:val="kursiv"/>
        </w:rPr>
        <w:t>Lagen om granskning av utländska direktinvesteringar (2023:560)</w:t>
      </w:r>
      <w:r>
        <w:t xml:space="preserve"> trådte i kraft 1. desember 2023 og regulerer investeringskontrollen i Sverige. Formålet med loven er </w:t>
      </w:r>
      <w:r w:rsidRPr="00DC7C89">
        <w:t xml:space="preserve">å hindre investeringer som kan ha skadelig effekt på Sveriges sikkerhet eller på offentlig orden eller offentlig sikkerhet. </w:t>
      </w:r>
      <w:r w:rsidRPr="00015951">
        <w:rPr>
          <w:rStyle w:val="kursiv"/>
        </w:rPr>
        <w:t>Inspektionen för strategiska produkter (ISP)</w:t>
      </w:r>
      <w:r>
        <w:t xml:space="preserve"> er utpekt som kontrollmyndighet for utenlandske direkteinvesteringer i Sverige. ISP er et statlig organ som jobber med spørsmål knyttet til Sveriges forsvars-, sikkerhets- eller utenrikspolitikk. En stor del av deres arbeid er å kontrollere eksporten av enkelte produkter, med sikte på at verken produkter eller teknologi skal spres til uvedkommende. Investeringer som innebærer at en investor får betydelig innflytelse i skjermingsverdige aktiviteter skal meldes til ISP, som avgjør om investeringen må gjennomgås. Dersom dette er tilfelle, må ISP avgjøre om investeringen skal godkjennes, forbys eller tillates på vilkår. Den svenske loven dekker investeringer i virksomheter som er underlagt i syv ulike sektorer:</w:t>
      </w:r>
    </w:p>
    <w:p w14:paraId="64A33A47" w14:textId="21C88C76" w:rsidR="004B1A63" w:rsidRDefault="004B1A63">
      <w:pPr>
        <w:pStyle w:val="Listebombe"/>
      </w:pPr>
      <w:r>
        <w:t>Samfunnsviktig aktivitet</w:t>
      </w:r>
    </w:p>
    <w:p w14:paraId="64FF9613" w14:textId="0583B97A" w:rsidR="004B1A63" w:rsidRDefault="004B1A63">
      <w:pPr>
        <w:pStyle w:val="Listebombe"/>
      </w:pPr>
      <w:r>
        <w:t>Sikkerhetssensitive aktiviteter</w:t>
      </w:r>
    </w:p>
    <w:p w14:paraId="3C2D4067" w14:textId="279C0BB5" w:rsidR="004B1A63" w:rsidRDefault="004B1A63">
      <w:pPr>
        <w:pStyle w:val="Listebombe"/>
      </w:pPr>
      <w:r>
        <w:t>Kritiske råvarer, metaller eller mineraler</w:t>
      </w:r>
    </w:p>
    <w:p w14:paraId="2F0C7FAB" w14:textId="69769A12" w:rsidR="004B1A63" w:rsidRDefault="004B1A63">
      <w:pPr>
        <w:pStyle w:val="Listebombe"/>
      </w:pPr>
      <w:r>
        <w:t>Sensitive personopplysninger eller stedsdata</w:t>
      </w:r>
    </w:p>
    <w:p w14:paraId="0D8A8B35" w14:textId="05E3982D" w:rsidR="004B1A63" w:rsidRDefault="004B1A63">
      <w:pPr>
        <w:pStyle w:val="Listebombe"/>
      </w:pPr>
      <w:r>
        <w:t>Krigsmateriell eller teknisk støtte angående krigsmateriell</w:t>
      </w:r>
    </w:p>
    <w:p w14:paraId="170B19B1" w14:textId="63CA2B5D" w:rsidR="004B1A63" w:rsidRDefault="004B1A63">
      <w:pPr>
        <w:pStyle w:val="Listebombe"/>
      </w:pPr>
      <w:r>
        <w:t>Produkter med dobbelt bruksområde eller teknisk assistanse</w:t>
      </w:r>
    </w:p>
    <w:p w14:paraId="1FE55FF0" w14:textId="157ACFB6" w:rsidR="004B1A63" w:rsidRDefault="004B1A63">
      <w:pPr>
        <w:pStyle w:val="Listebombe"/>
      </w:pPr>
      <w:r>
        <w:t>Fremvoksende teknologi eller annen teknologi som kan beskyttes strategisk</w:t>
      </w:r>
      <w:r w:rsidR="00015951" w:rsidRPr="00015951">
        <w:rPr>
          <w:rStyle w:val="Fotnotereferanse"/>
        </w:rPr>
        <w:footnoteReference w:id="121"/>
      </w:r>
    </w:p>
    <w:p w14:paraId="3D9E3C5A" w14:textId="7BBF867C" w:rsidR="004B1A63" w:rsidRDefault="004B1A63">
      <w:r>
        <w:t>Den svenske screeningen blir ikke gjennomført av et departement slik det er praksis for i de fleste andre land, men utføres som nevnt av det offentlige organet ISP, assistert av andre instanser. Den svenske grunnloven forbyr nemlig generelt regjeringen fra å påvirke beslutninger tatt av regjeringsinstanser i enkeltsaker. Av denne grunn, når ISP først behandler en sak, har ikke regjeringen lov til å påvirke om en spesifikk investering bør tillates eller ikke. Men en avgjørelse tatt av ISP, inkludert et forbud eller tillatelse på vilkår, kan påklages av investor til regjeringen. Dette kan bidra til å gjøre den svenske screeningsmekanismen mer transparent sammenlignet med land der beslutninger tas direkte av regjeringen. Alle involverte myndigheter må i tillegg sende inn sin mening skriftlig til ISP.</w:t>
      </w:r>
      <w:r w:rsidR="00015951" w:rsidRPr="00015951">
        <w:rPr>
          <w:rStyle w:val="Fotnotereferanse"/>
        </w:rPr>
        <w:footnoteReference w:id="122"/>
      </w:r>
    </w:p>
    <w:p w14:paraId="7A7E0B14" w14:textId="77777777" w:rsidR="004B1A63" w:rsidRDefault="004B1A63">
      <w:pPr>
        <w:pStyle w:val="Undertittel"/>
      </w:pPr>
      <w:r>
        <w:t>Prosess</w:t>
      </w:r>
    </w:p>
    <w:p w14:paraId="507BFBEB" w14:textId="77777777" w:rsidR="004B1A63" w:rsidRDefault="004B1A63" w:rsidP="006F4031">
      <w:r>
        <w:t xml:space="preserve">I Sverige er meldeplikt hos investor, og meldeplikten gjelder ikke kun for utenlandske investorer, men også svenske. Den som har til hensikt direkte eller indirekte å investere i en skjermingsverdig virksomhet, skal varsle ISP om investeringen dersom investeringen medfører at investor får en viss innflytelse i virksomheten. Investors meldeplikt starter dersom investoren etter investeringen, direkte eller indirekte, ville komme til å ha stemmer som tilsvarer eller overskrider visse terskler fastsatt i loven. Tersklene er 10, 20, 30, 50, 65 eller 90 prosent av stemmene i en skjermingsverdig virksomhet. ISP kan også </w:t>
      </w:r>
      <w:r>
        <w:lastRenderedPageBreak/>
        <w:t>sette i gang en granskning på eget initiativ. Slik egeninitiert granskning innebærer at også investeringer i skjermingsverdig virksomhet som ikke er meldepliktig, kan gjennomgås.</w:t>
      </w:r>
    </w:p>
    <w:p w14:paraId="3F7C57BD" w14:textId="57AF96AC" w:rsidR="004B1A63" w:rsidRDefault="004B1A63">
      <w:r>
        <w:t xml:space="preserve">Prosessen for screening kan deles i to faser. I fase 1 er det en slags </w:t>
      </w:r>
      <w:r w:rsidR="00015951">
        <w:t>«</w:t>
      </w:r>
      <w:r>
        <w:t>prøvefase</w:t>
      </w:r>
      <w:r w:rsidR="00015951">
        <w:t>»</w:t>
      </w:r>
      <w:r>
        <w:t xml:space="preserve"> hvor myndighetene har 25 dager på seg til å bestemme om investeringen kan ha </w:t>
      </w:r>
      <w:r w:rsidRPr="00015951">
        <w:rPr>
          <w:rStyle w:val="kursiv"/>
        </w:rPr>
        <w:t xml:space="preserve">skadelig effekt på Sveriges sikkerhet eller på offentlig orden eller offentlig sikkerhet, </w:t>
      </w:r>
      <w:r>
        <w:t>og om det er grunnlag for å innlede en granskning. Dersom man mener det er tilfelle, går man over til fase 2 hvor myndighetene har tre måneder på seg til å gjennomføre granskingen og beslutte å enten forby eller godkjenne investeringen. Dersom det foreligger særlige grunner, kan vedtaket meddeles innen seks måneder. I granskningsfasen foregår det en dybdeundersøkelse hvor myndighetene kan stille mer utdypende spørsmål til investoren, men også til selskapet som er gjenstand for investeringen. Begge disse skal på forespørsel fra ISP gi de opplysninger eller dokumenter som myndigheten trenger for sin gjennomgang.</w:t>
      </w:r>
    </w:p>
    <w:p w14:paraId="203EC0AF" w14:textId="77777777" w:rsidR="004B1A63" w:rsidRDefault="004B1A63">
      <w:r>
        <w:t xml:space="preserve">Før ISP fatter vedtak i en sak, må myndigheten samarbeide med </w:t>
      </w:r>
      <w:r w:rsidRPr="00015951">
        <w:rPr>
          <w:rStyle w:val="kursiv"/>
        </w:rPr>
        <w:t>Kommerskollegium, Försvarsmakten, Försvarets materielverk, Säkerhetspolisen och Myndigheten för samhällsskydd och beredskap</w:t>
      </w:r>
      <w:r>
        <w:t>. Kommerskollegiumet er myndighet for utenrikshandel, EUs indre marked og handelspolitikk, og oppgaven er blant annet å bidra med dokumentasjon om investeringens betydning for økonomi, investeringsklima og dens handelspolitiske aspekter. Når granskningen er fullført, bestemmer ISP seg for å enten forby eller godkjenne investeringen. Investeringen kan også godkjennes på vilkår.</w:t>
      </w:r>
    </w:p>
    <w:p w14:paraId="2272B6F1" w14:textId="77777777" w:rsidR="004B1A63" w:rsidRDefault="004B1A63">
      <w:pPr>
        <w:pStyle w:val="Undertittel"/>
      </w:pPr>
      <w:r>
        <w:t>Samarbeid med Europakommisjonen</w:t>
      </w:r>
    </w:p>
    <w:p w14:paraId="25E10C53" w14:textId="4291101E" w:rsidR="004B1A63" w:rsidRDefault="004B1A63" w:rsidP="006F4031">
      <w:r>
        <w:t>Europaparlamentets og Rådets forordning (EU) 2019/452 om kontroll av utenlandske direkteinvesteringer har en del felles prosedyrer for alle medlemsland som har et screeningregelverk. Blant annet skal alle medlemsland ha et kontaktpunkt mot Europakommisjonen, og ISP er Sveriges kontaktpunkt i samsvar med forordningen. Dette innebærer blant annet at ISP skal varsle Europakommisjonen og andre medlemsland om alle utenlandske direkteinvesteringer som vurderes av myndigheten.</w:t>
      </w:r>
      <w:r w:rsidR="00015951" w:rsidRPr="00015951">
        <w:rPr>
          <w:rStyle w:val="Fotnotereferanse"/>
        </w:rPr>
        <w:footnoteReference w:id="123"/>
      </w:r>
      <w:r>
        <w:t xml:space="preserve"> Samarbeidsmekanismen og prosedyrene mellom Kommisjonen og medlemslandene i gjeldende EU-forordning er omtalt nærmere i punkt 10.5.1.</w:t>
      </w:r>
    </w:p>
    <w:p w14:paraId="45A29EA6" w14:textId="77777777" w:rsidR="004B1A63" w:rsidRDefault="004B1A63">
      <w:pPr>
        <w:pStyle w:val="Overskrift2"/>
      </w:pPr>
      <w:r>
        <w:t>Danmark</w:t>
      </w:r>
    </w:p>
    <w:p w14:paraId="0AAD1F9F" w14:textId="77777777" w:rsidR="004B1A63" w:rsidRDefault="004B1A63" w:rsidP="006F4031">
      <w:r>
        <w:t xml:space="preserve">I Danmark trådte Investeringsscreeningsloven i kraft 1. juli 2021. Loven har som formål å hindre at utenlandske direkteinvesteringer og spesielle økonomiske avtaler utgjør en trussel mot nasjonal sikkerhet eller offentlig orden i Danmark. Med utenlandsk investering forstås erverv av kontroll eller betydelig innflytelse i et selskap som er hjemme i Danmark, ved direkte eller indirekte besittelse av eller kontroll over eierandeler eller stemmerett i selskapet eller tilsvarende kontroll på annen måte, inkludert kjøp av eiendeler og langsiktige uoppsigelige lån (såkalte </w:t>
      </w:r>
      <w:r w:rsidRPr="00015951">
        <w:rPr>
          <w:rStyle w:val="kursiv"/>
        </w:rPr>
        <w:t>særskilte økonomiske avtaler</w:t>
      </w:r>
      <w:r>
        <w:t xml:space="preserve">). Utenlandske investeringer omfatter også investeringer ved etablering av nytt selskap i Danmark (såkalte </w:t>
      </w:r>
      <w:r>
        <w:lastRenderedPageBreak/>
        <w:t>greenfield-investeringer) i en særlig sensitiv sektor, hvor tilsvarende kontroll eller betydelig innflytelse oppnås.</w:t>
      </w:r>
    </w:p>
    <w:p w14:paraId="2EA2DE05" w14:textId="77777777" w:rsidR="004B1A63" w:rsidRDefault="004B1A63">
      <w:pPr>
        <w:rPr>
          <w:spacing w:val="-2"/>
        </w:rPr>
      </w:pPr>
      <w:r>
        <w:t xml:space="preserve">Screeningsordningen er utformet som en kombinasjon av et lovpålagt tillatelseskrav for </w:t>
      </w:r>
      <w:r w:rsidRPr="00015951">
        <w:rPr>
          <w:rStyle w:val="kursiv"/>
        </w:rPr>
        <w:t>spesielt sensitive sektorer</w:t>
      </w:r>
      <w:r>
        <w:t xml:space="preserve"> og en frivillig meldingsordning for de øvrige sektorene. Etter reglene om det sektorspesifikke tillatelseskravet må du som utenlandsk investor innhente forhåndstillatelse fra Erhvervsstyrelsen dersom investeringen er innenfor spesielt sensitive sektorer og når terskelverdien på minimum 10 prosent eierandel. Den frivillige </w:t>
      </w:r>
      <w:r>
        <w:rPr>
          <w:spacing w:val="-4"/>
        </w:rPr>
        <w:t xml:space="preserve">meldingsordningen gjelder for investeringer som når terskelverdien på minimum 25 prosent </w:t>
      </w:r>
      <w:r>
        <w:rPr>
          <w:spacing w:val="-2"/>
        </w:rPr>
        <w:t>eierandel og som kan utgjøre en trussel mot nasjonal sikkerhet eller offentlig orden.</w:t>
      </w:r>
    </w:p>
    <w:p w14:paraId="392C35B1" w14:textId="77777777" w:rsidR="004B1A63" w:rsidRDefault="004B1A63">
      <w:r>
        <w:t>Det er den utenlandske investoren, altså en utenlandsk statsborger eller et selskap, som er pålagt å søke om tillatelse til å gjennomføre en investering eller inngå en særskilt økonomisk avtale. Det er utenlandske investorer som også kan benytte seg av den frivillige meldingsordningen. Det er forskjellig hvilke utenlandske statsborgere og selskaper som omfattes avhengig av om det er en utenlandsk investering eller en særskilt økonomisk avtale, og i forhold til hvilken sektor investeringen eller avtalen gjelder. For investeringer eller særskilte økonomiske avtaler som eksempelvis omfattes av den frivillige meldemuligheten, men som ikke er varslet, kan Erhvervsstyrelsen gå 5 år tilbake og undersøke og eventuelt iverksette tiltak mot investeringen.</w:t>
      </w:r>
    </w:p>
    <w:p w14:paraId="701492E7" w14:textId="77777777" w:rsidR="004B1A63" w:rsidRDefault="004B1A63">
      <w:r>
        <w:t>Kontrollen eller innflytelsen som oppnås med investeringen kan være både direkte og indirekte, dvs. kontroll kan utøves gjennom andre selskaper og gjennom flere land og eierkjeder. Ved beregning av kvalifisert andel etter investeringsscreeningsloven medregnes eierandeler eller stemmerett som direkte eller indirekte tilhører den utenlandske investoren og eierandeler som den utenlandske investoren har innflytelse over gjennom nærstående.</w:t>
      </w:r>
    </w:p>
    <w:p w14:paraId="60548C52" w14:textId="77777777" w:rsidR="004B1A63" w:rsidRDefault="004B1A63">
      <w:r>
        <w:t>Dersom eierandeler eller stemmerett i en investering er under terskelen på 10 prosent, har man som hovedregel ikke en kvalifiserende andel. Det kan imidlertid oppnås tilsvarende kontroll på andre måter som tilsvarer et erverv på 10 prosent eller mer. Det er derfor viktig at myndighetene undersøker om investoren oppnår en kvalifisert eierandel, eller om det oppnås tilsvarende kontroll på annen måte, da begge forhold kan ha betydning for om man har meldeplikt eller ikke. Kontrollen eller betydelig innflytelse oppnådd gjennom erverv av eierandeler eller stemmerett eller tilsvarende kontroll på andre måter kan være både direkte og indirekte. Indirekte kontroll eller påvirkning kan innebære at en investering foretatt for eksempel i et annet EU-land kan utløse krav om tillatelse etter investeringsscreeningsloven dersom selskapet det er investert i har et datterselskap i Danmark.</w:t>
      </w:r>
    </w:p>
    <w:p w14:paraId="26980EEA" w14:textId="77777777" w:rsidR="004B1A63" w:rsidRDefault="004B1A63">
      <w:r>
        <w:t xml:space="preserve">Kravet om tillatelse for utenlandske direkteinvesteringer gjelder kun dersom det danske selskapet man investerer i er innenfor sektorer og aktiviteter som er </w:t>
      </w:r>
      <w:r w:rsidRPr="00015951">
        <w:rPr>
          <w:rStyle w:val="kursiv"/>
        </w:rPr>
        <w:t>spesielt sensitive med tanke på å kunne true nasjonal sikkerhet eller offentlig orden</w:t>
      </w:r>
      <w:r>
        <w:t>. De spesielt sensitive sektorene og aktivitetene er generelt begrenset til følgende:</w:t>
      </w:r>
    </w:p>
    <w:p w14:paraId="3280FAC7" w14:textId="63D94123" w:rsidR="004B1A63" w:rsidRDefault="004B1A63" w:rsidP="00D5652D">
      <w:pPr>
        <w:pStyle w:val="Listebombe"/>
      </w:pPr>
      <w:r>
        <w:t>Bedrifter innen forsvarssektoren</w:t>
      </w:r>
    </w:p>
    <w:p w14:paraId="192180FB" w14:textId="6F423BCA" w:rsidR="004B1A63" w:rsidRDefault="004B1A63" w:rsidP="00D5652D">
      <w:pPr>
        <w:pStyle w:val="Listebombe"/>
      </w:pPr>
      <w:r>
        <w:t>Selskaper innen IT-sikkerhetsfunksjoner eller behandling av gradert informasjon</w:t>
      </w:r>
    </w:p>
    <w:p w14:paraId="355DEB1C" w14:textId="2C410950" w:rsidR="004B1A63" w:rsidRDefault="004B1A63" w:rsidP="00D5652D">
      <w:pPr>
        <w:pStyle w:val="Listebombe"/>
      </w:pPr>
      <w:r>
        <w:t>Selskaper som produserer produkter med to bruksområder</w:t>
      </w:r>
    </w:p>
    <w:p w14:paraId="6F116769" w14:textId="18A08D47" w:rsidR="004B1A63" w:rsidRDefault="004B1A63" w:rsidP="00D5652D">
      <w:pPr>
        <w:pStyle w:val="Listebombe"/>
      </w:pPr>
      <w:r>
        <w:lastRenderedPageBreak/>
        <w:t>Bedrifter innen kritisk teknologi andre enn de som er nevnt i 1-3</w:t>
      </w:r>
    </w:p>
    <w:p w14:paraId="09B929F9" w14:textId="7F0D25E9" w:rsidR="004B1A63" w:rsidRDefault="004B1A63" w:rsidP="00D5652D">
      <w:pPr>
        <w:pStyle w:val="Listebombe"/>
      </w:pPr>
      <w:r>
        <w:t>Bedrifter og offentlige myndigheter og institusjoner innen kritisk infrastruktur</w:t>
      </w:r>
    </w:p>
    <w:p w14:paraId="1F8BEEA1" w14:textId="5AFBA738" w:rsidR="004B1A63" w:rsidRDefault="004B1A63">
      <w:r>
        <w:t xml:space="preserve">I forhold til utvalgets mandat er det relevant å se på hvordan danske myndigheter definerer meldeplikten når det gjelder kritisk infrastruktur. I Danmark må du søke Erhvervsstyrelsen om tillatelse dersom selskapet </w:t>
      </w:r>
      <w:r w:rsidRPr="00015951">
        <w:rPr>
          <w:rStyle w:val="kursiv"/>
        </w:rPr>
        <w:t>direkte eller indirekte eier eller råder over kritisk infrastruktur, har myndighetsansvar for kritisk infrastruktur eller utvikler eller produserer teknologi som utgjør kritisk infrastruktur</w:t>
      </w:r>
      <w:r>
        <w:t xml:space="preserve">. Kritisk infrastruktur forstås som: </w:t>
      </w:r>
      <w:r w:rsidR="00015951">
        <w:t>«</w:t>
      </w:r>
      <w:r>
        <w:t>infrastruktur, inkludert fasiliteter, systemer, prosesser, nettverk, teknologier, eiendeler og tjenester, som er nødvendige for å opprettholde eller gjenopprette samfunnsviktige funksjoner</w:t>
      </w:r>
      <w:r w:rsidR="00015951">
        <w:t>»</w:t>
      </w:r>
      <w:r>
        <w:t>. Hva som er konkret kritisk infrastruktur bestemmes av myndighetene ut fra en inndeling av samfunnet i samfunnsviktige sektorer, som videre omfatter en rekke underliggende samfunnsviktige funksjoner. De samfunnviktige sektorene inkluderer blant annet energisektoren, informasjons- og kommunikasjonsteknologi (IKT), transport, beredskap og sivilbeskyttelse, helsesektoren og finanssektoren. IKT-sektoren omfatter disse infrastrukturtypene:</w:t>
      </w:r>
    </w:p>
    <w:p w14:paraId="564E60AB" w14:textId="27A414C9" w:rsidR="004B1A63" w:rsidRDefault="004B1A63">
      <w:pPr>
        <w:pStyle w:val="Listebombe"/>
      </w:pPr>
      <w:r>
        <w:t>offentlig tilgjengelige elektroniske kommunikasjonsnett og -tjenester</w:t>
      </w:r>
    </w:p>
    <w:p w14:paraId="17DF5338" w14:textId="08BBBAE6" w:rsidR="004B1A63" w:rsidRDefault="004B1A63">
      <w:pPr>
        <w:pStyle w:val="Listebombe"/>
      </w:pPr>
      <w:r>
        <w:t>sentral datalagring (datalagringssentre)</w:t>
      </w:r>
    </w:p>
    <w:p w14:paraId="6D884FAD" w14:textId="378B7396" w:rsidR="004B1A63" w:rsidRDefault="004B1A63">
      <w:pPr>
        <w:pStyle w:val="Listebombe"/>
      </w:pPr>
      <w:r>
        <w:t>satellittradio og TV-overføring</w:t>
      </w:r>
    </w:p>
    <w:p w14:paraId="216592DD" w14:textId="0F532584" w:rsidR="004B1A63" w:rsidRDefault="004B1A63">
      <w:pPr>
        <w:pStyle w:val="Listebombe"/>
      </w:pPr>
      <w:r>
        <w:t>felles offentlige grunndata, herunder geodata, personregistrering og sentral virksomhetsregistrering. Domenenavnfunksjoner</w:t>
      </w:r>
    </w:p>
    <w:p w14:paraId="50BFFB3B" w14:textId="4ED33D7A" w:rsidR="004B1A63" w:rsidRDefault="004B1A63">
      <w:pPr>
        <w:pStyle w:val="Listebombe"/>
      </w:pPr>
      <w:r>
        <w:t>nyhetskringkasting</w:t>
      </w:r>
    </w:p>
    <w:p w14:paraId="7015E331" w14:textId="6EB13CCE" w:rsidR="004B1A63" w:rsidRDefault="004B1A63">
      <w:pPr>
        <w:pStyle w:val="Listebombe"/>
      </w:pPr>
      <w:r>
        <w:t>sentral offentlig digital identifikasjon og kommunikasjon</w:t>
      </w:r>
    </w:p>
    <w:p w14:paraId="12B9CA10" w14:textId="03923020" w:rsidR="004B1A63" w:rsidRDefault="004B1A63">
      <w:pPr>
        <w:pStyle w:val="Listebombe"/>
      </w:pPr>
      <w:r>
        <w:t>IT- og kommunikasjonsløsninger for å støtte kriseberedskap</w:t>
      </w:r>
    </w:p>
    <w:p w14:paraId="7C8973A4" w14:textId="143B6D18" w:rsidR="004B1A63" w:rsidRDefault="004B1A63">
      <w:pPr>
        <w:pStyle w:val="Listebombe"/>
      </w:pPr>
      <w:r>
        <w:t>klassifisert kommunikasjon i staten</w:t>
      </w:r>
    </w:p>
    <w:p w14:paraId="402664BF" w14:textId="730D0271" w:rsidR="004B1A63" w:rsidRDefault="004B1A63">
      <w:pPr>
        <w:pStyle w:val="Listebombe"/>
      </w:pPr>
      <w:r>
        <w:t>lukkede kommunikasjonsnettverk og tjenester mellom myndigheter</w:t>
      </w:r>
    </w:p>
    <w:p w14:paraId="1BF3CB21" w14:textId="77777777" w:rsidR="004B1A63" w:rsidRDefault="004B1A63">
      <w:r>
        <w:t>Meldeplikten gjelder for utenlandske statsborgere, selskaper som ikke er hjemmehørende i Danmark (selv om det har fast driftssted i Danmark), selskaper hjemmehørende i Danmark som er et datterselskap eller en filial av et selskap utenfor Danmark, selskaper hjemmehørende i Danmark dersom en utenlandsk statsborger eller et selskap utenfor Danmark har kontroll eller betydelig innflytelse over det og nasjonale myndigheter og statlige organer i land utenfor EU og EFTA (herunder offentlige institusjoner og statseide investeringsfond, ideelle foreninger, ikke-kommersielle stiftelser og lignende juridiske personer utenfor EU og EFTA).</w:t>
      </w:r>
    </w:p>
    <w:p w14:paraId="72C47F5C" w14:textId="77777777" w:rsidR="004B1A63" w:rsidRDefault="004B1A63">
      <w:r>
        <w:t>Den frivillige meldingsordningen gjelder for utenlandske statsborgere med unntak av statsborgere fra EU- og EFTA-land, selskaper hjemmehørende utenfor EU- eller EFTA-land, selskaper hjemmehørende i Danmark og andre EU- eller EFTA-land dersom selskapet kontrolleres av personer eller selskaper fra land utenfor EU eller EFTA og nasjonale myndigheter og statlige organer utenfor EU og EFTA (herunder offentlige institusjoner og statseide investeringsfond).</w:t>
      </w:r>
    </w:p>
    <w:p w14:paraId="7756EC79" w14:textId="77777777" w:rsidR="004B1A63" w:rsidRDefault="004B1A63">
      <w:r>
        <w:t>Danske myndigheter kan enten forby eller godkjenne investeringen. Dersom myndigheten vurderer at den mulige trusselen kan avbøtes med detaljerte vilkår for gjennomføring av investeringen eller avtalen, kan Erhvervsstyrelsen kontakte den utenlandske investoren for å forhandle det nærmere innholdet i slike vilkår. Eksempler på vilkår for tillatelse til utenlandske direkteinvesteringer eller særskilte økonomiske avtaler kan være:</w:t>
      </w:r>
    </w:p>
    <w:p w14:paraId="5CBAC821" w14:textId="52A8653A" w:rsidR="004B1A63" w:rsidRDefault="004B1A63">
      <w:pPr>
        <w:pStyle w:val="Listebombe"/>
      </w:pPr>
      <w:r>
        <w:lastRenderedPageBreak/>
        <w:t>vilkår av økonomisk karakter, f.eks. begrensning av investors eierandel</w:t>
      </w:r>
    </w:p>
    <w:p w14:paraId="049C82AB" w14:textId="38A0474F" w:rsidR="004B1A63" w:rsidRDefault="004B1A63">
      <w:pPr>
        <w:pStyle w:val="Listebombe"/>
      </w:pPr>
      <w:r>
        <w:t>vilkår av ledelsesmessig karakter, f.eks. begrense investorens deltakelse i ledelsen av selskapet</w:t>
      </w:r>
    </w:p>
    <w:p w14:paraId="034D8416" w14:textId="5E85256F" w:rsidR="004B1A63" w:rsidRDefault="004B1A63">
      <w:pPr>
        <w:pStyle w:val="Listebombe"/>
      </w:pPr>
      <w:r>
        <w:t>vilkår som tar sikte på å begrense investors mulighet til å få innsikt i selskapet på enkelte områder som f.eks. utvikling av kritisk teknologi</w:t>
      </w:r>
    </w:p>
    <w:p w14:paraId="4FD0E8AD" w14:textId="779581AE" w:rsidR="004B1A63" w:rsidRDefault="004B1A63">
      <w:pPr>
        <w:pStyle w:val="Listebombe"/>
      </w:pPr>
      <w:r>
        <w:t>vilkår om at den utenlandske investoren ikke kan bruke sin innflytelse til visse formål, som å stoppe forsyningen, flytte produksjon mv.</w:t>
      </w:r>
    </w:p>
    <w:p w14:paraId="1C7B26E5" w14:textId="46643F6A" w:rsidR="004B1A63" w:rsidRDefault="004B1A63">
      <w:pPr>
        <w:pStyle w:val="Listebombe"/>
      </w:pPr>
      <w:r>
        <w:t>vilkår vedrørende begrensninger i forhold til investors mulighet til å få tilgang eller innsikt i informasjon om visse deler av den danske enhetens/myndighets virksomhet eller fysiske lokaliteter</w:t>
      </w:r>
    </w:p>
    <w:p w14:paraId="3B8FD4D7" w14:textId="7F1B5CFA" w:rsidR="004B1A63" w:rsidRDefault="004B1A63">
      <w:pPr>
        <w:pStyle w:val="Listebombe"/>
      </w:pPr>
      <w:r>
        <w:t>vilkår om begrensninger i forhold til hvem den utenlandske investoren kan velge å utføre støttefunksjoner og lignende i avtaleperioden</w:t>
      </w:r>
    </w:p>
    <w:p w14:paraId="17E5180C" w14:textId="64204902" w:rsidR="004B1A63" w:rsidRDefault="004B1A63">
      <w:pPr>
        <w:pStyle w:val="Listebombe"/>
      </w:pPr>
      <w:r>
        <w:t>vilkår om restriksjoner i forhold til hvem den utenlandske investoren kan velge som underleverandør av f.eks. nærmere angitte produkter og software.</w:t>
      </w:r>
      <w:r w:rsidR="00015951" w:rsidRPr="00015951">
        <w:rPr>
          <w:rStyle w:val="Fotnotereferanse"/>
        </w:rPr>
        <w:footnoteReference w:id="124"/>
      </w:r>
    </w:p>
    <w:p w14:paraId="4AD832F7" w14:textId="77777777" w:rsidR="004B1A63" w:rsidRPr="005744AF" w:rsidRDefault="004B1A63">
      <w:pPr>
        <w:pStyle w:val="Overskrift2"/>
        <w:rPr>
          <w:lang w:val="en-US"/>
        </w:rPr>
      </w:pPr>
      <w:r w:rsidRPr="005744AF">
        <w:rPr>
          <w:lang w:val="en-US"/>
        </w:rPr>
        <w:t>Finland</w:t>
      </w:r>
    </w:p>
    <w:p w14:paraId="632806D2" w14:textId="065BF29C" w:rsidR="004B1A63" w:rsidRDefault="004B1A63" w:rsidP="006F4031">
      <w:r w:rsidRPr="005744AF">
        <w:rPr>
          <w:lang w:val="en-US"/>
        </w:rPr>
        <w:t xml:space="preserve">I Finland er det </w:t>
      </w:r>
      <w:r w:rsidR="00015951">
        <w:rPr>
          <w:lang w:val="en-US"/>
        </w:rPr>
        <w:t>«</w:t>
      </w:r>
      <w:r w:rsidRPr="005744AF">
        <w:rPr>
          <w:lang w:val="en-US"/>
        </w:rPr>
        <w:t>Act on the Screening of Foreign Corporate Acquisitions in Finland</w:t>
      </w:r>
      <w:r w:rsidR="00015951">
        <w:rPr>
          <w:lang w:val="en-US"/>
        </w:rPr>
        <w:t>»</w:t>
      </w:r>
      <w:r w:rsidRPr="005744AF">
        <w:rPr>
          <w:lang w:val="en-US"/>
        </w:rPr>
        <w:t xml:space="preserve"> fra 1. </w:t>
      </w:r>
      <w:r>
        <w:t xml:space="preserve">Juni 2012 som regulerer investeringskontrollen for utenlandske investeringer. Formålet med loven er å screene og begrense overføring av innflytelse til utenlandske statsborgere, organisasjoner og virksomheter – </w:t>
      </w:r>
      <w:r w:rsidRPr="00015951">
        <w:rPr>
          <w:rStyle w:val="kursiv"/>
        </w:rPr>
        <w:t>hvis sentrale nasjonale interesser krever det.</w:t>
      </w:r>
      <w:r>
        <w:t xml:space="preserve"> En positiv holdning til utenlandske investeringer er lovens ledende prinsipp. Myndighetene kan imidlertid utøve kontroll over eierskapet til selskaper som anses </w:t>
      </w:r>
      <w:r w:rsidRPr="00015951">
        <w:rPr>
          <w:rStyle w:val="kursiv"/>
        </w:rPr>
        <w:t>som vesentlige med tanke på forsyningssikkerhet og nasjonal sikkerhet</w:t>
      </w:r>
      <w:r>
        <w:t xml:space="preserve"> og om nødvendig begrense utenlandsk eierskap i slike selskaper. I praksis refererer sentrale nasjonale interesser hovedsakelig til </w:t>
      </w:r>
      <w:r w:rsidRPr="00015951">
        <w:rPr>
          <w:rStyle w:val="kursiv"/>
        </w:rPr>
        <w:t>militært nasjonalt forsvar, funksjoner som er viktige for samfunnet</w:t>
      </w:r>
      <w:r>
        <w:t xml:space="preserve"> (inkludert sikring av kritisk infrastruktur og forsyningssikkerhet) og </w:t>
      </w:r>
      <w:r w:rsidRPr="00015951">
        <w:rPr>
          <w:rStyle w:val="kursiv"/>
        </w:rPr>
        <w:t>nasjonal sikkerhet og offentlig orden</w:t>
      </w:r>
      <w:r>
        <w:t>.</w:t>
      </w:r>
    </w:p>
    <w:p w14:paraId="119A7F02" w14:textId="77777777" w:rsidR="004B1A63" w:rsidRDefault="004B1A63">
      <w:r>
        <w:t>Investeringskontrollen for utenlandske investeringer behandles av Økonomi- og arbeidsdepartementet, som også ber om uttalelser fra andre myndigheter i den grad det er nødvendig. Overvåkingen av bedriftsoppkjøp støttes av et nettverk av myndigheter, ledet av departementet, som screener utenlandske oppkjøp og deltar i prosessene knyttet til disse. Departementet må godkjenne eierskiftet med mindre det kan sette en sentral nasjonal interesse i fare. Departementet må i så fall oversende saken til behandling i regjeringen. Økonomi- og arbeidsdepartementet er også det nasjonale kontaktpunktet for Europakommisjonen i henhold til EUs forordning (EU) 2019/452 om etablering av et rammeverk for screening av utenlandske direkteinvesteringer, på samme måte som ISP er i Sverige. Det nasjonale kontaktpunktets rolle er å styrke kommunikasjonen og samarbeidet mellom EUs medlemsland og Europakommisjonen.</w:t>
      </w:r>
    </w:p>
    <w:p w14:paraId="6F072599" w14:textId="77777777" w:rsidR="004B1A63" w:rsidRDefault="004B1A63">
      <w:r>
        <w:t xml:space="preserve">Screeningregelverket kommer til anvendelse i tilfeller hvor en utenlandsk eier får kontroll over minst en tidel, minst en tredel, eller minst halvparten av det samlede antall stemmer som er tillagt alle aksjer i selskapet, eller en eierandel som ellers tilsvarer beslutningsmyndighet i et aksjeselskap eller </w:t>
      </w:r>
      <w:r>
        <w:lastRenderedPageBreak/>
        <w:t>annen juridisk enhet som er gjenstand for screening. Dette gjelder også for disposisjoner som kan øke investors innflytelse i etterkant av en screening og som ikke overskrider terskelverdiene på nåværende tidspunkt. Meldeplikten ligger hos den utenlandske investoren.</w:t>
      </w:r>
    </w:p>
    <w:p w14:paraId="003A4F6E" w14:textId="77777777" w:rsidR="004B1A63" w:rsidRDefault="004B1A63">
      <w:r>
        <w:rPr>
          <w:spacing w:val="-2"/>
        </w:rPr>
        <w:t xml:space="preserve">I henhold til lovens del 4 krever erverv i </w:t>
      </w:r>
      <w:r w:rsidRPr="00015951">
        <w:rPr>
          <w:rStyle w:val="kursiv"/>
        </w:rPr>
        <w:t>forsvars- og produktsektoren</w:t>
      </w:r>
      <w:r>
        <w:rPr>
          <w:spacing w:val="-2"/>
        </w:rPr>
        <w:t xml:space="preserve"> (produkter med dobbelt </w:t>
      </w:r>
      <w:r>
        <w:t xml:space="preserve">bruksområde = forsvarsmateriellindustri) og i </w:t>
      </w:r>
      <w:r w:rsidRPr="00015951">
        <w:rPr>
          <w:rStyle w:val="kursiv"/>
        </w:rPr>
        <w:t>sikkerhetssektoren</w:t>
      </w:r>
      <w:r>
        <w:t xml:space="preserve"> alltid forhåndstillatelse fra finske myndigheter. I </w:t>
      </w:r>
      <w:r w:rsidRPr="00015951">
        <w:rPr>
          <w:rStyle w:val="kursiv"/>
        </w:rPr>
        <w:t>sivil sektor</w:t>
      </w:r>
      <w:r>
        <w:t xml:space="preserve"> overvåkes finske selskaper som anses som </w:t>
      </w:r>
      <w:r w:rsidRPr="00015951">
        <w:rPr>
          <w:rStyle w:val="kursiv"/>
        </w:rPr>
        <w:t>kritiske for å sikre grunnleggende funksjoner i samfunnet</w:t>
      </w:r>
      <w:r>
        <w:t>. Når det gjelder forsvarsmateriellindustrien omfatter screeningen alle utenlandske eiere. I andre sektorer gjelder screening kun for utenlandske eiere bosatt eller hjemmehørende utenfor EU eller EFTA.</w:t>
      </w:r>
    </w:p>
    <w:p w14:paraId="5805D15A" w14:textId="77777777" w:rsidR="004B1A63" w:rsidRPr="00015951" w:rsidRDefault="004B1A63">
      <w:pPr>
        <w:rPr>
          <w:rStyle w:val="kursiv"/>
        </w:rPr>
      </w:pPr>
      <w:r>
        <w:t xml:space="preserve">Hva som regnes som kritiske funksjoner som er grunnleggende for samfunnet i Finland, vil variere avhengig av den rådende sikkerhetssituasjonen til enhver tid. Som regel er sikring av forsyningssikkerheten sentral uansett sikkerhetssituasjon. Loven spesifiserer ikke hvilke sektorer (privat eller offentlig) eller funksjoner i selskaper som er underlagt screeningen. Dette begrunnes med at det er vanskelig å forutsi hvilke sektorer og funksjoner som vil være kritiske for grunnleggende samfunnsfunksjoner. Selv om et selskap har virksomhet på et felt som er viktig for forsyningssikkerheten eller andre grunnleggende funksjoner, betyr det ikke nødvendigvis at det vil være gjenstand for screening etter loven. En rekke selskaper som ikke er kritiske for forsyningssikkerheten operer jo innen matforsyning og logistikk. Veiledning om lovens virkeområde finnes blant annet i Regjeringens offentlige veiledningsdokumenter om forsyningssikkerhet og nasjonal sikkerhet. En definisjon som her er relevant for ekomsektoren er definisjonen av kritisk infrastruktur. Her defineres kritisk infrastruktur som de </w:t>
      </w:r>
      <w:r w:rsidRPr="00015951">
        <w:rPr>
          <w:rStyle w:val="kursiv"/>
        </w:rPr>
        <w:t>grunnleggende strukturer, tjenester og relaterte funksjoner som er avgjørende for å opprettholde de vitale funksjonene i samfunnet.</w:t>
      </w:r>
      <w:r>
        <w:t xml:space="preserve"> Kritisk infrastruktur inkluderer både fysiske virksomheter og strukturer samt elektroniske funksjoner og tjenester. Dette inkluderer </w:t>
      </w:r>
      <w:r w:rsidRPr="00015951">
        <w:rPr>
          <w:rStyle w:val="kursiv"/>
        </w:rPr>
        <w:t>datakommunikasjonssystemer og nettverk og tjenester i det digitale samfunnet.</w:t>
      </w:r>
    </w:p>
    <w:p w14:paraId="723D51D8" w14:textId="77777777" w:rsidR="004B1A63" w:rsidRDefault="004B1A63">
      <w:r>
        <w:t xml:space="preserve">Med forsvarsvirksomhet menes en virksomhet som produserer eller leverer forsvarsmateriell eller andre produkter eller tjenester som er avgjørende for det nasjonale forsvaret. I praksis vurderes betydningen av produktene eller tjenestene fra sak til sak ut fra eksisterende kontrakter med Forsvaret. For eksempel kan levering av essensielle programvareapplikasjoner, cyberapplikasjoner, skytjenester eller andre lignende produkter eller tjenester anses som et viktig produkt eller en viktig tjeneste. Et selskap som produserer varer med dobbelt bruksområde anses også som et forsvarsselskap. Eksempelvis vil et aksjeselskap som opererer i sivil sektor, men som importerer autorisasjonskrevende varer med dobbelt bruksområde til tredjeland, overfører sensitive varer innenfor EU eller som på annen måte har fått tillatelse eller melding eller vedtak fra myndighet for eksport av slike varer, regnes som et forsvarsselskap. Tilsvarende regnes et selskap i sivil sektor som bruker, utvikler eller på annen måte håndterer teknologi med to bruksområder, som et forsvarsselskap. Et sikkerhetsselskap er et selskap som leverer eller produserer produkter eller tjenester som er kritiske for sikkerheten i samfunnet til Finlands sentrale myndigheter i forhold til deres lovpålagte plikter. Disse sikkerhetsmyndighetene inkluderer det finske forsvaret, den finske grensevakten, det finske politiet, det finske tollvesenet, det nasjonale nødforsyningsverket, den nasjonale sikkerhetsmyndigheten (NSA) og det finske transport- og kommunikasjonsbyrået (Traficom). Produkter eller tjenester hvis levering til sentrale finske </w:t>
      </w:r>
      <w:r>
        <w:lastRenderedPageBreak/>
        <w:t>sikkerhetsmyndigheter kan anses som kritiske inkluderer programvare (f.eks. krypteringsprogramvare), cybersikkerhetsapplikasjoner, sertifiseringstjenester, skytjenester, datasentertjenester og andre produkter og tjenester knyttet til vedlikehold av disse.</w:t>
      </w:r>
    </w:p>
    <w:p w14:paraId="3579C621" w14:textId="77777777" w:rsidR="004B1A63" w:rsidRDefault="004B1A63">
      <w:r>
        <w:t>Dersom en utenlandsk investering gjelder et forsvars- eller sikkerhetsselskap, er det meldeplikt, og varselet skal alltid leveres til Økonomi- og arbeidsdepartementet på forhånd. Loven angir ingen frister for når Økonomi- og arbeidsdepartementet kan gripe inn i et oppkjøp av et forsvars- eller sikkerhetsselskap dersom det ikke er meldt inn til departementet. Loven angir heller ingen frister for hvor lang saksbehandlingen skal være etter en melding er sendt til departementet, men prosessen tar i gjennomsnitt to måneder. Gjelder ervervet et annet selskap enn et forsvars- eller sikkerhetsselskap, er meldingen frivillig, og den kan også sendes på forhånd. En forhåndsmelding kan imidlertid bare sendes inn i fasen rett før den endelige inngåelsen av forretningsavtalen (f.eks. en intensjonsavtale, som er bindende for partene, og som allerede er signert for det planlagte oppkjøpet). Økonomi- og arbeidsdepartementet screener sammen med sitt nettverk av andre relevante myndigheter gjennomførte bedriftsoppkjøp i screeningspliktige selskaper. På bakgrunn av screeningen kan departementet også selvstendig be om opplysninger om bedriftsoppkjøp som kan være gjenstand for screening etter loven.</w:t>
      </w:r>
    </w:p>
    <w:p w14:paraId="1BB2A0CE" w14:textId="7713C06D" w:rsidR="004B1A63" w:rsidRDefault="004B1A63">
      <w:r>
        <w:t>Departementet kan enten forby eller godkjenne ervervet, eller eventuelt godkjenne på vilkår. Vilkårene stilles kun i visse situasjoner og må anses som nødvendige avbøtende tiltak som tar sikte på å redusere risikoen ved den utenlandske investeringen og sikre en sentral nasjonal interesse. Vilkår kan bare stilles dersom partene forplikter seg til å overholde dem. Vilkårene defineres i forhandlinger mellom oppkjøpspartene og kompetente myndigheter. Innholdet i vilkårene varierer avhengig av sak. For eksempel kan myndighetene kreve utelukkelse av en bestemt forretningsfunksjon eller andel fra oppkjøpet eller en forpliktelse til å sikre videreføring av tjenester under eksisterende produksjons- og leveringsavtaler. Et forbud kan kun gis i plenum i regjeringen.</w:t>
      </w:r>
      <w:r w:rsidR="00015951" w:rsidRPr="00015951">
        <w:rPr>
          <w:rStyle w:val="Fotnotereferanse"/>
        </w:rPr>
        <w:footnoteReference w:id="125"/>
      </w:r>
    </w:p>
    <w:p w14:paraId="2ECFB6E2" w14:textId="77777777" w:rsidR="004B1A63" w:rsidRDefault="004B1A63">
      <w:pPr>
        <w:pStyle w:val="Overskrift2"/>
        <w:rPr>
          <w:spacing w:val="-7"/>
        </w:rPr>
      </w:pPr>
      <w:r>
        <w:rPr>
          <w:spacing w:val="-7"/>
        </w:rPr>
        <w:t>Screeningregelverk i EU (eksisterende og nytt forslag)</w:t>
      </w:r>
    </w:p>
    <w:p w14:paraId="71A7D0D8" w14:textId="77777777" w:rsidR="004B1A63" w:rsidRDefault="004B1A63">
      <w:pPr>
        <w:pStyle w:val="Overskrift3"/>
        <w:spacing w:before="0"/>
      </w:pPr>
      <w:r>
        <w:t>Forordning (EU) 2019/452 om kontroll av utenlandske direkteinvesteringer (EUs gjeldende screeningregelverk)</w:t>
      </w:r>
    </w:p>
    <w:p w14:paraId="4E03D904" w14:textId="77777777" w:rsidR="004B1A63" w:rsidRDefault="004B1A63">
      <w:r>
        <w:t>Europaparlaments- og rådsforordning (EU) 2019/ 452 om kontroll av utenlandske direkteinvesteringer i unionen trådte i kraft i oktober 2020. Forordningen er omtalt i NOU 2023: 28 på side 58-59, og den følgende teksten som beskriver det gjeldende regelverket er hentet fra denne:</w:t>
      </w:r>
    </w:p>
    <w:p w14:paraId="04A953AF" w14:textId="406B24B1" w:rsidR="004B1A63" w:rsidRPr="00015951" w:rsidRDefault="00015951">
      <w:pPr>
        <w:pStyle w:val="blokksit"/>
      </w:pPr>
      <w:r>
        <w:t>«</w:t>
      </w:r>
      <w:r w:rsidR="004B1A63" w:rsidRPr="00015951">
        <w:rPr>
          <w:rStyle w:val="halvfet"/>
        </w:rPr>
        <w:t>Bakgrunn og formål</w:t>
      </w:r>
    </w:p>
    <w:p w14:paraId="6EFC2342" w14:textId="77777777" w:rsidR="004B1A63" w:rsidRPr="00015951" w:rsidRDefault="004B1A63">
      <w:pPr>
        <w:pStyle w:val="blokksit"/>
        <w:spacing w:before="0"/>
      </w:pPr>
      <w:r w:rsidRPr="00015951">
        <w:t xml:space="preserve">Forordningen er hjemlet i EU-traktaten avdeling II om felles handelspolitikk, og er ikke en del av EØS-avtalen. Forordningen gjelder for alle EUs medlemsland, uavhengig av om de har en investeringskontrollordning eller ikke. Formålet med forordningen er å etablere en felles tilnærming til kontrollen av investeringer fra land utenfor EU (tredjeland), som kan utgjøre en risiko for sikkerhet eller offentlig orden. Tolkningen av begrepene sikkerhet eller offentlig orden gjøres av den enkelte </w:t>
      </w:r>
      <w:r w:rsidRPr="00015951">
        <w:lastRenderedPageBreak/>
        <w:t>medlemsland, men må være i samsvar med EUs internasjonale forpliktelser og bestemmelsene i EU-traktaten om kapitalbevegelser fra tredjeland. Forordningen legger til rette for informasjonsutveksling og koordinering mellom medlemslandene i EU, og mellom medlemslandene og Europakommisjonen. Forordningen åpner for og understreker viktigheten av internasjonalt samarbeid om investeringskontroll med tredjeland. I forordningen fastsettes det at Europa er og skal fortsette å være åpent for utenlandske direkteinvesteringer ((EU) 2019/452).</w:t>
      </w:r>
    </w:p>
    <w:p w14:paraId="59E18E24" w14:textId="77777777" w:rsidR="004B1A63" w:rsidRPr="00015951" w:rsidRDefault="004B1A63">
      <w:pPr>
        <w:pStyle w:val="blokksit"/>
        <w:rPr>
          <w:rStyle w:val="halvfet"/>
        </w:rPr>
      </w:pPr>
      <w:r w:rsidRPr="00015951">
        <w:rPr>
          <w:rStyle w:val="halvfet"/>
        </w:rPr>
        <w:t>Minstekrav til utformingen av nasjonale regelverk</w:t>
      </w:r>
    </w:p>
    <w:p w14:paraId="3D16DBF6" w14:textId="77777777" w:rsidR="004B1A63" w:rsidRPr="00015951" w:rsidRDefault="004B1A63">
      <w:pPr>
        <w:pStyle w:val="blokksit"/>
        <w:spacing w:before="0"/>
      </w:pPr>
      <w:r w:rsidRPr="00015951">
        <w:t>EU-forordningen etablerer ikke en felles investeringskontroll for medlemslandene og den pålegger heller ikke medlemsland å opprette egne nasjonale kontrollordninger. Medlemslandene bestemmer selv hvordan deres nasjonale regelverk skal utformes. Beslutningen om hvilke investeringer som skal kontrolleres og eventuelt gripes inn i skal tas av medlemslandet der investeringen finner sted. Forordningen stiller likevel enkelte minstekrav til utformingen av nasjonale regelverk. Ifølge forordningens artikkel 3 skal ordningene være transparente og ikke-diskriminerende, og ha fastsatte frister for behandling av saker. Videre skal sensitiv informasjon behandles konfidensielt, det skal være klagemuligheter for investorer, og det skal finnes tiltak for å identifisere og avverge omgåelse av reglene. I artikkel 3 legges det vekt på at medlemslandenes regler skal være åpne og tilgjengelige og at reglene skal angi omstendighetene som utløser kontroll, begrunnelsen for kontroll, samt tilhørende detaljerte prosedyrer knyttet til prosessen.</w:t>
      </w:r>
    </w:p>
    <w:p w14:paraId="310140E3" w14:textId="77777777" w:rsidR="004B1A63" w:rsidRPr="00015951" w:rsidRDefault="004B1A63">
      <w:pPr>
        <w:pStyle w:val="blokksit"/>
        <w:rPr>
          <w:rStyle w:val="halvfet"/>
        </w:rPr>
      </w:pPr>
      <w:r w:rsidRPr="00015951">
        <w:rPr>
          <w:rStyle w:val="halvfet"/>
        </w:rPr>
        <w:t>Samarbeidet mellom Europakommisjonen og medlemsland</w:t>
      </w:r>
    </w:p>
    <w:p w14:paraId="18231A1C" w14:textId="77777777" w:rsidR="004B1A63" w:rsidRPr="00015951" w:rsidRDefault="004B1A63">
      <w:pPr>
        <w:pStyle w:val="blokksit"/>
        <w:spacing w:before="0"/>
      </w:pPr>
      <w:r w:rsidRPr="00015951">
        <w:t>Forordningen pålegger EU-landene en plikt til å samarbeide innbyrdes og med Europakommisjonen. Samarbeidet varierer avhengig av om de utenlandske investeringene blir kontrollert på nasjonalt plan eller ikke.</w:t>
      </w:r>
    </w:p>
    <w:p w14:paraId="15AD6F41" w14:textId="77777777" w:rsidR="004B1A63" w:rsidRPr="00015951" w:rsidRDefault="004B1A63">
      <w:pPr>
        <w:pStyle w:val="blokksit"/>
      </w:pPr>
      <w:r w:rsidRPr="00015951">
        <w:t>Dersom en investering kontrolleres på nasjonalt plan, skal medlemslandet orientere Europakommisjonen og de andre medlemslandene om dette ved å dele opplysninger om investeringen. Hvis et annet medlemsland anser at investeringen sannsynligvis vil påvirke dets sikkerhet eller offentlige orden, kan dette landet utstede en kommentar. Dersom Europakommisjonen anser at en investering sannsynligvis vil påvirke sikkerheten eller den offentlige orden i mer enn ett medlemsland, kan Kommisjonen gi en uttalelse. Kommentarer fra medlemslandene og Kommisjonens uttalelse rettes til medlemslandet der investeringen finner sted.</w:t>
      </w:r>
    </w:p>
    <w:p w14:paraId="3991C43D" w14:textId="77777777" w:rsidR="004B1A63" w:rsidRPr="00015951" w:rsidRDefault="004B1A63">
      <w:pPr>
        <w:pStyle w:val="blokksit"/>
      </w:pPr>
      <w:r w:rsidRPr="00015951">
        <w:t>Medlemslandene og Kommisjonen kan også uttale seg om investeringer som ikke er underlagt investeringskontroll. Dette kan være tilfellet dersom medlemslandet hvor investeringen finner sted ikke har en kontrollordning, eller investeringer ikke omfattes av medlemslandets nasjonale ordning. Hvis et medlemsland eller Kommisjonen anser en ikke-kontrollert investering i et annet medlemsland for å være en risiko for flere medlemsland eller for hele unionen, kan man etterspørre informasjon fra vertslandet for investeringen. Vertslandet er da forpliktet til å bidra med et minimum av informasjon så raskt som mulig.</w:t>
      </w:r>
    </w:p>
    <w:p w14:paraId="282237C5" w14:textId="77777777" w:rsidR="004B1A63" w:rsidRPr="00015951" w:rsidRDefault="004B1A63">
      <w:pPr>
        <w:pStyle w:val="blokksit"/>
      </w:pPr>
      <w:r w:rsidRPr="00015951">
        <w:t>All utveksling av informasjon gjennom EUs samarbeidsordning er underlagt strenge regler om konfidensialitet. Kommentarer og uttalelser deles ikke med de andre medlemslandene, unntatt når uttalelsen gjelder en investering som kan påvirke fellesprosjekter eller programmer på EU-nivå. Europakommisjonen er forpliktet til å skaffe til veie et sikret og kryptert kommunikasjonssystem mellom medlemsland og Kommisjonen for dette formålet.</w:t>
      </w:r>
    </w:p>
    <w:p w14:paraId="43C251B7" w14:textId="77777777" w:rsidR="004B1A63" w:rsidRPr="00015951" w:rsidRDefault="004B1A63">
      <w:pPr>
        <w:pStyle w:val="blokksit"/>
      </w:pPr>
      <w:r w:rsidRPr="00015951">
        <w:t xml:space="preserve">Generaldirektoratet for handel i Kommisjonen har laget et skjema for å forbedre informasjonsutvekslingen under EU-mekanismen. Informasjon som deles i EUs samarbeidsordning inkluderer informasjon om hvem som er investoren og målforetaket, hvilke sektorer disse opererer i og hvor, </w:t>
      </w:r>
      <w:r w:rsidRPr="00015951">
        <w:lastRenderedPageBreak/>
        <w:t>hva som er verdien av investeringen, hvor finansieringen kommer fra og når transaksjonen skal finne sted.</w:t>
      </w:r>
    </w:p>
    <w:p w14:paraId="10C5A875" w14:textId="77777777" w:rsidR="004B1A63" w:rsidRPr="00015951" w:rsidRDefault="004B1A63">
      <w:pPr>
        <w:pStyle w:val="blokksit"/>
      </w:pPr>
      <w:r w:rsidRPr="00015951">
        <w:t>Effektiv informasjonsdeling skal bidra til at medlemslandet som melder om en investering, kan gjøre sine vurderinger uten forsinkelse. Medlemslandet hvor investeringen finner sted, oppfordres til å innhente nødvendige opplysninger fra investoren eller det berørte foretaket.</w:t>
      </w:r>
    </w:p>
    <w:p w14:paraId="09DC5537" w14:textId="77777777" w:rsidR="004B1A63" w:rsidRPr="00015951" w:rsidRDefault="004B1A63">
      <w:pPr>
        <w:pStyle w:val="blokksit"/>
        <w:rPr>
          <w:rStyle w:val="halvfet"/>
        </w:rPr>
      </w:pPr>
      <w:r w:rsidRPr="00015951">
        <w:rPr>
          <w:rStyle w:val="halvfet"/>
        </w:rPr>
        <w:t>Veiledning til vurdering av saker</w:t>
      </w:r>
    </w:p>
    <w:p w14:paraId="64BDE81C" w14:textId="77777777" w:rsidR="004B1A63" w:rsidRPr="00015951" w:rsidRDefault="004B1A63">
      <w:pPr>
        <w:pStyle w:val="blokksit"/>
        <w:spacing w:before="0"/>
      </w:pPr>
      <w:r w:rsidRPr="00015951">
        <w:t>Forordningen gir en veiledende liste over kriterier som skal hjelpe medlemslandene og Europakommisjonen med å vurdere om en utenlandsk direkteinvestering vil kunne påvirke sikkerhet eller offentlig orden. Ifølge listen bør landene og Europakommisjonen vurdere virkningene av den utenlandske investeringen på:</w:t>
      </w:r>
    </w:p>
    <w:p w14:paraId="647E5ECC" w14:textId="77777777" w:rsidR="004B1A63" w:rsidRDefault="004B1A63">
      <w:pPr>
        <w:pStyle w:val="Listebombe2"/>
      </w:pPr>
      <w:r>
        <w:t>kritisk infrastruktur (fysisk eller virtuell, innen energi, transport, vann, helse, kommunikasjon, media, databehandling og -lagring, luft og romfart, forsvar, valgrelatert eller finansiell infrastruktur, samt investeringer i land og eiendom som er avgjørende for bruk av slike infrastrukturer)</w:t>
      </w:r>
    </w:p>
    <w:p w14:paraId="5F07B623" w14:textId="77777777" w:rsidR="004B1A63" w:rsidRDefault="004B1A63">
      <w:pPr>
        <w:pStyle w:val="Listebombe2"/>
      </w:pPr>
      <w:r>
        <w:rPr>
          <w:spacing w:val="-2"/>
        </w:rPr>
        <w:t xml:space="preserve">kritisk teknologi og elementer med flerbrukspotensiale (kunstig intelligens, robotikk, </w:t>
      </w:r>
      <w:r>
        <w:t>halvledere, cybersikkerhet, kvanteteknologi, romfart, forsvar, energilagring, kjernefysisk teknologi og nano- og bioteknologi)</w:t>
      </w:r>
    </w:p>
    <w:p w14:paraId="45E34A7C" w14:textId="77777777" w:rsidR="004B1A63" w:rsidRDefault="004B1A63">
      <w:pPr>
        <w:pStyle w:val="Listebombe2"/>
      </w:pPr>
      <w:r>
        <w:t>tilgang til kritiske leveranser (energi, råvarer og matsikkerhet)</w:t>
      </w:r>
    </w:p>
    <w:p w14:paraId="3BAD54DC" w14:textId="77777777" w:rsidR="004B1A63" w:rsidRDefault="004B1A63">
      <w:pPr>
        <w:pStyle w:val="Listebombe2"/>
        <w:rPr>
          <w:spacing w:val="-4"/>
        </w:rPr>
      </w:pPr>
      <w:r>
        <w:rPr>
          <w:spacing w:val="-4"/>
        </w:rPr>
        <w:t>tilgang til eller muligheten til å kontrollere sensitiv informasjon (personopplysninger)</w:t>
      </w:r>
    </w:p>
    <w:p w14:paraId="039D3F49" w14:textId="77777777" w:rsidR="004B1A63" w:rsidRDefault="004B1A63">
      <w:pPr>
        <w:pStyle w:val="Listebombe2"/>
      </w:pPr>
      <w:r>
        <w:t>mediefrihet og pluralisme</w:t>
      </w:r>
    </w:p>
    <w:p w14:paraId="4291924F" w14:textId="77777777" w:rsidR="004B1A63" w:rsidRPr="00015951" w:rsidRDefault="004B1A63">
      <w:pPr>
        <w:pStyle w:val="blokksit"/>
      </w:pPr>
      <w:r w:rsidRPr="00015951">
        <w:t>Forordningen viser til at forhold knyttet til investor også er relevante for vurderingen. Dette er forhold som knytter seg til om investoren er kontrollert eller påvirket av tredjeland, enten gjennom eierstrukturer eller gjennom betydelig finansiering, om investor tidligere har vært involvert i aktivitet som påvirket sikkerhet eller samfunnsorden eller om investor har vært involvert i internasjonal kriminalitet.</w:t>
      </w:r>
    </w:p>
    <w:p w14:paraId="65A6C2C7" w14:textId="1937A280" w:rsidR="004B1A63" w:rsidRPr="00015951" w:rsidRDefault="004B1A63">
      <w:pPr>
        <w:pStyle w:val="blokksit"/>
      </w:pPr>
      <w:r w:rsidRPr="00015951">
        <w:t xml:space="preserve">Ikke-diskriminering av investorer fra tredjeland (utenfor EU) er et sentralt prinsipp i forordningen. Risiko tilknyttet et utenlandsk oppkjøp skal vurderes i hver enkelt sak, uavhengig av den utenlandske kjøpers hjemland. EU-forordningen tillater ikke kontroll av utenlandske direkteinvesteringer basert på andre hensyn enn sikkerhet eller offentlig orden. Forordningen lister for øvrig opp flere EU-finansierte prosjekter og programmer som kan være relevante for sikkerhet eller offentlig orden, og hvor Kommisjonen særlig vil vurdere risikoen ved utenlandske investeringer. Denne listen inkluderer blant annet </w:t>
      </w:r>
      <w:r w:rsidR="00015951">
        <w:t>«</w:t>
      </w:r>
      <w:r w:rsidRPr="00015951">
        <w:t>Galileo</w:t>
      </w:r>
      <w:r w:rsidR="00015951">
        <w:t>»</w:t>
      </w:r>
      <w:r w:rsidRPr="00015951">
        <w:t xml:space="preserve">, </w:t>
      </w:r>
      <w:r w:rsidR="00015951">
        <w:t>«</w:t>
      </w:r>
      <w:r w:rsidRPr="00015951">
        <w:t>Horizon 2020</w:t>
      </w:r>
      <w:r w:rsidR="00015951">
        <w:t>»</w:t>
      </w:r>
      <w:r w:rsidRPr="00015951">
        <w:t xml:space="preserve">, </w:t>
      </w:r>
      <w:r w:rsidR="00015951">
        <w:t>«</w:t>
      </w:r>
      <w:r w:rsidRPr="00015951">
        <w:t>Trans-European Networks</w:t>
      </w:r>
      <w:r w:rsidR="00015951">
        <w:t>»</w:t>
      </w:r>
      <w:r w:rsidRPr="00015951">
        <w:t xml:space="preserve"> og </w:t>
      </w:r>
      <w:r w:rsidR="00015951">
        <w:t>«</w:t>
      </w:r>
      <w:r w:rsidRPr="00015951">
        <w:t>European Defence Industrial Development Programme</w:t>
      </w:r>
      <w:r w:rsidR="00015951">
        <w:t>»</w:t>
      </w:r>
      <w:r w:rsidRPr="00015951">
        <w:t>. Listen ble oppdatert i 2020 og ytterligere oppdateringer vil følge etter behov.</w:t>
      </w:r>
    </w:p>
    <w:p w14:paraId="498B4394" w14:textId="77777777" w:rsidR="004B1A63" w:rsidRPr="00015951" w:rsidRDefault="004B1A63">
      <w:pPr>
        <w:pStyle w:val="blokksit"/>
        <w:rPr>
          <w:rStyle w:val="halvfet"/>
        </w:rPr>
      </w:pPr>
      <w:r w:rsidRPr="00015951">
        <w:rPr>
          <w:rStyle w:val="halvfet"/>
        </w:rPr>
        <w:t>Ekspertgruppe for kontroll av utenlandske direkteinvesteringer i EU</w:t>
      </w:r>
    </w:p>
    <w:p w14:paraId="7EAC6532" w14:textId="724F2B21" w:rsidR="004B1A63" w:rsidRPr="00015951" w:rsidRDefault="004B1A63">
      <w:pPr>
        <w:pStyle w:val="blokksit"/>
        <w:spacing w:before="0"/>
      </w:pPr>
      <w:r w:rsidRPr="00015951">
        <w:t xml:space="preserve">Som ledd i arbeidet med å gjøre EU-forordningen operasjonell, er det opprettet en ekspertgruppe som skal gi råd til Kommisjonen. Alle medlemslandenes myndigheter deltar i gruppen, også de som i dag ikke har en nasjonal kontrollordning. Gruppen ledes av Europakommisjonen. Gruppens mandat er å drøfte spørsmål av felles interesse knyttet til utenlandske direkteinvesteringer, samt beste praksis og erfaringer fra investeringskontroll på nasjonalt nivå. Ekspertgruppen har også myndighet </w:t>
      </w:r>
      <w:r w:rsidRPr="00015951">
        <w:lastRenderedPageBreak/>
        <w:t>til å gi Kommisjonen råd om spørsmål knyttet til gjennomføringen av selve forordningen. Ekspertgruppen omtaler ikke individuelle investeringer.</w:t>
      </w:r>
      <w:r w:rsidR="00015951" w:rsidRPr="00015951">
        <w:rPr>
          <w:rStyle w:val="Fotnotereferanse"/>
        </w:rPr>
        <w:footnoteReference w:id="126"/>
      </w:r>
      <w:r w:rsidRPr="00015951">
        <w:rPr>
          <w:rStyle w:val="kursiv"/>
        </w:rPr>
        <w:t xml:space="preserve"> </w:t>
      </w:r>
      <w:r w:rsidR="00015951" w:rsidRPr="00015951">
        <w:rPr>
          <w:rStyle w:val="kursiv"/>
        </w:rPr>
        <w:t>«</w:t>
      </w:r>
    </w:p>
    <w:p w14:paraId="36B3269A" w14:textId="77777777" w:rsidR="004B1A63" w:rsidRDefault="004B1A63">
      <w:pPr>
        <w:pStyle w:val="Overskrift3"/>
      </w:pPr>
      <w:r>
        <w:t>Forslag til ny screeningordning i EU</w:t>
      </w:r>
    </w:p>
    <w:p w14:paraId="11DCAA1B" w14:textId="77777777" w:rsidR="004B1A63" w:rsidRDefault="004B1A63">
      <w:r>
        <w:t>Siden EUs screeningreleverk kom på plass i 2020, har den geopolitiske situasjonen forandret seg betraktelig og blitt mer tilspisset. Pandemien, Russlands invasjon av Ukraina og andre geopolitiske spenninger har forsterket behovet for å kunne identifisere risikoer knyttet til sikkerhetstruende økonomisk aktivitet og bedre beskytte eiendeler og virksomheter som er kritiske for Europa. Dette har også bidratt til en betydelig økning i antall medlemsland som har fått på plass en nasjonal screeningsmekanisme, og et større antall sektorer som er gjenstand for screening. Det er imidlertid en andel av direkte utenlandske investeringer (Foreign Direct Investments (FDI)) i EU som fortsatt går til medlemsland som ikke har en screeningmekanisme, noe som kan utgjøre en risiko for at potensielt sikkerhetstruende økonomisk aktivitet ikke blir oppdaget.</w:t>
      </w:r>
    </w:p>
    <w:p w14:paraId="59767E36" w14:textId="77777777" w:rsidR="004B1A63" w:rsidRDefault="004B1A63">
      <w:r>
        <w:t>Europakommisjonen la i slutten av januar 2024 frem flere initiativer for å styrke EUs økonomiske sikkerhet i en tid med økende geopolitiske spenninger og betydelige teknologiske endringer. Blant initiativene var også et eget lovforslag om å styrke kontrollen med utenlandske investeringer i EU. I forbindelse med offentliggjøringen av lovforslaget viste Kommisjonen til at den har evaluert den gjeldende screeningforordningen og gjennomgått over 1200 transaksjoner med direkte utenlandske investeringer som har blitt meldt inn av medlemslandene de siste tre årene under det eksisterende regelverket (omtalt overfor). Basert på erfaringene fra gjennomgangen og evaluering av hvordan den nåværende kontrollen fungerer, ble det fremhevet at det er mangel på harmonisering som er det største problemet i EUs gjeldende screeningregelverk. Først og fremst er det ingen forpliktelse for medlemslandene til å ha en tilstrekkelig screeningmekanisme. Det finnes heller ingen klare retningslinjer for omfanget av medlemslandenes screeningsmekanismer. Hvis omfanget er for snevert definert, kan enkelte kritiske investeringer ikke bli fanget opp. Videre definerer medlemslandene nøkkelbegreper ulikt, noe som resulterer i forvirring og usikkerhet, og det er ingen felles minimumskriterier for å avgjøre hvilke investeringer som skal vurderes. Når det gjelder fristene for å svare, er de de samme for Kommisjonen og medlemslandene, noe som muligens gir Kommisjonen for kort tid til å vurdere eventuelle kommentarer fra medlemslandene. Prosessen med å sende inn kommentarer og tidslinjen i en screeningsak begynner først når den formelle screeningprosedyren har startet, og dette er i hendene på det berørte medlemslandet.</w:t>
      </w:r>
    </w:p>
    <w:p w14:paraId="31D4C47F" w14:textId="45C693D1" w:rsidR="004B1A63" w:rsidRDefault="004B1A63">
      <w:r>
        <w:t xml:space="preserve">Kommisjonens forslag tar sikte på å adressere disse manglene, samt forbedre effektiviteten i screeningmekanismen på viktige områder, ved å sikre at </w:t>
      </w:r>
      <w:r w:rsidRPr="00015951">
        <w:rPr>
          <w:rStyle w:val="kursiv"/>
        </w:rPr>
        <w:t>alle medlemsland har en</w:t>
      </w:r>
      <w:r>
        <w:t xml:space="preserve"> </w:t>
      </w:r>
      <w:r w:rsidRPr="00015951">
        <w:rPr>
          <w:rStyle w:val="kursiv"/>
        </w:rPr>
        <w:t>mekanisme for screening</w:t>
      </w:r>
      <w:r>
        <w:t xml:space="preserve"> med bedre harmoniserte nasjonale regler. Det betyr at land som allerede har et screeningregelverk må harmonisere dette med den nye forordningen. Videre vil man i forslaget identifisere </w:t>
      </w:r>
      <w:r w:rsidRPr="00015951">
        <w:rPr>
          <w:rStyle w:val="kursiv"/>
        </w:rPr>
        <w:t>et minimum av sektorer</w:t>
      </w:r>
      <w:r>
        <w:t xml:space="preserve"> som alle medlemsland må kontrollere utenlandske investeringer i, samt utvide EUs screening til å også omfatte investeringer fra europeiske investorer som i siste instans kontrolleres av enkeltpersoner eller virksomheter fra land utenfor EU. Kommisjonen ønsker også å inkludere </w:t>
      </w:r>
      <w:r>
        <w:lastRenderedPageBreak/>
        <w:t>investeringer ved etablering av nytt foretak, såkalt greenfield-investeringer, i screeningen. Når det gjelder åpenhet og transparens i de nasjonale screeningmekanismene, vil Kommisjonen blant annet kreve at medlemslandene publiserer en årlig rapport med aggregerte og anonymiserte data om screenede investeringer. I forslaget ønsker man også å la investorer få visse rettigheter i prosess. Eksempelvis før det tas en beslutning om forbud eller betinget godkjenning, vil screeningmyndighetene måtte informere utenlandske investorer om årsakene til å ta en slik avgjørelse, og gi dem en mulighet til å gi uttrykk for sine synspunkter.</w:t>
      </w:r>
      <w:r w:rsidR="00015951" w:rsidRPr="00015951">
        <w:rPr>
          <w:rStyle w:val="Fotnotereferanse"/>
        </w:rPr>
        <w:footnoteReference w:id="127"/>
      </w:r>
    </w:p>
    <w:p w14:paraId="4A82FEAC" w14:textId="77777777" w:rsidR="004B1A63" w:rsidRDefault="004B1A63" w:rsidP="00371DDF">
      <w:pPr>
        <w:pStyle w:val="avsnitt-undertittel"/>
      </w:pPr>
      <w:r>
        <w:t>Samarbeidsmekanismen på EU-nivå</w:t>
      </w:r>
    </w:p>
    <w:p w14:paraId="1E70F1B7" w14:textId="77777777" w:rsidR="004B1A63" w:rsidRDefault="004B1A63" w:rsidP="006F4031">
      <w:r>
        <w:t>Forslaget til forordningens artikkel 5 gir bestemmelser om hvilke utenlandske investeringer som skal meldes fra om til Europakommisjonens samarbeidsmekanisme, og artikkel 6 angir prosedyrene for hvordan samarbeidsmekanismen skal fungere. Et eksempel på en utenlandsk investering som medfører en meldeplikt til EUs samarbeidsmekanisme er investeringer der den utenlandske investoren eller den utenlandske investorens datterselskap i unionen er direkte eller indirekte kontrollert myndighetene i et tredjeland. Meldeplikten inkluderer også investeringer der den utenlandske investoren eller noen av dens datterselskaper var involvert i en utenlandsk investering som tidligere er screenet av et medlemsland og ikke var godkjent eller kun godkjent på vilkår.</w:t>
      </w:r>
    </w:p>
    <w:p w14:paraId="6DF5BC2A" w14:textId="77777777" w:rsidR="004B1A63" w:rsidRDefault="004B1A63">
      <w:pPr>
        <w:rPr>
          <w:spacing w:val="-3"/>
        </w:rPr>
      </w:pPr>
      <w:r>
        <w:t xml:space="preserve">Videre angir artikkel 6 prosedyrer for hvordan medlemslandene skal koordinere seg hvis flere land har mottatt samme melding om investering og det er snakk om en grensekryssende transaksjon. I forslaget ønsker Kommisjonen å strømlinjeforme samarbeidsmekanismen på EU-nivå ved å kreve at investorer som må varsle om sine </w:t>
      </w:r>
      <w:r>
        <w:rPr>
          <w:spacing w:val="-3"/>
        </w:rPr>
        <w:t xml:space="preserve">investeringer i flere medlemsland, skal sende inn søknadene sine til dem alle samtidig (med henvisning til de andre meldingene), for så å kreve at nasjonale myndigheter koordinerer </w:t>
      </w:r>
      <w:r>
        <w:rPr>
          <w:spacing w:val="-2"/>
        </w:rPr>
        <w:t xml:space="preserve">med hverandre og sender meldinger til Kommisjonen samtidig. Videre vil man stramme opp prosedyrene og fristene for samarbeidsmekanismen, samtidig som Kommisjonen får mer tid til å ta hensyn til kommentarer fra medlemslandene. Medlemslandene vil ha 15 </w:t>
      </w:r>
      <w:r>
        <w:rPr>
          <w:spacing w:val="-3"/>
        </w:rPr>
        <w:t>kalenderdager, og Europakommisjonen 20 kalenderdager, til å informere medlemsland(ene) om at de har til hensikt å sende inn kommentarer eller avgi en mening om en investering. Medlemslandene vil da ha 35 dager på seg fra mottak av en fullstendig melding til å sende inn sine kommentarer, og Kommisjonen vil ha 45 dager på seg til å avgi sin uttalelse. Fristen for medlemslandenes meldeplikt til Kommisjonen er 60 dager hvis medlemslandet allerede har bestemt seg for på å foreta en grundig screening med dybdeundersøkelser.</w:t>
      </w:r>
    </w:p>
    <w:p w14:paraId="07408A6D" w14:textId="250DF8E4" w:rsidR="004B1A63" w:rsidRDefault="004B1A63">
      <w:r>
        <w:t xml:space="preserve">Sikkerheten ved informasjonsutvekslingen mellom medlemslandene foreslås styrket. Etter artikkel 6 skal informasjonsutvekslingen mellom medlemslandene og Kommisjonen foregå gjennom et kryptert system. Hvert medlemsland må utpeke et kontaktpunkt og Kommisjonen vil sette opp et system for å muliggjøre kryptert kommunikasjon mellom kontaktpunktene. Forslaget inneholder også </w:t>
      </w:r>
      <w:r>
        <w:lastRenderedPageBreak/>
        <w:t>bestemmelser om beskyttelse av taushetsbelagte og graderte opplysninger. Det er viktig å merke seg at Kommisjonen ønsker å begrense bruk av EUs samarbeidsmekanisme til kun de mest kritiske tilfellene.</w:t>
      </w:r>
      <w:r w:rsidR="00015951" w:rsidRPr="00015951">
        <w:rPr>
          <w:rStyle w:val="Fotnotereferanse"/>
        </w:rPr>
        <w:footnoteReference w:id="128"/>
      </w:r>
    </w:p>
    <w:p w14:paraId="520B321E" w14:textId="4AD2385C" w:rsidR="004B1A63" w:rsidRDefault="004B1A63">
      <w:r>
        <w:t xml:space="preserve">Videre vil Kommisjonen innføre en </w:t>
      </w:r>
      <w:r w:rsidR="00015951">
        <w:t>«</w:t>
      </w:r>
      <w:r>
        <w:t>own-initiative procedure</w:t>
      </w:r>
      <w:r w:rsidR="00015951">
        <w:t>»</w:t>
      </w:r>
      <w:r>
        <w:t>, som lar et medlemsland eller Kommisjonen iverksette en gjennomgang av en utenlandsk investering i et annet medlemsland dersom investeringen ikke er varslet under samarbeidsmekanismen. Et medlemsland vil være berettiget til å gjøre dette hvis den mener at investeringen vil ha en negativ innvirkning på dens sikkerhet eller offentlige orden; Kommisjonen vil være i stand til å gjøre dette hvis den anser at investeringen sannsynligvis vil påvirke sikkerheten eller den offentlige orden i mer enn ett medlemsland negativt.</w:t>
      </w:r>
      <w:r w:rsidR="00015951" w:rsidRPr="00015951">
        <w:rPr>
          <w:rStyle w:val="Fotnotereferanse"/>
        </w:rPr>
        <w:footnoteReference w:id="129"/>
      </w:r>
    </w:p>
    <w:p w14:paraId="128E7D6C" w14:textId="77777777" w:rsidR="004B1A63" w:rsidRDefault="004B1A63" w:rsidP="00371DDF">
      <w:pPr>
        <w:pStyle w:val="avsnitt-undertittel"/>
      </w:pPr>
      <w:r>
        <w:t>Hvilke investeringer er omfattet?</w:t>
      </w:r>
    </w:p>
    <w:p w14:paraId="7F6E4783" w14:textId="77777777" w:rsidR="004B1A63" w:rsidRDefault="004B1A63" w:rsidP="006F4031">
      <w:r>
        <w:rPr>
          <w:spacing w:val="-2"/>
        </w:rPr>
        <w:t xml:space="preserve">Forslaget til ny forordning omfatter eksplisitt investeringer mellom selskaper innenfor EU, hvor selskapene faktisk kontrolleres fra tredjeland. I dag er slike selskaper inkludert kun dersom de utelukkende og entydig er skapt med formål om å omgå screening. Forslaget omfatter investeringer som enten er direkte utenlandske investeringer eller investeringer innenfor EU med utenlandsk deltakelse. Direkte investeringer vil dekke et bredt spekter av investeringer som etablerer eller opprettholder varige og direkte forbindelser mellom </w:t>
      </w:r>
      <w:r>
        <w:rPr>
          <w:spacing w:val="-5"/>
        </w:rPr>
        <w:t>investorer fra land utenfor EU og foretak som driver økonomisk virksomhet i en medlemsstat.</w:t>
      </w:r>
    </w:p>
    <w:p w14:paraId="44BA5E08" w14:textId="77777777" w:rsidR="004B1A63" w:rsidRDefault="004B1A63">
      <w:r>
        <w:t>Med investeringer forstås i denne sammenheng erverv av aksjer som gir den utenlandske investoren rett til å kontrollere eller påvirke driften av foretaket i EU, eller etablering av virksomhet i EU (greenfield-investeringer). Utvalget oppfatter også at forslaget til ny EU-regulering vil omfatte investeringer i selskap utenfor EU, men som i realiteten rettes mot/har virkning for et datterselskap i EU. Forslaget vil også dekke investeringer foretatt i EU av den utenlandske investorens datterselskap i EU så lenge formålet med investeringen er å etablere eller opprettholde slike forbindelser som nevnt over.</w:t>
      </w:r>
    </w:p>
    <w:p w14:paraId="3CB6330C" w14:textId="77777777" w:rsidR="004B1A63" w:rsidRDefault="004B1A63">
      <w:r>
        <w:t>Det fremgår av fortalen (16) i forslaget til ny regulering at porteføljeinvesteringer ikke omfattes av forslaget:</w:t>
      </w:r>
    </w:p>
    <w:p w14:paraId="34D11A8B" w14:textId="1B7CD504" w:rsidR="004B1A63" w:rsidRPr="00015951" w:rsidRDefault="00015951">
      <w:pPr>
        <w:pStyle w:val="blokksit"/>
        <w:rPr>
          <w:lang w:val="en-US"/>
        </w:rPr>
      </w:pPr>
      <w:r>
        <w:rPr>
          <w:lang w:val="en-US"/>
        </w:rPr>
        <w:t>«</w:t>
      </w:r>
      <w:r w:rsidR="004B1A63" w:rsidRPr="00015951">
        <w:rPr>
          <w:lang w:val="en-US"/>
        </w:rPr>
        <w:t>However, the framework should not cover the acquisition of company securities intended purely for financial investment without any intention to influence the management and control of the undertaking (portfolio investments)</w:t>
      </w:r>
      <w:r>
        <w:rPr>
          <w:lang w:val="en-US"/>
        </w:rPr>
        <w:t>»</w:t>
      </w:r>
    </w:p>
    <w:p w14:paraId="54F40F66" w14:textId="77777777" w:rsidR="004B1A63" w:rsidRPr="005342B1" w:rsidRDefault="004B1A63">
      <w:pPr>
        <w:rPr>
          <w:lang w:val="en-US"/>
        </w:rPr>
      </w:pPr>
      <w:r w:rsidRPr="005342B1">
        <w:rPr>
          <w:lang w:val="en-US"/>
        </w:rPr>
        <w:t xml:space="preserve">Forslaget inneholder videre en obligatorisk liste over sensitive sektorer. Disse sektorene skal som et minimum inkluderes i medlemslandenes nasjonale screeningordninger. Dette er selskaper som er aktive innen områder og teknologier som </w:t>
      </w:r>
      <w:r w:rsidRPr="00015951">
        <w:rPr>
          <w:rStyle w:val="kursiv"/>
          <w:lang w:val="en-US"/>
        </w:rPr>
        <w:t>inkluderer produkter med dobbelt bruksområde</w:t>
      </w:r>
      <w:r w:rsidRPr="005342B1">
        <w:rPr>
          <w:lang w:val="en-US"/>
        </w:rPr>
        <w:t xml:space="preserve">, </w:t>
      </w:r>
      <w:r w:rsidRPr="00015951">
        <w:rPr>
          <w:rStyle w:val="kursiv"/>
          <w:lang w:val="en-US"/>
        </w:rPr>
        <w:t xml:space="preserve">militær teknologi </w:t>
      </w:r>
      <w:r w:rsidRPr="00015951">
        <w:rPr>
          <w:rStyle w:val="kursiv"/>
          <w:lang w:val="en-US"/>
        </w:rPr>
        <w:lastRenderedPageBreak/>
        <w:t>og utstyr</w:t>
      </w:r>
      <w:r w:rsidRPr="005342B1">
        <w:rPr>
          <w:lang w:val="en-US"/>
        </w:rPr>
        <w:t xml:space="preserve">, </w:t>
      </w:r>
      <w:r w:rsidRPr="00015951">
        <w:rPr>
          <w:rStyle w:val="kursiv"/>
          <w:lang w:val="en-US"/>
        </w:rPr>
        <w:t>finansiell infrastruktur</w:t>
      </w:r>
      <w:r w:rsidRPr="005342B1">
        <w:rPr>
          <w:lang w:val="en-US"/>
        </w:rPr>
        <w:t xml:space="preserve"> og </w:t>
      </w:r>
      <w:r w:rsidRPr="00015951">
        <w:rPr>
          <w:rStyle w:val="kursiv"/>
          <w:lang w:val="en-US"/>
        </w:rPr>
        <w:t>kritiske legemidler</w:t>
      </w:r>
      <w:r w:rsidRPr="005342B1">
        <w:rPr>
          <w:lang w:val="en-US"/>
        </w:rPr>
        <w:t xml:space="preserve"> (som er definert i EUs liste over kritiske legemidler fra desember 2023.</w:t>
      </w:r>
    </w:p>
    <w:p w14:paraId="31FFB225" w14:textId="77777777" w:rsidR="004B1A63" w:rsidRDefault="004B1A63">
      <w:r>
        <w:t>Mer spesifiserte undergrupper av teknologier, som Kommisjonen har i sin innstilling fra oktober 2023 oppnevnt som spesielt kritiske er følgende:</w:t>
      </w:r>
    </w:p>
    <w:p w14:paraId="3961F31C" w14:textId="2DCF9E7E" w:rsidR="004B1A63" w:rsidRDefault="004B1A63">
      <w:pPr>
        <w:pStyle w:val="Listebombe"/>
      </w:pPr>
      <w:r>
        <w:t>Halvlederteknologier</w:t>
      </w:r>
    </w:p>
    <w:p w14:paraId="7DB83F74" w14:textId="4ACECFF6" w:rsidR="004B1A63" w:rsidRDefault="004B1A63">
      <w:pPr>
        <w:pStyle w:val="Listebombe"/>
      </w:pPr>
      <w:r>
        <w:t>Teknologier knyttet til kunstig intelligens</w:t>
      </w:r>
    </w:p>
    <w:p w14:paraId="20672D85" w14:textId="3853F281" w:rsidR="004B1A63" w:rsidRDefault="004B1A63">
      <w:pPr>
        <w:pStyle w:val="Listebombe"/>
      </w:pPr>
      <w:r>
        <w:t>Kvanteteknologier</w:t>
      </w:r>
    </w:p>
    <w:p w14:paraId="3149FBD8" w14:textId="7FCC3136" w:rsidR="004B1A63" w:rsidRDefault="004B1A63">
      <w:pPr>
        <w:pStyle w:val="Listebombe"/>
      </w:pPr>
      <w:r>
        <w:t>Bioteknologi</w:t>
      </w:r>
    </w:p>
    <w:p w14:paraId="7E4F4D9B" w14:textId="3AB0932C" w:rsidR="004B1A63" w:rsidRDefault="004B1A63">
      <w:pPr>
        <w:pStyle w:val="Listebombe"/>
      </w:pPr>
      <w:r>
        <w:t>Avansert tilkobling, navigasjon og digital teknologi</w:t>
      </w:r>
    </w:p>
    <w:p w14:paraId="43611FBB" w14:textId="73047E9F" w:rsidR="004B1A63" w:rsidRDefault="004B1A63">
      <w:pPr>
        <w:pStyle w:val="Listebombe"/>
      </w:pPr>
      <w:r>
        <w:t>Avanserte sensorteknologier</w:t>
      </w:r>
    </w:p>
    <w:p w14:paraId="000B1C7C" w14:textId="100CCEEF" w:rsidR="004B1A63" w:rsidRDefault="004B1A63">
      <w:pPr>
        <w:pStyle w:val="Listebombe"/>
      </w:pPr>
      <w:r>
        <w:t>Rom- og fremdriftsteknologier</w:t>
      </w:r>
    </w:p>
    <w:p w14:paraId="45506277" w14:textId="6E013E53" w:rsidR="004B1A63" w:rsidRDefault="004B1A63">
      <w:pPr>
        <w:pStyle w:val="Listebombe"/>
      </w:pPr>
      <w:r>
        <w:t>Energiteknologier</w:t>
      </w:r>
    </w:p>
    <w:p w14:paraId="37DE4985" w14:textId="44D4BCF2" w:rsidR="004B1A63" w:rsidRDefault="004B1A63">
      <w:pPr>
        <w:pStyle w:val="Listebombe"/>
      </w:pPr>
      <w:r>
        <w:t>Robotikk og autonome systemer</w:t>
      </w:r>
    </w:p>
    <w:p w14:paraId="65B75612" w14:textId="26DD635C" w:rsidR="004B1A63" w:rsidRDefault="004B1A63">
      <w:pPr>
        <w:pStyle w:val="Listebombe"/>
      </w:pPr>
      <w:r>
        <w:t>Teknologier knyttet til avanserte materialer, produksjon og resirkulering</w:t>
      </w:r>
    </w:p>
    <w:p w14:paraId="456DD9D0" w14:textId="073FFF1C" w:rsidR="004B1A63" w:rsidRDefault="004B1A63">
      <w:pPr>
        <w:rPr>
          <w:spacing w:val="-2"/>
        </w:rPr>
      </w:pPr>
      <w:r>
        <w:t xml:space="preserve">Forordningen legger videre opp til at screeningen vil omfatte utenlandske investeringer i virksomheter som deltar i et prosjekt eller mottar midler fra et av EUs finansieringsprogrammer. Dette er eksempelvis programmer som Horizon 2020, Digital Europe Programme og EUs romprogram (uttømmende liste i forslagets vedlegg 1) eller European Investment Fund. Screeningen vil også omfatte utenlandske investeringer i </w:t>
      </w:r>
      <w:r>
        <w:rPr>
          <w:spacing w:val="-4"/>
        </w:rPr>
        <w:t xml:space="preserve">virksomheter som er økonomisk aktive innenfor områder som er av særlig sikkerhetsmessig </w:t>
      </w:r>
      <w:r>
        <w:rPr>
          <w:spacing w:val="-2"/>
        </w:rPr>
        <w:t>viktighet. Det kan eksempelvis være områder som har tilknytning til kritisk teknologi. Ellers er det er opp til hvert enkelt medlemsland å definere hva som er kritisk infrastruktur.</w:t>
      </w:r>
      <w:r w:rsidR="00015951" w:rsidRPr="00015951">
        <w:rPr>
          <w:rStyle w:val="Fotnotereferanse"/>
        </w:rPr>
        <w:footnoteReference w:id="130"/>
      </w:r>
    </w:p>
    <w:p w14:paraId="2249E245" w14:textId="77777777" w:rsidR="004B1A63" w:rsidRDefault="004B1A63" w:rsidP="00371DDF">
      <w:pPr>
        <w:pStyle w:val="avsnitt-undertittel"/>
      </w:pPr>
      <w:r>
        <w:t>Kriterier som skal vurderes i screening</w:t>
      </w:r>
    </w:p>
    <w:p w14:paraId="077A4584" w14:textId="15617F85" w:rsidR="004B1A63" w:rsidRDefault="004B1A63" w:rsidP="006F4031">
      <w:r>
        <w:t xml:space="preserve">Det foreslåtte regelverket beskriver hvilke faktorer eller kriterier som skal vurderes for å avgjøre om en utenlandsk investering negativt kan påvirke sikkerhet eller offentlig orden – se artikkel 13 </w:t>
      </w:r>
      <w:r w:rsidR="00015951">
        <w:t>«</w:t>
      </w:r>
      <w:r>
        <w:t>Determination of likely negative impact on security and public order</w:t>
      </w:r>
      <w:r w:rsidR="00015951">
        <w:t>»</w:t>
      </w:r>
      <w:r>
        <w:t xml:space="preserve"> i forslaget til nytt regelverk.</w:t>
      </w:r>
    </w:p>
    <w:p w14:paraId="78C98143" w14:textId="77777777" w:rsidR="004B1A63" w:rsidRDefault="004B1A63">
      <w:r>
        <w:t>Faktorer som skal vurderes inkluderer blant annet påvirkningen på sikkerheten, integriteten og funksjonen til kritisk infrastruktur, tilgjengeligheten av kritiske teknologier (inkludert sentrale muliggjørende teknologier), fortsatt tilgang til kritiske innsatsfaktorer, beskyttelsen av sensitiv informasjon (inkludert personopplysninger) mv.</w:t>
      </w:r>
    </w:p>
    <w:p w14:paraId="6570DCE6" w14:textId="77777777" w:rsidR="004B1A63" w:rsidRPr="005342B1" w:rsidRDefault="004B1A63">
      <w:pPr>
        <w:rPr>
          <w:lang w:val="en-US"/>
        </w:rPr>
      </w:pPr>
      <w:r>
        <w:t xml:space="preserve">I vurderingen av eventuelle negative virkninger skal man også </w:t>
      </w:r>
      <w:r w:rsidRPr="00015951">
        <w:rPr>
          <w:rStyle w:val="kursiv"/>
        </w:rPr>
        <w:t>vurdere forhold knyttet til den utenlandske investoren selv</w:t>
      </w:r>
      <w:r>
        <w:t xml:space="preserve"> (eller noen som kontrollerer denne), herunder for eksempel om vedkommende tidligere har vært involvert i investeringer som etter screening enten er blitt avslått eller godtatt på vilkår, om vedkommende tidligere har deltatt i aktiviteter som negativt har påvirket sikkerheten eller offentlig orden i en medlemsstat, eller for eksempel også har deltatt i kriminell virksomhet. </w:t>
      </w:r>
      <w:r w:rsidRPr="005342B1">
        <w:rPr>
          <w:lang w:val="en-US"/>
        </w:rPr>
        <w:t xml:space="preserve">Men det </w:t>
      </w:r>
      <w:r w:rsidRPr="005342B1">
        <w:rPr>
          <w:lang w:val="en-US"/>
        </w:rPr>
        <w:lastRenderedPageBreak/>
        <w:t>kanskje viktigste vurderingskriteriet, sett i lys av utvalgets mandat, fremgår av forslaget til ny artikkel 13 bokstav (e):</w:t>
      </w:r>
    </w:p>
    <w:p w14:paraId="35D7639C" w14:textId="2DF6F8CD" w:rsidR="004B1A63" w:rsidRPr="00015951" w:rsidRDefault="004B1A63">
      <w:pPr>
        <w:pStyle w:val="blokksit"/>
        <w:ind w:left="624" w:hanging="340"/>
      </w:pPr>
      <w:r w:rsidRPr="00015951">
        <w:rPr>
          <w:lang w:val="en-US"/>
        </w:rPr>
        <w:t>(e)</w:t>
      </w:r>
      <w:r w:rsidRPr="00015951">
        <w:rPr>
          <w:lang w:val="en-US"/>
        </w:rPr>
        <w:tab/>
        <w:t>whether the foreign investor, a natural person or entity controlling the foreign investor, the beneficial owner of the foreign investor, any of the subsidiaries of the foreign investor, or any other party owned or controlled by, or acting on behalf or at the direction of the foreign investor is likely to pursue a third country</w:t>
      </w:r>
      <w:r w:rsidR="00015951">
        <w:rPr>
          <w:lang w:val="en-US"/>
        </w:rPr>
        <w:t>’</w:t>
      </w:r>
      <w:r w:rsidRPr="00015951">
        <w:rPr>
          <w:lang w:val="en-US"/>
        </w:rPr>
        <w:t>s policy objectives, or facilitate the development of a third country</w:t>
      </w:r>
      <w:r w:rsidR="00015951">
        <w:rPr>
          <w:lang w:val="en-US"/>
        </w:rPr>
        <w:t>’</w:t>
      </w:r>
      <w:r w:rsidRPr="00015951">
        <w:rPr>
          <w:lang w:val="en-US"/>
        </w:rPr>
        <w:t xml:space="preserve">s military capabilities. </w:t>
      </w:r>
      <w:r w:rsidRPr="00015951">
        <w:t>(utvalgets understrekning)</w:t>
      </w:r>
    </w:p>
    <w:p w14:paraId="23151B69" w14:textId="77777777" w:rsidR="004B1A63" w:rsidRDefault="004B1A63">
      <w:r>
        <w:t>Viktig er det også at det fremgår av artikkel 14 at vurdering av den eventuelle negative virkningen vil gjelde direkte for den aktuelle medlemsstaten der investeringen er tenkt gjennomført, men også vil kunne omfatte negative virkninger i andre medlemsland. Dette vil for eksempel kunne gjelde dersom investering i et selskap i et EU-medlemsland negativt påvirker leveransesikkerheten/verdikjeden til selskap i en annen EU-stat og dermed påvirker sikkerheten der.</w:t>
      </w:r>
    </w:p>
    <w:p w14:paraId="7BC94669" w14:textId="4DB2BBB1" w:rsidR="004B1A63" w:rsidRDefault="004B1A63">
      <w:r>
        <w:t>Forslaget til ny artikkel 14 inneholder også en egen bestemmelse i nr. 2 som sier at hvis investeringens negative påvirkning på sikkerhet eller offentlig orden kan løses med tilgjengelige tiltak i annen EU- eller nasjonal lovgivning så må myndigheten godkjenne investeringen uten vilkår.</w:t>
      </w:r>
      <w:r w:rsidR="00015951" w:rsidRPr="00015951">
        <w:rPr>
          <w:rStyle w:val="Fotnotereferanse"/>
        </w:rPr>
        <w:footnoteReference w:id="131"/>
      </w:r>
    </w:p>
    <w:p w14:paraId="739F1DFB" w14:textId="77777777" w:rsidR="004B1A63" w:rsidRDefault="004B1A63" w:rsidP="00371DDF">
      <w:pPr>
        <w:pStyle w:val="avsnitt-undertittel"/>
      </w:pPr>
      <w:r>
        <w:t>Forslaget innebærer krav til minimumsregulering</w:t>
      </w:r>
    </w:p>
    <w:p w14:paraId="3A4E1F7E" w14:textId="2A25354F" w:rsidR="004B1A63" w:rsidRDefault="004B1A63" w:rsidP="006F4031">
      <w:r>
        <w:t>Forslagene til nytt screeningregelverk oppstiller minimumskrav. Dette innebærer at den enkelte medlemsstat fortsatt vil kunne utvide omfanget av sin nasjonale kontroll ved å inkludere andre typer utenlandske investeringer eller for eksempel også utenlandske investeringer i andre sektorer enn de som er dekket av forslaget til regulering.</w:t>
      </w:r>
      <w:r w:rsidR="00015951" w:rsidRPr="00015951">
        <w:rPr>
          <w:rStyle w:val="Fotnotereferanse"/>
        </w:rPr>
        <w:footnoteReference w:id="132"/>
      </w:r>
    </w:p>
    <w:p w14:paraId="621B019C" w14:textId="77777777" w:rsidR="004B1A63" w:rsidRDefault="004B1A63" w:rsidP="00371DDF">
      <w:pPr>
        <w:pStyle w:val="del-tittel"/>
      </w:pPr>
      <w:r>
        <w:lastRenderedPageBreak/>
        <w:t>DEL IV Om målbilde for nasjonal kontroll og aktuelle tiltak</w:t>
      </w:r>
    </w:p>
    <w:p w14:paraId="6CE4E6FC" w14:textId="19A74D2D" w:rsidR="00F25864" w:rsidRPr="00F25864" w:rsidRDefault="004B4E04" w:rsidP="00F25864">
      <w:r>
        <w:rPr>
          <w:noProof/>
        </w:rPr>
        <w:drawing>
          <wp:inline distT="0" distB="0" distL="0" distR="0" wp14:anchorId="1CBCC861" wp14:editId="16180814">
            <wp:extent cx="3657600" cy="2581275"/>
            <wp:effectExtent l="0" t="0" r="0" b="0"/>
            <wp:docPr id="30" name="Bilde 10" descr="Bilde av bygning i sentrum av Oslo på kveldstid. I bakgrunnen skimtes Holmenkollåsen og skihop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10" descr="Bilde av bygning i sentrum av Oslo på kveldstid. I bakgrunnen skimtes Holmenkollåsen og skihoppe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41199989" w14:textId="77777777" w:rsidR="004B1A63" w:rsidRDefault="004B1A63" w:rsidP="00AF134A">
      <w:pPr>
        <w:pStyle w:val="Overskrift1"/>
      </w:pPr>
      <w:r>
        <w:t>En strukturert tilnærming til nasjonal kontroll</w:t>
      </w:r>
    </w:p>
    <w:p w14:paraId="2917D829" w14:textId="1AE967DE" w:rsidR="00F25864" w:rsidRPr="00F25864" w:rsidRDefault="004B4E04" w:rsidP="00F25864">
      <w:r>
        <w:rPr>
          <w:noProof/>
        </w:rPr>
        <w:drawing>
          <wp:inline distT="0" distB="0" distL="0" distR="0" wp14:anchorId="457BA3EE" wp14:editId="0D569E2B">
            <wp:extent cx="3657600" cy="2581275"/>
            <wp:effectExtent l="0" t="0" r="0" b="0"/>
            <wp:docPr id="31" name="Bilde 9" descr="Bilde av et skip brukes til å legge sjøfiberkab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9" descr="Bilde av et skip brukes til å legge sjøfiberkable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0E23EAC6" w14:textId="77777777" w:rsidR="004B1A63" w:rsidRDefault="004B1A63">
      <w:pPr>
        <w:pStyle w:val="Overskrift2"/>
      </w:pPr>
      <w:r>
        <w:t>Proaktive og reaktive nivåer</w:t>
      </w:r>
    </w:p>
    <w:p w14:paraId="12F264C8" w14:textId="77777777" w:rsidR="004B1A63" w:rsidRDefault="004B1A63" w:rsidP="006F4031">
      <w:r>
        <w:t xml:space="preserve">Myndighetene har de siste årene måtte håndtere flere konkrete saker med betydning for nasjonal kontroll med digital infrastruktur, som nevnt i punkt 4.4.3. Tilnærmingen har vært å håndtere disse sakene enkeltvis og fra sak til sak. Det foreligger ikke i dag et overordnet og langsiktig </w:t>
      </w:r>
      <w:r w:rsidRPr="00015951">
        <w:rPr>
          <w:rStyle w:val="kursiv"/>
        </w:rPr>
        <w:t>målbilde</w:t>
      </w:r>
      <w:r>
        <w:t xml:space="preserve"> for hva som er et tilstrekkelig nivå for nasjonal kontroll med kritisk digital infrastruktur.</w:t>
      </w:r>
    </w:p>
    <w:p w14:paraId="7810FEA1" w14:textId="6C5ACB4D" w:rsidR="004B1A63" w:rsidRDefault="004B1A63">
      <w:r>
        <w:t xml:space="preserve">Sikkerhetsloven har verktøy for å ivareta nasjonal kontroll, for eksempel gjennom eierskapskontroll for selskapene underlagt loven. Slik utvalget vurderer det, er denne eierskapskontrollen imidlertid ikke tilstrekkelig for å identifisere og proaktivt håndtere en potensielt langsiktig svekkelse av nasjonal kontroll som kan følge av gradvise endringer i markedssituasjonen, i teknologiutviklingen, og i de digitale infrastrukturenes internasjonale verdikjeder. </w:t>
      </w:r>
      <w:r w:rsidR="00015951">
        <w:t xml:space="preserve">Meld. St. </w:t>
      </w:r>
      <w:r w:rsidR="00015951">
        <w:t>9</w:t>
      </w:r>
      <w:r>
        <w:t xml:space="preserve"> (2022–2023) er i så måte et viktig steg i å sette i gang en mer helhetlig og langsiktig prosess rundt spørsmål om nasjonal kontroll.</w:t>
      </w:r>
    </w:p>
    <w:p w14:paraId="3F056C9C" w14:textId="77777777" w:rsidR="004B1A63" w:rsidRDefault="004B1A63">
      <w:r>
        <w:lastRenderedPageBreak/>
        <w:t xml:space="preserve">Etter utvalgets syn er det behov for å etablere et målbilde for nasjonal kontroll. Med et definert målbilde kan myndighetene vurdere om det er tilstrekkelig å opprettholde dagens nivå av nasjonal kontroll over digital infrastruktur, om dagens nivå kan reduseres uten at det har betydning for nasjonale sikkerhetsinteresser, eller om det er behov for å styrke den nasjonale kontrollen gjennom </w:t>
      </w:r>
      <w:r w:rsidRPr="00015951">
        <w:rPr>
          <w:rStyle w:val="kursiv"/>
        </w:rPr>
        <w:t>proaktive</w:t>
      </w:r>
      <w:r>
        <w:t xml:space="preserve"> strategier og handlingsplaner.</w:t>
      </w:r>
    </w:p>
    <w:p w14:paraId="4E247BE8" w14:textId="77777777" w:rsidR="004B1A63" w:rsidRDefault="004B1A63">
      <w:r>
        <w:t xml:space="preserve">Parallelt med dette må staten ha evne til å </w:t>
      </w:r>
      <w:r w:rsidRPr="00015951">
        <w:rPr>
          <w:rStyle w:val="kursiv"/>
        </w:rPr>
        <w:t>reaktivt</w:t>
      </w:r>
      <w:r>
        <w:t xml:space="preserve"> håndtere oppdukkende saker, herunder screening av utenlandske investeringer. Med et etablert målbilde vil myndighetene enklere kunne vurdere hvordan disse sakene konkret påvirker den nasjonale kontrollen. Figur 11.1 illustrerer de proaktive og reaktive nivåene og beskrives nærmere under.</w:t>
      </w:r>
    </w:p>
    <w:p w14:paraId="68B247F3" w14:textId="77777777" w:rsidR="004B1A63" w:rsidRDefault="004B1A63">
      <w:pPr>
        <w:pStyle w:val="figur-tittel"/>
      </w:pPr>
      <w:r>
        <w:t>Illustrasjon av proaktivt og reaktivt nivå.</w:t>
      </w:r>
    </w:p>
    <w:p w14:paraId="18E972C3" w14:textId="44F0C920" w:rsidR="004B1A63" w:rsidRDefault="004B4E04">
      <w:r>
        <w:rPr>
          <w:noProof/>
        </w:rPr>
        <w:drawing>
          <wp:inline distT="0" distB="0" distL="0" distR="0" wp14:anchorId="00CA69B2" wp14:editId="25839B7D">
            <wp:extent cx="3657600" cy="1390650"/>
            <wp:effectExtent l="0" t="0" r="0" b="0"/>
            <wp:docPr id="32"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57600" cy="1390650"/>
                    </a:xfrm>
                    <a:prstGeom prst="rect">
                      <a:avLst/>
                    </a:prstGeom>
                    <a:noFill/>
                    <a:ln>
                      <a:noFill/>
                    </a:ln>
                  </pic:spPr>
                </pic:pic>
              </a:graphicData>
            </a:graphic>
          </wp:inline>
        </w:drawing>
      </w:r>
    </w:p>
    <w:p w14:paraId="41A37642" w14:textId="77777777" w:rsidR="004B1A63" w:rsidRDefault="004B1A63">
      <w:pPr>
        <w:pStyle w:val="Overskrift3"/>
      </w:pPr>
      <w:r>
        <w:t>Det proaktive nivået – langsiktig målbilde, strategi og handlingsplaner</w:t>
      </w:r>
    </w:p>
    <w:p w14:paraId="36FC8856" w14:textId="77777777" w:rsidR="004B1A63" w:rsidRDefault="004B1A63">
      <w:r>
        <w:t>Det proaktive nivået innebærer at myndighetene etablerer et langsiktig mål på hvilke styringsevner og handlefriheter (jf. punkt 4.1.4) staten skal ha på ulike deler av den digitale infrastrukturen. Dette målbildet bør fastsettes etter føre-var-prinsippet, og være dimensjonert for scenarioer øverst i krisespekteret – krig og konflikt. Den proaktive tilnærmingen er viktig for å sikre at nødvendig styringsevne og handlefrihet over kritisk digital kommunikasjonsinfrastruktur allerede er etablert når det oppstår alvorlige situasjoner som utfordrer våre nasjonale sikkerhetsinteresser.</w:t>
      </w:r>
    </w:p>
    <w:p w14:paraId="1107143A" w14:textId="19A1A040" w:rsidR="004B1A63" w:rsidRDefault="004B1A63">
      <w:r>
        <w:t xml:space="preserve">Målbildet må veies opp mot andre viktige samfunnshensyn. Dette presiseres også i </w:t>
      </w:r>
      <w:r w:rsidR="00015951">
        <w:t xml:space="preserve">Meld. St. </w:t>
      </w:r>
      <w:r w:rsidR="00015951">
        <w:t>9</w:t>
      </w:r>
      <w:r>
        <w:t xml:space="preserve"> (2022–2023): </w:t>
      </w:r>
      <w:r w:rsidR="00015951">
        <w:t>«</w:t>
      </w:r>
      <w:r w:rsidRPr="00015951">
        <w:rPr>
          <w:rStyle w:val="kursiv"/>
        </w:rPr>
        <w:t>Nasjonal kontroll som virkemiddel må brukes på en slik måte at det bidrar til forutsigbarhet og tillit, og at det ikke fører til unødvendige begrensninger for verdiskapning og utenlandske investeringer i Norge, eller for norsk markedsadgang i utenlandske markeder.</w:t>
      </w:r>
      <w:r w:rsidR="00015951">
        <w:t>»</w:t>
      </w:r>
    </w:p>
    <w:p w14:paraId="579FA566" w14:textId="77777777" w:rsidR="004B1A63" w:rsidRDefault="004B1A63">
      <w:r>
        <w:t>Når målbildet er definert, må gapet mellom dagens situasjon og målbildet identifiseres. En viktig forutsetning for dette er at myndighetene er i stand til å etablere en god oversikt over infrastrukturen, og løpende opprettholde oversikten gjennom teknologiske, markedsmessige og selskapsmessige endringer.</w:t>
      </w:r>
    </w:p>
    <w:p w14:paraId="229919F7" w14:textId="77777777" w:rsidR="004B1A63" w:rsidRDefault="004B1A63">
      <w:r>
        <w:t>Myndighetene må etablere strategier og handlingsplaner for hvordan målbildet for nasjonal kontroll kan nås – og ivaretas – over tid. Dette kan gjøres gjennom å anvende en kombinasjon av hensiktsmessige virkemidler, nærmere omtalt i kapittel 9, overfor ulike deler av den digitale infrastrukturen. Virkemiddelapparatet spenner vidt, fra strategisk statlig eierskap til regulatoriske krav, tjenesteavtaler, tilskuddsordninger og internasjonalt beredskapssamarbeid.</w:t>
      </w:r>
    </w:p>
    <w:p w14:paraId="6685DF63" w14:textId="52C2DD37" w:rsidR="004B1A63" w:rsidRDefault="004B1A63">
      <w:r>
        <w:lastRenderedPageBreak/>
        <w:t xml:space="preserve">Det er viktig å poengtere at målbildet </w:t>
      </w:r>
      <w:r w:rsidRPr="00015951">
        <w:rPr>
          <w:rStyle w:val="kursiv"/>
        </w:rPr>
        <w:t>ikke</w:t>
      </w:r>
      <w:r>
        <w:t xml:space="preserve"> defineres i form av </w:t>
      </w:r>
      <w:r w:rsidR="00015951">
        <w:t>«</w:t>
      </w:r>
      <w:r>
        <w:t>utpeking</w:t>
      </w:r>
      <w:r w:rsidR="00015951">
        <w:t>»</w:t>
      </w:r>
      <w:r>
        <w:t xml:space="preserve"> av enkeltselskaper som for eksempel må opprettholde nasjonalt eierskap. I sektoren for elektronisk kommunikasjon er markedet og risikobildet svært dynamisk, og selskapsstrukturene endrer seg fortløpende gjennom oppkjøp, salg av eiendeler, sammenslåinger, partnerskap og teknologiendringer. Målbildet må i stedet defineres i form av hvilke styringsevner og handlefrihet staten har behov for innenfor de ulike kategorier av digital infrastruktur, som omtalt i figur 5.1.</w:t>
      </w:r>
    </w:p>
    <w:p w14:paraId="38D7BDD2" w14:textId="77777777" w:rsidR="004B1A63" w:rsidRDefault="004B1A63">
      <w:pPr>
        <w:pStyle w:val="Overskrift3"/>
      </w:pPr>
      <w:r>
        <w:t>Det reaktive nivået – screening og kontroll med økonomiske aktiviteter</w:t>
      </w:r>
    </w:p>
    <w:p w14:paraId="4799E77F" w14:textId="77777777" w:rsidR="004B1A63" w:rsidRDefault="004B1A63">
      <w:r>
        <w:t>Det reaktive nivået innebærer at staten kan kontrollere og potensielt gripe inn i økonomiske aktiviteter som kan skade nasjonale sikkerhetsinteresser, enten gjennom tap av nasjonal kontroll eller gjennom andre sikkerhetstruende forhold.</w:t>
      </w:r>
    </w:p>
    <w:p w14:paraId="7652D48A" w14:textId="0AA34EC5" w:rsidR="004B1A63" w:rsidRDefault="004B1A63">
      <w:r>
        <w:t xml:space="preserve">Det primære reaktive virkemidlet vil være screening av utenlandske investeringer for å vurdere om den økonomiske aktiviteten kan ha sikkerhetstruende effekt. I dag er det sikkerhetsloven som gir det rettslige grunnlaget for screening og eventuell inngripen. Videre fremgår det av </w:t>
      </w:r>
      <w:r w:rsidR="00015951">
        <w:t xml:space="preserve">Meld. St. </w:t>
      </w:r>
      <w:r w:rsidR="00015951">
        <w:t>9</w:t>
      </w:r>
      <w:r>
        <w:t xml:space="preserve"> (2024–2025) </w:t>
      </w:r>
      <w:r w:rsidRPr="00015951">
        <w:rPr>
          <w:rStyle w:val="kursiv"/>
        </w:rPr>
        <w:t>Totalberedskapsmeldingen</w:t>
      </w:r>
      <w:r>
        <w:t xml:space="preserve"> punkt 8.2 at regjeringen er i gang med å videreutvikle dagens ordning for investeringskontroll til å gjelde også investeringer i virksomheter som ikke er underlagt sikkerhetsloven, blant annet gjennom en ny lov for kontroll av utenlandske investeringer.</w:t>
      </w:r>
    </w:p>
    <w:p w14:paraId="62B0B76E" w14:textId="77777777" w:rsidR="004B1A63" w:rsidRDefault="004B1A63">
      <w:r>
        <w:t>I tillegg til screening av utenlandske investeringer, er det etter utvalgets syn også behov for at myndighetene har bedre oversikt og kontroll over andre økonomiske aktiviteter som påvirker nasjonal kontroll. Dette kan typisk være infrastrukturselskaper som velger nye partnerskap, driftskonsepter og teknologiløsninger som innebærer økt utenlandsk innflytelse og avhengighet. Dette trenger isolert sett ikke å ha en sikkerhetstruende effekt, men kan gradvis over tid bidra til å svekke statens styringsevner og handlefriheter over kritisk digital kommunikasjonsinfrastruktur. Eksempler på slik kontrollreduserende økonomisk aktivitet er nærmere beskrevet i punkt 4.3.</w:t>
      </w:r>
    </w:p>
    <w:p w14:paraId="3079D632" w14:textId="77777777" w:rsidR="004B1A63" w:rsidRDefault="004B1A63">
      <w:r>
        <w:t>Ved hjelp av et etablert målbilde som omtalt over, vil myndighetene kunne vurdere hvilken konkret effekt slike økonomiske aktiviteter har på nasjonal kontroll. Om de økonomiske aktivitetene kan tillates eller ikke, avhenger blant annet av kravene i sikkerhetsloven, og kravene til forsvarlig sikkerhet og beredskap i ekomloven med forskrifter. I mange tilfeller vil aktivitetene i seg selv være lovlige, men samtidig bidra til å bringe staten lenger vekk fra målbildet om nasjonal kontroll. Denne erkjennelsen må da reflekteres tilbake inn i de proaktive strategiene og handlingsplanene som omtalt over, slik at kompenserende tiltak kan gjennomføres.</w:t>
      </w:r>
    </w:p>
    <w:p w14:paraId="4D1B10D5" w14:textId="77777777" w:rsidR="004B1A63" w:rsidRDefault="004B1A63">
      <w:r>
        <w:t>Kapittel 12 går nærmere inn på beskrivelsen av det reaktive nivået, og vurderingskriterier knyttet til screening av og kontroll med økonomisk aktivitet.</w:t>
      </w:r>
    </w:p>
    <w:p w14:paraId="22619EF6" w14:textId="77777777" w:rsidR="004B1A63" w:rsidRDefault="004B1A63">
      <w:pPr>
        <w:pStyle w:val="Overskrift2"/>
      </w:pPr>
      <w:r>
        <w:lastRenderedPageBreak/>
        <w:t>Definisjoner av styringsevner og handlefrihet som ivaretar nasjonale sikkerhetsinteresser</w:t>
      </w:r>
    </w:p>
    <w:p w14:paraId="161C0635" w14:textId="77777777" w:rsidR="004B1A63" w:rsidRDefault="004B1A63" w:rsidP="006F4031">
      <w:r>
        <w:t xml:space="preserve">Utvalget har, jf. punkt 4.1.4, definert nasjonal kontroll som et produkt av statens selvstendige </w:t>
      </w:r>
      <w:r w:rsidRPr="00015951">
        <w:rPr>
          <w:rStyle w:val="kursiv"/>
        </w:rPr>
        <w:t>styringsevne</w:t>
      </w:r>
      <w:r>
        <w:t xml:space="preserve"> til å ta effektive beslutninger, og statens </w:t>
      </w:r>
      <w:r w:rsidRPr="00015951">
        <w:rPr>
          <w:rStyle w:val="kursiv"/>
        </w:rPr>
        <w:t>handlefrihet</w:t>
      </w:r>
      <w:r>
        <w:t xml:space="preserve"> til å gjennomføre beslutninger mest mulig uavhengig av utenlandske aktører.</w:t>
      </w:r>
    </w:p>
    <w:p w14:paraId="4C26D3A1" w14:textId="77777777" w:rsidR="004B1A63" w:rsidRDefault="004B1A63">
      <w:r>
        <w:t>I dette kapittelet drøfter utvalget nærmere hva slags styringsevne og hva slags handlefrihet staten bør ha for å ivareta nasjonale sikkerhetsinteresser knyttet til digital infrastruktur. Dette sees da i lys av utfordringsbildet beskrevet i punkt 4.2. Styringsevnene og handlefriheten utfyller hverandre, og påvirker hverandre, og utvalget presiserer at det også kan finnes andre sider av styringsevne og handlefrihet som ikke omtales her.</w:t>
      </w:r>
    </w:p>
    <w:p w14:paraId="0891A00F" w14:textId="77777777" w:rsidR="004B1A63" w:rsidRDefault="004B1A63">
      <w:pPr>
        <w:pStyle w:val="Overskrift3"/>
      </w:pPr>
      <w:r>
        <w:t>Statens styringsevner</w:t>
      </w:r>
    </w:p>
    <w:p w14:paraId="55B60763" w14:textId="77777777" w:rsidR="004B1A63" w:rsidRDefault="004B1A63" w:rsidP="0019382E">
      <w:pPr>
        <w:pStyle w:val="avsnitt-undertittel"/>
      </w:pPr>
      <w:r>
        <w:t>Evne til å ta eller påvirke beslutninger om eierskapstransaksjoner</w:t>
      </w:r>
    </w:p>
    <w:p w14:paraId="434633B0" w14:textId="77777777" w:rsidR="004B1A63" w:rsidRDefault="004B1A63" w:rsidP="006F4031">
      <w:r>
        <w:t>Denne styringsevnen handler om statens evne til å ta eller påvirke beslutninger om utenlandske eierskapstransaksjoner knyttet til selskaper som eier og forvalter kritisk digital kommunikasjonsinfrastruktur i Norge. Dette innebærer å kunne stoppe eller sette vilkår for transaksjoner som kan ha sikkerhetstruende effekt. Dette kan typisk være knyttet til at utenlandske aktører får tilgang til og kontroll med kunnskap, informasjon, infrastruktur eller eiendom, som kan utnyttes til for eksempel spionasje, påvirkningsoperasjoner, nedbygging av kapasitet, leveransenekt eller sabotasje.</w:t>
      </w:r>
    </w:p>
    <w:p w14:paraId="7739AECA" w14:textId="77777777" w:rsidR="004B1A63" w:rsidRDefault="004B1A63" w:rsidP="0019382E">
      <w:pPr>
        <w:pStyle w:val="avsnitt-undertittel"/>
      </w:pPr>
      <w:r>
        <w:t>Evne til å ta eller påvirke beslutninger om plassering av hovedkontorfunksjoner</w:t>
      </w:r>
    </w:p>
    <w:p w14:paraId="7AF38300" w14:textId="77777777" w:rsidR="004B1A63" w:rsidRDefault="004B1A63" w:rsidP="006F4031">
      <w:r>
        <w:t>Denne styringsevnen innebærer å kunne opprettholde nødvendig eierskapskontroll i statlig eide selskaper for å kunne ivareta de nasjonale sikkerhetsinteressene. Staten har ulike begrunnelser for statlig eierskap. I noen tilfeller er det å ivareta samfunnssikkerhet og beredskap det primære formålet. I andre tilfeller kan det være å ivareta hovedkontorfunksjoner i Norge. Utvalget mener at det å ivareta hovedkontorfunksjoner i Norge for strategisk viktige selskaper også har en betydning for nasjonal kontroll og derigjennom nasjonale sikkerhetsinteresser. Nasjonale sikkerhetsinteresser styrkes gjennom næringsklyngeeffekter, ved at norske hovedkontor gjerne tiltrekker seg kompetanse, forskningsressurser og investeringer, som sammen bygger opp et mer robust nasjonalt digitalt økosystem. Videre kan lokal tilstedeværelse bidra til å sikre tilgang til ekspertise i krisesituasjoner, og å styrke nasjonal beredskap gjennom tettere samarbeid med myndighetene.</w:t>
      </w:r>
    </w:p>
    <w:p w14:paraId="6AF58E82" w14:textId="77777777" w:rsidR="004B1A63" w:rsidRDefault="004B1A63" w:rsidP="0019382E">
      <w:pPr>
        <w:pStyle w:val="avsnitt-undertittel"/>
      </w:pPr>
      <w:r>
        <w:t>Evne til å ta eller påvirke beslutninger om teknologi- og leverandørvalg</w:t>
      </w:r>
    </w:p>
    <w:p w14:paraId="696906A3" w14:textId="77777777" w:rsidR="004B1A63" w:rsidRDefault="004B1A63" w:rsidP="006F4031">
      <w:r>
        <w:t xml:space="preserve">Statens evne til å ta eller påvirke beslutninger om teknologi- og leverandørvalg for kritisk digital infrastruktur kan være avgjørende for å sørge for at digital infrastruktur er pålitelig, trygg og i samsvar med nasjonale sikkerhetsinteresser. Styringsevnen handler om å kunne sette krav til hvilke leverandører og </w:t>
      </w:r>
      <w:r>
        <w:lastRenderedPageBreak/>
        <w:t>teknologier som tillates, basert på kriterier som sikkerhet og kvalitet, og som understøtter langsiktige strategiske mål. Dette innebærer også å redusere avhengigheten av utenlandske aktører som kan være underlagt fremmede staters interesser.</w:t>
      </w:r>
    </w:p>
    <w:p w14:paraId="7D308D54" w14:textId="77777777" w:rsidR="004B1A63" w:rsidRDefault="004B1A63" w:rsidP="0019382E">
      <w:pPr>
        <w:pStyle w:val="avsnitt-undertittel"/>
      </w:pPr>
      <w:r>
        <w:t>Evne til å ta eller påvirke beslutninger om driftskonsepter</w:t>
      </w:r>
    </w:p>
    <w:p w14:paraId="4AAAC1DB" w14:textId="77777777" w:rsidR="004B1A63" w:rsidRDefault="004B1A63" w:rsidP="006F4031">
      <w:r>
        <w:rPr>
          <w:spacing w:val="-2"/>
        </w:rPr>
        <w:t>Utkontraktering av kritiske funksjoner i tilknytning til digital infrastruktur til utlandet vil øke avhengigheten til utenlandske innsatsfaktorer. Videre kan driftskonsepter som opprettelse av fellesforetak eller konsortium sammen med utenlandske aktører øke den utenlandske innflytelsen på beslutninger som angår nasjonal kritisk digital infrastruktur. Statens styringsevne til å ta eller påvirke beslutninger om slike driftskonsepter handler da om å sørge for at den økte avhengigheten eller innflytelsen fra utlandet ikke får negativ påvirkning på nasjonale sikkerhetsinteresser. Aktuelle risikoer inkluderer blant annet redusert gjennomsiktighet og evne til å kontrollere sikkerhet hos de utenlandske tredjepartsaktørene, potensielle interessekonflikter mellom de samarbeidende partene i et fellesforetak eller konsortium, eller tap av strategisk nasjonal kunnskap og kompetanse.</w:t>
      </w:r>
    </w:p>
    <w:p w14:paraId="13DBCF98" w14:textId="77777777" w:rsidR="004B1A63" w:rsidRDefault="004B1A63" w:rsidP="0019382E">
      <w:pPr>
        <w:pStyle w:val="avsnitt-undertittel"/>
      </w:pPr>
      <w:r>
        <w:t>Evne til å ta eller påvirke beslutninger om infrastrukturinvesteringer av strategisk interesse</w:t>
      </w:r>
    </w:p>
    <w:p w14:paraId="72B7B64F" w14:textId="77777777" w:rsidR="004B1A63" w:rsidRDefault="004B1A63" w:rsidP="006F4031">
      <w:r>
        <w:t>Statens evne til å ta eller påvirke beslutninger om investeringer i digital infrastruktur som har strategisk og sikkerhetsmessig interesse, kan sees på fra to perspektiver. Det ene perspektivet er statens evne til å fremme infrastrukturinvesteringer som bygger opp under nasjonale strategiske sikkerhetsinteresser. Dette kan for eksempel være investeringer i fiberinfrastruktur for å bygge ut nasjonal redundans, styrke kapasitet og diversitet mellom Norge og utlandet, eller til Svalbard. Eller det kan være investeringer i sikkerhetsteknologi som skal styrke nasjonal digital infrastruktur.</w:t>
      </w:r>
    </w:p>
    <w:p w14:paraId="0CD9E878" w14:textId="2EEC8C0E" w:rsidR="004B1A63" w:rsidRDefault="004B1A63">
      <w:pPr>
        <w:rPr>
          <w:spacing w:val="-2"/>
        </w:rPr>
      </w:pPr>
      <w:r>
        <w:rPr>
          <w:spacing w:val="-2"/>
        </w:rPr>
        <w:t>Det andre perspektivet er statens evne til å kunne hindre infrastrukturinvesteringer i Norge (</w:t>
      </w:r>
      <w:r w:rsidR="00015951">
        <w:rPr>
          <w:spacing w:val="-2"/>
        </w:rPr>
        <w:t>«</w:t>
      </w:r>
      <w:r>
        <w:rPr>
          <w:spacing w:val="-2"/>
        </w:rPr>
        <w:t>greenfield</w:t>
      </w:r>
      <w:r w:rsidR="00015951">
        <w:rPr>
          <w:spacing w:val="-2"/>
        </w:rPr>
        <w:t>»</w:t>
      </w:r>
      <w:r>
        <w:rPr>
          <w:spacing w:val="-2"/>
        </w:rPr>
        <w:t xml:space="preserve"> investeringer) som svekker nasjonale sikkerhetsinteresser. Dette kan for eksempel være investeringer i fiberinfrastruktur til, eller i samarbeid med, land som Norge ikke har sikkerhetsmessig samarbeid med. Det kan være investeringer i nasjonal digital infrastruktur som skal benyttes til (fordekte) forskningsaktiviteter som kan true nasjonale sikkerhetsinteresser. Det kan også være investeringer i nye datasentre i Norge som direkte eller indirekte kan true nasjonale sikkerhetsinteresser, for eksempel på bakgrunn av hvem som eier eller er tenkt å ta i bruk datasenteret, hva datasenteret er tenkt å brukes til (f.eks. kryptoutvinning), eller omfanget av kraftressurser datasenteret beslaglegger.</w:t>
      </w:r>
    </w:p>
    <w:p w14:paraId="1EB7E923" w14:textId="77777777" w:rsidR="004B1A63" w:rsidRDefault="004B1A63" w:rsidP="0019382E">
      <w:pPr>
        <w:pStyle w:val="avsnitt-undertittel"/>
      </w:pPr>
      <w:r>
        <w:t>Evne til å ta eller påvirke beslutninger om nasjonale beredskapstiltak for krise og krig</w:t>
      </w:r>
    </w:p>
    <w:p w14:paraId="10779745" w14:textId="77777777" w:rsidR="004B1A63" w:rsidRDefault="004B1A63" w:rsidP="006F4031">
      <w:r>
        <w:t xml:space="preserve">Denne evnen innebærer at staten kan ta beslutninger som legger til rette for at den nasjonale digitale infrastrukturen kan tåle påkjenninger i hele krisespekteret fred, krise og krig. Særlig i kontekst av stadig økende avhengighet til utenlandske innsatsfaktorer i den digitale infrastrukturen, så vil slike beslutninger ofte måtte handle om å sikre en nasjonal beredskap for krise og krig som kompenserer for avhengighetene som ligger utenfor nasjonal kontroll og jurisdiksjon. Men det kan også handle om å ta </w:t>
      </w:r>
      <w:r>
        <w:lastRenderedPageBreak/>
        <w:t>beslutninger om beredskapstiltak og -avtaler med internasjonale partnere og allierte, for å sikre tilgang til felles internasjonale innsatsfaktorer i krise og krig. Se for øvrig nedenfor om handlefrihet i punkt 11.2.2.</w:t>
      </w:r>
    </w:p>
    <w:p w14:paraId="56F2E458" w14:textId="77777777" w:rsidR="004B1A63" w:rsidRDefault="004B1A63" w:rsidP="0019382E">
      <w:pPr>
        <w:pStyle w:val="avsnitt-undertittel"/>
      </w:pPr>
      <w:r>
        <w:t>Evne til å ta eller påvirke beslutninger om prioritering av ressurser i krise og krig</w:t>
      </w:r>
    </w:p>
    <w:p w14:paraId="3F2ED93D" w14:textId="77777777" w:rsidR="004B1A63" w:rsidRDefault="004B1A63" w:rsidP="006F4031">
      <w:r>
        <w:t>I krise og krig må man legge til grunn at tilgjengeligheten til digital kommunikasjonsinfrastruktur og til ressursene for å drifte og vedlikeholde denne, kan bli kraftig redusert. Det er derfor viktig at staten har styringsevne til å ta eller påvirke beslutninger om hvordan begrensede ressurser skal prioriteres. Dette behovet kan forsterkes dersom man har sterk avhengighet til utenlandske ressurser og innsatsfaktorer som man mister tilgang til. For eksempel kan det være snakk om å kunne ta beslutninger om trafikkstyring (f.eks. hvilke kommunikasjonstjenester som skal prioriteres), at enkeltaktører skal få prioritert tilgang til elektroniske kommunikasjonsnett (f.eks. Forsvaret), eller at staten overstyrer beslutninger om hvor tilgjengelig entreprenørkapasitet skal settes inn, for å ivareta nasjonale sikkerhetsbehov.</w:t>
      </w:r>
    </w:p>
    <w:p w14:paraId="0350C7C4" w14:textId="77777777" w:rsidR="004B1A63" w:rsidRDefault="004B1A63" w:rsidP="0019382E">
      <w:pPr>
        <w:pStyle w:val="avsnitt-undertittel"/>
      </w:pPr>
      <w:r>
        <w:t>Evne til å beskytte skjermingsverdig informasjon om digital infrastruktur</w:t>
      </w:r>
    </w:p>
    <w:p w14:paraId="4D0C4C12" w14:textId="77777777" w:rsidR="004B1A63" w:rsidRDefault="004B1A63" w:rsidP="006F4031">
      <w:r>
        <w:t>Informasjon om norsk digital infrastruktur og norske forhold kan skade nasjonale sikkerhetsinteresser dersom den kommer på avveie. Staten må ha evne til å sette vilkår om hvordan slik informasjon skal kunne håndteres opp mot utenlandske eiere, partnere og underleverandører. For eksempel er det innenfor sikkerhetslovens domene klare krav knyttet til kontroll av skjermingsverdig informasjon. Imidlertid kan mange informasjonselementer om kritisk digital infrastruktur som ikke er skjermingsverdig, likevel være av stor verdi for utenlandsk etterretning. Dette kan være informasjonselementer knyttet til teknologi, arkitektur, driftskonsepter, beredskapstiltak osv., som samlet gir omfattende innsikt om norske forhold.</w:t>
      </w:r>
    </w:p>
    <w:p w14:paraId="6BCF2C46" w14:textId="77777777" w:rsidR="004B1A63" w:rsidRDefault="004B1A63">
      <w:pPr>
        <w:pStyle w:val="Overskrift3"/>
      </w:pPr>
      <w:r>
        <w:t>Statens handlefrihet</w:t>
      </w:r>
    </w:p>
    <w:p w14:paraId="05E27331" w14:textId="77777777" w:rsidR="004B1A63" w:rsidRPr="005342B1" w:rsidRDefault="004B1A63" w:rsidP="0019382E">
      <w:pPr>
        <w:pStyle w:val="avsnitt-undertittel"/>
        <w:rPr>
          <w:lang w:val="nn-NO"/>
        </w:rPr>
      </w:pPr>
      <w:r w:rsidRPr="005342B1">
        <w:rPr>
          <w:lang w:val="nn-NO"/>
        </w:rPr>
        <w:t>Tilgang til fysisk digital infrastruktur på norsk jord</w:t>
      </w:r>
    </w:p>
    <w:p w14:paraId="5B69D8B8" w14:textId="77777777" w:rsidR="004B1A63" w:rsidRDefault="004B1A63" w:rsidP="006F4031">
      <w:r w:rsidRPr="005342B1">
        <w:rPr>
          <w:lang w:val="nn-NO"/>
        </w:rPr>
        <w:t xml:space="preserve">Fysisk lokalisering av den digitale infrastrukturen på norsk jord gir myndighetene jurisdiksjon og kontroll over de rent fysiske innsatsfaktorene som ligger til grunn for f.eks. lagring av data og produksjon av elektroniske kommunikasjonstjenester. </w:t>
      </w:r>
      <w:r>
        <w:t>Noe slik infrastruktur, som f.eks. fiberkabler, vil implisitt være lokalisert på norsk jord. Annen infrastruktur, som f.eks. datasentre og tjenesteproduksjonsinfrastruktur for mobil- og internettjenester kan imidlertid være fysisk lokalisert utenfor landets grenser. Å ha fysisk kontroll på og jurisdiksjon over den fysiske infrastrukturen, kan være avgjørende for handlefriheten til f.eks. å kunne ta effektive beslutninger om prioriteringer om bruk av infrastrukturen i krise og krig. Tilgang til beredskapsmateriell og reserveutstyr plassert på norsk jord er også relevant i denne sammenheng.</w:t>
      </w:r>
    </w:p>
    <w:p w14:paraId="06ABF459" w14:textId="77777777" w:rsidR="004B1A63" w:rsidRDefault="004B1A63" w:rsidP="0019382E">
      <w:pPr>
        <w:pStyle w:val="avsnitt-undertittel"/>
      </w:pPr>
      <w:r>
        <w:lastRenderedPageBreak/>
        <w:t>Tilgang til fysisk digital infrastruktur i utlandet</w:t>
      </w:r>
    </w:p>
    <w:p w14:paraId="0DC9A438" w14:textId="77777777" w:rsidR="004B1A63" w:rsidRDefault="004B1A63" w:rsidP="006F4031">
      <w:r>
        <w:t>For noen scenarioer kan det å ha fysisk digital infrastruktur plassert utenfor landets grenser, hos nære allierte, være fordelaktig. Dette gjelder særlig for sabotasje- og angrepsscenarioer der den nasjonale fysiske infrastrukturen blir fysisk ødelagt. Da vil det også å kunne nyttiggjøre seg tjenesteproduksjonsinfrastruktur som er fysisk plassert utenfor landets grenser, også bidra til å bygge opp under den nasjonale handlefriheten. For eksempel inngår det derfor i NSMs konseptvalgutredning om nasjonal sky, at data skal kunne evakueres til utlandet. Dette vil forutsette at det finnes tilgjengelig fysisk digital infrastruktur i utlandet for å migrere og oppbevare disse dataene.</w:t>
      </w:r>
    </w:p>
    <w:p w14:paraId="0BADC06E" w14:textId="77777777" w:rsidR="004B1A63" w:rsidRDefault="004B1A63" w:rsidP="0019382E">
      <w:pPr>
        <w:pStyle w:val="avsnitt-undertittel"/>
      </w:pPr>
      <w:r>
        <w:t>Tilgang til nasjonale ressurser og kompetanse</w:t>
      </w:r>
    </w:p>
    <w:p w14:paraId="23BBE566" w14:textId="77777777" w:rsidR="004B1A63" w:rsidRDefault="004B1A63" w:rsidP="006F4031">
      <w:r>
        <w:t>Tilsvarende som for fysisk infrastruktur på norsk jord, vil også tilgang til nasjonale ressurser og kompetanse styrke statens handlefrihet i krise og krig. Slik tilgang er viktig for blant annet design, konfigurasjon, overvåkning, drift, utbygging og feilretting av den digitale infrastrukturen. Koronapandemien i 2020 er et nært eksempel på hvordan tilgang til ressurser fra utlandet, for eksempel entreprenørkapasitet, kan bli strupet. I en krise- eller krigssituasjon må man forvente at både tilgjengeligheten til utenlandske ressurser og kompetanse reduseres, og samtidig som behovet for de samme ressursene øker.</w:t>
      </w:r>
    </w:p>
    <w:p w14:paraId="7A5C3EB0" w14:textId="77777777" w:rsidR="004B1A63" w:rsidRDefault="004B1A63" w:rsidP="0019382E">
      <w:pPr>
        <w:pStyle w:val="avsnitt-undertittel"/>
      </w:pPr>
      <w:r>
        <w:t>Tilgang til internasjonale ressurser og kompetanse</w:t>
      </w:r>
    </w:p>
    <w:p w14:paraId="3FDDCE76" w14:textId="77777777" w:rsidR="004B1A63" w:rsidRDefault="004B1A63" w:rsidP="006F4031">
      <w:r>
        <w:t>Gitt de komplekse og internasjonale verdikjedene som inngår i digital infrastruktur, vil det i praksis være umulig å ivareta handlefrihet utelukkende i form av tilgang til nasjonale ressurser og kompetanse for utvikling og drift. Derfor vil det være nødvendig å sikre handlefrihet også gjennom samarbeid med nære allierte, i Norden, NATO og EU. Et slikt samarbeid må ikke bare være basert på å ivareta behov i fredstid, men også ta inn over seg potensiell knapphet på ressurser og kompetanse, og tilhørende prioriteringer mellom allierte, i en krise- og krigssituasjon.</w:t>
      </w:r>
    </w:p>
    <w:p w14:paraId="3B466DB1" w14:textId="77777777" w:rsidR="004B1A63" w:rsidRDefault="004B1A63">
      <w:pPr>
        <w:pStyle w:val="Overskrift3"/>
      </w:pPr>
      <w:r>
        <w:t>Samlet oversikt – forholdet mellom styringsevner og handlefrihet og nasjonale sikkerhetsinteresser</w:t>
      </w:r>
    </w:p>
    <w:p w14:paraId="17EAFD90" w14:textId="77777777" w:rsidR="004B1A63" w:rsidRDefault="004B1A63">
      <w:r>
        <w:t>I tabell 11.1 og 11.2 oppsummerer utvalget drøftingene i punktene over, gjennom å kort beskrive hva som er de generelle sikkerhetsmessige begrunnelsene for de styringsevnene og handlefrihetene som staten har behov for. Dette danner igjen grunnlag for å definere konkrete målbilder som omtales i neste delkapittel.</w:t>
      </w:r>
    </w:p>
    <w:p w14:paraId="2D0E441F" w14:textId="6E98A250" w:rsidR="004B1A63" w:rsidRDefault="004B1A63">
      <w:pPr>
        <w:pStyle w:val="tabell-tittel"/>
      </w:pPr>
      <w:r>
        <w:t>Styringsevner</w:t>
      </w:r>
    </w:p>
    <w:tbl>
      <w:tblPr>
        <w:tblStyle w:val="StandardTabell"/>
        <w:tblW w:w="0" w:type="auto"/>
        <w:tblLayout w:type="fixed"/>
        <w:tblLook w:val="04A0" w:firstRow="1" w:lastRow="0" w:firstColumn="1" w:lastColumn="0" w:noHBand="0" w:noVBand="1"/>
      </w:tblPr>
      <w:tblGrid>
        <w:gridCol w:w="2551"/>
        <w:gridCol w:w="5386"/>
      </w:tblGrid>
      <w:tr w:rsidR="00C26A9D" w14:paraId="4EF8D3DC" w14:textId="77777777" w:rsidTr="003A6AF0">
        <w:trPr>
          <w:trHeight w:val="311"/>
        </w:trPr>
        <w:tc>
          <w:tcPr>
            <w:tcW w:w="2551" w:type="dxa"/>
          </w:tcPr>
          <w:p w14:paraId="175825B1" w14:textId="77777777" w:rsidR="004B1A63" w:rsidRDefault="004B1A63" w:rsidP="0019382E">
            <w:pPr>
              <w:pStyle w:val="TabellHode-kolonne"/>
            </w:pPr>
            <w:r>
              <w:t>Statens evne til å ta/påvirke beslutninger</w:t>
            </w:r>
          </w:p>
        </w:tc>
        <w:tc>
          <w:tcPr>
            <w:tcW w:w="5386" w:type="dxa"/>
          </w:tcPr>
          <w:p w14:paraId="2BAAB545" w14:textId="77777777" w:rsidR="004B1A63" w:rsidRDefault="004B1A63" w:rsidP="0019382E">
            <w:pPr>
              <w:pStyle w:val="TabellHode-kolonne"/>
            </w:pPr>
            <w:r>
              <w:t>Sikkerhetsmessig begrunnelse</w:t>
            </w:r>
          </w:p>
        </w:tc>
      </w:tr>
      <w:tr w:rsidR="00C26A9D" w14:paraId="75B593D2" w14:textId="77777777" w:rsidTr="003A6AF0">
        <w:trPr>
          <w:trHeight w:val="311"/>
        </w:trPr>
        <w:tc>
          <w:tcPr>
            <w:tcW w:w="2551" w:type="dxa"/>
          </w:tcPr>
          <w:p w14:paraId="3AE476D0" w14:textId="77777777" w:rsidR="004B1A63" w:rsidRDefault="004B1A63" w:rsidP="0019382E">
            <w:pPr>
              <w:pStyle w:val="TabellHode-rad"/>
            </w:pPr>
            <w:r>
              <w:lastRenderedPageBreak/>
              <w:t>Eierskapstransaksjoner</w:t>
            </w:r>
          </w:p>
        </w:tc>
        <w:tc>
          <w:tcPr>
            <w:tcW w:w="5386" w:type="dxa"/>
          </w:tcPr>
          <w:p w14:paraId="69AEE5DF" w14:textId="77777777" w:rsidR="004B1A63" w:rsidRDefault="004B1A63" w:rsidP="0019382E">
            <w:r>
              <w:t xml:space="preserve">Hindre at utenlandske aktører får kontroll med forvaltningen av infrastruktur på en slik måte at det innebærer risiko for </w:t>
            </w:r>
            <w:r>
              <w:rPr>
                <w:spacing w:val="-4"/>
              </w:rPr>
              <w:t>spionasje, påvirkningsoperasjoner, leveransenekt, sabotasje, e.l.</w:t>
            </w:r>
          </w:p>
        </w:tc>
      </w:tr>
      <w:tr w:rsidR="00C26A9D" w14:paraId="68BBE9B4" w14:textId="77777777" w:rsidTr="003A6AF0">
        <w:trPr>
          <w:trHeight w:val="311"/>
        </w:trPr>
        <w:tc>
          <w:tcPr>
            <w:tcW w:w="2551" w:type="dxa"/>
          </w:tcPr>
          <w:p w14:paraId="51F4CA23" w14:textId="19832819" w:rsidR="004B1A63" w:rsidRDefault="004B1A63" w:rsidP="0019382E">
            <w:pPr>
              <w:pStyle w:val="TabellHode-rad"/>
            </w:pPr>
            <w:r>
              <w:t>Plassering av hovedkontorfunksjoner</w:t>
            </w:r>
            <w:r w:rsidR="0019382E">
              <w:t xml:space="preserve"> </w:t>
            </w:r>
            <w:r>
              <w:t>i Norge</w:t>
            </w:r>
          </w:p>
        </w:tc>
        <w:tc>
          <w:tcPr>
            <w:tcW w:w="5386" w:type="dxa"/>
          </w:tcPr>
          <w:p w14:paraId="36FB7B74" w14:textId="77777777" w:rsidR="004B1A63" w:rsidRDefault="004B1A63" w:rsidP="0019382E">
            <w:r>
              <w:t>Sikre tett myndighetsdialog med statlig eide selskaper som forvalter strategisk viktig digital infrastruktur. Næringsklyngeeffekter styrker tilgang til ekspertise i krisesituasjoner.</w:t>
            </w:r>
          </w:p>
        </w:tc>
      </w:tr>
      <w:tr w:rsidR="00C26A9D" w14:paraId="6A3C970E" w14:textId="77777777" w:rsidTr="003A6AF0">
        <w:trPr>
          <w:trHeight w:val="311"/>
        </w:trPr>
        <w:tc>
          <w:tcPr>
            <w:tcW w:w="2551" w:type="dxa"/>
          </w:tcPr>
          <w:p w14:paraId="0C01930F" w14:textId="77777777" w:rsidR="004B1A63" w:rsidRDefault="004B1A63" w:rsidP="0019382E">
            <w:pPr>
              <w:pStyle w:val="TabellHode-rad"/>
            </w:pPr>
            <w:r>
              <w:t>Teknologi- og leverandørvalg</w:t>
            </w:r>
          </w:p>
        </w:tc>
        <w:tc>
          <w:tcPr>
            <w:tcW w:w="5386" w:type="dxa"/>
          </w:tcPr>
          <w:p w14:paraId="337352CF" w14:textId="77777777" w:rsidR="004B1A63" w:rsidRDefault="004B1A63" w:rsidP="0019382E">
            <w:r>
              <w:rPr>
                <w:spacing w:val="-4"/>
              </w:rPr>
              <w:t xml:space="preserve">Sikre pålitelighet og trygghet ved å sette krav til utenlandske leverandører og å redusere avhengighet av utenlandske </w:t>
            </w:r>
            <w:r>
              <w:rPr>
                <w:spacing w:val="-2"/>
              </w:rPr>
              <w:t>aktører som kan være underlagt fremmede staters interesser.</w:t>
            </w:r>
          </w:p>
        </w:tc>
      </w:tr>
      <w:tr w:rsidR="00C26A9D" w14:paraId="011F2823" w14:textId="77777777" w:rsidTr="003A6AF0">
        <w:trPr>
          <w:trHeight w:val="311"/>
        </w:trPr>
        <w:tc>
          <w:tcPr>
            <w:tcW w:w="2551" w:type="dxa"/>
          </w:tcPr>
          <w:p w14:paraId="317BD558" w14:textId="77777777" w:rsidR="004B1A63" w:rsidRDefault="004B1A63" w:rsidP="0019382E">
            <w:pPr>
              <w:pStyle w:val="TabellHode-rad"/>
            </w:pPr>
            <w:r>
              <w:t>Driftskonsepter (utkontraktering, fellesforetak, konsortium)</w:t>
            </w:r>
          </w:p>
        </w:tc>
        <w:tc>
          <w:tcPr>
            <w:tcW w:w="5386" w:type="dxa"/>
          </w:tcPr>
          <w:p w14:paraId="76B461F7" w14:textId="77777777" w:rsidR="004B1A63" w:rsidRDefault="004B1A63" w:rsidP="0019382E">
            <w:r>
              <w:t>Unngå sikkerhetstruende utenlandske verdikjeder ved utkontraktering og negativ utenlandsk innflytelse eller interessekonflikter i samarbeid med utenlandske aktører.</w:t>
            </w:r>
          </w:p>
        </w:tc>
      </w:tr>
      <w:tr w:rsidR="00C26A9D" w14:paraId="3BD590A8" w14:textId="77777777" w:rsidTr="003A6AF0">
        <w:trPr>
          <w:trHeight w:val="311"/>
        </w:trPr>
        <w:tc>
          <w:tcPr>
            <w:tcW w:w="2551" w:type="dxa"/>
          </w:tcPr>
          <w:p w14:paraId="23536D4E" w14:textId="77777777" w:rsidR="004B1A63" w:rsidRDefault="004B1A63" w:rsidP="0019382E">
            <w:pPr>
              <w:pStyle w:val="TabellHode-rad"/>
            </w:pPr>
            <w:r>
              <w:t>Infrastrukturinvesteringer av strategisk interesse</w:t>
            </w:r>
          </w:p>
        </w:tc>
        <w:tc>
          <w:tcPr>
            <w:tcW w:w="5386" w:type="dxa"/>
          </w:tcPr>
          <w:p w14:paraId="529511B8" w14:textId="77777777" w:rsidR="004B1A63" w:rsidRDefault="004B1A63" w:rsidP="0019382E">
            <w:r>
              <w:t>Fremme infrastrukturinvesteringer som styrker nasjonal sikkerhet, robusthet og redundans, og hindre infrastrukturinvesteringer som truer nasjonale sikkerhetsinteresser.</w:t>
            </w:r>
          </w:p>
        </w:tc>
      </w:tr>
      <w:tr w:rsidR="00C26A9D" w14:paraId="2A5E6888" w14:textId="77777777" w:rsidTr="003A6AF0">
        <w:trPr>
          <w:trHeight w:val="311"/>
        </w:trPr>
        <w:tc>
          <w:tcPr>
            <w:tcW w:w="2551" w:type="dxa"/>
          </w:tcPr>
          <w:p w14:paraId="0B1B3FDF" w14:textId="77777777" w:rsidR="004B1A63" w:rsidRDefault="004B1A63" w:rsidP="0019382E">
            <w:pPr>
              <w:pStyle w:val="TabellHode-rad"/>
            </w:pPr>
            <w:r>
              <w:t xml:space="preserve">Beredskapstiltak for krise og krig </w:t>
            </w:r>
          </w:p>
        </w:tc>
        <w:tc>
          <w:tcPr>
            <w:tcW w:w="5386" w:type="dxa"/>
          </w:tcPr>
          <w:p w14:paraId="2F6E0263" w14:textId="77777777" w:rsidR="004B1A63" w:rsidRDefault="004B1A63" w:rsidP="0019382E">
            <w:r>
              <w:rPr>
                <w:spacing w:val="-4"/>
              </w:rPr>
              <w:t xml:space="preserve">Forberede nasjonal digital infrastruktur for krise og krig som kompenserer for avhengigheter til utenlandske innsatsfaktorer, for eksempel gjennom nasjonale beredskapslagre. </w:t>
            </w:r>
          </w:p>
        </w:tc>
      </w:tr>
      <w:tr w:rsidR="00C26A9D" w14:paraId="1166E92F" w14:textId="77777777" w:rsidTr="003A6AF0">
        <w:trPr>
          <w:trHeight w:val="311"/>
        </w:trPr>
        <w:tc>
          <w:tcPr>
            <w:tcW w:w="2551" w:type="dxa"/>
          </w:tcPr>
          <w:p w14:paraId="02DCF7B6" w14:textId="1505D793" w:rsidR="004B1A63" w:rsidRDefault="004B1A63" w:rsidP="0019382E">
            <w:pPr>
              <w:pStyle w:val="TabellHode-rad"/>
            </w:pPr>
            <w:r>
              <w:t>Prioritering av ressurser</w:t>
            </w:r>
            <w:r w:rsidR="0019382E">
              <w:t xml:space="preserve"> </w:t>
            </w:r>
            <w:r>
              <w:t>i krise og krig</w:t>
            </w:r>
          </w:p>
        </w:tc>
        <w:tc>
          <w:tcPr>
            <w:tcW w:w="5386" w:type="dxa"/>
          </w:tcPr>
          <w:p w14:paraId="7217AD79" w14:textId="77777777" w:rsidR="004B1A63" w:rsidRDefault="004B1A63" w:rsidP="0019382E">
            <w:r>
              <w:rPr>
                <w:spacing w:val="-2"/>
              </w:rPr>
              <w:t xml:space="preserve">Sikre at staten kan prioritere ressurser for digital infrastruktur, </w:t>
            </w:r>
            <w:r>
              <w:t xml:space="preserve">som kan være begrenset av avhengigheter til utenlandske innsatsfaktorer. Inkluderer trafikkstyring og tilgang til nett. </w:t>
            </w:r>
          </w:p>
        </w:tc>
      </w:tr>
      <w:tr w:rsidR="00C26A9D" w14:paraId="3718F72C" w14:textId="77777777" w:rsidTr="003A6AF0">
        <w:trPr>
          <w:trHeight w:val="311"/>
        </w:trPr>
        <w:tc>
          <w:tcPr>
            <w:tcW w:w="2551" w:type="dxa"/>
          </w:tcPr>
          <w:p w14:paraId="340C5B9C" w14:textId="77777777" w:rsidR="004B1A63" w:rsidRDefault="004B1A63" w:rsidP="0019382E">
            <w:pPr>
              <w:pStyle w:val="TabellHode-rad"/>
            </w:pPr>
            <w:r>
              <w:t xml:space="preserve">Beskytte skjermingsverdig informasjon </w:t>
            </w:r>
          </w:p>
        </w:tc>
        <w:tc>
          <w:tcPr>
            <w:tcW w:w="5386" w:type="dxa"/>
          </w:tcPr>
          <w:p w14:paraId="5923379A" w14:textId="77777777" w:rsidR="004B1A63" w:rsidRDefault="004B1A63" w:rsidP="0019382E">
            <w:r>
              <w:t xml:space="preserve">Sikre at skjermingsverdig informasjon om norsk digital infrastruktur beskyttes i møte med utenlandske eiere, partnere og underleverandører. </w:t>
            </w:r>
          </w:p>
        </w:tc>
      </w:tr>
    </w:tbl>
    <w:p w14:paraId="4C0622B2" w14:textId="1C2BD32F" w:rsidR="004B1A63" w:rsidRDefault="004B1A63">
      <w:pPr>
        <w:pStyle w:val="tabell-tittel"/>
      </w:pPr>
      <w:r>
        <w:t>Handlefriheter</w:t>
      </w:r>
    </w:p>
    <w:tbl>
      <w:tblPr>
        <w:tblStyle w:val="StandardTabell"/>
        <w:tblW w:w="0" w:type="auto"/>
        <w:tblLayout w:type="fixed"/>
        <w:tblLook w:val="04A0" w:firstRow="1" w:lastRow="0" w:firstColumn="1" w:lastColumn="0" w:noHBand="0" w:noVBand="1"/>
      </w:tblPr>
      <w:tblGrid>
        <w:gridCol w:w="2551"/>
        <w:gridCol w:w="5386"/>
      </w:tblGrid>
      <w:tr w:rsidR="00C26A9D" w14:paraId="38AF4120" w14:textId="77777777" w:rsidTr="003A6AF0">
        <w:trPr>
          <w:trHeight w:val="311"/>
        </w:trPr>
        <w:tc>
          <w:tcPr>
            <w:tcW w:w="2551" w:type="dxa"/>
          </w:tcPr>
          <w:p w14:paraId="226DF676" w14:textId="77777777" w:rsidR="004B1A63" w:rsidRDefault="004B1A63" w:rsidP="0019382E">
            <w:pPr>
              <w:pStyle w:val="TabellHode-kolonne"/>
            </w:pPr>
            <w:r>
              <w:t xml:space="preserve">Statens handlefrihet </w:t>
            </w:r>
          </w:p>
        </w:tc>
        <w:tc>
          <w:tcPr>
            <w:tcW w:w="5386" w:type="dxa"/>
          </w:tcPr>
          <w:p w14:paraId="6F94C0A4" w14:textId="77777777" w:rsidR="004B1A63" w:rsidRDefault="004B1A63" w:rsidP="0019382E">
            <w:pPr>
              <w:pStyle w:val="TabellHode-kolonne"/>
            </w:pPr>
            <w:r>
              <w:t>Sikkerhetsmessig begrunnelse</w:t>
            </w:r>
          </w:p>
        </w:tc>
      </w:tr>
      <w:tr w:rsidR="00C26A9D" w:rsidRPr="005342B1" w14:paraId="0038EFCE" w14:textId="77777777" w:rsidTr="003A6AF0">
        <w:trPr>
          <w:trHeight w:val="311"/>
        </w:trPr>
        <w:tc>
          <w:tcPr>
            <w:tcW w:w="2551" w:type="dxa"/>
          </w:tcPr>
          <w:p w14:paraId="366231AE" w14:textId="77777777" w:rsidR="004B1A63" w:rsidRPr="005342B1" w:rsidRDefault="004B1A63" w:rsidP="0019382E">
            <w:pPr>
              <w:pStyle w:val="TabellHode-rad"/>
              <w:rPr>
                <w:lang w:val="nn-NO"/>
              </w:rPr>
            </w:pPr>
            <w:r w:rsidRPr="005342B1">
              <w:rPr>
                <w:lang w:val="nn-NO"/>
              </w:rPr>
              <w:t>Tilgang til fysisk digital infrastruktur på norsk jord</w:t>
            </w:r>
          </w:p>
        </w:tc>
        <w:tc>
          <w:tcPr>
            <w:tcW w:w="5386" w:type="dxa"/>
          </w:tcPr>
          <w:p w14:paraId="7018BDDE" w14:textId="77777777" w:rsidR="004B1A63" w:rsidRPr="005342B1" w:rsidRDefault="004B1A63" w:rsidP="0019382E">
            <w:pPr>
              <w:rPr>
                <w:lang w:val="nn-NO"/>
              </w:rPr>
            </w:pPr>
            <w:r w:rsidRPr="005342B1">
              <w:rPr>
                <w:lang w:val="nn-NO"/>
              </w:rPr>
              <w:t>Jurisdiksjon og kontroll over de fysiske innsatsfaktorene som ligger til grunn for datalagring og produksjon av digitale tjenester, inkludert reservemateriell og utstyr.</w:t>
            </w:r>
          </w:p>
        </w:tc>
      </w:tr>
      <w:tr w:rsidR="00C26A9D" w14:paraId="57D0CE68" w14:textId="77777777" w:rsidTr="003A6AF0">
        <w:trPr>
          <w:trHeight w:val="311"/>
        </w:trPr>
        <w:tc>
          <w:tcPr>
            <w:tcW w:w="2551" w:type="dxa"/>
          </w:tcPr>
          <w:p w14:paraId="23545295" w14:textId="77777777" w:rsidR="004B1A63" w:rsidRPr="005342B1" w:rsidRDefault="004B1A63" w:rsidP="0019382E">
            <w:pPr>
              <w:pStyle w:val="TabellHode-rad"/>
              <w:rPr>
                <w:lang w:val="nn-NO"/>
              </w:rPr>
            </w:pPr>
            <w:r w:rsidRPr="005342B1">
              <w:rPr>
                <w:lang w:val="nn-NO"/>
              </w:rPr>
              <w:lastRenderedPageBreak/>
              <w:t>Tilgang til fysisk digital infrastruktur i utlandet</w:t>
            </w:r>
          </w:p>
        </w:tc>
        <w:tc>
          <w:tcPr>
            <w:tcW w:w="5386" w:type="dxa"/>
          </w:tcPr>
          <w:p w14:paraId="74F0E010" w14:textId="77777777" w:rsidR="004B1A63" w:rsidRDefault="004B1A63" w:rsidP="0019382E">
            <w:r>
              <w:t>Tilgang til fysisk digital infrastruktur hos allierte for dataevakuering og tjenesteproduksjon ved sabotasje og ødeleggelse av infrastruktur i Norge.</w:t>
            </w:r>
          </w:p>
        </w:tc>
      </w:tr>
      <w:tr w:rsidR="00C26A9D" w14:paraId="6CE9BA47" w14:textId="77777777" w:rsidTr="003A6AF0">
        <w:trPr>
          <w:trHeight w:val="311"/>
        </w:trPr>
        <w:tc>
          <w:tcPr>
            <w:tcW w:w="2551" w:type="dxa"/>
          </w:tcPr>
          <w:p w14:paraId="008B4AB8" w14:textId="77777777" w:rsidR="004B1A63" w:rsidRDefault="004B1A63" w:rsidP="0019382E">
            <w:pPr>
              <w:pStyle w:val="TabellHode-rad"/>
            </w:pPr>
            <w:r>
              <w:t>Tilgang til nasjonale ressurser og kompetanse</w:t>
            </w:r>
          </w:p>
        </w:tc>
        <w:tc>
          <w:tcPr>
            <w:tcW w:w="5386" w:type="dxa"/>
          </w:tcPr>
          <w:p w14:paraId="7ABE2DA3" w14:textId="77777777" w:rsidR="004B1A63" w:rsidRDefault="004B1A63" w:rsidP="0019382E">
            <w:r>
              <w:t>Jurisdiksjon og kontroll over ressurser og kompetanse for design, konfigurasjon, overvåking, drift, utbygging og feilretting av digital infrastruktur.</w:t>
            </w:r>
          </w:p>
        </w:tc>
      </w:tr>
      <w:tr w:rsidR="00C26A9D" w14:paraId="564CEFC4" w14:textId="77777777" w:rsidTr="003A6AF0">
        <w:trPr>
          <w:trHeight w:val="311"/>
        </w:trPr>
        <w:tc>
          <w:tcPr>
            <w:tcW w:w="2551" w:type="dxa"/>
          </w:tcPr>
          <w:p w14:paraId="5D9C291B" w14:textId="77777777" w:rsidR="004B1A63" w:rsidRDefault="004B1A63" w:rsidP="0019382E">
            <w:pPr>
              <w:pStyle w:val="TabellHode-rad"/>
            </w:pPr>
            <w:r>
              <w:t>Tilgang til internasjonale ressurser og kompetanse</w:t>
            </w:r>
          </w:p>
        </w:tc>
        <w:tc>
          <w:tcPr>
            <w:tcW w:w="5386" w:type="dxa"/>
          </w:tcPr>
          <w:p w14:paraId="4AE1DFA1" w14:textId="77777777" w:rsidR="004B1A63" w:rsidRDefault="004B1A63" w:rsidP="0019382E">
            <w:r>
              <w:t xml:space="preserve">Samarbeid og planverk med allierte i Norden, NATO og EU for (gjensidig) utnyttelse av felles ressurser og kompetanse i krise og krig, som ikke kan oppnås gjennom nasjonale ressurser og kompetanse. </w:t>
            </w:r>
          </w:p>
        </w:tc>
      </w:tr>
    </w:tbl>
    <w:p w14:paraId="1D31999F" w14:textId="77777777" w:rsidR="004B1A63" w:rsidRDefault="004B1A63">
      <w:pPr>
        <w:pStyle w:val="Overskrift2"/>
      </w:pPr>
      <w:r>
        <w:t>Utarbeidelse av konkrete målbilder</w:t>
      </w:r>
    </w:p>
    <w:p w14:paraId="12DF198B" w14:textId="24EFC405" w:rsidR="004B1A63" w:rsidRDefault="004B1A63" w:rsidP="006F4031">
      <w:r>
        <w:t xml:space="preserve">Med utgangspunkt i styringsevnene og handlefrihetene i tabell 11.1 og 11.2 i punkt 11.2.3, så vil det være mulig for staten å bygge et samlet målbilde for de ulike kategoriene av infrastrukturer som vist i figur 5.1 i punkt 5.2. Dette kan gjøres ved å vurdere hvordan styringsevnene og handlefrihetene bidrar til nasjonale sikkerhetsinteresser i tabellen over, med konkrete målsetninger for hver enkelt infrastrukturkategori. På denne måten kan behovet for nasjonal kontroll identifiseres på tvers av </w:t>
      </w:r>
      <w:r w:rsidR="00015951">
        <w:t>«</w:t>
      </w:r>
      <w:r>
        <w:t>økosystemet</w:t>
      </w:r>
      <w:r w:rsidR="00015951">
        <w:t>»</w:t>
      </w:r>
      <w:r>
        <w:t xml:space="preserve"> for digital infrastruktur:</w:t>
      </w:r>
    </w:p>
    <w:p w14:paraId="13E3A67E" w14:textId="1B40C45C" w:rsidR="004B1A63" w:rsidRDefault="004B1A63">
      <w:pPr>
        <w:pStyle w:val="Listebombe"/>
      </w:pPr>
      <w:r>
        <w:t>Passiv infrastruktur (f.eks. fiberinfrastruktur, herunder sjøfiber)</w:t>
      </w:r>
    </w:p>
    <w:p w14:paraId="1F76DDB5" w14:textId="5989E243" w:rsidR="004B1A63" w:rsidRDefault="004B1A63">
      <w:pPr>
        <w:pStyle w:val="Listebombe"/>
      </w:pPr>
      <w:r>
        <w:t>Støtteinfrastruktur (f.eks. datasentre, fortifikatoriske anlegg, mobiltårn, jordstasjoner, klokkeinfrastruktur, nummerportering og opprinnelsesmarkering)</w:t>
      </w:r>
    </w:p>
    <w:p w14:paraId="2E24297E" w14:textId="11448645" w:rsidR="004B1A63" w:rsidRDefault="004B1A63">
      <w:pPr>
        <w:pStyle w:val="Listebombe"/>
      </w:pPr>
      <w:r>
        <w:t>Tjenesteproduksjonsinfrastruktur (f.eks. transportnett, bredbåndsnett, internett-infrastruktur, mobilnett og satellittkommunikasjonsinfrastruktur)</w:t>
      </w:r>
    </w:p>
    <w:p w14:paraId="3C589E37" w14:textId="15B4B066" w:rsidR="004B1A63" w:rsidRDefault="004B1A63">
      <w:r>
        <w:t xml:space="preserve">I tillegg vil behovet for nasjonal kontroll med personellressurser og kompetanse tas med i beregningen. Rasjonalet for denne helhetlige tilnærmingen er å unngå blindsoner som kan oppstå ved å rette for mye oppmerksomhet mot å sikre nasjonal kontroll med én eller noen typer infrastrukturer og funksjoner, mens man </w:t>
      </w:r>
      <w:r w:rsidR="00015951">
        <w:t>«</w:t>
      </w:r>
      <w:r>
        <w:t>glemmer</w:t>
      </w:r>
      <w:r w:rsidR="00015951">
        <w:t>»</w:t>
      </w:r>
      <w:r>
        <w:t xml:space="preserve"> andre.</w:t>
      </w:r>
    </w:p>
    <w:p w14:paraId="2EBA7CD9" w14:textId="77777777" w:rsidR="004B1A63" w:rsidRDefault="004B1A63">
      <w:r>
        <w:t>Det ligger utenfor utvalgets mandat å etablere et komplett målbilde som omfatter alle relevante infrastrukturkategorier. Denne oppgaven bør gjennomføres av myndighetene og vil også, avhengig av detaljeringsgrad, sannsynligvis være skjermingsverdig. Utvalget inkluderer likevel et eksempel i tabell 11.3 på hvordan et delmålbilde kan bygges ut for en gitt infrastrukturkategori. I eksemplet har utvalget gått nærmere inn på (passiv) fiberinfrastruktur.</w:t>
      </w:r>
    </w:p>
    <w:p w14:paraId="435454A4" w14:textId="69AF7B67" w:rsidR="004B1A63" w:rsidRPr="0019382E" w:rsidRDefault="004B1A63" w:rsidP="0019382E">
      <w:pPr>
        <w:pStyle w:val="tabell-tittel"/>
      </w:pPr>
      <w:r w:rsidRPr="0019382E">
        <w:lastRenderedPageBreak/>
        <w:t>Eksempel på styringsevner som kan inngå i et målbilde for fiberinfrastruktur</w:t>
      </w:r>
    </w:p>
    <w:tbl>
      <w:tblPr>
        <w:tblStyle w:val="StandardTabell"/>
        <w:tblW w:w="0" w:type="auto"/>
        <w:tblLayout w:type="fixed"/>
        <w:tblLook w:val="04A0" w:firstRow="1" w:lastRow="0" w:firstColumn="1" w:lastColumn="0" w:noHBand="0" w:noVBand="1"/>
      </w:tblPr>
      <w:tblGrid>
        <w:gridCol w:w="2551"/>
        <w:gridCol w:w="5386"/>
      </w:tblGrid>
      <w:tr w:rsidR="00C26A9D" w14:paraId="4C499559" w14:textId="77777777" w:rsidTr="003C00D6">
        <w:trPr>
          <w:trHeight w:val="311"/>
        </w:trPr>
        <w:tc>
          <w:tcPr>
            <w:tcW w:w="2551" w:type="dxa"/>
          </w:tcPr>
          <w:p w14:paraId="1540002E" w14:textId="77777777" w:rsidR="004B1A63" w:rsidRDefault="004B1A63" w:rsidP="0019382E">
            <w:pPr>
              <w:pStyle w:val="TabellHode-kolonne"/>
            </w:pPr>
            <w:r>
              <w:t>Statens evne til å ta/påvirke beslutninger</w:t>
            </w:r>
          </w:p>
        </w:tc>
        <w:tc>
          <w:tcPr>
            <w:tcW w:w="5386" w:type="dxa"/>
          </w:tcPr>
          <w:p w14:paraId="5353AE11" w14:textId="77777777" w:rsidR="004B1A63" w:rsidRDefault="004B1A63" w:rsidP="0019382E">
            <w:pPr>
              <w:pStyle w:val="TabellHode-kolonne"/>
            </w:pPr>
            <w:r>
              <w:t>Eksempel på aktuelle momenter til målbilde for kategori: fiberinfrastruktur</w:t>
            </w:r>
          </w:p>
        </w:tc>
      </w:tr>
      <w:tr w:rsidR="00C26A9D" w14:paraId="774485A1" w14:textId="77777777" w:rsidTr="003C00D6">
        <w:trPr>
          <w:trHeight w:val="311"/>
        </w:trPr>
        <w:tc>
          <w:tcPr>
            <w:tcW w:w="2551" w:type="dxa"/>
          </w:tcPr>
          <w:p w14:paraId="3DF342A3" w14:textId="77777777" w:rsidR="004B1A63" w:rsidRDefault="004B1A63" w:rsidP="0019382E">
            <w:pPr>
              <w:pStyle w:val="TabellHode-rad"/>
            </w:pPr>
            <w:r>
              <w:t>Eierskapstransaksjoner</w:t>
            </w:r>
          </w:p>
        </w:tc>
        <w:tc>
          <w:tcPr>
            <w:tcW w:w="5386" w:type="dxa"/>
          </w:tcPr>
          <w:p w14:paraId="38502FBF" w14:textId="77777777" w:rsidR="004B1A63" w:rsidRDefault="004B1A63" w:rsidP="0019382E">
            <w:r>
              <w:t>Styringsevne til å gjennomføre investeringskontroll for fiberselskaper underlagt sikkerhetsloven og eventuelt andre fiberselskaper som forvalter strategisk viktige fiberforbindelser.</w:t>
            </w:r>
          </w:p>
        </w:tc>
      </w:tr>
      <w:tr w:rsidR="00C26A9D" w14:paraId="61A976A1" w14:textId="77777777" w:rsidTr="003C00D6">
        <w:trPr>
          <w:trHeight w:val="311"/>
        </w:trPr>
        <w:tc>
          <w:tcPr>
            <w:tcW w:w="2551" w:type="dxa"/>
          </w:tcPr>
          <w:p w14:paraId="1AC76A20" w14:textId="77777777" w:rsidR="004B1A63" w:rsidRDefault="004B1A63" w:rsidP="0019382E">
            <w:pPr>
              <w:pStyle w:val="TabellHode-rad"/>
            </w:pPr>
            <w:r>
              <w:t>Plassering av hovedkontorfunksjoner</w:t>
            </w:r>
            <w:r>
              <w:br/>
              <w:t>i Norge</w:t>
            </w:r>
          </w:p>
        </w:tc>
        <w:tc>
          <w:tcPr>
            <w:tcW w:w="5386" w:type="dxa"/>
          </w:tcPr>
          <w:p w14:paraId="6F3F122F" w14:textId="60C606F1" w:rsidR="004B1A63" w:rsidRDefault="004B1A63" w:rsidP="0019382E">
            <w:r>
              <w:t>Styringsevne til å sikre at hovedkontorfunksjoner til statlig eide selskaper som råder over særlig strategisk viktig fiberinfrastruktur forblir i Norge.</w:t>
            </w:r>
            <w:r w:rsidR="00015951" w:rsidRPr="00015951">
              <w:rPr>
                <w:rStyle w:val="Fotnotereferanse"/>
              </w:rPr>
              <w:footnoteReference w:id="133"/>
            </w:r>
          </w:p>
        </w:tc>
      </w:tr>
      <w:tr w:rsidR="00C26A9D" w14:paraId="7AD74925" w14:textId="77777777" w:rsidTr="003C00D6">
        <w:trPr>
          <w:trHeight w:val="311"/>
        </w:trPr>
        <w:tc>
          <w:tcPr>
            <w:tcW w:w="2551" w:type="dxa"/>
          </w:tcPr>
          <w:p w14:paraId="3D38EB82" w14:textId="77777777" w:rsidR="004B1A63" w:rsidRDefault="004B1A63" w:rsidP="0019382E">
            <w:pPr>
              <w:pStyle w:val="TabellHode-rad"/>
            </w:pPr>
            <w:r>
              <w:t>Teknologi- og leverandørvalg</w:t>
            </w:r>
          </w:p>
        </w:tc>
        <w:tc>
          <w:tcPr>
            <w:tcW w:w="5386" w:type="dxa"/>
          </w:tcPr>
          <w:p w14:paraId="4BAFBF14" w14:textId="77777777" w:rsidR="004B1A63" w:rsidRDefault="004B1A63" w:rsidP="0019382E">
            <w:r>
              <w:t>Styringsevne til å ta eller påvirke beslutninger om valg av opprinnelsesland for fiberprodusenter som skal benyttes til kritisk fiberinfrastruktur.</w:t>
            </w:r>
          </w:p>
          <w:p w14:paraId="30424ED7" w14:textId="77777777" w:rsidR="004B1A63" w:rsidRDefault="004B1A63" w:rsidP="0019382E">
            <w:r>
              <w:t>Styringsevne til å ta eller påvirke beslutninger om valg av opprinnelsesland for fiberleverandører som skal benyttes til kritisk fiberinfrastruktur.</w:t>
            </w:r>
          </w:p>
        </w:tc>
      </w:tr>
      <w:tr w:rsidR="00C26A9D" w14:paraId="3E8B6FDC" w14:textId="77777777" w:rsidTr="003C00D6">
        <w:trPr>
          <w:trHeight w:val="311"/>
        </w:trPr>
        <w:tc>
          <w:tcPr>
            <w:tcW w:w="2551" w:type="dxa"/>
          </w:tcPr>
          <w:p w14:paraId="301E15BD" w14:textId="77777777" w:rsidR="004B1A63" w:rsidRDefault="004B1A63" w:rsidP="0019382E">
            <w:pPr>
              <w:pStyle w:val="TabellHode-rad"/>
            </w:pPr>
            <w:r>
              <w:t>Driftskonsepter (utkontraktering, fellesforetak, konsortium)</w:t>
            </w:r>
          </w:p>
        </w:tc>
        <w:tc>
          <w:tcPr>
            <w:tcW w:w="5386" w:type="dxa"/>
          </w:tcPr>
          <w:p w14:paraId="0D34D2E6" w14:textId="77777777" w:rsidR="004B1A63" w:rsidRDefault="004B1A63" w:rsidP="0019382E">
            <w:r>
              <w:t xml:space="preserve">Styringsevne til å ta eller påvirke beslutninger om etablering av fellesforetak/konsortium med utenlandske aktører for utbygging av fiberinfrastruktur som har nasjonalt strategisk og sikkerhetsmessig interesse. </w:t>
            </w:r>
          </w:p>
        </w:tc>
      </w:tr>
      <w:tr w:rsidR="00C26A9D" w14:paraId="67EB05C4" w14:textId="77777777" w:rsidTr="003C00D6">
        <w:trPr>
          <w:trHeight w:val="311"/>
        </w:trPr>
        <w:tc>
          <w:tcPr>
            <w:tcW w:w="2551" w:type="dxa"/>
          </w:tcPr>
          <w:p w14:paraId="064F2E81" w14:textId="77777777" w:rsidR="004B1A63" w:rsidRDefault="004B1A63" w:rsidP="0019382E">
            <w:pPr>
              <w:pStyle w:val="TabellHode-rad"/>
            </w:pPr>
            <w:r>
              <w:t>Infrastrukturinvesteringer av strategisk interesse</w:t>
            </w:r>
          </w:p>
        </w:tc>
        <w:tc>
          <w:tcPr>
            <w:tcW w:w="5386" w:type="dxa"/>
          </w:tcPr>
          <w:p w14:paraId="26B7CDB4" w14:textId="77777777" w:rsidR="004B1A63" w:rsidRDefault="004B1A63" w:rsidP="0019382E">
            <w:r>
              <w:rPr>
                <w:spacing w:val="-2"/>
              </w:rPr>
              <w:t>Styringsevne til å gjennomføre investeringskontroll av utenlandsk greenfield investeringer av fiberinfrastruktur i Norge.</w:t>
            </w:r>
          </w:p>
          <w:p w14:paraId="745B26C3" w14:textId="77777777" w:rsidR="004B1A63" w:rsidRDefault="004B1A63" w:rsidP="0019382E">
            <w:r>
              <w:t xml:space="preserve">Styringsevne til å gjennomføre egne investeringsbeslutninger om å bygge nye fiberstrekk som styrker nasjonal robusthet og redundans nasjonalt eller mot utlandet. </w:t>
            </w:r>
          </w:p>
        </w:tc>
      </w:tr>
      <w:tr w:rsidR="00C26A9D" w14:paraId="0BD4CED0" w14:textId="77777777" w:rsidTr="003C00D6">
        <w:trPr>
          <w:trHeight w:val="311"/>
        </w:trPr>
        <w:tc>
          <w:tcPr>
            <w:tcW w:w="2551" w:type="dxa"/>
          </w:tcPr>
          <w:p w14:paraId="3E492504" w14:textId="77777777" w:rsidR="004B1A63" w:rsidRDefault="004B1A63" w:rsidP="0019382E">
            <w:pPr>
              <w:pStyle w:val="TabellHode-rad"/>
            </w:pPr>
            <w:r>
              <w:t xml:space="preserve">Beredskapstiltak for krise og krig </w:t>
            </w:r>
          </w:p>
        </w:tc>
        <w:tc>
          <w:tcPr>
            <w:tcW w:w="5386" w:type="dxa"/>
          </w:tcPr>
          <w:p w14:paraId="171DEB1D" w14:textId="77777777" w:rsidR="004B1A63" w:rsidRDefault="004B1A63" w:rsidP="0019382E">
            <w:r>
              <w:t>Styringsevne til å ta eller påvirke beslutninger om fiberselskapers bestykking av beredskapslagre med fiber- og retteutstyr.</w:t>
            </w:r>
          </w:p>
          <w:p w14:paraId="71D17726" w14:textId="77777777" w:rsidR="004B1A63" w:rsidRDefault="004B1A63" w:rsidP="0019382E">
            <w:r>
              <w:lastRenderedPageBreak/>
              <w:t>Styringsevne til å gjennomføre egne investeringsbeslutninger om å bestykke nasjonale beredskapslagre med fiber- og retteutstyr.</w:t>
            </w:r>
          </w:p>
        </w:tc>
      </w:tr>
      <w:tr w:rsidR="00C26A9D" w14:paraId="2A032B13" w14:textId="77777777" w:rsidTr="003C00D6">
        <w:trPr>
          <w:trHeight w:val="311"/>
        </w:trPr>
        <w:tc>
          <w:tcPr>
            <w:tcW w:w="2551" w:type="dxa"/>
          </w:tcPr>
          <w:p w14:paraId="7E0ECB83" w14:textId="77777777" w:rsidR="004B1A63" w:rsidRDefault="004B1A63" w:rsidP="0019382E">
            <w:pPr>
              <w:pStyle w:val="TabellHode-rad"/>
            </w:pPr>
            <w:r>
              <w:lastRenderedPageBreak/>
              <w:t>Prioritering av ressurser</w:t>
            </w:r>
            <w:r>
              <w:br/>
              <w:t>i krise og krig</w:t>
            </w:r>
          </w:p>
        </w:tc>
        <w:tc>
          <w:tcPr>
            <w:tcW w:w="5386" w:type="dxa"/>
          </w:tcPr>
          <w:p w14:paraId="18A26B82" w14:textId="77777777" w:rsidR="004B1A63" w:rsidRDefault="004B1A63" w:rsidP="0019382E">
            <w:r>
              <w:t>Styringsevne til å ta kontroll på fiberinfrastruktur for å disponere kapasitet etter statens behov i krise/krig, f.eks. for Forsvaret.</w:t>
            </w:r>
          </w:p>
        </w:tc>
      </w:tr>
      <w:tr w:rsidR="00C26A9D" w14:paraId="5327EF99" w14:textId="77777777" w:rsidTr="003C00D6">
        <w:trPr>
          <w:trHeight w:val="311"/>
        </w:trPr>
        <w:tc>
          <w:tcPr>
            <w:tcW w:w="2551" w:type="dxa"/>
          </w:tcPr>
          <w:p w14:paraId="5698515E" w14:textId="77777777" w:rsidR="004B1A63" w:rsidRDefault="004B1A63" w:rsidP="0019382E">
            <w:pPr>
              <w:pStyle w:val="TabellHode-rad"/>
            </w:pPr>
            <w:r>
              <w:t xml:space="preserve">Beskytte skjermingsverdig informasjon </w:t>
            </w:r>
          </w:p>
        </w:tc>
        <w:tc>
          <w:tcPr>
            <w:tcW w:w="5386" w:type="dxa"/>
          </w:tcPr>
          <w:p w14:paraId="2C765858" w14:textId="77777777" w:rsidR="004B1A63" w:rsidRDefault="004B1A63" w:rsidP="0019382E">
            <w:r>
              <w:t xml:space="preserve">Styringsevne til å sikre beskyttelse av skjermingsverdig informasjon om fibertopologi og føringsveier overfor fiberutenlandske eiere, partnere og leverandører. </w:t>
            </w:r>
          </w:p>
        </w:tc>
      </w:tr>
    </w:tbl>
    <w:p w14:paraId="478BDB5F" w14:textId="2D709A75" w:rsidR="004B1A63" w:rsidRDefault="004B1A63">
      <w:pPr>
        <w:pStyle w:val="tabell-tittel"/>
        <w:rPr>
          <w:spacing w:val="-2"/>
        </w:rPr>
      </w:pPr>
      <w:r>
        <w:rPr>
          <w:spacing w:val="-4"/>
        </w:rPr>
        <w:t>Eksempel på handlefriheter som kan inngå i et målbilde for fiberinfrastruktur</w:t>
      </w:r>
    </w:p>
    <w:tbl>
      <w:tblPr>
        <w:tblStyle w:val="StandardTabell"/>
        <w:tblW w:w="0" w:type="auto"/>
        <w:tblLayout w:type="fixed"/>
        <w:tblLook w:val="04A0" w:firstRow="1" w:lastRow="0" w:firstColumn="1" w:lastColumn="0" w:noHBand="0" w:noVBand="1"/>
      </w:tblPr>
      <w:tblGrid>
        <w:gridCol w:w="2551"/>
        <w:gridCol w:w="5386"/>
      </w:tblGrid>
      <w:tr w:rsidR="00C26A9D" w14:paraId="5C0BFFED" w14:textId="77777777" w:rsidTr="003C00D6">
        <w:trPr>
          <w:trHeight w:val="311"/>
        </w:trPr>
        <w:tc>
          <w:tcPr>
            <w:tcW w:w="2551" w:type="dxa"/>
          </w:tcPr>
          <w:p w14:paraId="5B6BA307" w14:textId="77777777" w:rsidR="004B1A63" w:rsidRDefault="004B1A63" w:rsidP="0019382E">
            <w:pPr>
              <w:pStyle w:val="TabellHode-kolonne"/>
            </w:pPr>
            <w:r>
              <w:t xml:space="preserve">Statens handlefrihet </w:t>
            </w:r>
          </w:p>
        </w:tc>
        <w:tc>
          <w:tcPr>
            <w:tcW w:w="5386" w:type="dxa"/>
          </w:tcPr>
          <w:p w14:paraId="4B5A2360" w14:textId="77777777" w:rsidR="004B1A63" w:rsidRDefault="004B1A63" w:rsidP="0019382E">
            <w:pPr>
              <w:pStyle w:val="TabellHode-kolonne"/>
            </w:pPr>
            <w:r>
              <w:t>Eksempel på aktuelle momenter til målbilde for kategori: fiberinfrastruktur</w:t>
            </w:r>
          </w:p>
        </w:tc>
      </w:tr>
      <w:tr w:rsidR="00C26A9D" w14:paraId="47EE093F" w14:textId="77777777" w:rsidTr="003C00D6">
        <w:trPr>
          <w:trHeight w:val="311"/>
        </w:trPr>
        <w:tc>
          <w:tcPr>
            <w:tcW w:w="2551" w:type="dxa"/>
          </w:tcPr>
          <w:p w14:paraId="53661012" w14:textId="77777777" w:rsidR="004B1A63" w:rsidRPr="005342B1" w:rsidRDefault="004B1A63" w:rsidP="0019382E">
            <w:pPr>
              <w:pStyle w:val="TabellHode-rad"/>
              <w:rPr>
                <w:lang w:val="nn-NO"/>
              </w:rPr>
            </w:pPr>
            <w:r w:rsidRPr="005342B1">
              <w:rPr>
                <w:lang w:val="nn-NO"/>
              </w:rPr>
              <w:t>Tilgang til fysisk digital infrastruktur på norsk jord</w:t>
            </w:r>
          </w:p>
        </w:tc>
        <w:tc>
          <w:tcPr>
            <w:tcW w:w="5386" w:type="dxa"/>
          </w:tcPr>
          <w:p w14:paraId="0D836EBD" w14:textId="38E17766" w:rsidR="004B1A63" w:rsidRDefault="004B1A63" w:rsidP="0019382E">
            <w:r w:rsidRPr="005342B1">
              <w:rPr>
                <w:lang w:val="nn-NO"/>
              </w:rPr>
              <w:t xml:space="preserve">Landsdekkende nasjonal fiberinfrastruktur med redundans, jf. </w:t>
            </w:r>
            <w:r>
              <w:t>Nkoms målbilder om robuste transmisjonsnett for Norge 2030.</w:t>
            </w:r>
            <w:r w:rsidR="00015951" w:rsidRPr="00015951">
              <w:rPr>
                <w:rStyle w:val="Fotnotereferanse"/>
              </w:rPr>
              <w:footnoteReference w:id="134"/>
            </w:r>
          </w:p>
          <w:p w14:paraId="063C073B" w14:textId="77777777" w:rsidR="004B1A63" w:rsidRDefault="004B1A63" w:rsidP="0019382E">
            <w:r>
              <w:t>Nasjonale beredskapslagre dimensjonert for relevante krise-/krigsscenario.</w:t>
            </w:r>
          </w:p>
        </w:tc>
      </w:tr>
      <w:tr w:rsidR="00C26A9D" w:rsidRPr="005342B1" w14:paraId="4DF6C38F" w14:textId="77777777" w:rsidTr="003C00D6">
        <w:trPr>
          <w:trHeight w:val="311"/>
        </w:trPr>
        <w:tc>
          <w:tcPr>
            <w:tcW w:w="2551" w:type="dxa"/>
          </w:tcPr>
          <w:p w14:paraId="11E5932D" w14:textId="77777777" w:rsidR="004B1A63" w:rsidRPr="005342B1" w:rsidRDefault="004B1A63" w:rsidP="0019382E">
            <w:pPr>
              <w:pStyle w:val="TabellHode-rad"/>
              <w:rPr>
                <w:lang w:val="nn-NO"/>
              </w:rPr>
            </w:pPr>
            <w:r w:rsidRPr="005342B1">
              <w:rPr>
                <w:lang w:val="nn-NO"/>
              </w:rPr>
              <w:t>Tilgang til fysisk digital infrastruktur i utlandet</w:t>
            </w:r>
          </w:p>
        </w:tc>
        <w:tc>
          <w:tcPr>
            <w:tcW w:w="5386" w:type="dxa"/>
          </w:tcPr>
          <w:p w14:paraId="2F4BDE4B" w14:textId="7F826DA0" w:rsidR="004B1A63" w:rsidRPr="005342B1" w:rsidRDefault="004B1A63" w:rsidP="0019382E">
            <w:pPr>
              <w:rPr>
                <w:lang w:val="nn-NO"/>
              </w:rPr>
            </w:pPr>
            <w:r w:rsidRPr="005342B1">
              <w:rPr>
                <w:lang w:val="nn-NO"/>
              </w:rPr>
              <w:t>Redundans mellom Nord- og Sør-Norge via fiberføringer i Sverige, jf. Nkoms målbilde om fiberredundans gjennom Nordland.</w:t>
            </w:r>
            <w:r w:rsidR="00015951" w:rsidRPr="00015951">
              <w:rPr>
                <w:rStyle w:val="Fotnotereferanse"/>
              </w:rPr>
              <w:footnoteReference w:id="135"/>
            </w:r>
          </w:p>
          <w:p w14:paraId="0C9BBEE3" w14:textId="77777777" w:rsidR="004B1A63" w:rsidRPr="005342B1" w:rsidRDefault="004B1A63" w:rsidP="0019382E">
            <w:pPr>
              <w:rPr>
                <w:lang w:val="nn-NO"/>
              </w:rPr>
            </w:pPr>
            <w:r w:rsidRPr="005342B1">
              <w:rPr>
                <w:lang w:val="nn-NO"/>
              </w:rPr>
              <w:t>Nordiske beredskapslagre dimensjonert for relevante konflikt-/krigsscenario, jf. anbefaling om digital sikkerhet i totalberedskapskommisjonen.</w:t>
            </w:r>
          </w:p>
        </w:tc>
      </w:tr>
      <w:tr w:rsidR="00C26A9D" w14:paraId="3F0D430C" w14:textId="77777777" w:rsidTr="003C00D6">
        <w:trPr>
          <w:trHeight w:val="311"/>
        </w:trPr>
        <w:tc>
          <w:tcPr>
            <w:tcW w:w="2551" w:type="dxa"/>
          </w:tcPr>
          <w:p w14:paraId="0EB92E87" w14:textId="77777777" w:rsidR="004B1A63" w:rsidRDefault="004B1A63" w:rsidP="0019382E">
            <w:pPr>
              <w:pStyle w:val="TabellHode-rad"/>
            </w:pPr>
            <w:r>
              <w:t>Tilgang til nasjonale ressurser og kompetanse</w:t>
            </w:r>
          </w:p>
        </w:tc>
        <w:tc>
          <w:tcPr>
            <w:tcW w:w="5386" w:type="dxa"/>
          </w:tcPr>
          <w:p w14:paraId="713AA1E5" w14:textId="77777777" w:rsidR="004B1A63" w:rsidRDefault="004B1A63" w:rsidP="0019382E">
            <w:r>
              <w:t>Nasjonal entreprenørkapasitet (fiberlegging, fiberretting) dimensjonert for relevante konflikt-/krigsscenario.</w:t>
            </w:r>
          </w:p>
          <w:p w14:paraId="7161B883" w14:textId="77777777" w:rsidR="004B1A63" w:rsidRDefault="004B1A63" w:rsidP="0019382E">
            <w:r>
              <w:t>Nasjonal rettekapasitet for kystnære sjøfiberkabler (kabelskip, utstyr og kompetanse).</w:t>
            </w:r>
          </w:p>
          <w:p w14:paraId="4CF07033" w14:textId="77777777" w:rsidR="004B1A63" w:rsidRDefault="004B1A63" w:rsidP="0019382E">
            <w:r>
              <w:lastRenderedPageBreak/>
              <w:t>Nasjonal rettekapasitet for sjøfiberkabler på norsk kontinentalsokkel (kabelskip, utstyr og kompetanse).</w:t>
            </w:r>
          </w:p>
        </w:tc>
      </w:tr>
      <w:tr w:rsidR="00C26A9D" w14:paraId="57EA0D27" w14:textId="77777777" w:rsidTr="003C00D6">
        <w:trPr>
          <w:trHeight w:val="311"/>
        </w:trPr>
        <w:tc>
          <w:tcPr>
            <w:tcW w:w="2551" w:type="dxa"/>
          </w:tcPr>
          <w:p w14:paraId="7AD1FA20" w14:textId="77777777" w:rsidR="004B1A63" w:rsidRDefault="004B1A63" w:rsidP="0019382E">
            <w:pPr>
              <w:pStyle w:val="TabellHode-rad"/>
            </w:pPr>
            <w:r>
              <w:lastRenderedPageBreak/>
              <w:t>Tilgang til internasjonale ressurser og kompetanse</w:t>
            </w:r>
          </w:p>
        </w:tc>
        <w:tc>
          <w:tcPr>
            <w:tcW w:w="5386" w:type="dxa"/>
          </w:tcPr>
          <w:p w14:paraId="64758480" w14:textId="77777777" w:rsidR="004B1A63" w:rsidRDefault="004B1A63" w:rsidP="0019382E">
            <w:r>
              <w:t>Nordisk samarbeid om entreprenørressurser i krisesituasjoner.</w:t>
            </w:r>
          </w:p>
          <w:p w14:paraId="0B690B7A" w14:textId="77777777" w:rsidR="004B1A63" w:rsidRDefault="004B1A63" w:rsidP="0019382E">
            <w:r>
              <w:t>Internasjonalt samarbeid om rettekapasitet for sjøfiberkabler på norsk kontinentalsokkel.</w:t>
            </w:r>
          </w:p>
        </w:tc>
      </w:tr>
    </w:tbl>
    <w:p w14:paraId="3E4A6A42" w14:textId="77777777" w:rsidR="004B1A63" w:rsidRDefault="004B1A63">
      <w:pPr>
        <w:pStyle w:val="Overskrift2"/>
        <w:spacing w:before="694"/>
      </w:pPr>
      <w:r>
        <w:t>Gap mellom nåsituasjon og målbildene</w:t>
      </w:r>
    </w:p>
    <w:p w14:paraId="47DB4343" w14:textId="77777777" w:rsidR="004B1A63" w:rsidRDefault="004B1A63" w:rsidP="006F4031">
      <w:r>
        <w:t>Mens utvalget i punkt 11.3 går nærmere inn på hvordan myndighetene kan etablere konkrete målbilder for hver infrastrukturkategori, drøfter utvalget her hvordan et eventuelt gap mellom målbildene og nåsituasjonen kan identifiseres.</w:t>
      </w:r>
    </w:p>
    <w:p w14:paraId="41B040A6" w14:textId="77777777" w:rsidR="004B1A63" w:rsidRDefault="004B1A63">
      <w:r>
        <w:t>At et målbilde er realisert innebærer at staten har – og evner å ta i bruk – egnede virkemidler som gir de nærmere definerte styringsevnene. Videre innebærer det at staten har benyttet virkemidlene til å etablere den nødvendige handlefriheten i form av de beskrevne tilgangene til infrastruktur, ressurser og kompetanse. Dette forholdet illustreres i figur 11.2.</w:t>
      </w:r>
    </w:p>
    <w:p w14:paraId="21ACFBF2" w14:textId="77777777" w:rsidR="004B1A63" w:rsidRDefault="004B1A63">
      <w:pPr>
        <w:pStyle w:val="figur-tittel"/>
      </w:pPr>
      <w:r>
        <w:t>Forholdet mellom målbilde og virkemidler.</w:t>
      </w:r>
    </w:p>
    <w:p w14:paraId="61493C46" w14:textId="1641F842" w:rsidR="003C00D6" w:rsidRDefault="004B4E04">
      <w:pPr>
        <w:spacing w:before="340"/>
      </w:pPr>
      <w:r>
        <w:rPr>
          <w:noProof/>
        </w:rPr>
        <w:drawing>
          <wp:inline distT="0" distB="0" distL="0" distR="0" wp14:anchorId="03BD523F" wp14:editId="464D1596">
            <wp:extent cx="3657600" cy="695325"/>
            <wp:effectExtent l="0" t="0" r="0" b="0"/>
            <wp:docPr id="33"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57600" cy="695325"/>
                    </a:xfrm>
                    <a:prstGeom prst="rect">
                      <a:avLst/>
                    </a:prstGeom>
                    <a:noFill/>
                    <a:ln>
                      <a:noFill/>
                    </a:ln>
                  </pic:spPr>
                </pic:pic>
              </a:graphicData>
            </a:graphic>
          </wp:inline>
        </w:drawing>
      </w:r>
    </w:p>
    <w:p w14:paraId="25659AC3" w14:textId="456F7E33" w:rsidR="004B1A63" w:rsidRDefault="004B1A63">
      <w:pPr>
        <w:spacing w:before="340"/>
      </w:pPr>
      <w:r>
        <w:t>Utvalget har i kapittel 9 gitt en beskrivelse av de virkemidlene staten rår over, som kan gi grunnlag for slik nasjonal kontroll. Disse kan oppsummeres som følger:</w:t>
      </w:r>
    </w:p>
    <w:p w14:paraId="45EEFB03" w14:textId="2241F47D" w:rsidR="004B1A63" w:rsidRDefault="004B1A63">
      <w:pPr>
        <w:pStyle w:val="Listebombe"/>
      </w:pPr>
      <w:r>
        <w:t>Nasjonalt eierskap (statlig, kommunalt/fylkeskommunalt og privat)</w:t>
      </w:r>
    </w:p>
    <w:p w14:paraId="7C208990" w14:textId="468C1597" w:rsidR="004B1A63" w:rsidRDefault="004B1A63">
      <w:pPr>
        <w:pStyle w:val="Listebombe"/>
      </w:pPr>
      <w:r>
        <w:t>Regulering (f.eks. sikkerhetsloven, ekomloven, digitalsikkerhetsloven, beredskapslovgivning, lov om militære rekvisisjoner, mv.)</w:t>
      </w:r>
    </w:p>
    <w:p w14:paraId="074A5399" w14:textId="339C04BF" w:rsidR="004B1A63" w:rsidRDefault="004B1A63">
      <w:pPr>
        <w:pStyle w:val="Listebombe"/>
      </w:pPr>
      <w:r>
        <w:t>Statlige overføringer</w:t>
      </w:r>
    </w:p>
    <w:p w14:paraId="4975D8D7" w14:textId="4E4B2160" w:rsidR="004B1A63" w:rsidRDefault="004B1A63">
      <w:pPr>
        <w:pStyle w:val="Listebombe"/>
      </w:pPr>
      <w:r>
        <w:t>Kontrakter og avtaler (statlig tjenestekjøp og andre privatrettslige avtaler)</w:t>
      </w:r>
    </w:p>
    <w:p w14:paraId="490C9C27" w14:textId="0FBC02BB" w:rsidR="004B1A63" w:rsidRDefault="004B1A63">
      <w:pPr>
        <w:pStyle w:val="Listebombe"/>
      </w:pPr>
      <w:r>
        <w:t>Informasjon, veiledning, dialog og samarbeid</w:t>
      </w:r>
    </w:p>
    <w:p w14:paraId="03CF5B2A" w14:textId="2C721DED" w:rsidR="004B1A63" w:rsidRDefault="004B1A63">
      <w:pPr>
        <w:pStyle w:val="Listebombe"/>
      </w:pPr>
      <w:r>
        <w:t>Internasjonalt samarbeid</w:t>
      </w:r>
    </w:p>
    <w:p w14:paraId="44E90950" w14:textId="77777777" w:rsidR="004B1A63" w:rsidRDefault="004B1A63">
      <w:r>
        <w:t>Det er åpenbart at de forskjellige styringsevnene og handlefrihetene forutsetter ulike typer virkemidler. Utvalget vurderer at regulering vil være det mest sentrale i virkemiddelapparatet for nasjonal kontroll med digital kommunikasjonsinfrastruktur, men at de øvrige virkemidlene også er viktige for å utfylle målbildet. Ser man på eksempelet med fiberinfrastruktur i tabell 11.3, vil regulering være sentralt for mange styringsevner, men også en rekke andre virkemidler.</w:t>
      </w:r>
    </w:p>
    <w:p w14:paraId="3B171E99" w14:textId="3CA21A55" w:rsidR="004B1A63" w:rsidRDefault="004B1A63">
      <w:r>
        <w:lastRenderedPageBreak/>
        <w:t xml:space="preserve">For eksempel vil </w:t>
      </w:r>
      <w:r w:rsidR="00015951">
        <w:t>«</w:t>
      </w:r>
      <w:r w:rsidRPr="00015951">
        <w:rPr>
          <w:rStyle w:val="kursiv"/>
        </w:rPr>
        <w:t>styringsevne til å sikre at hovedkontorfunksjoner til statlig eide selskaper som råder over særlig strategisk viktig fiberinfrastruktur forblir i Norge</w:t>
      </w:r>
      <w:r w:rsidR="00015951">
        <w:t>»</w:t>
      </w:r>
      <w:r>
        <w:t xml:space="preserve"> måtte realiseres gjennom eierskap, ved at staten beholder over en tredel eierskap i de aktuelle selskapene. Se eksempel i tabell 11.5, jf. figur 11.2.</w:t>
      </w:r>
    </w:p>
    <w:p w14:paraId="29B639FE" w14:textId="23A657F9" w:rsidR="00C44C45" w:rsidRDefault="004B1A63" w:rsidP="006022C5">
      <w:pPr>
        <w:pStyle w:val="tabell-tittel"/>
      </w:pPr>
      <w:r>
        <w:rPr>
          <w:spacing w:val="-6"/>
        </w:rPr>
        <w:t>Eksempel på gapvurdering, og hvor fastsetting av gap/avvik mellom målbildet og gjeldende tilstand kan representeres langs tre nivåer (begrenset/moderat/betydelig gap).</w:t>
      </w:r>
      <w:r>
        <w:rPr>
          <w:spacing w:val="-6"/>
        </w:rPr>
        <w:br/>
      </w:r>
      <w:r w:rsidR="004B4E04">
        <w:rPr>
          <w:noProof/>
        </w:rPr>
        <w:drawing>
          <wp:inline distT="0" distB="0" distL="0" distR="0" wp14:anchorId="734EFD09" wp14:editId="0F7C03B1">
            <wp:extent cx="3657600" cy="1304925"/>
            <wp:effectExtent l="0" t="0" r="0" b="0"/>
            <wp:docPr id="34"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57600" cy="1304925"/>
                    </a:xfrm>
                    <a:prstGeom prst="rect">
                      <a:avLst/>
                    </a:prstGeom>
                    <a:noFill/>
                    <a:ln>
                      <a:noFill/>
                    </a:ln>
                  </pic:spPr>
                </pic:pic>
              </a:graphicData>
            </a:graphic>
          </wp:inline>
        </w:drawing>
      </w:r>
    </w:p>
    <w:p w14:paraId="2140BF6C" w14:textId="34A60057" w:rsidR="004B1A63" w:rsidRDefault="004B1A63">
      <w:pPr>
        <w:spacing w:before="340"/>
        <w:rPr>
          <w:spacing w:val="-2"/>
        </w:rPr>
      </w:pPr>
      <w:r>
        <w:t xml:space="preserve">Tilsvarende må myndighetene vurdere statens virkemidler for de andre styringsevnene og handlefrihetene innenfor infrastrukturkategorien. Dersom man for eksempel ser på styringsevnen </w:t>
      </w:r>
      <w:r w:rsidR="00015951">
        <w:t>«</w:t>
      </w:r>
      <w:r w:rsidRPr="00015951">
        <w:rPr>
          <w:rStyle w:val="kursiv"/>
        </w:rPr>
        <w:t>Beslutninger om fiberselskapers bestykking av beredskapslagre med fiber- og retteutstyr</w:t>
      </w:r>
      <w:r w:rsidR="00015951">
        <w:t>»</w:t>
      </w:r>
      <w:r>
        <w:t xml:space="preserve"> kan dette realiseres gjennom regulatoriske krav – hovedsakelig </w:t>
      </w:r>
      <w:r>
        <w:rPr>
          <w:spacing w:val="-2"/>
        </w:rPr>
        <w:t>beredskapskravene i ekomloven. Dersom staten har behov for beredskapsnivå ut over det fiberoperatørene er pålagt gjennom ekomloven å finansiere selv, kan det finansieres gjennom statlige overføringer, for eksempel tilskuddsordningen for telesikkerhet og beredskap.</w:t>
      </w:r>
    </w:p>
    <w:p w14:paraId="4BFC585E" w14:textId="794DD2A1" w:rsidR="004B1A63" w:rsidRDefault="004B1A63">
      <w:pPr>
        <w:rPr>
          <w:spacing w:val="2"/>
        </w:rPr>
      </w:pPr>
      <w:r>
        <w:rPr>
          <w:spacing w:val="2"/>
        </w:rPr>
        <w:t xml:space="preserve">Et annet eksempel er målsetningene om handlefriheter knyttet til fiberinfrastruktur. Når det gjelder </w:t>
      </w:r>
      <w:r w:rsidR="00015951">
        <w:rPr>
          <w:spacing w:val="2"/>
        </w:rPr>
        <w:t>«</w:t>
      </w:r>
      <w:r>
        <w:rPr>
          <w:spacing w:val="2"/>
        </w:rPr>
        <w:t>Internasjonalt samarbeid om rettekapasitet for sjøfiberkabler på norsk kontinentalsokkel</w:t>
      </w:r>
      <w:r w:rsidR="00015951">
        <w:rPr>
          <w:spacing w:val="2"/>
        </w:rPr>
        <w:t>»</w:t>
      </w:r>
      <w:r w:rsidRPr="00015951">
        <w:rPr>
          <w:rStyle w:val="kursiv"/>
        </w:rPr>
        <w:t xml:space="preserve">, </w:t>
      </w:r>
      <w:r>
        <w:rPr>
          <w:spacing w:val="2"/>
        </w:rPr>
        <w:t>vil</w:t>
      </w:r>
      <w:r w:rsidRPr="00015951">
        <w:rPr>
          <w:rStyle w:val="kursiv"/>
        </w:rPr>
        <w:t xml:space="preserve"> </w:t>
      </w:r>
      <w:r>
        <w:rPr>
          <w:spacing w:val="2"/>
        </w:rPr>
        <w:t>det primære virkemidlet være internasjonale avtaler. I dag samarbeider europeiske operatører av sjøfiberkabler blant annet gjennom Atlantic Cable Maintenance &amp; Repair Agreement (ACMA) som er en avtale for vedlikehold og reparasjon av undersjøisk infrastruktur.</w:t>
      </w:r>
      <w:r w:rsidR="00015951" w:rsidRPr="00015951">
        <w:rPr>
          <w:rStyle w:val="Fotnotereferanse"/>
        </w:rPr>
        <w:footnoteReference w:id="136"/>
      </w:r>
      <w:r>
        <w:rPr>
          <w:spacing w:val="2"/>
        </w:rPr>
        <w:t xml:space="preserve"> Altibox, Tampnet og Equinor er norske selskaper som inngår i dette samarbeidet. Hendelser den siste tiden i våre nærområder tyder på at kapasitetsbehovet og internasjonalt samarbeid bør styrkes på dette området, og det er </w:t>
      </w:r>
      <w:r>
        <w:rPr>
          <w:spacing w:val="2"/>
        </w:rPr>
        <w:lastRenderedPageBreak/>
        <w:t>allerede igangsatt flere initiativer med internasjonalt samarbeid, f.eks. mellom nordsjølandene</w:t>
      </w:r>
      <w:r w:rsidR="00015951" w:rsidRPr="00015951">
        <w:rPr>
          <w:rStyle w:val="Fotnotereferanse"/>
        </w:rPr>
        <w:footnoteReference w:id="137"/>
      </w:r>
      <w:r>
        <w:rPr>
          <w:spacing w:val="2"/>
        </w:rPr>
        <w:t>, de nordiske landene</w:t>
      </w:r>
      <w:r w:rsidR="00015951" w:rsidRPr="00015951">
        <w:rPr>
          <w:rStyle w:val="Fotnotereferanse"/>
        </w:rPr>
        <w:footnoteReference w:id="138"/>
      </w:r>
      <w:r>
        <w:rPr>
          <w:spacing w:val="2"/>
        </w:rPr>
        <w:t>, gjennom FN</w:t>
      </w:r>
      <w:r w:rsidR="00015951" w:rsidRPr="00015951">
        <w:rPr>
          <w:rStyle w:val="Fotnotereferanse"/>
        </w:rPr>
        <w:footnoteReference w:id="139"/>
      </w:r>
      <w:r>
        <w:rPr>
          <w:spacing w:val="2"/>
        </w:rPr>
        <w:t xml:space="preserve"> og NATO</w:t>
      </w:r>
      <w:r w:rsidR="00015951" w:rsidRPr="00015951">
        <w:rPr>
          <w:rStyle w:val="Fotnotereferanse"/>
        </w:rPr>
        <w:footnoteReference w:id="140"/>
      </w:r>
      <w:r>
        <w:rPr>
          <w:spacing w:val="2"/>
        </w:rPr>
        <w:t>, se omtale i punkt 9.7.</w:t>
      </w:r>
    </w:p>
    <w:p w14:paraId="2AD6E897" w14:textId="111326D4" w:rsidR="004B1A63" w:rsidRDefault="004B1A63">
      <w:r>
        <w:t xml:space="preserve">Når det gjelder handlefriheten </w:t>
      </w:r>
      <w:r w:rsidR="00015951">
        <w:t>«</w:t>
      </w:r>
      <w:r>
        <w:t>Nasjonal rettekapasitet for kystnære sjøfiberkabler (kabelskip, utstyr og kompetanse)</w:t>
      </w:r>
      <w:r w:rsidR="00015951">
        <w:t>»</w:t>
      </w:r>
      <w:r w:rsidRPr="00015951">
        <w:rPr>
          <w:rStyle w:val="kursiv"/>
        </w:rPr>
        <w:t>,</w:t>
      </w:r>
      <w:r>
        <w:t xml:space="preserve"> så vil regulering være det sentrale virkemidlet, gjennom blant annet sikkerhets- og beredskapskravene i ekomloven. For eksempel oppgir Telenor å disponere to kabelskip til formålet, stasjonert i henholdsvis Harstad og Bergen.</w:t>
      </w:r>
      <w:r w:rsidR="00015951" w:rsidRPr="00015951">
        <w:rPr>
          <w:rStyle w:val="Fotnotereferanse"/>
        </w:rPr>
        <w:footnoteReference w:id="141"/>
      </w:r>
      <w:r>
        <w:t xml:space="preserve"> Det er også inngått samarbeidsavtale mellom elleve andre operatører om kabelskip langs store deler av kysten.</w:t>
      </w:r>
      <w:r w:rsidR="00015951" w:rsidRPr="00015951">
        <w:rPr>
          <w:rStyle w:val="Fotnotereferanse"/>
        </w:rPr>
        <w:footnoteReference w:id="142"/>
      </w:r>
      <w:r>
        <w:t xml:space="preserve"> Samarbeid og dialog mellom operatører, og mellom operatører og myndigheter vil være et viktig supplement til de regulatoriske virkemidlene i krise- og krigssituasjoner.</w:t>
      </w:r>
    </w:p>
    <w:p w14:paraId="11A5A58D" w14:textId="79536F0C" w:rsidR="004B1A63" w:rsidRDefault="004B1A63">
      <w:r>
        <w:t xml:space="preserve">For handlefriheten </w:t>
      </w:r>
      <w:r w:rsidR="00015951">
        <w:t>«</w:t>
      </w:r>
      <w:r>
        <w:t>Nasjonal rettekapasitet for sjøfiberkabler på norsk kontinentalsokkel (kabelskip, utstyr og kompetanse)</w:t>
      </w:r>
      <w:r w:rsidR="00015951">
        <w:t>»</w:t>
      </w:r>
      <w:r>
        <w:t>, så kan dette kreve andre kapasiteter enn kabelskipene som opererer i kystnære områder. Utover regulatoriske virkemidler, kan aktuelle virkemidler for slik kapasitet under nasjonal kontroll både være statlig eierskap (f.eks. kapasitet gjennom Forsvaret), eller statlig tjenestekjøp.</w:t>
      </w:r>
    </w:p>
    <w:p w14:paraId="1ACCCAA5" w14:textId="77777777" w:rsidR="004B1A63" w:rsidRDefault="004B1A63">
      <w:r>
        <w:t>Der de nødvendige virkemidlene ikke finnes eller ikke er fullt ut dekkende, så vil det være et gap mellom nåsituasjonen og målbildet. Da kan det for eksempel være behov for å endre gjeldende regulering eller fastsette nye regler.</w:t>
      </w:r>
    </w:p>
    <w:p w14:paraId="3D86ED2A" w14:textId="77777777" w:rsidR="004B1A63" w:rsidRDefault="004B1A63">
      <w:r>
        <w:t>Det kan også oppstå et gap dersom aktuelle virkemidler finnes, men ikke tas i bruk. Dette kan typisk skyldes mangel på ressurser hos myndighetene, manglende myndighetsfinansiering (for tilskuddsordninger), eller at handels- eller sikkerhetspolitiske forhold setter begrensninger for bruken. I en gapanalyse er det derfor viktig å identifisere slike potensielle begrensninger.</w:t>
      </w:r>
    </w:p>
    <w:p w14:paraId="7C453A32" w14:textId="77777777" w:rsidR="004B1A63" w:rsidRDefault="004B1A63">
      <w:r>
        <w:t xml:space="preserve">En komplett gapanalyse for kritisk digital kommunikasjonsinfrastruktur vil kunne være omfattende, men samtidig gjennomførbar når arbeidet brytes ned i delmålbilder for konkrete infrastrukturkategorier med tilhørende definerte styringsevner og handlefriheter. Gapanalysen av én </w:t>
      </w:r>
      <w:r>
        <w:lastRenderedPageBreak/>
        <w:t>infrastrukturkategori kan da også aggregeres og analyseres sammen med gapanalysene til de andre infrastrukturkategoriene. Dette vil gjøre det mulig for myndighetene å trekke ut overordnede observasjoner. Tabell 11.6 illustrerer hvordan en aggregert gapanalyse kan identifisere at én type infrastrukturkategori har svak nasjonal kontroll sett i forhold til andre kategorier, og at én type handlefrihet mangler på tvers av alle infrastrukturkategorier.</w:t>
      </w:r>
    </w:p>
    <w:p w14:paraId="72644156" w14:textId="5CE8212F" w:rsidR="004B1A63" w:rsidRDefault="004B1A63" w:rsidP="003C00D6">
      <w:pPr>
        <w:pStyle w:val="tabell-tittel"/>
      </w:pPr>
      <w:r>
        <w:t>Illustrasjon på en samlet gapanalyse som viser hvordan trender på tvers av infrastrukturkategorier kan identifiseres. Dette er et fiktivt eksempel.</w:t>
      </w:r>
    </w:p>
    <w:p w14:paraId="5555282E" w14:textId="0BE3037D" w:rsidR="00C44C45" w:rsidRPr="00C44C45" w:rsidRDefault="004B4E04" w:rsidP="00C44C45">
      <w:r>
        <w:rPr>
          <w:noProof/>
        </w:rPr>
        <w:drawing>
          <wp:inline distT="0" distB="0" distL="0" distR="0" wp14:anchorId="2A22D2B1" wp14:editId="70B2869C">
            <wp:extent cx="3657600" cy="4438650"/>
            <wp:effectExtent l="0" t="0" r="0" b="0"/>
            <wp:docPr id="3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57600" cy="4438650"/>
                    </a:xfrm>
                    <a:prstGeom prst="rect">
                      <a:avLst/>
                    </a:prstGeom>
                    <a:noFill/>
                    <a:ln>
                      <a:noFill/>
                    </a:ln>
                  </pic:spPr>
                </pic:pic>
              </a:graphicData>
            </a:graphic>
          </wp:inline>
        </w:drawing>
      </w:r>
    </w:p>
    <w:p w14:paraId="73DCD895" w14:textId="77777777" w:rsidR="004B1A63" w:rsidRDefault="004B1A63">
      <w:pPr>
        <w:pStyle w:val="Overskrift2"/>
        <w:spacing w:before="680"/>
      </w:pPr>
      <w:r>
        <w:t>Strategier og handlingsplaner</w:t>
      </w:r>
    </w:p>
    <w:p w14:paraId="7A6DCEBA" w14:textId="77777777" w:rsidR="004B1A63" w:rsidRDefault="004B1A63" w:rsidP="006F4031">
      <w:r>
        <w:t xml:space="preserve">Som beskrevet i punkt 11.1 anbefaler utvalget at det arbeides proaktivt med nasjonal kontroll, i tillegg til de reaktive kontrollene. Dette innebærer at det må etableres proaktive strategier og handlingsplaner for hvordan gap kan lukkes og målbildet for nasjonal kontroll nås – og ivaretas – over tid. Utvalget har pekt på at hvilken virkemiddelbruk som er best egnet, varierer på bakgrunn av både infrastrukturkategori, styringsevner og handlefriheter. Videre vil noen gap representere større risiko for nasjonale sikkerhetsinteresser enn andre. Det er derfor viktig å etablere overordnede strategier for virkemiddelbruken. Det kan for eksempel være at myndighetene ser behov for at staten tar en aktiv rolle gjennom eierskap på nye strategiske områder, slik Norge har gjort på satellittområdet. Eller det kan være det </w:t>
      </w:r>
      <w:r>
        <w:lastRenderedPageBreak/>
        <w:t>motsatte; at staten ser fordeler ved økt utenlandsk eierskap på visse områder, gjennom at det bidrar til styrket sikkerhet gjennom økte infrastrukturinvesteringer i Norge, og uten at det påviselig går på bekostning av styringsevnen og handlefriheten.</w:t>
      </w:r>
    </w:p>
    <w:p w14:paraId="61A0A67C" w14:textId="77777777" w:rsidR="004B1A63" w:rsidRDefault="004B1A63">
      <w:r>
        <w:t>Etter utvalgets syn bør de proaktive grepene for å oppfylle målbilder for nasjonal kontroll integreres i eksisterende arbeid med strategier og handlingsplaner relatert til sikkerhet og beredskap. Utvalget vil særlig peke på følgende:</w:t>
      </w:r>
    </w:p>
    <w:p w14:paraId="6B1FD90E" w14:textId="7B426B83" w:rsidR="004B1A63" w:rsidRDefault="004B1A63">
      <w:pPr>
        <w:pStyle w:val="Listebombe"/>
      </w:pPr>
      <w:r w:rsidRPr="00015951">
        <w:rPr>
          <w:rStyle w:val="halvfet"/>
        </w:rPr>
        <w:t>Nasjonal digitaliseringsstrategi</w:t>
      </w:r>
      <w:r>
        <w:t xml:space="preserve">: Den nye strategien fra 2024 har et konkret tiltak om at regjeringen frem mot 2030 vil </w:t>
      </w:r>
      <w:r w:rsidR="00015951">
        <w:t>«</w:t>
      </w:r>
      <w:r>
        <w:t>sikre tilstrekkelig nasjonal kontroll med den delen av den digitale grunnmuren som understøtter kritiske samfunnsfunksjoner</w:t>
      </w:r>
      <w:r w:rsidR="00015951">
        <w:t>»</w:t>
      </w:r>
      <w:r>
        <w:t>. Utvalget anser dette å være det overbyggende tiltaket som skal sikre oppfyllelse av et målbilde om nasjonal kontroll med digital kommunikasjonsinfrastruktur.</w:t>
      </w:r>
    </w:p>
    <w:p w14:paraId="3FD6F183" w14:textId="59145202" w:rsidR="004B1A63" w:rsidRDefault="004B1A63">
      <w:pPr>
        <w:pStyle w:val="Listebombe"/>
      </w:pPr>
      <w:r w:rsidRPr="00015951">
        <w:rPr>
          <w:rStyle w:val="halvfet"/>
        </w:rPr>
        <w:t>Statens eierskapsstrategi, jf. eierskapsmeldingen</w:t>
      </w:r>
      <w:r>
        <w:t>: Statlig eierskap vil være et langsiktig virkemiddel som er aktuelt for å sikre nasjonal kontroll og kompetanse med de mest kritiske digitale kommunikasjonsinfrastrukturene. Dersom det avdekkes behov for å styrke det statlige eierskap på noen områder innenfor økosystemet for kritisk digital kommunikasjonsinfrastruktur, må dette integreres i statens eierskapsstrategi.</w:t>
      </w:r>
    </w:p>
    <w:p w14:paraId="33FBF925" w14:textId="021CFB93" w:rsidR="004B1A63" w:rsidRDefault="004B1A63">
      <w:pPr>
        <w:pStyle w:val="Listebombe"/>
      </w:pPr>
      <w:r w:rsidRPr="00015951">
        <w:rPr>
          <w:rStyle w:val="halvfet"/>
        </w:rPr>
        <w:t>Sivilt beredskapssystem (SBS)</w:t>
      </w:r>
      <w:r>
        <w:t>: SBS, som sammen med Forsvarets beredskapssystem (FBS) utgjør Nasjonalt beredskapssystem (NBS), vil være aktuelt å revidere i lys av tiltak for nasjonal kontroll. Dette kan være operasjonalisering av tiltak med hjemmel i ekomloven og sikkerhetsloven, og øvrige samarbeidstiltak.</w:t>
      </w:r>
    </w:p>
    <w:p w14:paraId="6491D003" w14:textId="737217A6" w:rsidR="004B1A63" w:rsidRDefault="004B1A63">
      <w:pPr>
        <w:pStyle w:val="Listebombe"/>
      </w:pPr>
      <w:r w:rsidRPr="00015951">
        <w:rPr>
          <w:rStyle w:val="halvfet"/>
        </w:rPr>
        <w:t>Ny nasjonal datasenterstrategi</w:t>
      </w:r>
      <w:r>
        <w:t>: Regjeringen har bebudet ny nasjonal datasenterstrategi i løpet av 2025. Utvalget mener at det i strategien bør tas høyde for at det kan etableres konkrete målbilder for nasjonal datasenterkapasitet herunder for fortifikatoriske datasentre, og for datasenterkapasitet i utlandet nødvendig for å ivareta nasjonal kontroll.</w:t>
      </w:r>
    </w:p>
    <w:p w14:paraId="48E5FF8C" w14:textId="1DDD30FB" w:rsidR="004B1A63" w:rsidRDefault="004B1A63">
      <w:pPr>
        <w:pStyle w:val="Listebombe"/>
      </w:pPr>
      <w:r w:rsidRPr="00015951">
        <w:rPr>
          <w:rStyle w:val="halvfet"/>
        </w:rPr>
        <w:t>Nasjonal strategi for posisjonsbestemmelse, navigasjon og tidsbestemmelse (PNT):</w:t>
      </w:r>
      <w:r>
        <w:rPr>
          <w:spacing w:val="-4"/>
        </w:rPr>
        <w:t xml:space="preserve"> </w:t>
      </w:r>
      <w:r>
        <w:t>Strategien fra 2018 har mål om at samfunnets sårbarhet for svikt i satellittbaserte PNT-systemer skal reduseres, men peker på at tiltak må vurderes innenfor hver sektor. Et målbilde om nasjonal kontroll gjennom nasjonal tidstjeneste basert på bakkebasert infrastruktur vil være til dels sektorovergripende. PNT-strategien bør derfor oppdateres og klargjøres i lys av dette.</w:t>
      </w:r>
    </w:p>
    <w:p w14:paraId="3A896C63" w14:textId="0647C3F6" w:rsidR="004B1A63" w:rsidRDefault="004B1A63">
      <w:pPr>
        <w:pStyle w:val="Listebombe"/>
      </w:pPr>
      <w:r w:rsidRPr="00015951">
        <w:rPr>
          <w:rStyle w:val="halvfet"/>
        </w:rPr>
        <w:t xml:space="preserve">Langtidsplanen for Forsvaret og handlingsplaner som følger av Totalberedskapsmeldingen: </w:t>
      </w:r>
      <w:r>
        <w:t>Jf. kapittel 4.4.2 kommer begge inn på forhold rundt nasjonal kontroll knyttet til digital infrastruktur. Det er naturlig at utvalgets anbefalinger sees i sammenheng med disse handlingsplanene.</w:t>
      </w:r>
    </w:p>
    <w:p w14:paraId="450FD33A" w14:textId="40AC3ACF" w:rsidR="004B1A63" w:rsidRDefault="004B1A63">
      <w:pPr>
        <w:pStyle w:val="Listebombe"/>
      </w:pPr>
      <w:r w:rsidRPr="00015951">
        <w:rPr>
          <w:rStyle w:val="halvfet"/>
        </w:rPr>
        <w:t>Nasjonal sikkerhetsstrategi:</w:t>
      </w:r>
      <w:r>
        <w:t xml:space="preserve"> Ifølge totalberedskapsmeldingen arbeider regjeringen med å utarbeide en nasjonal sikkerhetsstrategi som skal se helhetlig på utenriks-, sikkerhets-, forsvars-, og beredskapspolitikken. Strategien skal legges frem før sommeren 2025. I denne sammenheng vil det være naturlig å vurdere eventuell overføringsverdi av dette utvalgets arbeid innenfor ekomsektoren til andre sektorer som forvalter kritisk infrastruktur, slik det også presiseres i totalberedskapsmeldingen.</w:t>
      </w:r>
    </w:p>
    <w:p w14:paraId="0B2739EE" w14:textId="77777777" w:rsidR="004B1A63" w:rsidRDefault="004B1A63">
      <w:pPr>
        <w:pStyle w:val="Overskrift2"/>
      </w:pPr>
      <w:r>
        <w:lastRenderedPageBreak/>
        <w:t>Oppsummering og anbefalinger</w:t>
      </w:r>
    </w:p>
    <w:p w14:paraId="7AE61B7A" w14:textId="77777777" w:rsidR="004B1A63" w:rsidRDefault="004B1A63" w:rsidP="006F4031">
      <w:r>
        <w:rPr>
          <w:spacing w:val="2"/>
        </w:rPr>
        <w:t>I dette kapittelet har utvalget beskrevet en strukturert tilnærming til nasjonal kontroll, gjennom en modell for å etablere et målbilde med konkrete styringsevner og handlefriheter, analysere aktuelle virkemidler for å nå målbildet, og å fastsette proaktive strategier og handlingsplaner. Dette proaktive nivået vil da utgjøre et fundament for håndteringen av de reaktive screening- og kontrollmekanismene som beskrives i kapittel 12.</w:t>
      </w:r>
    </w:p>
    <w:p w14:paraId="68B9041D" w14:textId="77777777" w:rsidR="004B1A63" w:rsidRDefault="004B1A63">
      <w:pPr>
        <w:pStyle w:val="Overskrift3"/>
      </w:pPr>
      <w:r>
        <w:t>Etablere oversikt</w:t>
      </w:r>
    </w:p>
    <w:p w14:paraId="1CDFC2D9" w14:textId="77777777" w:rsidR="004B1A63" w:rsidRDefault="004B1A63">
      <w:r>
        <w:t>Som et første steg må myndighetene ha oversikt over hvilken kritisk digital kommunikasjonsinfrastruktur det er viktig å sikre nødvendig nasjonal kontroll med, og hvilke virksomheter som forvalter denne. Digital kommunikasjonsinfrastruktur består av komplekse verdikjeder som er i dynamisk utvikling. Som det fremgår i punkt 5.4 mener Nkom å ha tilstrekkelig oversikt og informasjonstilgang knyttet til kritisk digital kommunikasjonsinfrastruktur gjennom den løpende forvaltningen og tilsynet med sektoren, selv om denne informasjonen ikke er strukturert i form av en konkret database/oversikt per i dag.</w:t>
      </w:r>
    </w:p>
    <w:p w14:paraId="4F42D167" w14:textId="45B9417B" w:rsidR="004B1A63" w:rsidRDefault="004B1A63">
      <w:pPr>
        <w:rPr>
          <w:spacing w:val="-4"/>
        </w:rPr>
      </w:pPr>
      <w:r>
        <w:rPr>
          <w:spacing w:val="-2"/>
        </w:rPr>
        <w:t xml:space="preserve">Utvalget vil i denne sammenheng peke på at departementene etter sikkerhetsloven </w:t>
      </w:r>
      <w:r w:rsidR="00015951">
        <w:rPr>
          <w:spacing w:val="-2"/>
        </w:rPr>
        <w:t>§ </w:t>
      </w:r>
      <w:r w:rsidR="00015951">
        <w:rPr>
          <w:spacing w:val="-2"/>
        </w:rPr>
        <w:t>2</w:t>
      </w:r>
      <w:r>
        <w:rPr>
          <w:spacing w:val="-2"/>
        </w:rPr>
        <w:t xml:space="preserve">-1 plikter å identifisere og holde oversikt over virksomheter som har vesentlig betydning for grunnleggende nasjonale funksjoner eller for nasjonale sikkerhetsinteresser innenfor sine </w:t>
      </w:r>
      <w:r>
        <w:rPr>
          <w:spacing w:val="-4"/>
        </w:rPr>
        <w:t xml:space="preserve">ansvarsområder. Myndighetenes arbeid med dette bør også kunne utvides til å omfatte øvrig </w:t>
      </w:r>
      <w:r>
        <w:rPr>
          <w:spacing w:val="-2"/>
        </w:rPr>
        <w:t xml:space="preserve">kritisk digital kommunikasjonsinfrastruktur og tilhørende virksomheter som det kan være </w:t>
      </w:r>
      <w:r>
        <w:rPr>
          <w:spacing w:val="-4"/>
        </w:rPr>
        <w:t>viktig å sikre nødvendig nasjonal kontroll med. På denne bakgrunn mener utvalget følgende:</w:t>
      </w:r>
    </w:p>
    <w:p w14:paraId="51683CB3" w14:textId="5C9FD91B" w:rsidR="004B1A63" w:rsidRPr="00015951" w:rsidRDefault="00015951">
      <w:pPr>
        <w:pStyle w:val="blokksit"/>
      </w:pPr>
      <w:r w:rsidRPr="00015951">
        <w:rPr>
          <w:rStyle w:val="halvfet"/>
        </w:rPr>
        <w:t>«</w:t>
      </w:r>
      <w:r w:rsidR="004B1A63" w:rsidRPr="00015951">
        <w:rPr>
          <w:rStyle w:val="halvfet"/>
        </w:rPr>
        <w:t xml:space="preserve">Utvalget anbefaler at Digitaliserings- og forvaltningsdepartementet identifiserer og holder ved like en dokumentert oversikt over virksomheter i henhold til sikkerhetsloven </w:t>
      </w:r>
      <w:r w:rsidRPr="00015951">
        <w:rPr>
          <w:rStyle w:val="halvfet"/>
        </w:rPr>
        <w:t>§ </w:t>
      </w:r>
      <w:r w:rsidRPr="00015951">
        <w:rPr>
          <w:rStyle w:val="halvfet"/>
        </w:rPr>
        <w:t>2</w:t>
      </w:r>
      <w:r w:rsidR="004B1A63" w:rsidRPr="00015951">
        <w:rPr>
          <w:rStyle w:val="halvfet"/>
        </w:rPr>
        <w:t>-1, samt øvrige virksomheter som forvalter digital kommunikasjonsinfrastruktur og funksjoner som anses samfunnskritiske.</w:t>
      </w:r>
      <w:r w:rsidRPr="00015951">
        <w:rPr>
          <w:rStyle w:val="halvfet"/>
        </w:rPr>
        <w:t>»</w:t>
      </w:r>
    </w:p>
    <w:p w14:paraId="26ED8887" w14:textId="77777777" w:rsidR="004B1A63" w:rsidRDefault="004B1A63">
      <w:pPr>
        <w:pStyle w:val="Overskrift3"/>
      </w:pPr>
      <w:r>
        <w:t>Etablere målbilder</w:t>
      </w:r>
    </w:p>
    <w:p w14:paraId="019B734C" w14:textId="77777777" w:rsidR="004B1A63" w:rsidRDefault="004B1A63">
      <w:r>
        <w:t>Som beskrevet i dette kapittelet bør vurderingen av hva som er nødvendig grad av nasjonal kontroll med kritisk digital kommunikasjonsinfrastruktur brytes ned til delmålbilder med konkrete styringsevner og handlefriheter som understøtter nasjonale sikkerhetsinteresser innenfor ulike typer infrastrukturkategorier.</w:t>
      </w:r>
    </w:p>
    <w:p w14:paraId="43A2CC54" w14:textId="77777777" w:rsidR="004B1A63" w:rsidRDefault="004B1A63">
      <w:r>
        <w:t>Det er utenfor utvalgets mandat å definere disse målbildene, da dette vil være en myndighetsoppgave. Utvalget har likevel beskrevet et eksempel på hvordan konkrete styringsevner og handlefriheter kan defineres innenfor kategorien fiberinfrastruktur. På tilsvarende måte anbefaler utvalget at myndighetene etablerer delmålbilder innenfor de andre infrastrukturkategoriene:</w:t>
      </w:r>
    </w:p>
    <w:p w14:paraId="57858250" w14:textId="7FF97361" w:rsidR="004B1A63" w:rsidRPr="00015951" w:rsidRDefault="00015951">
      <w:pPr>
        <w:ind w:left="283" w:right="283"/>
        <w:rPr>
          <w:rStyle w:val="halvfet"/>
        </w:rPr>
      </w:pPr>
      <w:r w:rsidRPr="00015951">
        <w:rPr>
          <w:rStyle w:val="halvfet"/>
        </w:rPr>
        <w:t>«</w:t>
      </w:r>
      <w:r w:rsidR="004B1A63" w:rsidRPr="00015951">
        <w:rPr>
          <w:rStyle w:val="halvfet"/>
        </w:rPr>
        <w:t xml:space="preserve">Utvalget anbefaler at Digitaliserings- og forvaltningsdepartementet etablerer og vedlikeholder et målbilde for nasjonal kontroll med kritisk digital kommunikasjonsinfrastruktur. Målbildet bør definere nødvendige nasjonale styringsevner og handlefriheter i fred, krise </w:t>
      </w:r>
      <w:r w:rsidR="004B1A63" w:rsidRPr="00015951">
        <w:rPr>
          <w:rStyle w:val="halvfet"/>
        </w:rPr>
        <w:lastRenderedPageBreak/>
        <w:t>og krig, for de viktigste infrastrukturkategoriene i økosystemet for digital kommunikasjonsinfrastruktur, som inkluderer:</w:t>
      </w:r>
    </w:p>
    <w:p w14:paraId="37E52D86" w14:textId="77777777" w:rsidR="004B1A63" w:rsidRPr="00015951" w:rsidRDefault="004B1A63">
      <w:pPr>
        <w:pStyle w:val="Listebombe2"/>
        <w:rPr>
          <w:rStyle w:val="halvfet"/>
        </w:rPr>
      </w:pPr>
      <w:r w:rsidRPr="00015951">
        <w:rPr>
          <w:rStyle w:val="halvfet"/>
        </w:rPr>
        <w:t>Passiv infrastruktur, herunder nasjonal fiberinfrastruktur og fiberkabler til utlandet</w:t>
      </w:r>
    </w:p>
    <w:p w14:paraId="6E104E2F" w14:textId="2FA6862E" w:rsidR="004B1A63" w:rsidRPr="00015951" w:rsidRDefault="004B1A63">
      <w:pPr>
        <w:pStyle w:val="Listebombe2"/>
        <w:rPr>
          <w:rStyle w:val="halvfet"/>
        </w:rPr>
      </w:pPr>
      <w:r w:rsidRPr="00015951">
        <w:rPr>
          <w:rStyle w:val="halvfet"/>
        </w:rPr>
        <w:t>Støtteinfrastruktur, herunder nasjonal datasenterkapasitet, fortifikatoriske anlegg,</w:t>
      </w:r>
      <w:r w:rsidR="00E47CAB" w:rsidRPr="00015951">
        <w:rPr>
          <w:rStyle w:val="halvfet"/>
        </w:rPr>
        <w:t xml:space="preserve"> </w:t>
      </w:r>
      <w:r w:rsidRPr="00015951">
        <w:rPr>
          <w:rStyle w:val="halvfet"/>
        </w:rPr>
        <w:t>mobiltårn, og nasjonal infrastruktur for nøyaktig tid/takt</w:t>
      </w:r>
    </w:p>
    <w:p w14:paraId="02945F7B" w14:textId="77777777" w:rsidR="004B1A63" w:rsidRPr="00015951" w:rsidRDefault="004B1A63">
      <w:pPr>
        <w:pStyle w:val="Listebombe2"/>
        <w:rPr>
          <w:rStyle w:val="halvfet"/>
        </w:rPr>
      </w:pPr>
      <w:r w:rsidRPr="00015951">
        <w:rPr>
          <w:rStyle w:val="halvfet"/>
        </w:rPr>
        <w:t>Tjenesteproduksjonsinfrastruktur, herunder for bredbånd og transportnett, internettfunksjoner som DNS, ruting og samtrafikk, mobilkjernenett og basestasjoner, maritim kommunikasjonsinfrastruktur og bakkebasert satellittinfrastruktur</w:t>
      </w:r>
    </w:p>
    <w:p w14:paraId="111FB5A6" w14:textId="7DB51F85" w:rsidR="004B1A63" w:rsidRPr="00015951" w:rsidRDefault="004B1A63">
      <w:pPr>
        <w:ind w:left="283" w:right="283"/>
        <w:rPr>
          <w:rStyle w:val="kursiv"/>
        </w:rPr>
      </w:pPr>
      <w:r w:rsidRPr="00015951">
        <w:rPr>
          <w:rStyle w:val="halvfet"/>
        </w:rPr>
        <w:t>Herunder bør målbildene beskrive behovet for personellressurser og kompetanse nødvendig for design og konfigurasjon, utbygging, drift og overvåking, feilretting og gjenopprettingsevne. Dette omfatter både infrastruktur på land til havs, herunder rettekapasitet for undersjøiske fiberkabler.</w:t>
      </w:r>
      <w:r w:rsidR="00015951" w:rsidRPr="00015951">
        <w:rPr>
          <w:rStyle w:val="halvfet"/>
        </w:rPr>
        <w:t>»</w:t>
      </w:r>
    </w:p>
    <w:p w14:paraId="08884B1F" w14:textId="77777777" w:rsidR="004B1A63" w:rsidRDefault="004B1A63">
      <w:r>
        <w:t>Utvalget mener det er noen infrastrukturkategorier som myndighetene bør følge opp relativt raskt. Disse kategoriene representerer områder hvor det pågår prosesser hvor et målbilde for nasjonal kontroll tidsmessig vil være relevant å ta hensyn til, og hvor samtidig nasjonal kontroll kan oppfattes særlig utfordrende på grunn av internasjonale verdikjeder.</w:t>
      </w:r>
    </w:p>
    <w:p w14:paraId="6FB69603" w14:textId="77777777" w:rsidR="004B1A63" w:rsidRDefault="004B1A63" w:rsidP="0019382E">
      <w:pPr>
        <w:pStyle w:val="avsnitt-undertittel"/>
      </w:pPr>
      <w:r>
        <w:t>Fiberinfrastruktur</w:t>
      </w:r>
    </w:p>
    <w:p w14:paraId="4AA5E24E" w14:textId="77777777" w:rsidR="004B1A63" w:rsidRDefault="004B1A63" w:rsidP="006F4031">
      <w:r>
        <w:t>Utvalget har i denne rapporten gitt et eksempel på hvordan et målbilde for nasjonal kontroll med fiberinfrastruktur kan utvikles. Denne infrastrukturen kan derfor være et naturlig utgangspunkt å starte med for myndighetenes målbildeutvikling. Som utvalget har vist til, så har myndighetene på dette området også satt i gang en rekke prosesser knyttet til fiberinfrastruktur, som sammenfaller godt med utviklingen av mål for nasjonal kontroll. Dette inkluderer allerede etablerte målbilder for robuste nett, regionale risiko- og sårbarhetsanalyser av fiberinfrastrukturen, og initiativer knyttet til kritisk undersjøisk fiberinfrastruktur.</w:t>
      </w:r>
    </w:p>
    <w:p w14:paraId="58E7B5DB" w14:textId="77777777" w:rsidR="004B1A63" w:rsidRDefault="004B1A63" w:rsidP="0019382E">
      <w:pPr>
        <w:pStyle w:val="avsnitt-undertittel"/>
      </w:pPr>
      <w:r>
        <w:t>Mobiltjenesteproduksjon</w:t>
      </w:r>
    </w:p>
    <w:p w14:paraId="4C388580" w14:textId="3010FFF5" w:rsidR="004B1A63" w:rsidRDefault="004B1A63" w:rsidP="006F4031">
      <w:r>
        <w:t xml:space="preserve">Mobilnettene er kanskje den mest samfunnskritiske kategorien kommunikasjonsinfrastruktur, ved at de understøtter svært mange kritiske samfunnsfunksjoner, og flere av GNF-ene innenfor elektronisk kommunikasjon. Samtidig er mobilnettene teknologisk svært komplekse og i kontinuerlig utvikling, gjennom virtualiserings- og skyteknologi, framvekst av nye leverandører og økosystemer, automatisering og integrasjon av kunstig intelligens. Denne kompleksiteten utfordrer betydelig statens evne til å opprettholde nødvendig nasjonal kontroll. Samtidig kan det tenkes at staten, gjennom å etablere et konkret målbilde for nasjonal kontroll med mobilnett og mobiltjenesteproduksjon, proaktivt kan </w:t>
      </w:r>
      <w:r w:rsidRPr="00015951">
        <w:rPr>
          <w:rStyle w:val="kursiv"/>
        </w:rPr>
        <w:t>utnytte</w:t>
      </w:r>
      <w:r>
        <w:t xml:space="preserve"> de nye teknologiene. For eksempel legger skybasert mobiltjenesteproduksjon (5G og i fremtiden 6G), virtualisering og automatisering til rette for at funksjonalitet, data, drifts- og støttesystemer </w:t>
      </w:r>
      <w:r w:rsidR="00015951">
        <w:t>«</w:t>
      </w:r>
      <w:r>
        <w:t>sømløst</w:t>
      </w:r>
      <w:r w:rsidR="00015951">
        <w:t>»</w:t>
      </w:r>
      <w:r>
        <w:t xml:space="preserve"> kan flyttes mellom datasentre og produksjonsplattformer på norsk territorium og hos allierte land i en krisesituasjon. Et slikt beredskapstiltak forutsetter at staten på forhånd har den nødvendige styringsevnen til å pålegge mobiloperatørene å gjennomføre beredskapstiltaket når det behøves, for </w:t>
      </w:r>
      <w:r>
        <w:lastRenderedPageBreak/>
        <w:t>eksempel i en konflikt- eller krigssituasjon, og at statens handlefrihet er oppnådd ved at mobiloperatørene på forhånd har etablert de tekniske løsningene som behøves for å gjennomføre tiltaket raskt.</w:t>
      </w:r>
    </w:p>
    <w:p w14:paraId="2F664B67" w14:textId="77777777" w:rsidR="004B1A63" w:rsidRDefault="004B1A63" w:rsidP="0019382E">
      <w:pPr>
        <w:pStyle w:val="avsnitt-undertittel"/>
      </w:pPr>
      <w:r>
        <w:t>Nasjonal datasenterkapasitet, herunder fortifikatoriske datasentre og datasenterkapasitet i utlandet</w:t>
      </w:r>
    </w:p>
    <w:p w14:paraId="02678856" w14:textId="0E9A6F65" w:rsidR="004B1A63" w:rsidRDefault="004B1A63" w:rsidP="006F4031">
      <w:r>
        <w:t xml:space="preserve">Datasenternæringen får en stadig mer kritisk og integrert rolle i digital kommunikasjonsinfrastruktur, og understøtter den grunnleggende nasjonale funksjonen </w:t>
      </w:r>
      <w:r w:rsidR="00015951">
        <w:t>«</w:t>
      </w:r>
      <w:r>
        <w:t>evne til å ivareta datalagring og prosesseringskapasitet i Norge</w:t>
      </w:r>
      <w:r w:rsidR="00015951">
        <w:t>»</w:t>
      </w:r>
      <w:r>
        <w:t>. Datasenter er også omfattet i ny lov om elektronisk kommunikasjon i kraft fra 2025. Et målbilde om nasjonal datasenterkapasitet, og datasenterkapasitet i utlandet for beredskap, må sees i sammenheng med kritiske samfunnsfunksjoners behov for slik datasenterkapasitet. Dette omfatter både sektorens egne behov, som blant annet fremkommer av målbilde om nasjonal kontroll for mobiltjenesteproduksjon beskrevet over, etableringen av sikker nasjonal skytjeneste, og behovet for fortifikatoriske anlegg/datasentre. Når det gjelder de fortifikatoriske anleggene i Norge så har Nkom, med bistand fra FFI, i 2023 og 2024 gjennomført en behovsvurdering. Myndighetene vurderer nå hvordan disse bør benyttes i fremtiden.</w:t>
      </w:r>
      <w:r w:rsidR="00015951" w:rsidRPr="00015951">
        <w:rPr>
          <w:rStyle w:val="Fotnotereferanse"/>
        </w:rPr>
        <w:footnoteReference w:id="143"/>
      </w:r>
      <w:r>
        <w:t xml:space="preserve"> En konkretisering av mål for styringsevner og handlefriheter knyttet til fortifikatoriske anlegg, vil etter utvalgets vurdering være nyttig for beslutninger om fremtidig bruk og utvikling.</w:t>
      </w:r>
    </w:p>
    <w:p w14:paraId="58E5FD85" w14:textId="77777777" w:rsidR="004B1A63" w:rsidRDefault="004B1A63" w:rsidP="0019382E">
      <w:pPr>
        <w:pStyle w:val="avsnitt-undertittel"/>
      </w:pPr>
      <w:r>
        <w:t>Infrastruktur for distribusjon av nøyaktig tid/nasjonal tidstjeneste</w:t>
      </w:r>
    </w:p>
    <w:p w14:paraId="0A3BAC97" w14:textId="1D983E2D" w:rsidR="004B1A63" w:rsidRDefault="004B1A63" w:rsidP="006F4031">
      <w:r>
        <w:t>Mange samfunnsfunksjoner, herunder elektroniske kommunikasjonsnett, er avhengig av nøyaktig tid for blant annet synkronisering. Denne tidsreferansen hentes i mange tilfeller fra satellittbaserte systemer (blant annet GPS) og er derfor utenfor nasjonal kontroll. Dette kan utgjøre en sårbarhet, som blant annet omtalt i nasjonal PNT-strategi.</w:t>
      </w:r>
      <w:r w:rsidR="00015951" w:rsidRPr="00015951">
        <w:rPr>
          <w:rStyle w:val="Fotnotereferanse"/>
        </w:rPr>
        <w:footnoteReference w:id="144"/>
      </w:r>
      <w:r>
        <w:t xml:space="preserve"> Både Totalberedskapskommisjonen</w:t>
      </w:r>
      <w:r w:rsidR="00015951" w:rsidRPr="00015951">
        <w:rPr>
          <w:rStyle w:val="Fotnotereferanse"/>
        </w:rPr>
        <w:footnoteReference w:id="145"/>
      </w:r>
      <w:r>
        <w:t xml:space="preserve"> og Sikkerhetsfaglig råd fra NSM</w:t>
      </w:r>
      <w:r w:rsidR="00015951" w:rsidRPr="00015951">
        <w:rPr>
          <w:rStyle w:val="Fotnotereferanse"/>
        </w:rPr>
        <w:footnoteReference w:id="146"/>
      </w:r>
      <w:r>
        <w:t xml:space="preserve"> har påpekt behovet for at det etableres en nasjonal tidstjeneste basert på sikrede, bakkebaserte atomklokker og distribusjon via elektroniske kommunikasjonsnett. I januar 2025 fikk Nkom og Justervesenet i oppdrag fra sine eierdepartementer å kartlegge behovet og utrede løsninger for en nasjonal infrastruktur for distribusjon av nøyaktig tid/klokkesignal.</w:t>
      </w:r>
      <w:r w:rsidR="00015951" w:rsidRPr="00015951">
        <w:rPr>
          <w:rStyle w:val="Fotnotereferanse"/>
        </w:rPr>
        <w:footnoteReference w:id="147"/>
      </w:r>
      <w:r>
        <w:t xml:space="preserve"> Utredningen skal være ferdig innen utgangen av juni 2025. Utvalget mener at en etablering av et målbilde for nasjonal </w:t>
      </w:r>
      <w:r>
        <w:lastRenderedPageBreak/>
        <w:t>kontroll med infrastruktur for nøyaktig tid etter modellen beskrevet over, vil kunne være en nyttig del av denne behovsvurderingen.</w:t>
      </w:r>
    </w:p>
    <w:p w14:paraId="2E58DC19" w14:textId="77777777" w:rsidR="004B1A63" w:rsidRDefault="004B1A63">
      <w:pPr>
        <w:pStyle w:val="Overskrift3"/>
      </w:pPr>
      <w:r>
        <w:t>Gjennomføring av gapanalyse</w:t>
      </w:r>
    </w:p>
    <w:p w14:paraId="22006A40" w14:textId="77777777" w:rsidR="004B1A63" w:rsidRDefault="004B1A63">
      <w:r>
        <w:t>Utvalget har beskrevet en metodikk for å analysere aktuelle virkemidler for å nå målbildet, og å fastsette proaktive strategier og handlingsplaner for å bruke disse virkemidlene for nå målbildene. Dette arbeidet vil måtte være en integrert del av det øvrige forvaltningsarbeidet med å ivareta sikkerhet og beredskap for nasjonal kommunikasjonsinfrastruktur, og ikke et isolert arbeid. Derfor har utvalget også anbefalt at dette integreres inn i de eksisterende strategier og handlingsplaner. Likevel må det gjennomføres en initiell gapanalyse av målbildet og deretter løpende vedlikehold av denne. Utvalget anbefaler derfor:</w:t>
      </w:r>
    </w:p>
    <w:p w14:paraId="04F8D173" w14:textId="2B0E630C" w:rsidR="004B1A63" w:rsidRPr="00015951" w:rsidRDefault="00015951">
      <w:pPr>
        <w:pStyle w:val="blokksit"/>
      </w:pPr>
      <w:r w:rsidRPr="00015951">
        <w:rPr>
          <w:rStyle w:val="halvfet"/>
        </w:rPr>
        <w:t>«</w:t>
      </w:r>
      <w:r w:rsidR="004B1A63" w:rsidRPr="00015951">
        <w:rPr>
          <w:rStyle w:val="halvfet"/>
        </w:rPr>
        <w:t>Utvalget anbefaler at når et målbilde for nasjonal kontroll er etablert bør Digitaliserings- og forvaltningsdepartementet utvikle og vedlikeholde en gapanalyse av målbildet som beskriver de aktuelle virkemidlene staten rår over, og eventuelle svakheter, begrensninger og hindre for å bruke disse for å sikre de nødvendig styringsevner og handlefriheter.</w:t>
      </w:r>
      <w:r w:rsidRPr="00015951">
        <w:rPr>
          <w:rStyle w:val="halvfet"/>
        </w:rPr>
        <w:t>»</w:t>
      </w:r>
    </w:p>
    <w:p w14:paraId="5887E518" w14:textId="77777777" w:rsidR="004B1A63" w:rsidRDefault="004B1A63" w:rsidP="00E47CAB">
      <w:pPr>
        <w:pStyle w:val="Overskrift1"/>
      </w:pPr>
      <w:r>
        <w:t>Nærmere om screening og kontroll med økonomiske aktiviteter</w:t>
      </w:r>
    </w:p>
    <w:p w14:paraId="22C59E9F" w14:textId="5387F2DD" w:rsidR="00F25864" w:rsidRPr="00F25864" w:rsidRDefault="004B4E04" w:rsidP="00F25864">
      <w:r>
        <w:rPr>
          <w:noProof/>
        </w:rPr>
        <w:drawing>
          <wp:inline distT="0" distB="0" distL="0" distR="0" wp14:anchorId="680AB121" wp14:editId="0FFAEC0B">
            <wp:extent cx="3657600" cy="2581275"/>
            <wp:effectExtent l="0" t="0" r="0" b="0"/>
            <wp:docPr id="36" name="Bilde 4" descr="Bilde av et litt mørkt og langt data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4" descr="Bilde av et litt mørkt og langt datarom."/>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706CAC06" w14:textId="77777777" w:rsidR="004B1A63" w:rsidRDefault="004B1A63">
      <w:pPr>
        <w:pStyle w:val="Overskrift2"/>
      </w:pPr>
      <w:r>
        <w:t>Innledning</w:t>
      </w:r>
    </w:p>
    <w:p w14:paraId="14104803" w14:textId="77777777" w:rsidR="004B1A63" w:rsidRDefault="004B1A63" w:rsidP="006F4031">
      <w:r>
        <w:t>Utvalget har i kapittel 11, jf. også trussel- og risikobildet beskrevet i kapittel 4, påpekt at det er behov for at myndighetene gjennomfører screening og kontroll med ulike kategorier kontrollreduserende økonomiske aktiviteter. Dette omtaler utvalget som det reaktive nivået, ettersom screeningen eller kontrollen først aktiveres idet en markedsaktør planlegger å gjennomføre en nærmere bestemt økonomisk aktivitet.</w:t>
      </w:r>
    </w:p>
    <w:p w14:paraId="4FA748DF" w14:textId="3C951582" w:rsidR="004B1A63" w:rsidRDefault="004B1A63">
      <w:r>
        <w:t xml:space="preserve">I dag kan myndighetene med hjemmel i sikkerhetsloven gripe inn i utenlandske investeringer som medfører en ikke ubetydelig risiko for at nasjonale sikkerhetsinteresser blir truet. Regjeringen har </w:t>
      </w:r>
      <w:r>
        <w:lastRenderedPageBreak/>
        <w:t xml:space="preserve">også foreslått å utvide denne screeningen til å omfatte virksomheter i kritiske sektorer som ikke er underlagt sikkerhetsloven, jf. </w:t>
      </w:r>
      <w:r w:rsidR="00015951">
        <w:t xml:space="preserve">Meld. St. </w:t>
      </w:r>
      <w:r w:rsidR="00015951">
        <w:t>9</w:t>
      </w:r>
      <w:r>
        <w:t xml:space="preserve"> (2024–2025) </w:t>
      </w:r>
      <w:r w:rsidRPr="00015951">
        <w:rPr>
          <w:rStyle w:val="kursiv"/>
        </w:rPr>
        <w:t>Totalberedskapsmeldingen</w:t>
      </w:r>
      <w:r>
        <w:t>. I tillegg har utvalget beskrevet et behov for at myndighetene har oversikt over og kontroll med også andre aktiviteter enn utenlandsinvesteringer som kan svekke nasjonal styringsevne og handlefrihet. Dette gjelder for eksempel salg av eiendeler i infrastrukturselskaper, og ulike endringer av driftskonsepter. Selv om slike økonomiske aktiviteter både kan være lovlige (og i tillegg ha positive sikkerhetseffekter) isolert sett, kan de samtidig være del av utviklingstrekk som over tid bidrar til å svekke nasjonal styringsevne og handlefrihet gjennom økt utenlandsk innflytelse. Utvalget mener derfor at myndighetene må ha evne til:</w:t>
      </w:r>
    </w:p>
    <w:p w14:paraId="5FA36C2D" w14:textId="76CDB81B" w:rsidR="004B1A63" w:rsidRDefault="004B1A63" w:rsidP="00E47CAB">
      <w:pPr>
        <w:pStyle w:val="alfaliste"/>
        <w:numPr>
          <w:ilvl w:val="0"/>
          <w:numId w:val="55"/>
        </w:numPr>
      </w:pPr>
      <w:r>
        <w:t>Screening av utenlandsinvesteringer (nyetablering og erverv av eierandeler)</w:t>
      </w:r>
    </w:p>
    <w:p w14:paraId="1B79DA09" w14:textId="6755E4FE" w:rsidR="004B1A63" w:rsidRDefault="004B1A63" w:rsidP="00E47CAB">
      <w:pPr>
        <w:pStyle w:val="alfaliste"/>
        <w:numPr>
          <w:ilvl w:val="0"/>
          <w:numId w:val="55"/>
        </w:numPr>
      </w:pPr>
      <w:r>
        <w:t>Oversikt/kontroll over salg av eiendeler i kritiske infrastrukturselskaper</w:t>
      </w:r>
    </w:p>
    <w:p w14:paraId="2CAE3D06" w14:textId="3499FE7E" w:rsidR="004B1A63" w:rsidRDefault="004B1A63" w:rsidP="00E47CAB">
      <w:pPr>
        <w:pStyle w:val="alfaliste"/>
        <w:numPr>
          <w:ilvl w:val="0"/>
          <w:numId w:val="55"/>
        </w:numPr>
      </w:pPr>
      <w:r>
        <w:t>Oversikt/kontroll over aktiviteter knyttet til vesentlige endring av driftskonsepter (strategiske partnerskap, leverandørvalg og utkontraktering)</w:t>
      </w:r>
    </w:p>
    <w:p w14:paraId="3367DA09" w14:textId="77777777" w:rsidR="004B1A63" w:rsidRDefault="004B1A63">
      <w:r>
        <w:t>I punkt 12.2 drøfter utvalget overordnede prinsipper for gjennomføringen av slik screening og kontroll. Deretter går utvalget i punkt 12.3 nærmere inn på de pågående prosessene knyttet til nytt screeningregelverk, og hva dette vil bety for screening i sektoren for elektronisk kommunikasjon, jf. punkt a) i listen over. I punkt 12.4 vurderer utvalget det eksisterende regelverket for screening og kontroll, herunder kontroll med salg av eiendeler og endringer i driftskonsepter, jf. punkt b) og c) i listen over.</w:t>
      </w:r>
    </w:p>
    <w:p w14:paraId="3224505B" w14:textId="77777777" w:rsidR="004B1A63" w:rsidRDefault="004B1A63">
      <w:pPr>
        <w:pStyle w:val="Overskrift2"/>
        <w:spacing w:before="369"/>
      </w:pPr>
      <w:r>
        <w:t>Overordnede prinsipper for screening og kontroll av økonomiske aktiviteter som kan ha kontrollsvekkende effekt</w:t>
      </w:r>
    </w:p>
    <w:p w14:paraId="362B78AB" w14:textId="77777777" w:rsidR="004B1A63" w:rsidRDefault="004B1A63" w:rsidP="006F4031">
      <w:r>
        <w:t xml:space="preserve">Som beskrevet i kapittel 11 vil et målbilde for kritisk digital kommunikasjonsinfrastruktur utgjøre et viktig fundament for den reaktive screeningen og kontrollen. Målbildet og gapanalyser vil kunne bidra til å identifisere behov for nye inngrepshjemler eller </w:t>
      </w:r>
      <w:r>
        <w:rPr>
          <w:spacing w:val="-4"/>
        </w:rPr>
        <w:t xml:space="preserve">reaksjonsmidler, og ha disse på plass i forkant av kontrollreduserende endringer som er i ferd med å skje. Et målbilde vil også gi myndighetene et bedre grunnlag for å gjøre de nødvendige </w:t>
      </w:r>
      <w:r>
        <w:t>risikovurderingene når de økonomiske aktivitetene skal screenes eller kontrolleres.</w:t>
      </w:r>
    </w:p>
    <w:p w14:paraId="3CC10825" w14:textId="77777777" w:rsidR="004B1A63" w:rsidRDefault="004B1A63">
      <w:r>
        <w:t>Screening eller kontroll forutsetter at myndighetene er kjent med at en økonomisk aktivitet er planlagt. Myndighetene kan få informasjon om den planlagte økonomiske aktiviteten gjennom at de involverte partene i transaksjonen har meldeplikt til myndighetene om dette, blant annet jf. kapittel 10 i sikkerhetsloven. Myndighetene kan også få informasjon ved at aktøren på eget initiativ ber myndighetene om råd, eller at myndighetene på annen måte blir gjort kjent med dette, for eksempel ved tilsyn.</w:t>
      </w:r>
    </w:p>
    <w:p w14:paraId="54624CFB" w14:textId="77777777" w:rsidR="004B1A63" w:rsidRDefault="004B1A63">
      <w:r>
        <w:t xml:space="preserve">Meldeplikten i sikkerhetsloven, og eventuelt utvidet meldeplikt etter nytt screeningregelverk vil gjelde erverv av eierandeler i en virksomhet. Meldeplikten dekker dermed ikke andre mulige kontrollsvekkende økonomiske aktiviteter, som salg av eiendeler som medfører at deler av virksomheten flyttes ut av et foretak, og endring av driftskonsepter, eksempelvis utkontraktering til en utenlandsk leverandør. I de tilfellene antar utvalget at myndigheten må gjøres kjent med disse gjennom at aktørene selv </w:t>
      </w:r>
      <w:r>
        <w:lastRenderedPageBreak/>
        <w:t>orienterer myndighetene. Dette vil være sårbart med tanke på myndighetenes behov for oversikt og kontroll, og utvalget anbefaler derfor følgende:</w:t>
      </w:r>
    </w:p>
    <w:p w14:paraId="5A301558" w14:textId="653EDD64" w:rsidR="004B1A63" w:rsidRPr="00015951" w:rsidRDefault="00015951">
      <w:pPr>
        <w:pStyle w:val="blokksit"/>
        <w:rPr>
          <w:rStyle w:val="halvfet"/>
        </w:rPr>
      </w:pPr>
      <w:r w:rsidRPr="00015951">
        <w:rPr>
          <w:rStyle w:val="halvfet"/>
        </w:rPr>
        <w:t>«</w:t>
      </w:r>
      <w:r w:rsidR="004B1A63" w:rsidRPr="00015951">
        <w:rPr>
          <w:rStyle w:val="halvfet"/>
        </w:rPr>
        <w:t>Utvalget mener at Digitaliserings- og forvaltningsdepartementet bør vurdere om sektorregelverket i tilstrekkelig grad sikrer tidlig informasjon til myndighetene om kontrollsvekkende økonomisk virksomhet fra selskapene som eier kritisk digital kommunikasjonsinfrastruktur, og bøte på eventuelle svakheter.</w:t>
      </w:r>
      <w:r w:rsidRPr="00015951">
        <w:rPr>
          <w:rStyle w:val="halvfet"/>
        </w:rPr>
        <w:t>»</w:t>
      </w:r>
    </w:p>
    <w:p w14:paraId="01AFBAD9" w14:textId="77777777" w:rsidR="004B1A63" w:rsidRDefault="004B1A63">
      <w:r>
        <w:t xml:space="preserve">Forutsatt at myndighetene er gjort kjent med den økonomiske aktiviteten, må myndighetene ta stilling til om endringen vil representere en trussel mot nasjonale sikkerhetsinteresser, blant annet gjennom reduksjon av nasjonal kontroll. Dette innebærer at det må gjennomføres en helhetlig risikovurdering av hva den økonomiske aktiviteten kan innebære. Utvalget vil understreke at nasjonal kontroll er ett av flere </w:t>
      </w:r>
      <w:r w:rsidRPr="00015951">
        <w:rPr>
          <w:rStyle w:val="kursiv"/>
        </w:rPr>
        <w:t>virkemidler</w:t>
      </w:r>
      <w:r>
        <w:t xml:space="preserve"> for å ivareta nasjonale sikkerhetsinteresser, og ikke et mål i seg selv. Derfor vil en risikovurdering først og fremst styres av hvordan den aktuelle økonomiske aktiviteten kan påvirke risikoen for at </w:t>
      </w:r>
      <w:r w:rsidRPr="00015951">
        <w:rPr>
          <w:rStyle w:val="kursiv"/>
        </w:rPr>
        <w:t xml:space="preserve">nasjonale sikkerhetsinteresser </w:t>
      </w:r>
      <w:r>
        <w:t>kan bli skadelidende. Dette kan skje gjennom reduksjon av nasjonal styringsevne eller handlefrihet, men det kan også være andre faktorer som spiller inn i risikovurderingen.</w:t>
      </w:r>
    </w:p>
    <w:p w14:paraId="4D9FBD32" w14:textId="77777777" w:rsidR="004B1A63" w:rsidRDefault="004B1A63">
      <w:r>
        <w:t>Utvalget tar ikke stilling til hva som er den mest egnede måten å gjennomføre risikovurderinger på, men vil i det følgende drøfte aktuelle vurderingsmomenter som det anbefales å ta stilling til i vurderingen. Disse er strukturert i henhold til en modell beskrevet i Moran (2009), men vurderingsmomentene er utvalgets egne. For øvrig vises det til kapittel 4 om det overordnede risiko- og trusselbildet og punkt 8.4 som nærmere beskriver risikofaktorer knyttet til utenlandsk eierskap.</w:t>
      </w:r>
    </w:p>
    <w:p w14:paraId="042A0102" w14:textId="77777777" w:rsidR="004B1A63" w:rsidRDefault="004B1A63">
      <w:r>
        <w:t>Et første steg vil være en kritikalitetstest av den økonomiske aktiviteten, som kan bestå av følgende spørsmål:</w:t>
      </w:r>
    </w:p>
    <w:p w14:paraId="5A756C09" w14:textId="21CEA1C0" w:rsidR="004B1A63" w:rsidRDefault="004B1A63">
      <w:pPr>
        <w:pStyle w:val="Listebombe"/>
      </w:pPr>
      <w:r>
        <w:t>Hvilken strategisk fordel overfor Norge vil den utenlandske aktøren og dens nasjonale myndigheter få ved å gjennomføre den økonomiske aktiviteten?</w:t>
      </w:r>
    </w:p>
    <w:p w14:paraId="65BE8BF4" w14:textId="5BC517BF" w:rsidR="004B1A63" w:rsidRDefault="004B1A63">
      <w:pPr>
        <w:pStyle w:val="Listebombe"/>
      </w:pPr>
      <w:r>
        <w:t>Hva vil konsekvensen være dersom den utenlandske aktøren utnytter kontrollen over den nasjonale kommunikasjonsinfrastrukturen til å hindre eller sette betingelser på tilgang til infrastrukturen eller tjenesteleveransen?</w:t>
      </w:r>
    </w:p>
    <w:p w14:paraId="5A0C050D" w14:textId="5977AB02" w:rsidR="004B1A63" w:rsidRDefault="004B1A63">
      <w:pPr>
        <w:pStyle w:val="Listebombe"/>
      </w:pPr>
      <w:r>
        <w:t>Hvor stort vil skadepotensialet være dersom den utenlandske aktøren utnytter kontrollen til spionasje eller til å ramme infrastrukturens eller tjenestens integritet?</w:t>
      </w:r>
    </w:p>
    <w:p w14:paraId="1A2AB5C4" w14:textId="72DEFA09" w:rsidR="004B1A63" w:rsidRDefault="004B1A63">
      <w:r>
        <w:t xml:space="preserve">Utvalget presiserer at dersom myndighetene har etablert et målbilde for den aktuelle infrastrukturkategorien som den økonomiske aktiviteten er rettet mot, vil det være enklere å identifisere konkret hva som anses kritisk. Målbildet vil dermed være til hjelp i å gjennomføre denne vurderingen. Et eksempel kan være en planlagt utenlandsk investering i et norsk fiberselskap. Dersom det er snakk om passiv fiberinfrastruktur, kan myndighetene komme til at eierskapet </w:t>
      </w:r>
      <w:r w:rsidRPr="00015951">
        <w:rPr>
          <w:rStyle w:val="kursiv"/>
        </w:rPr>
        <w:t>ikke</w:t>
      </w:r>
      <w:r>
        <w:t xml:space="preserve"> vil kunne utnyttes til å hindre eller sette betingelser i tilgangen til fiberinfrastrukturen (andre kulepunkt). Derimot kan vurderingen være at et definert målbilde om </w:t>
      </w:r>
      <w:r w:rsidR="00015951">
        <w:t>«</w:t>
      </w:r>
      <w:r>
        <w:t>styringsevne til å beskytte skjermingsverdig informasjon om nasjonal fibertopologi</w:t>
      </w:r>
      <w:r w:rsidR="00015951">
        <w:t>»</w:t>
      </w:r>
      <w:r>
        <w:t xml:space="preserve"> kan svekkes. Da vil skadepotensialet først og fremst være knyttet til spionasje (tredje kulepunkt), som igjen kan gi en utenlandsk myndighet en strategisk fordel overfor Norge (første kulepunkt).</w:t>
      </w:r>
    </w:p>
    <w:p w14:paraId="738BE536" w14:textId="77777777" w:rsidR="004B1A63" w:rsidRDefault="004B1A63">
      <w:r>
        <w:lastRenderedPageBreak/>
        <w:t>Dersom myndighetenes samlede vurdering på disse spørsmålene er at kritikaliteten er høy, så er neste vurderingsmoment hvor plausibelt det er at nasjonale sikkerhetsinteresser kan bli skadelidende. Et viktig spørsmål er da om det finnes aktuelle tilgjengelige substitutter for tjenestene man potensielt mister kontroll med. Det vil si, finnes det alternative aktører i markedet som kan tilby det samme, og til hvilken byttekostnad? Jamfør eksemplet over, vil denne vurderingen være avhengig av hvilken konkret fiberinfrastruktur det er snakk om. Er det snakk om en utenlandsk investering i et fiberselskap som forvalter et omfattende landsdekkende fibernett eller særlig strategiske fibernett, så vil byttekostnaden åpenbart være større enn om det er snakk om et regionalt/lokalt fibernett hvor det også finnes flere alternative substitutter. Når kritikaliteten er vurdert høy og det heller ikke finnes reelle substitutter dersom trusselen utløses, så vil dette kunne være et grunnlag for å blokkere den økonomiske aktiviteten.</w:t>
      </w:r>
    </w:p>
    <w:p w14:paraId="58E52D9F" w14:textId="77777777" w:rsidR="004B1A63" w:rsidRDefault="004B1A63">
      <w:r>
        <w:t>Utvalget vurderer Morans modell å være for forenklet til å utgjøre det eneste grunnlaget for en risikovurdering i en screening eller kontrollsak. For eksempel viser utvalget til punkt 6.3 som også peker på behovet for landvurderinger av opprinnelseslandet til den utenlandske aktøren (herunder politisk system, stabilitet og gjennomsiktighet), og om eierskap og makt er konsentrert på enkeltpersoner. Ytterligere vurderingsmomenter vil være hvilket sikkerhetsmessig samarbeid Norge har med det aktuelle landet, hvilke bånd den utenlandske aktøren har til egen stats myndigheter, hvorvidt geografisk avstand til opprinnelseslandet har betydning for risikoen, og hvilke potensielle sikkerhetstruende virkemidler aktøren vil få tilgang til gjennom den økonomiske aktiviteten (plassering av innsidere, tilgang til cybervirkemidler, økonomiske virkemidler, virkemidler for påvirkningsoperasjoner osv.).</w:t>
      </w:r>
    </w:p>
    <w:p w14:paraId="6B1400E7" w14:textId="77777777" w:rsidR="004B1A63" w:rsidRDefault="004B1A63">
      <w:r>
        <w:t>I tillegg mener utvalget at myndighetene må se på disse vurderingsmomentene både i forhold til kortsiktige og langsiktige effekter, og hvordan effektene kan endre seg i krisespekteret fred-krise-krig.</w:t>
      </w:r>
    </w:p>
    <w:p w14:paraId="79739D71" w14:textId="77777777" w:rsidR="004B1A63" w:rsidRDefault="004B1A63">
      <w:r>
        <w:t>Gitt at myndighetene konkluderer med at det er en ikke ubetydelig risiko for at nasjonale sikkerhetsinteresser kan bli skadelidende, finnes det ulike handlingsalternativer. Forenklet kan handlingsalternativene sorteres i tre kategorier:</w:t>
      </w:r>
    </w:p>
    <w:p w14:paraId="636BFE3F" w14:textId="5DAD094E" w:rsidR="004B1A63" w:rsidRDefault="004B1A63">
      <w:pPr>
        <w:pStyle w:val="Listebombe"/>
      </w:pPr>
      <w:r>
        <w:t>Blokkere aktiviteten</w:t>
      </w:r>
    </w:p>
    <w:p w14:paraId="41059D04" w14:textId="1F367244" w:rsidR="004B1A63" w:rsidRDefault="004B1A63">
      <w:pPr>
        <w:pStyle w:val="Listebombe"/>
      </w:pPr>
      <w:r>
        <w:t>Tillate aktiviteten på vilkår</w:t>
      </w:r>
    </w:p>
    <w:p w14:paraId="0F656C09" w14:textId="1CF78BED" w:rsidR="004B1A63" w:rsidRDefault="004B1A63">
      <w:pPr>
        <w:pStyle w:val="Listebombe"/>
      </w:pPr>
      <w:r>
        <w:t>Tillate aktiviteten (uten vilkår)</w:t>
      </w:r>
    </w:p>
    <w:p w14:paraId="40EE56FB" w14:textId="3BDF5787" w:rsidR="004B1A63" w:rsidRDefault="004B1A63">
      <w:r>
        <w:t xml:space="preserve">En sentral forutsetning for å blokkere en økonomisk aktivitet er at det finnes en tydelig hjemmel til å gjøre dette. Det vil typisk være sikkerhetsloven </w:t>
      </w:r>
      <w:r w:rsidR="00015951">
        <w:t>§ </w:t>
      </w:r>
      <w:r w:rsidR="00015951">
        <w:t>1</w:t>
      </w:r>
      <w:r>
        <w:t xml:space="preserve">0-3 når det er snakk om utenlandsinvesteringer som truer nasjonal sikkerhet, eller det kan være ekomloven </w:t>
      </w:r>
      <w:r w:rsidR="00015951">
        <w:t>§ </w:t>
      </w:r>
      <w:r w:rsidR="00015951">
        <w:t>3</w:t>
      </w:r>
      <w:r>
        <w:t xml:space="preserve">-1 eller </w:t>
      </w:r>
      <w:r w:rsidR="00015951">
        <w:t>§ </w:t>
      </w:r>
      <w:r w:rsidR="00015951">
        <w:t>3</w:t>
      </w:r>
      <w:r>
        <w:t xml:space="preserve">-7 dersom et er snakk om for eksempel et driftskonsept som bryter med kravet om forsvarlig sikkerhet. Unntaksvis kan også sikkerhetsloven </w:t>
      </w:r>
      <w:r w:rsidR="00015951">
        <w:t>§ </w:t>
      </w:r>
      <w:r w:rsidR="00015951">
        <w:t>2</w:t>
      </w:r>
      <w:r>
        <w:t>-5 benyttes.</w:t>
      </w:r>
    </w:p>
    <w:p w14:paraId="128BC07D" w14:textId="52F23B22" w:rsidR="004B1A63" w:rsidRDefault="004B1A63">
      <w:r>
        <w:t xml:space="preserve">Myndighetene kan vurdere at det ikke er nødvendig for å blokkere den økonomiske aktiviteten, men at den kan tillates på visse vilkår. Dette ble for eksempel gjort i saken fra 2023 hvor Mubadala Investment Company kjøpte en kvalifisert eierandel i GlobalConnect AS sitt svenske morselskap Nordic Connectivity AB. Vilkårene gikk da ut på å hindre at sensitiv informasjon om norske sikkerhetsmessige </w:t>
      </w:r>
      <w:r>
        <w:lastRenderedPageBreak/>
        <w:t>forhold skal tilflyte uvedkommende, at myndighetene skal varsles ved eventuelle fremtidige sikkerhetstruende eierskifter, og visse begrensninger for videresalg av aksjer.</w:t>
      </w:r>
      <w:r w:rsidR="00015951" w:rsidRPr="00015951">
        <w:rPr>
          <w:rStyle w:val="Fotnotereferanse"/>
        </w:rPr>
        <w:footnoteReference w:id="148"/>
      </w:r>
    </w:p>
    <w:p w14:paraId="16644511" w14:textId="77777777" w:rsidR="004B1A63" w:rsidRDefault="004B1A63">
      <w:r>
        <w:t>Det tredje handlingsalternativet er å tillate aktiviteten uten vilkår, det vil si at myndighetene godkjenner – alternativt ikke griper inn i – selve transaksjonen. Dette kan være på grunn av at det enten ikke er hjemmelsgrunnlag for å stoppe aktiviteten, eller at det ikke er hensiktsmessig å gjøre det av andre grunner. Utvalget vil presisere at sistnevnte kan være tilfelle selv om det er åpenbart at aktiviteten svekker den nasjonale kontrollen og øker gapet til det definerte målbildet. Bakgrunnen for dette kan typisk være at økonomiske aktiviteter følger internasjonale markedstrender og teknologiutvikling som det er uhensiktsmessig å motarbeide, fordi det vil innebære en betydelig svekkelse av selskapets konkurranseevne.</w:t>
      </w:r>
    </w:p>
    <w:p w14:paraId="1FBA65DC" w14:textId="77777777" w:rsidR="004B1A63" w:rsidRDefault="004B1A63">
      <w:r>
        <w:t>Når myndighetene må tillate økonomiske aktiviteter som bidrar til å svekke den nasjonale kontrollen, mener utvalget at det er viktig å se på andre aktuelle kompenserende tiltak for å lukke målbildegapet. Dette kan da skje gjennom å revurdere eksisterende strategier og handlingsplaner som omtalt i det proaktive nivået i kapittel 11, og som kan innebære alt fra revisjon av regelverk, styrking av nasjonale beredskapslagre, statlige overføringer, styrking av internasjonalt beredskapssamarbeid, og styrket informasjon og rådgivning. De aktuelle virkemidlene er omtalt nærmere i kapittel 9.</w:t>
      </w:r>
    </w:p>
    <w:p w14:paraId="4CE263BD" w14:textId="77777777" w:rsidR="004B1A63" w:rsidRDefault="004B1A63">
      <w:pPr>
        <w:pStyle w:val="Overskrift2"/>
      </w:pPr>
      <w:r>
        <w:t>Utredninger om behovet for og arbeid med nytt screeningregelverk</w:t>
      </w:r>
    </w:p>
    <w:p w14:paraId="24193A0E" w14:textId="77777777" w:rsidR="004B1A63" w:rsidRDefault="004B1A63" w:rsidP="006F4031">
      <w:r>
        <w:t>Investeringskontrollutvalget har utredet behovet for screening av økonomisk aktivitet mot virksomheter som ikke er underlagt sikkerhetsloven. Investeringskontrollutvalget mener at dagens investeringskontroll er for snever og fragmentert og at det er behov for en mer helhetlig investeringskontroll på tvers av dagens sektorer og regelverk. I NOU 2023: 28 foreslås derfor at det utarbeides et nytt regelverk som regulerer investeringskontroll ved en sektorovergripende investeringskontrollov.</w:t>
      </w:r>
    </w:p>
    <w:p w14:paraId="76D4F03E" w14:textId="77777777" w:rsidR="004B1A63" w:rsidRDefault="004B1A63">
      <w:pPr>
        <w:rPr>
          <w:spacing w:val="-2"/>
        </w:rPr>
      </w:pPr>
      <w:r>
        <w:rPr>
          <w:spacing w:val="-2"/>
        </w:rPr>
        <w:t>Investeringskontrollutvalget gjør rede for flere utfordringer ved dagens investeringskontroll i kapittel 13 i sin NOU. Blant annet fremheves det at saker som kan innebære risiko for nasjonale sikkerhetsinteresser ikke fanges opp i tilstrekkelig grad, at dagens ordning etter sikkerhetsloven av flere grunner skaper uforutsigbarhet og at myndighetene kan mangle egnet hjemmelsgrunnlag til å gripe inn ovenfor sikkerhetstruende investeringer.</w:t>
      </w:r>
    </w:p>
    <w:p w14:paraId="62116D76" w14:textId="6B861794" w:rsidR="004B1A63" w:rsidRDefault="004B1A63">
      <w:pPr>
        <w:rPr>
          <w:spacing w:val="-2"/>
        </w:rPr>
      </w:pPr>
      <w:r>
        <w:rPr>
          <w:spacing w:val="-2"/>
        </w:rPr>
        <w:t xml:space="preserve">Investeringskontrollutvalget foreslår derfor at det innføres en bredere investeringskontroll, hvor man heller har meldepliktordning for virksomheter i såkalte sikkerhetssensitive sektorer, fremfor utpeking av konkrete virksomheter som i dag. Investeringskontrollutvalget sier videre i punkt 19.2 at: </w:t>
      </w:r>
      <w:r w:rsidR="00015951">
        <w:rPr>
          <w:spacing w:val="-2"/>
        </w:rPr>
        <w:t>«</w:t>
      </w:r>
      <w:r w:rsidRPr="00015951">
        <w:rPr>
          <w:rStyle w:val="kursiv"/>
        </w:rPr>
        <w:t>Selv om hensynet med investeringskontrollen vil være å ivareta nasjonale sikkerhetsinteresser, mener utvalget at regelverket bør utformes slik at det ligner på andre regelverk som regulerer lovlig næringsvirksomhet, fremfor regelverk som håndterer trusler mot nasjonale sikkerhetsinteresser. Dette er fordi hoveddelen av aktiviteten som regelverket skal kontrollere, er både lovlig og ønskelig</w:t>
      </w:r>
      <w:r w:rsidR="00015951" w:rsidRPr="00015951">
        <w:rPr>
          <w:rStyle w:val="kursiv"/>
        </w:rPr>
        <w:t>»</w:t>
      </w:r>
    </w:p>
    <w:p w14:paraId="51A13A48" w14:textId="77777777" w:rsidR="004B1A63" w:rsidRDefault="004B1A63">
      <w:r>
        <w:lastRenderedPageBreak/>
        <w:t xml:space="preserve">Investeringskontrollutvalget foreslår også at alle saker om investeringskontroll behandles av én myndighet, at denne myndigheten skal motta alle meldinger som er omfattet av den foreslåtte meldeplikten og fatte vedtak i disse sakene. Investeringskontrollmyndigheten må kunne trekke på opplysninger fra andre relevante etater og en investeringskontrollov må tydelig angi et eventuelt behov for samarbeid med andre myndigheter. I NOU 2023: 28 punkt 13.5 redegjør utvalget for hvordan praktisering av sektorprinsippet kan hindre en enhetlig behandling av investeringskontrollsaker og sier blant annet følgende: </w:t>
      </w:r>
      <w:r w:rsidRPr="00015951">
        <w:rPr>
          <w:rStyle w:val="kursiv"/>
        </w:rPr>
        <w:t>Etter utvalgets syn er sektorprinsippet et viktig grunnlag for arbeidet med forebyggende sikkerhet i Norge. Sektorprinsippet fremstår imidlertid lite egnet til kompliserte investeringskontrollsaker, hvor det er behov for høy grad av enhetlig, effektiv og profesjonell analyse og saksbehandling.</w:t>
      </w:r>
    </w:p>
    <w:p w14:paraId="3145C402" w14:textId="77777777" w:rsidR="004B1A63" w:rsidRDefault="004B1A63">
      <w:r>
        <w:t>I etterkant av at Investeringskontrollutvalget fremla NOU 2023: 28 i desember 2023, la Europakommisjonen i januar 2024 frem et forslag til ny forordning om obligatorisk screening av utenlandske direkte investeringer i EU. Forslaget, og også gjeldende screeningregelverk i EU, er nærmere beskrevet i punkt 10.5.</w:t>
      </w:r>
    </w:p>
    <w:p w14:paraId="5C7D5120" w14:textId="7EE4416C" w:rsidR="004B1A63" w:rsidRDefault="00015951">
      <w:r>
        <w:t xml:space="preserve">Meld. St. </w:t>
      </w:r>
      <w:r>
        <w:t>9</w:t>
      </w:r>
      <w:r w:rsidR="004B1A63">
        <w:t xml:space="preserve"> (2024–2025) </w:t>
      </w:r>
      <w:r w:rsidR="004B1A63" w:rsidRPr="00015951">
        <w:rPr>
          <w:rStyle w:val="kursiv"/>
        </w:rPr>
        <w:t>Totalberedskapsmeldingen</w:t>
      </w:r>
      <w:r w:rsidR="004B1A63">
        <w:t xml:space="preserve"> ble lagt frem 10. januar 2025. I meldingens punkt 8.2 fremgår det at regjeringen har igangsatt et arbeid for å utarbeide forslag til en ny lov for kontroll av utenlandske investeringer og at dette arbeidet skal ses i sammenheng med regelverksutvikling i EU på området.</w:t>
      </w:r>
    </w:p>
    <w:p w14:paraId="4E9E0EA4" w14:textId="77777777" w:rsidR="004B1A63" w:rsidRDefault="004B1A63">
      <w:pPr>
        <w:rPr>
          <w:spacing w:val="-2"/>
        </w:rPr>
      </w:pPr>
      <w:r>
        <w:rPr>
          <w:spacing w:val="-2"/>
        </w:rPr>
        <w:t>Ekomsikkerhetsutvalget mener som tidligere nevnt i kapittel 11, at det er nødvendig å konkret vurdere ulike kontrollreduserende økonomiske aktiviteter og kunne gripe inn dersom disse kan skade nasjonale sikkerhetsinteresser. Dette betyr at det er behov for at myndighetene får kunnskap om mulig kontrollreduserende økonomiske aktiviteter og at det gjøres risikovurderinger av disse. For at det reaktive nivået, jf. punkt 11.1.2, skal kunne operasjonaliseres tilstrekkelig effektivt, må kontrollomfanget utvides sammenliknet med i dag. Dette gjelder både med hensyn til type materielle saker og kretsen av virksomheter.</w:t>
      </w:r>
    </w:p>
    <w:p w14:paraId="20A49780" w14:textId="77777777" w:rsidR="004B1A63" w:rsidRDefault="004B1A63">
      <w:r>
        <w:t>For transaksjoner som påvirker eierskap synes de pågående regelverksprosessene, både nasjonalt og i EU, å kunne legge bedre til rette for den kontrollmulighet utvalget mener at myndighetene må ha, for å reaktivt kunne følge opp etablerte målbilder som skal ivareta nasjonal kontroll.</w:t>
      </w:r>
    </w:p>
    <w:p w14:paraId="6554CEE2" w14:textId="77777777" w:rsidR="004B1A63" w:rsidRDefault="004B1A63">
      <w:r>
        <w:t>Når det gjelder utvikling av et nytt norsk regelverk for investeringskontroll har Ekomsikkerhetsutvalget merket seg at både Investeringskontrollutvalget og Eldringutvalget har fremhevet behovet for harmonisering og samarbeid med EU.</w:t>
      </w:r>
    </w:p>
    <w:p w14:paraId="01919596" w14:textId="29508F0E" w:rsidR="004B1A63" w:rsidRDefault="004B1A63">
      <w:r>
        <w:t xml:space="preserve">Investeringskontrollutvalget peker blant annet på muligheten til å ta EUs gjeldene forordning om kontroll av utenlandske direkteinvesteringer inn i EØS-avtalen gjennom et tillegg til protokoll 31 og sier: </w:t>
      </w:r>
      <w:r w:rsidR="00015951" w:rsidRPr="00015951">
        <w:rPr>
          <w:rStyle w:val="kursiv"/>
        </w:rPr>
        <w:t>«</w:t>
      </w:r>
      <w:r w:rsidRPr="00015951">
        <w:rPr>
          <w:rStyle w:val="kursiv"/>
        </w:rPr>
        <w:t>Uavhengig av om EU-forordningen om kontroll av utenlandske direkteinvesteringer tas inn i norsk rett, er forordningens krav til regelverk for investeringskontroll en hensiktsmessig ramme for innretningen av et norsk regelverk. Forordningen har vært toneangivende for EU-landene som har utarbeidet eller revidert sine nasjonale regelverk de siste årene. EU-forordningen kan følgelig fungere som veiledning for norsk regelverk uten at den er rettslig forpliktende. Dette vil gjøre samarbeidet med EU og EUs medlemsland enklere og regelverket vil være mer gjenkjennelig for investorer.</w:t>
      </w:r>
      <w:r w:rsidR="00015951" w:rsidRPr="00015951">
        <w:rPr>
          <w:rStyle w:val="kursiv"/>
        </w:rPr>
        <w:t>»</w:t>
      </w:r>
    </w:p>
    <w:p w14:paraId="49245B08" w14:textId="77777777" w:rsidR="004B1A63" w:rsidRDefault="004B1A63">
      <w:r>
        <w:lastRenderedPageBreak/>
        <w:t>Eldringutvalget tilråder at Norge bør følge samme regler og prosedyrer som våre europeiske handelspartnere når det gjelder investeringsscreening, og søke et tett samarbeid med EUs screeningmekanisme.</w:t>
      </w:r>
    </w:p>
    <w:p w14:paraId="12C51CF3" w14:textId="77777777" w:rsidR="004B1A63" w:rsidRDefault="004B1A63">
      <w:r>
        <w:t>Eldringutvalget viser blant annet til at:</w:t>
      </w:r>
    </w:p>
    <w:p w14:paraId="2EF44974" w14:textId="400B60D9" w:rsidR="004B1A63" w:rsidRPr="00015951" w:rsidRDefault="00015951">
      <w:pPr>
        <w:pStyle w:val="blokksit"/>
      </w:pPr>
      <w:r>
        <w:t>«</w:t>
      </w:r>
      <w:r w:rsidR="004B1A63" w:rsidRPr="00015951">
        <w:t>I løpet av de siste årene har EU lansert handelspolitiske instrumenter, som CBAM</w:t>
      </w:r>
      <w:r w:rsidRPr="00015951">
        <w:rPr>
          <w:rStyle w:val="Fotnotereferanse"/>
        </w:rPr>
        <w:footnoteReference w:id="149"/>
      </w:r>
      <w:r w:rsidR="004B1A63" w:rsidRPr="00015951">
        <w:t xml:space="preserve"> og investeringsscreening, som skal beskytte det indre marked og europeiske virksomheter. Flere av disse utfordrer EØS-avtalen, fordi de ligger i grenselandet mellom EUs felles handelspolitikk – som Norge ikke tar del i – og reguleringen av det indre marked. Der Kommisjonen velger å forankre de nye reglene i handelspolitikken, risikerer Norge å bli behandlet som et tredjeland. Det innebærer i ytterste konsekvens at tiltakene kan benyttes mot norske aktører. I den grad virkemidlene forankres i indre markedsbestemmelser, kan det nye regelverket påvirke Norges handelspolitikk, for eksempel dersom det er nødvendig å sikre like vilkår i det indre markedet gjennom identiske eller tilsvarende tiltak. Det åpner også for ulike variasjoner av </w:t>
      </w:r>
      <w:r>
        <w:t>«</w:t>
      </w:r>
      <w:r w:rsidR="004B1A63" w:rsidRPr="00015951">
        <w:t>bakdør</w:t>
      </w:r>
      <w:r>
        <w:t>»</w:t>
      </w:r>
      <w:r w:rsidR="004B1A63" w:rsidRPr="00015951">
        <w:t>-problematikk. Dette fordrer at myndighetene tidlig tar stilling til hvordan man skal forholde seg til denne typen regelverk, enten gjennom initiativ til å ta det inn i EØS-avtalen, eller gjennom initiativ til å tilpasse seg på andre måter. Som ledd i slike vurderinger, må ikke nye EU-regler kun vurderes isolert. Det må også vurderes om manglende tilpasning til EUs handelspolitiske virkemidler eventuelt kan få negative konsekvenser for adgangen for norske næringsaktører på det indre marked.</w:t>
      </w:r>
    </w:p>
    <w:p w14:paraId="6CB2C34D" w14:textId="02E31B00" w:rsidR="004B1A63" w:rsidRPr="00015951" w:rsidRDefault="004B1A63">
      <w:pPr>
        <w:pStyle w:val="blokksit"/>
      </w:pPr>
      <w:r w:rsidRPr="00015951">
        <w:t>Der EU har kommet lengst i utviklingen av nye handelspolitiske instrumenter, er screening av utenlandsinvesteringer. EUs regelverk for investeringsscreening fra 2019 handler om å etablere en felles tilnærming til kontrollen av investeringer fra land utenfor EU (tredjeland), som kan utgjøre en risiko for sikkerhet eller offentlig orden. Utvalget støtter forslaget fra investeringskontrollutvalget om at Norge på dette området følger regler og prosedyrer som tilsvarer det som blir gjort av våre europeiske handelspartnere.</w:t>
      </w:r>
      <w:r w:rsidR="00015951">
        <w:t>»</w:t>
      </w:r>
    </w:p>
    <w:p w14:paraId="20FB4AD9" w14:textId="77777777" w:rsidR="004B1A63" w:rsidRDefault="004B1A63">
      <w:r>
        <w:rPr>
          <w:spacing w:val="-2"/>
        </w:rPr>
        <w:t xml:space="preserve">Ekomsektoren er en kapitalintensiv næring hvor investeringsandelen målt mot omsetning </w:t>
      </w:r>
      <w:r>
        <w:t xml:space="preserve">i en årrekke har ligget på over 1/3. jf. punkt 3.2. Ekomsikkerhetsutvalget viser videre til punkt 8.4.8 hvor utvalget redegjør for negative konsekvenser ved redusert tilgang til finansiell kapital, fysisk kapital (teknologi) og human kapital (ekspertise) og at i dialogen med ekomaktørene har disse påpekt bekymringer for redusert tilgang til alle tre typene </w:t>
      </w:r>
      <w:r>
        <w:rPr>
          <w:spacing w:val="-2"/>
        </w:rPr>
        <w:t xml:space="preserve">kapital. I valget mellom ellers like land, vil investorer foretrekke det landet som har færrest </w:t>
      </w:r>
      <w:r>
        <w:rPr>
          <w:spacing w:val="-3"/>
        </w:rPr>
        <w:t xml:space="preserve">begrensninger eller usikkerhet knyttet til sitt regelverk. Utvalget legger til grunn at særnorske </w:t>
      </w:r>
      <w:r>
        <w:t>regler om investeringskontroll kan ha negativ innvirkning på blant annet kapitaltilgang, teknologitilgang og innovasjon, og mener at et EU-harmonisert norsk regelverk på dette området vil skape færre hindringer for norsk ekomsektor enn særnorske regler.</w:t>
      </w:r>
    </w:p>
    <w:p w14:paraId="637333A2" w14:textId="77777777" w:rsidR="004B1A63" w:rsidRDefault="004B1A63">
      <w:r>
        <w:t xml:space="preserve">Avslutningsvis vil utvalget bemerke at Europakommisjonens nye forslag til forordning om obligatorisk screening av utenlandske direkte investeringer, er hjemlet i både i TEUF artikkel 114 og artikkel 207. Dette i motsetning til gjeldende forordning, som kun er hjemlet i TEUF artikkel 207. Kommisjonen anser at det er nødvendig å hjemle det nye regelverket i TEUF artikkel 114, fordi forslaget pålegger medlemsstatene å screene visse investeringer i det indre marked og avhjelpe forskjeller i medlemsstatenes screeningmekanismer som kan være til hinder for de grunnleggende friheter i traktaten, og </w:t>
      </w:r>
      <w:r>
        <w:lastRenderedPageBreak/>
        <w:t>dermed ha en direkte innvirkning på det indre markeds funksjon. Et regelverk hjemlet i TEUF artikkel 114 vil normalt tilsi at regelverket vil bli ansett EØS-relevant. Dersom ny forordning blir vedtatt med hjemmel i TEUF artikkel 114, vil regelverket trolig måtte tas inn i EØS-avtalen og gjennomføres i nasjonal rett i EØS EFTA-landene.</w:t>
      </w:r>
    </w:p>
    <w:p w14:paraId="5590AEA8" w14:textId="77777777" w:rsidR="004B1A63" w:rsidRDefault="004B1A63">
      <w:r>
        <w:t>På denne bakgrunn har utvalget følgende forslag til tiltak:</w:t>
      </w:r>
    </w:p>
    <w:p w14:paraId="2A8956F2" w14:textId="2E457A67" w:rsidR="004B1A63" w:rsidRPr="00015951" w:rsidRDefault="00015951">
      <w:pPr>
        <w:pStyle w:val="blokksit"/>
        <w:rPr>
          <w:rStyle w:val="halvfet"/>
        </w:rPr>
      </w:pPr>
      <w:r w:rsidRPr="00015951">
        <w:rPr>
          <w:rStyle w:val="halvfet"/>
        </w:rPr>
        <w:t>«</w:t>
      </w:r>
      <w:r w:rsidR="004B1A63" w:rsidRPr="00015951">
        <w:rPr>
          <w:rStyle w:val="halvfet"/>
        </w:rPr>
        <w:t>Utvalget mener regjeringen ved utarbeidelse av ny lov for kontroll av utenlandske investeringer bør se hen til EUs nye regelverk om screening av utenlandske direkte investeringer, uavhengig av om regelverket anses EØS-relevant.</w:t>
      </w:r>
      <w:r w:rsidRPr="00015951">
        <w:rPr>
          <w:rStyle w:val="halvfet"/>
        </w:rPr>
        <w:t>»</w:t>
      </w:r>
    </w:p>
    <w:p w14:paraId="71D95BAD" w14:textId="77777777" w:rsidR="004B1A63" w:rsidRDefault="004B1A63">
      <w:r>
        <w:t>Utvalget tar ikke stilling til Investeringskontrollutvalget sitt forslag om det det bør opprettes én investeringskontrollmyndighet. Utvalget har gjennom sitt arbeid observert at spørsmål knyttet til hvilken nasjonal kontroll som er nødvendig over forskjellige arter av kritisk digital kommunikasjonsinfrastruktur vil ha en betydelig kompleksitet ved seg. Det vil derfor være vanskelig for en dedikert investeringskontrollmyndighet å gjøre gode vurderinger av dette spørsmålet uten betydelig støtte fra sektorspesifikk fagkompetanse.</w:t>
      </w:r>
    </w:p>
    <w:p w14:paraId="3A9EECEA" w14:textId="6F6DCD53" w:rsidR="004B1A63" w:rsidRPr="00015951" w:rsidRDefault="00015951">
      <w:pPr>
        <w:pStyle w:val="blokksit"/>
        <w:rPr>
          <w:rStyle w:val="halvfet"/>
        </w:rPr>
      </w:pPr>
      <w:r w:rsidRPr="00015951">
        <w:rPr>
          <w:rStyle w:val="halvfet"/>
        </w:rPr>
        <w:t>«</w:t>
      </w:r>
      <w:r w:rsidR="004B1A63" w:rsidRPr="00015951">
        <w:rPr>
          <w:rStyle w:val="halvfet"/>
        </w:rPr>
        <w:t>Utvalget mener at dersom Nærings- og fiskeridepartementet går videre med Investeringskontrollutvalget sitt forslag om én investeringskontrollmyndighet, må Nærings- og fiskeridepartementet sikre at sektorspesifikk fagkompetanse blir tilgjengeliggjort for en slik etat.</w:t>
      </w:r>
      <w:r w:rsidRPr="00015951">
        <w:rPr>
          <w:rStyle w:val="halvfet"/>
        </w:rPr>
        <w:t>»</w:t>
      </w:r>
    </w:p>
    <w:p w14:paraId="7DF3AA97" w14:textId="77777777" w:rsidR="004B1A63" w:rsidRDefault="004B1A63">
      <w:pPr>
        <w:pStyle w:val="Overskrift2"/>
      </w:pPr>
      <w:r>
        <w:t>Utfordringer med gjeldene regelverk</w:t>
      </w:r>
    </w:p>
    <w:p w14:paraId="07E45E0B" w14:textId="77777777" w:rsidR="004B1A63" w:rsidRDefault="004B1A63">
      <w:pPr>
        <w:pStyle w:val="Overskrift3"/>
      </w:pPr>
      <w:r>
        <w:t>Innledning</w:t>
      </w:r>
    </w:p>
    <w:p w14:paraId="5EF870C9" w14:textId="77777777" w:rsidR="004B1A63" w:rsidRDefault="004B1A63">
      <w:r>
        <w:t>Utvalgets vurderinger av regulatoriske grunnlag for screening og kontroll, omfatter både dagens regelverk og pågående prosesser om screeningregelverk. De foreslåtte tiltakene og anbefalingene i punkt 12.3 og 12.4, vil til en viss grad kunne være tematisk overlappende. Utvalget mener likevel at både tiltak og anbefaling knyttet til dagens eierskapskontroll er nødvendige, siden disse antas å kunne bli gjennomført betydelig raskere enn etableringen av en ny investeringskontrollov.</w:t>
      </w:r>
    </w:p>
    <w:p w14:paraId="7C0BAFF9" w14:textId="05ED0C30" w:rsidR="004B1A63" w:rsidRDefault="004B1A63">
      <w:pPr>
        <w:pStyle w:val="Overskrift3"/>
      </w:pPr>
      <w:r>
        <w:t xml:space="preserve">Sikkerhetsloven </w:t>
      </w:r>
      <w:r w:rsidR="00015951">
        <w:t>§ </w:t>
      </w:r>
      <w:r w:rsidR="00015951">
        <w:t>1</w:t>
      </w:r>
      <w:r>
        <w:t>0-3</w:t>
      </w:r>
    </w:p>
    <w:p w14:paraId="676AE54E" w14:textId="0E54ECDB" w:rsidR="004B1A63" w:rsidRDefault="004B1A63">
      <w:r>
        <w:t xml:space="preserve">Som tidligere nevnt i punkt 9.3.4.2 gir sikkerhetsloven </w:t>
      </w:r>
      <w:r w:rsidR="00015951">
        <w:t>§ </w:t>
      </w:r>
      <w:r w:rsidR="00015951">
        <w:t>1</w:t>
      </w:r>
      <w:r>
        <w:t>0-3 Kongen i statsråd mulighet til å stanse eller sette vilkår for gjennomføring av kjøp av en kvalifisert andel i en virksomhet som er underlagt sikkerhetsloven, hvis det er en ikke ubetydelig risiko for at nasjonale sikkerhetsinteresser blir truet.</w:t>
      </w:r>
    </w:p>
    <w:p w14:paraId="0AEBD94D" w14:textId="7D2FF492" w:rsidR="004B1A63" w:rsidRDefault="004B1A63">
      <w:r>
        <w:t xml:space="preserve">Som vist til i punkt 9.3.3 etablerer prinsippene om de fire friheter i EØS-retten at Norge i utgangspunktet ikke kan ha regler som behandler grenseoverskridende bevegelser og transaksjoner mellom Norge og andre EØS-stater strengere enn rent nasjonale bevegelser og transaksjoner. Slik forskjellsbehandling vil anses som en restriksjon på den frie bevegeligheten over landegrensene. Det er likevel en mulighet for å treffe visse tiltak gjennom artikkel 33 og 123 i EØS-avtalen. I </w:t>
      </w:r>
      <w:r w:rsidR="00015951">
        <w:t xml:space="preserve">Prop. </w:t>
      </w:r>
      <w:r w:rsidR="00015951">
        <w:t>153</w:t>
      </w:r>
      <w:r w:rsidR="00015951">
        <w:t xml:space="preserve"> </w:t>
      </w:r>
      <w:r w:rsidR="00015951">
        <w:t>L (2016</w:t>
      </w:r>
      <w:r>
        <w:t xml:space="preserve">–2017) Lov om nasjonal sikkerhet (sikkerhetsloven) s. 152 sier departementet følgende om forholdet mellom </w:t>
      </w:r>
      <w:r>
        <w:lastRenderedPageBreak/>
        <w:t>sikkerhetslovens regler om eierskapskontroll og EØS-avtalens regler om etableringsfrihet etter artikkel 31 og fri bevegelse av kapital etter artikkel 40:</w:t>
      </w:r>
    </w:p>
    <w:p w14:paraId="14FC0B09" w14:textId="0876A079" w:rsidR="004B1A63" w:rsidRPr="00015951" w:rsidRDefault="00015951">
      <w:pPr>
        <w:pStyle w:val="blokksit"/>
      </w:pPr>
      <w:r>
        <w:t>«</w:t>
      </w:r>
      <w:r w:rsidR="004B1A63" w:rsidRPr="00015951">
        <w:t>Stans av et erverv i en virksomhet vil i utgangspunktet være i strid med EØS-avtalens regler om fri etableringsrett og den frie bevegelighet av kapital, jf. EØS-avtalens artikkel 31 og 40. Imidlertid vil et inngrep bare gjøres i særlige tilfeller, hvor formålet med inngrepet ikke kan oppnås på en mindre inngripende måte. Det må videre være forholdsmessighet mellom den konkrete risiko for skadevirkning for nasjonale sikkerhetsinteresser og negative konsekvenser for de involverte aktørene. Departementet antar at artikkel 123, men også i enkelte tilfeller artikkel 33, da vil kunne hjemle inngripen.</w:t>
      </w:r>
      <w:r>
        <w:t>»</w:t>
      </w:r>
    </w:p>
    <w:p w14:paraId="24400441" w14:textId="51133FA2" w:rsidR="004B1A63" w:rsidRPr="00015951" w:rsidRDefault="004B1A63">
      <w:pPr>
        <w:rPr>
          <w:rStyle w:val="kursiv"/>
        </w:rPr>
      </w:pPr>
      <w:r>
        <w:t xml:space="preserve">Om muligheten til inngrep sier Investeringskontrollutvalget at: </w:t>
      </w:r>
      <w:r w:rsidR="00015951" w:rsidRPr="00015951">
        <w:rPr>
          <w:rStyle w:val="kursiv"/>
        </w:rPr>
        <w:t>«</w:t>
      </w:r>
      <w:r w:rsidRPr="00015951">
        <w:rPr>
          <w:rStyle w:val="kursiv"/>
        </w:rPr>
        <w:t>Virkeområdet til artikkel 123 er sannsynligvis ganske snevert i praksis. Bestemmelsen kan trolig kun brukes når det er snakk om en investering i et foretak som opererer i forsvarssektoren. Videre inneholder bestemmelsen krav om at det må foreligge alvorlig indre uro, fare for krig mv., hvilket gjør bestemmelsen lite anvendelig i fredstid. Artikkel 33 kan være et mer dekkende unntak for tiltak av hensyn til nasjonal sikkerhet, men kun når det gjelder brudd på forpliktelsen om retten til fri etablering</w:t>
      </w:r>
      <w:r w:rsidR="00015951" w:rsidRPr="00015951">
        <w:rPr>
          <w:rStyle w:val="kursiv"/>
        </w:rPr>
        <w:t>»</w:t>
      </w:r>
      <w:r w:rsidRPr="00015951">
        <w:rPr>
          <w:rStyle w:val="kursiv"/>
        </w:rPr>
        <w:t>.</w:t>
      </w:r>
    </w:p>
    <w:p w14:paraId="46EFFCFE" w14:textId="49315AFB" w:rsidR="004B1A63" w:rsidRDefault="004B1A63">
      <w:r>
        <w:t xml:space="preserve">Å ikke godkjenne erverv eller stille vilkår for ervervet med hjemmel for inngrepet i EØS-avtalen artikkel 33, innebærer en vesentlig lavere terskel – </w:t>
      </w:r>
      <w:r w:rsidR="00015951">
        <w:t>«</w:t>
      </w:r>
      <w:r>
        <w:t>nødvendig tiltak for å ivareta nasjonal sikkerhet</w:t>
      </w:r>
      <w:r w:rsidR="00015951">
        <w:t>»</w:t>
      </w:r>
      <w:r>
        <w:t>.</w:t>
      </w:r>
    </w:p>
    <w:p w14:paraId="7FC96BC5" w14:textId="11E91997" w:rsidR="004B1A63" w:rsidRDefault="004B1A63">
      <w:r>
        <w:t>Det er imidlertid ikke tilstrekkelig at reglene er begrunnet i sikkerhetshensyn etter EØS-avtalen artikkel 33 eller andre lovlige allmenne hensyn. EØS-rettens regler om de fire friheter stiller også minstekrav til hvordan lovgivningen skal utformes for å gi forvaltningen hjemmel til å pålegge private parter plikter. Ifølge Eriksen (2024)</w:t>
      </w:r>
      <w:r w:rsidR="00015951" w:rsidRPr="00015951">
        <w:rPr>
          <w:rStyle w:val="Fotnotereferanse"/>
        </w:rPr>
        <w:footnoteReference w:id="150"/>
      </w:r>
      <w:r>
        <w:t xml:space="preserve"> setter EØS-rettens hjemmelskrav først og fremst krav til lovhjemlers presisjon på de områdene lovgivningen anses som restriksjoner på fri bevegelse av varer, personer, tjenester og kapital. Ved denne vurderingen vil det være avgjørende om reglene er tilstrekkelig transparente, slik at investorene, ESA, Kommisjonen og andre land i EØS kan få innblikk i hvordan investeringer vil kunne bli screenet.</w:t>
      </w:r>
    </w:p>
    <w:p w14:paraId="6D385A0D" w14:textId="62D066DB" w:rsidR="004B1A63" w:rsidRDefault="004B1A63">
      <w:r>
        <w:t xml:space="preserve">Ifølge Eriksen (2024) er reglene om eierskapskontroll i sikkerhetsloven kapittel 10 upresise fordi det verken i lov eller forarbeider er angitt noen klare kriterier for vurdering av om investeringer skal godkjennes, utover at disse vurderingene skal være forholdsmessig. Han sier at det derfor i praksis vil </w:t>
      </w:r>
      <w:r w:rsidR="00015951" w:rsidRPr="00015951">
        <w:rPr>
          <w:rStyle w:val="kursiv"/>
        </w:rPr>
        <w:t>«</w:t>
      </w:r>
      <w:r w:rsidRPr="00015951">
        <w:rPr>
          <w:rStyle w:val="kursiv"/>
        </w:rPr>
        <w:t>være svært krevende for domstoler å kontrollere lovligheten av avgjørelser om å stanse eller sett vilkår for godkjenning av investeringer. Det er klart at det er mulig å formulere klarere og mer presise kriterier både i lov og forarbeider. En kunne for eksempel presisert at investeringer skal godkjennes med mindre visse vilkår er oppfylt. Sett i lys av EU- og EFTA-domstolens praksis antar jeg derfor at mangel på åpenhet om hvem som er underlagt reglene i kapittel 10 og mangel på presise retningslinjer for adgangen til nekte eller stille vilkår for erverv, kan medføre at reglene i sikkerhetsloven kapittel 10 går lenger enn det som er nødvendig i å begrense etableringsretten og kapitalfriheten, jf. EØS-avtalen artikkel 31 og 40, og at mekanismen i lovens kapittel 10 neppe kan forsvares etter EØS-avtalen artikkel 33 eller læren om allmenne hensyn</w:t>
      </w:r>
      <w:r w:rsidR="00015951" w:rsidRPr="00015951">
        <w:rPr>
          <w:rStyle w:val="kursiv"/>
        </w:rPr>
        <w:t>»</w:t>
      </w:r>
      <w:r w:rsidRPr="00015951">
        <w:rPr>
          <w:rStyle w:val="kursiv"/>
        </w:rPr>
        <w:t>.</w:t>
      </w:r>
      <w:r>
        <w:t xml:space="preserve"> Eriksens konklusjon er at det er betydelig risiko for at reglene i sikkerhetsloven kapittel 10 er i strid med EØS-</w:t>
      </w:r>
      <w:r>
        <w:lastRenderedPageBreak/>
        <w:t>avtalen artikkel 31 og 40, noe som innebærer at vedtak om stans av erverv og vedtak om vilkår for erverv, kan være ugyldige.</w:t>
      </w:r>
    </w:p>
    <w:p w14:paraId="25E39DBC" w14:textId="1844BE27" w:rsidR="004B1A63" w:rsidRDefault="004B1A63">
      <w:r>
        <w:t xml:space="preserve">Også Investeringskontrollutvalget peker på problemer med uforutsigbarhet knyttet til bruken av sikkerhetsloven </w:t>
      </w:r>
      <w:r w:rsidR="00015951">
        <w:t>§ </w:t>
      </w:r>
      <w:r w:rsidR="00015951">
        <w:t>1</w:t>
      </w:r>
      <w:r>
        <w:t xml:space="preserve">0-3 om investerings- og eierskapskontroll, og viser i rapportens punkt 13.7 til at: </w:t>
      </w:r>
      <w:r w:rsidR="00015951" w:rsidRPr="00015951">
        <w:rPr>
          <w:rStyle w:val="kursiv"/>
        </w:rPr>
        <w:t>«</w:t>
      </w:r>
      <w:r w:rsidRPr="00015951">
        <w:rPr>
          <w:rStyle w:val="kursiv"/>
        </w:rPr>
        <w:t>Både OECDs prinsipper og EUs minimumskrav til medlemslandenes regelverk legger vekt på at man skal ha mest mulig åpenhet og forutsigbarhet både rundt hvilke investeringer som er omfattet av regelverket, og hvordan saker skal behandles. Prinsippene i EU-forordningen og OECDs retningslinjer bygger på de grunnleggende prinsippene i det multilaterale handelsregelverket, se kapittel 9. Dette er prinsipper som Norge har sluttet seg til</w:t>
      </w:r>
      <w:r w:rsidR="00015951" w:rsidRPr="00015951">
        <w:rPr>
          <w:rStyle w:val="kursiv"/>
        </w:rPr>
        <w:t>»</w:t>
      </w:r>
      <w:r w:rsidRPr="00015951">
        <w:rPr>
          <w:rStyle w:val="kursiv"/>
        </w:rPr>
        <w:t>.</w:t>
      </w:r>
    </w:p>
    <w:p w14:paraId="2826F643" w14:textId="20B95519" w:rsidR="004B1A63" w:rsidRDefault="004B1A63">
      <w:r>
        <w:t xml:space="preserve">Ekomsikkerhetsutvalget erkjenner at det eksisterer ulike syn på hvorvidt sikkerhetsloven </w:t>
      </w:r>
      <w:r w:rsidR="00015951">
        <w:t>§ </w:t>
      </w:r>
      <w:r w:rsidR="00015951">
        <w:t>1</w:t>
      </w:r>
      <w:r>
        <w:t>0-3 er i tråd med EØS-avtalen.</w:t>
      </w:r>
    </w:p>
    <w:p w14:paraId="79C22E52" w14:textId="77777777" w:rsidR="004B1A63" w:rsidRDefault="004B1A63">
      <w:r>
        <w:t>På denne bakgrunn har utvalget følgende forslag til tiltak:</w:t>
      </w:r>
    </w:p>
    <w:p w14:paraId="2977F2A8" w14:textId="0055901E" w:rsidR="004B1A63" w:rsidRPr="00015951" w:rsidRDefault="00015951">
      <w:pPr>
        <w:pStyle w:val="blokksit"/>
      </w:pPr>
      <w:r w:rsidRPr="00015951">
        <w:rPr>
          <w:rStyle w:val="halvfet"/>
        </w:rPr>
        <w:t>«</w:t>
      </w:r>
      <w:r w:rsidR="004B1A63" w:rsidRPr="00015951">
        <w:rPr>
          <w:rStyle w:val="halvfet"/>
        </w:rPr>
        <w:t xml:space="preserve">Utvalget anbefaler at Justis- og beredskapsdepartementet klarlegger om bestemmelsen i sikkerhetsloven </w:t>
      </w:r>
      <w:r w:rsidRPr="00015951">
        <w:rPr>
          <w:rStyle w:val="halvfet"/>
        </w:rPr>
        <w:t>§ </w:t>
      </w:r>
      <w:r w:rsidRPr="00015951">
        <w:rPr>
          <w:rStyle w:val="halvfet"/>
        </w:rPr>
        <w:t>1</w:t>
      </w:r>
      <w:r w:rsidR="004B1A63" w:rsidRPr="00015951">
        <w:rPr>
          <w:rStyle w:val="halvfet"/>
        </w:rPr>
        <w:t>0-3 er i tråd med EØS-avtalen</w:t>
      </w:r>
      <w:r w:rsidRPr="00015951">
        <w:rPr>
          <w:rStyle w:val="halvfet"/>
        </w:rPr>
        <w:t>»</w:t>
      </w:r>
      <w:r w:rsidR="004B1A63" w:rsidRPr="00015951">
        <w:rPr>
          <w:rStyle w:val="halvfet"/>
        </w:rPr>
        <w:t>.</w:t>
      </w:r>
    </w:p>
    <w:p w14:paraId="79A4DC09" w14:textId="10F5D48B" w:rsidR="004B1A63" w:rsidRDefault="004B1A63">
      <w:pPr>
        <w:pStyle w:val="Overskrift3"/>
      </w:pPr>
      <w:r>
        <w:rPr>
          <w:spacing w:val="-3"/>
        </w:rPr>
        <w:t xml:space="preserve">Sikkerhetslovens regler om virksomheter med </w:t>
      </w:r>
      <w:r w:rsidR="00015951">
        <w:rPr>
          <w:spacing w:val="-3"/>
        </w:rPr>
        <w:t>«</w:t>
      </w:r>
      <w:r>
        <w:rPr>
          <w:spacing w:val="-3"/>
        </w:rPr>
        <w:t>vesentlig betydning</w:t>
      </w:r>
      <w:r w:rsidR="00015951">
        <w:rPr>
          <w:spacing w:val="-3"/>
        </w:rPr>
        <w:t>»</w:t>
      </w:r>
    </w:p>
    <w:p w14:paraId="449A50A3" w14:textId="7A8D6D8C" w:rsidR="004B1A63" w:rsidRDefault="004B1A63">
      <w:r>
        <w:t xml:space="preserve">Reglene i sikkerhetsloven kapittel 10 gjelder bare virksomheter som er underlagt sikkerhetsloven etter </w:t>
      </w:r>
      <w:r w:rsidR="00015951">
        <w:t>§ </w:t>
      </w:r>
      <w:r w:rsidR="00015951">
        <w:t>1</w:t>
      </w:r>
      <w:r>
        <w:t xml:space="preserve">-3. Sikkerhetsloven </w:t>
      </w:r>
      <w:r w:rsidR="00015951">
        <w:t>§ </w:t>
      </w:r>
      <w:r w:rsidR="00015951">
        <w:t>2</w:t>
      </w:r>
      <w:r>
        <w:t>-5 omfatter enhver aktivitet som kan medføre en ikke ubetydelig risiko for at nasjonale sikkerhetsinteresser blir truet, herunder erverv av eierandeler i en virksomhet. Bestemmelsen har derfor blitt brukt for å stanse erverv av eierandeler i virksomhet som ikke er underlagt sikkerhetsloven.</w:t>
      </w:r>
    </w:p>
    <w:p w14:paraId="6F14515B" w14:textId="5DAEEF36" w:rsidR="004B1A63" w:rsidRDefault="004B1A63">
      <w:r>
        <w:t xml:space="preserve">Per i dag er det ingen meldeplikt for erverv av eierandeler i selskaper med mindre disse er underlagt sikkerhetsloven. Derfor er staten selv nødt til å fange dette opp, og vurdere inngripen etter </w:t>
      </w:r>
      <w:r w:rsidR="00015951">
        <w:t>§ </w:t>
      </w:r>
      <w:r w:rsidR="00015951">
        <w:t>2</w:t>
      </w:r>
      <w:r>
        <w:t>-5 dersom oppkjøpet kan innebære en ikke ubetydelig risiko for at nasjonale sikkerhetsinteresser blir truet.</w:t>
      </w:r>
    </w:p>
    <w:p w14:paraId="79820F95" w14:textId="682EFB87" w:rsidR="004B1A63" w:rsidRDefault="004B1A63">
      <w:r>
        <w:t xml:space="preserve">Sikkerhetslovens bestemmelser om eierskapskontroll kan med hjemmel i </w:t>
      </w:r>
      <w:r w:rsidR="00015951">
        <w:t>§ </w:t>
      </w:r>
      <w:r w:rsidR="00015951">
        <w:t>1</w:t>
      </w:r>
      <w:r>
        <w:t xml:space="preserve">-3 annet ledd utvides til å gjelde virksomheter som et departement vurderer å ha </w:t>
      </w:r>
      <w:r w:rsidRPr="00015951">
        <w:rPr>
          <w:rStyle w:val="kursiv"/>
        </w:rPr>
        <w:t>vesentlig</w:t>
      </w:r>
      <w:r>
        <w:t xml:space="preserve"> betydning for grunnleggende nasjonale funksjoner eller for nasjonale sikkerhetsinteresser – altså en lavere terskel enn for virksomheter som skal utpekes fordi de har </w:t>
      </w:r>
      <w:r w:rsidRPr="00015951">
        <w:rPr>
          <w:rStyle w:val="kursiv"/>
        </w:rPr>
        <w:t>avgjørende</w:t>
      </w:r>
      <w:r>
        <w:t xml:space="preserve"> betydning. Å bruke dette mulighetsrommet til å utvide meldeplikten, vil gi departementet informasjon om viktige eierskapstransaksjoner og adgang til å bruke sikkerhetsloven kapittel 10, og dermed ikke måtte vurdere ervervet etter </w:t>
      </w:r>
      <w:r w:rsidR="00015951">
        <w:t>§ </w:t>
      </w:r>
      <w:r w:rsidR="00015951">
        <w:t>2</w:t>
      </w:r>
      <w:r>
        <w:t>-5 som er ment som en sikkerhetsventil. I praksis kan dette brukes til å oppnå en meldeplikt ved erverv av andeler i virksomheter, for eksempel de selskapene som samlet sett har evnen til å ivareta kritiske digitale kommunikasjonsfunksjoner.</w:t>
      </w:r>
    </w:p>
    <w:p w14:paraId="0D9CCD54" w14:textId="421DD016" w:rsidR="004B1A63" w:rsidRDefault="004B1A63">
      <w:r>
        <w:t xml:space="preserve">En utpeking av slike virksomheter, vil i tillegg til å utvide meldeplikten og gi muligheten til å anvende sikkerhetsloven </w:t>
      </w:r>
      <w:r w:rsidR="00015951">
        <w:t>§ </w:t>
      </w:r>
      <w:r w:rsidR="00015951">
        <w:t>1</w:t>
      </w:r>
      <w:r>
        <w:t xml:space="preserve">0-3, også skape større forutsigbarhet for selskaper, eiere og potensielle investorer, om at eierskapstransaksjoner vil bli underlagt screening. I dag må som nevnt en slik screening </w:t>
      </w:r>
      <w:r>
        <w:lastRenderedPageBreak/>
        <w:t xml:space="preserve">eventuelt skje med hjemmel i </w:t>
      </w:r>
      <w:r w:rsidR="00015951">
        <w:t>§ </w:t>
      </w:r>
      <w:r w:rsidR="00015951">
        <w:t>2</w:t>
      </w:r>
      <w:r>
        <w:t>-5, og det gir aktørene lite veiledning om når myndighetene kan komme til å ta i bruk bestemmelsen.</w:t>
      </w:r>
    </w:p>
    <w:p w14:paraId="537DCF47" w14:textId="1E51A17E" w:rsidR="004B1A63" w:rsidRDefault="004B1A63">
      <w:r>
        <w:t xml:space="preserve">Utvalget mener derfor at muligheten til å utvide kretsen av virksomheter som kan underlegges meldeplikt og eierskapskontroll bør prioriteres. Dette vil gi tilgang på nødvendig informasjon om potensielt kontrollsvekkende transaksjoner, inngrepsmulighet dersom transaksjonene svekker nasjonal kontroll i kvalifisert grad samt gi berørte virksomheter større forutsigbarhet for at erverv blir underlagt kontroll sammenliknet med å benytte sikkerhetsloven </w:t>
      </w:r>
      <w:r w:rsidR="00015951">
        <w:t>§ </w:t>
      </w:r>
      <w:r w:rsidR="00015951">
        <w:t>2</w:t>
      </w:r>
      <w:r>
        <w:t>-5.</w:t>
      </w:r>
    </w:p>
    <w:p w14:paraId="1C85C6BD" w14:textId="5C9E97F7" w:rsidR="004B1A63" w:rsidRDefault="004B1A63">
      <w:pPr>
        <w:pStyle w:val="Overskrift3"/>
      </w:pPr>
      <w:r>
        <w:t xml:space="preserve">Forholdet mellom sikkerhetsloven </w:t>
      </w:r>
      <w:r w:rsidR="00015951">
        <w:t>§ </w:t>
      </w:r>
      <w:r w:rsidR="00015951">
        <w:t>2</w:t>
      </w:r>
      <w:r>
        <w:t>-5 og ekomregelverket</w:t>
      </w:r>
    </w:p>
    <w:p w14:paraId="5326025F" w14:textId="77777777" w:rsidR="004B1A63" w:rsidRDefault="004B1A63" w:rsidP="00227F91">
      <w:pPr>
        <w:pStyle w:val="avsnitt-undertittel"/>
      </w:pPr>
      <w:r>
        <w:t>Utenlandske direkte investeringer gjennom nyetablering</w:t>
      </w:r>
    </w:p>
    <w:p w14:paraId="7435DBD0" w14:textId="45BEC9C2" w:rsidR="004B1A63" w:rsidRDefault="004B1A63" w:rsidP="006F4031">
      <w:r>
        <w:t>Utenlandsk eierskap kan oppnås gjennom erverv av eierandeler i eksisterende norske selskaper som er i drift (</w:t>
      </w:r>
      <w:r w:rsidR="00015951">
        <w:t>«</w:t>
      </w:r>
      <w:r>
        <w:t>brownfield investment</w:t>
      </w:r>
      <w:r w:rsidR="00015951">
        <w:t>»</w:t>
      </w:r>
      <w:r>
        <w:t>), men også gjennom at utenlandske eiere oppretter norske datterselskaper og bygger opp en virksomhet fra bunnen av (</w:t>
      </w:r>
      <w:r w:rsidR="00015951">
        <w:t>«</w:t>
      </w:r>
      <w:r>
        <w:t>greenfield investment</w:t>
      </w:r>
      <w:r w:rsidR="00015951">
        <w:t>»</w:t>
      </w:r>
      <w:r>
        <w:t>/nyetablering). Sistnevnte typer selskaper kan på lengre sikt vokse organisk i form av sin konkurransekraft og komme til å utgjøre en vesentlig, kanskje dominerende, aktør på sitt område i det norske markedet.</w:t>
      </w:r>
    </w:p>
    <w:p w14:paraId="513EAA94" w14:textId="77777777" w:rsidR="004B1A63" w:rsidRDefault="004B1A63">
      <w:r>
        <w:t>Utvalget anser det hensiktsmessig at også slike etableringer bør omfattes av en investerings-screening på linje med erverv av eierandeler etter sikkerhetsloven kapittel 10. Etter Kommisjonens forslag til nytt regelverk om screening av utenlandske direkte investeringer, skal også greenfield-investeringer underlegges slik kontroll.</w:t>
      </w:r>
    </w:p>
    <w:p w14:paraId="6C22DEE2" w14:textId="701DAB10" w:rsidR="004B1A63" w:rsidRDefault="004B1A63">
      <w:r>
        <w:t xml:space="preserve">Etter ekomloven </w:t>
      </w:r>
      <w:r w:rsidR="00015951">
        <w:t>§ </w:t>
      </w:r>
      <w:r w:rsidR="00015951">
        <w:t>2</w:t>
      </w:r>
      <w:r>
        <w:t xml:space="preserve">-1 skal tilbyder av offentlig elektronisk kommunikasjonsnett og offentlig elektronisk kommunikasjonstjeneste registrere seg hos departementet før virksomheten starter opp. Tilsvarende plikt til registrering av datasentre følger av ekomloven </w:t>
      </w:r>
      <w:r w:rsidR="00015951">
        <w:t>§ </w:t>
      </w:r>
      <w:r w:rsidR="00015951">
        <w:t>3</w:t>
      </w:r>
      <w:r>
        <w:t>-7. Det betyr at dersom det foretas en greenfield-investering ved at det etableres en ny virksomhet i Norge, vil myndigheten bli kjent med etableringen ved oppstart av slik virksomhet.</w:t>
      </w:r>
    </w:p>
    <w:p w14:paraId="10CD6C41" w14:textId="7A765122" w:rsidR="004B1A63" w:rsidRDefault="004B1A63">
      <w:r>
        <w:t xml:space="preserve">Det følger av ekomloven </w:t>
      </w:r>
      <w:r w:rsidR="00015951">
        <w:t>§ </w:t>
      </w:r>
      <w:r w:rsidR="00015951">
        <w:t>3</w:t>
      </w:r>
      <w:r>
        <w:t xml:space="preserve">-5 (omtalt i punkt 9.3.5) at myndigheten kan nekte en tilbyder adgang til markedet både ved oppstart av virksomhet og ved løpende virksomhet. Som sikkerhetsloven </w:t>
      </w:r>
      <w:r w:rsidR="00015951">
        <w:t>§ </w:t>
      </w:r>
      <w:r w:rsidR="00015951">
        <w:t>2</w:t>
      </w:r>
      <w:r>
        <w:t xml:space="preserve">-5, er bestemmelsen ment å være en sikkerhetsventil for særlige tilfeller og terskelen for å nekte noen adgang til markedet vil være høy. Forholdet mellom de to bestemmelsene er for utvalget noe uklart, bortsett fra at ekomloven </w:t>
      </w:r>
      <w:r w:rsidR="00015951">
        <w:t>§ </w:t>
      </w:r>
      <w:r w:rsidR="00015951">
        <w:t>3</w:t>
      </w:r>
      <w:r>
        <w:t>-5 åpner for å nekte adgang til markedet på grunnlag av svekket sikkerhet ut over nasjonale sikkerhetsinteresser, for eksempel offentlig sikkerhet, helse eller andre særlige forhold. Utvalget mener at det er behov for at forholdet mellom de to bestemmelsene klarlegges, og at rekkevidden av inngrepsmuligheten etter sektorregelverket tydeliggjøres.</w:t>
      </w:r>
    </w:p>
    <w:p w14:paraId="33BEBFAC" w14:textId="77777777" w:rsidR="004B1A63" w:rsidRDefault="004B1A63" w:rsidP="00227F91">
      <w:pPr>
        <w:pStyle w:val="avsnitt-undertittel"/>
      </w:pPr>
      <w:r>
        <w:t>Salg av eiendeler eller endring av driftskonsepter</w:t>
      </w:r>
    </w:p>
    <w:p w14:paraId="37CBFCF5" w14:textId="79F5150E" w:rsidR="004B1A63" w:rsidRDefault="004B1A63" w:rsidP="006F4031">
      <w:r>
        <w:t xml:space="preserve">Utvalget legger til grunn at både salg av eiendeler/ressurser og ulike typer driftskonsepter som kan føre til en nedbygging og overføring til virksomhet kontrollert av utenlandske eierinteresser, er aktiviteter som, hvis de innebærer en ikke ubetydelig risiko for at nasjonale sikkerhetsinteresser blir truet, </w:t>
      </w:r>
      <w:r>
        <w:lastRenderedPageBreak/>
        <w:t xml:space="preserve">kan være omfattet av sikkerhetsloven </w:t>
      </w:r>
      <w:r w:rsidR="00015951">
        <w:t>§ </w:t>
      </w:r>
      <w:r w:rsidR="00015951">
        <w:t>2</w:t>
      </w:r>
      <w:r>
        <w:t>-5. Bestemmelsen er imidlertid ment å være en sikkerhetsventil der terskelen for å ta i bruk bestemmelsen er høy. Det er heller ingen generell meldeplikt for slike disposisjoner.</w:t>
      </w:r>
    </w:p>
    <w:p w14:paraId="27B403D2" w14:textId="0C267FD4" w:rsidR="004B1A63" w:rsidRDefault="004B1A63">
      <w:r>
        <w:t>Når det gjelder utkontraktering vil ekomloven §</w:t>
      </w:r>
      <w:r w:rsidR="00015951">
        <w:t>§ </w:t>
      </w:r>
      <w:r w:rsidR="00015951">
        <w:t>3</w:t>
      </w:r>
      <w:r>
        <w:t>-1 og 3-7 kunne anvendes hvis for eksempel utkontraktering av funksjoner knyttet til drift, IT-sikkerhetstjenester og nettverksovervåking, vil medføre at virksomheten ikke lenger har forsvarlig sikkerhet og beredskap. Utvalget er imidlertid usikker på i hvilken grad nasjonale sikkerhetsinteresser kan vektlegges i vurderingen av §</w:t>
      </w:r>
      <w:r w:rsidR="00015951">
        <w:t>§ </w:t>
      </w:r>
      <w:r w:rsidR="00015951">
        <w:t>3</w:t>
      </w:r>
      <w:r>
        <w:t>-1 og 3-7. Også her mener utvalget at det er behov for en avklaring av forholdet mellom de sektorspesifikke bestemmelsene ekomloven og sikkerhetslovens bestemmelser.</w:t>
      </w:r>
    </w:p>
    <w:p w14:paraId="40034756" w14:textId="77777777" w:rsidR="004B1A63" w:rsidRDefault="004B1A63">
      <w:r>
        <w:t>På denne bakgrunn har utvalget følgende forslag til tiltak:</w:t>
      </w:r>
    </w:p>
    <w:p w14:paraId="58D482FC" w14:textId="5B700F2A" w:rsidR="004B1A63" w:rsidRPr="00015951" w:rsidRDefault="00015951">
      <w:pPr>
        <w:pStyle w:val="blokksit"/>
        <w:rPr>
          <w:rStyle w:val="halvfet"/>
        </w:rPr>
      </w:pPr>
      <w:r w:rsidRPr="00015951">
        <w:rPr>
          <w:rStyle w:val="halvfet"/>
        </w:rPr>
        <w:t>«</w:t>
      </w:r>
      <w:r w:rsidR="004B1A63" w:rsidRPr="00015951">
        <w:rPr>
          <w:rStyle w:val="halvfet"/>
        </w:rPr>
        <w:t>Utvalget mener Digitaliserings- og forvaltningsdepartementet bør avklare om det sektorspesifikke regelverket er i stand til å ivareta situasjoner der man står overfor kontrollsvekkende aktivitet i ekomsektoren. I første omgang er det behov for å vurdere rekkevidden av bestemmelsene i ekomloven §</w:t>
      </w:r>
      <w:r w:rsidRPr="00015951">
        <w:rPr>
          <w:rStyle w:val="halvfet"/>
        </w:rPr>
        <w:t>§ </w:t>
      </w:r>
      <w:r w:rsidRPr="00015951">
        <w:rPr>
          <w:rStyle w:val="halvfet"/>
        </w:rPr>
        <w:t>3</w:t>
      </w:r>
      <w:r w:rsidR="004B1A63" w:rsidRPr="00015951">
        <w:rPr>
          <w:rStyle w:val="halvfet"/>
        </w:rPr>
        <w:t xml:space="preserve">-1, 3-5 og 3-7 opp mot sikkerhetsloven </w:t>
      </w:r>
      <w:r w:rsidRPr="00015951">
        <w:rPr>
          <w:rStyle w:val="halvfet"/>
        </w:rPr>
        <w:t>§ </w:t>
      </w:r>
      <w:r w:rsidRPr="00015951">
        <w:rPr>
          <w:rStyle w:val="halvfet"/>
        </w:rPr>
        <w:t>2</w:t>
      </w:r>
      <w:r w:rsidR="004B1A63" w:rsidRPr="00015951">
        <w:rPr>
          <w:rStyle w:val="halvfet"/>
        </w:rPr>
        <w:t>-5.</w:t>
      </w:r>
      <w:r w:rsidRPr="00015951">
        <w:rPr>
          <w:rStyle w:val="halvfet"/>
        </w:rPr>
        <w:t>»</w:t>
      </w:r>
    </w:p>
    <w:p w14:paraId="6BB1E818" w14:textId="77777777" w:rsidR="004B1A63" w:rsidRDefault="004B1A63" w:rsidP="00171C15">
      <w:pPr>
        <w:pStyle w:val="Overskrift1"/>
      </w:pPr>
      <w:r>
        <w:t>Kritikalitet i infrastruktur som ligger utenfor norsk jurisdiksjon</w:t>
      </w:r>
    </w:p>
    <w:p w14:paraId="39DA030D" w14:textId="6085B636" w:rsidR="00F25864" w:rsidRPr="00F25864" w:rsidRDefault="004B4E04" w:rsidP="00F25864">
      <w:r>
        <w:rPr>
          <w:noProof/>
        </w:rPr>
        <w:drawing>
          <wp:inline distT="0" distB="0" distL="0" distR="0" wp14:anchorId="3B4589FE" wp14:editId="53412FA8">
            <wp:extent cx="3657600" cy="2581275"/>
            <wp:effectExtent l="0" t="0" r="0" b="0"/>
            <wp:docPr id="37" name="Bilde 3" descr="Bilde av en satellitt tatt i verdensrommet og med jordkloden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 descr="Bilde av en satellitt tatt i verdensrommet og med jordkloden i bakgrunne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2321C5CD" w14:textId="77777777" w:rsidR="004B1A63" w:rsidRDefault="004B1A63">
      <w:pPr>
        <w:pStyle w:val="Overskrift2"/>
      </w:pPr>
      <w:r>
        <w:t>Innledning</w:t>
      </w:r>
    </w:p>
    <w:p w14:paraId="61ADFE4C" w14:textId="77777777" w:rsidR="004B1A63" w:rsidRDefault="004B1A63" w:rsidP="006F4031">
      <w:r>
        <w:t>En viktig del av utvalgets mandat er å beskrive status for nasjonal kontroll med kritisk digital kommunikasjonsinfrastruktur. En viktig del av dette bildet er at flere digitale tjenester er tilstrekkelig kritiske til at en grad av nasjonal kontroll kunne være ønskelig, samtidig som de virksomhetene som leverer disse tjenestene ligger utenfor norske myndigheters kontroll og norsk jurisdiksjon. Felles for disse er at de er utviklet utenfor Norge, at de kan tilby sine tjenester globalt uten behov for nasjonal fysisk tilstedeværelse og at deres kritikalitet for norske samfunnsfunksjoner har kommet gradvis og over tid.</w:t>
      </w:r>
    </w:p>
    <w:p w14:paraId="6B01859E" w14:textId="77777777" w:rsidR="004B1A63" w:rsidRDefault="004B1A63">
      <w:r>
        <w:t>Dette kapittelet går gjennom noen slike sentrale tjenester, og for hver av dem diskuterer utvalget både tjenestens kritikalitet og hvilke muligheter som foreligger for nasjonal kontroll.</w:t>
      </w:r>
    </w:p>
    <w:p w14:paraId="347000B3" w14:textId="77777777" w:rsidR="004B1A63" w:rsidRDefault="004B1A63">
      <w:pPr>
        <w:pStyle w:val="Overskrift2"/>
      </w:pPr>
      <w:r>
        <w:lastRenderedPageBreak/>
        <w:t>IP-adresser</w:t>
      </w:r>
    </w:p>
    <w:p w14:paraId="47D7A812" w14:textId="33893D33" w:rsidR="004B1A63" w:rsidRDefault="004B1A63" w:rsidP="006F4031">
      <w:r>
        <w:t>IP-adresser er den sentrale identifikatoren for internett og som muliggjør at datapakker kan flyte fra en avsendermaskin til en mottakermaskin. For å få det globale internettet til å fungere har det vært avgjørende at det eksisterer en internasjonal enighet om adressesystemet, og om hvilke deler av nettet som benytter hvilke adresser. Denne enigheten er organisert gjennom Internet Corporation for Assignet Names and Numbers (ICANN), som er en non-profit organisasjon som ligger under amerikansk jurisdiksjon. ICANN delegerer ansvaret til fem regionale internettregistre. Registeret som dekker Europa, Midtøsten og deler av Sentral-Asia heter RIPE NCC</w:t>
      </w:r>
      <w:r w:rsidR="00015951" w:rsidRPr="00015951">
        <w:rPr>
          <w:rStyle w:val="Fotnotereferanse"/>
        </w:rPr>
        <w:footnoteReference w:id="151"/>
      </w:r>
      <w:r>
        <w:t>. RIPE NCC er en medlemsstyrt non-profit organisasjon, den er basert i Nederland og den ligger under nederlandsk jurisdiksjon.</w:t>
      </w:r>
    </w:p>
    <w:p w14:paraId="37579A99" w14:textId="77777777" w:rsidR="004B1A63" w:rsidRDefault="004B1A63">
      <w:r>
        <w:t>RIPE NCC tilordner adresser til lokale internettregistrarer (gjerne kalt LIR) i Norge. Norge er i en god situasjon på dette området ved at vi har et godt antall av lokale internettregistrarer, og et tilstrekkelig antall IP-adresser til rådighet.</w:t>
      </w:r>
    </w:p>
    <w:p w14:paraId="36D2B42D" w14:textId="5176BC1E" w:rsidR="004B1A63" w:rsidRDefault="004B1A63">
      <w:r>
        <w:t>En standard for validering av IP-adresser er under rask utbredelse. Denne standarden kalles RPKI ROV</w:t>
      </w:r>
      <w:r w:rsidR="00015951" w:rsidRPr="00015951">
        <w:rPr>
          <w:rStyle w:val="Fotnotereferanse"/>
        </w:rPr>
        <w:footnoteReference w:id="152"/>
      </w:r>
      <w:r>
        <w:t>, og hensikten med den er å gjøre internett sikrere ved at ingen kan påstå å eie IP-adresser som er i bruk hos andre. Denne utviklingen representerer en betydelig styrking av den strukturelle sikkerheten i internett. Samtidig representerer den en potensiell utfordring ved at standarden gir RIPE NCC verktøy som er rapportert å kunne invalidere IP-adresser som Norge er avhengig av.</w:t>
      </w:r>
      <w:r w:rsidR="00015951" w:rsidRPr="00015951">
        <w:rPr>
          <w:rStyle w:val="Fotnotereferanse"/>
        </w:rPr>
        <w:footnoteReference w:id="153"/>
      </w:r>
      <w:r>
        <w:t xml:space="preserve"> Medlemmene i RIPE NCC er organisasjoner og selskaper som benytter IP-adresser og den norske staten har således ikke ingen naturlig plass som medlem i denne organisasjonen. Nkom er medlem i kraft av sitt eierskap til IP-ressurser. RIPE har imidlertid etablert en struktur for dialog med myndigheter og regulatører i sin region ved å jevnlig invitere disse til rundebordskonferanser.</w:t>
      </w:r>
    </w:p>
    <w:p w14:paraId="4C56FEF5" w14:textId="77777777" w:rsidR="004B1A63" w:rsidRDefault="004B1A63">
      <w:pPr>
        <w:pStyle w:val="Overskrift2"/>
      </w:pPr>
      <w:r>
        <w:t>Domenenavn</w:t>
      </w:r>
    </w:p>
    <w:p w14:paraId="407FEA53" w14:textId="77777777" w:rsidR="004B1A63" w:rsidRDefault="004B1A63" w:rsidP="006F4031">
      <w:r>
        <w:t>Domenenavn er sentrale ressurser for alle anvendelser av internett. I motsetning til IP-adresser er domenenavn lett leselige for mennesker, og de benyttes derfor i alle sammenhenger der mennesker er ment å interagere direkte med internettets struktur. E-postadresser og web-adresser er begge eksempler på bruk av domenenavn til et slikt formål. Domenenavn benyttes også til en rekke andre formål, og de er av avgjørende betydning for internettets funksjon både i Norge og i resten av verden.</w:t>
      </w:r>
    </w:p>
    <w:p w14:paraId="064D4C85" w14:textId="50D4820E" w:rsidR="004B1A63" w:rsidRDefault="004B1A63">
      <w:r>
        <w:lastRenderedPageBreak/>
        <w:t>DNS</w:t>
      </w:r>
      <w:r w:rsidR="00015951" w:rsidRPr="00015951">
        <w:rPr>
          <w:rStyle w:val="Fotnotereferanse"/>
        </w:rPr>
        <w:footnoteReference w:id="154"/>
      </w:r>
      <w:r>
        <w:t xml:space="preserve"> er et globalt og standardisert system som oversetter domenenavn til IP-adresser. Dette systemet aktiveres ved enhver bruk av internett, og det er således en helt sentral ressurs. Systemet har en svært distribuert organisering, både hva gjelder teknisk implementering og hva gjelder beslutninger om hvem som har bruksrett til hvert enkelt domenenavn. Registeret for domenenavnene </w:t>
      </w:r>
      <w:r w:rsidR="00015951">
        <w:t>«</w:t>
      </w:r>
      <w:r>
        <w:t>.no</w:t>
      </w:r>
      <w:r w:rsidR="00015951">
        <w:t>»</w:t>
      </w:r>
      <w:r>
        <w:t xml:space="preserve"> (Norge), </w:t>
      </w:r>
      <w:r w:rsidR="00015951">
        <w:t>«</w:t>
      </w:r>
      <w:r>
        <w:t>.sj</w:t>
      </w:r>
      <w:r w:rsidR="00015951">
        <w:t>»</w:t>
      </w:r>
      <w:r>
        <w:t xml:space="preserve"> (Svalbard og Jan Mayen) og </w:t>
      </w:r>
      <w:r w:rsidR="00015951">
        <w:t>«</w:t>
      </w:r>
      <w:r>
        <w:t>.bv</w:t>
      </w:r>
      <w:r w:rsidR="00015951">
        <w:t>»</w:t>
      </w:r>
      <w:r>
        <w:t xml:space="preserve"> (Bouvetøya) drives av Norid</w:t>
      </w:r>
      <w:r w:rsidR="00015951" w:rsidRPr="00015951">
        <w:rPr>
          <w:rStyle w:val="Fotnotereferanse"/>
        </w:rPr>
        <w:footnoteReference w:id="155"/>
      </w:r>
      <w:r>
        <w:t>, som er et direkte eid selskap under DFD. ICANN har tildelt Norid kompetanse til å forvalte .no-domenet. ICANN har således innflytelse over både IP-adresser og domenenavn, og beslutninger som tas der har potensielt stor betydning i Norge. Gjennom Nkom spiller Norge en aktiv rolle i arbeidet i ICANN, og det er utvalgets syn at denne innsatsen er viktig for å ivareta norske interesser knyttet til domenenavn og IP-adresser. Arbeidet bør derfor fortsette å få prioritet.</w:t>
      </w:r>
    </w:p>
    <w:p w14:paraId="5E7D400A" w14:textId="5C28CDD1" w:rsidR="004B1A63" w:rsidRDefault="004B1A63">
      <w:r>
        <w:t xml:space="preserve">Den tekniske løsningen for DNS har en kjerne bestående av 13 rot-servere. Det er utpekt totalt tolv operatører av rot-servere i verden, og hver av disse opererer mange servere verden over. Ifølge nettstedet </w:t>
      </w:r>
      <w:hyperlink r:id="rId104" w:history="1">
        <w:r>
          <w:rPr>
            <w:rStyle w:val="Hyperkobling"/>
          </w:rPr>
          <w:t>http://root-servers.org</w:t>
        </w:r>
      </w:hyperlink>
      <w:r>
        <w:t xml:space="preserve"> har sju av disse en fysisk tilstedeværelse i Norge i form av en server som leverer den nødvendige tjenesten fra norsk territorium.</w:t>
      </w:r>
      <w:r w:rsidR="00015951" w:rsidRPr="00015951">
        <w:rPr>
          <w:rStyle w:val="Fotnotereferanse"/>
        </w:rPr>
        <w:footnoteReference w:id="156"/>
      </w:r>
      <w:r>
        <w:t xml:space="preserve"> Ingen av dem er styrt av norske virksomheter, men det er verdt å merke seg at én av de tolv utpekte rot-serveroperatører er svenske Netnod.</w:t>
      </w:r>
    </w:p>
    <w:p w14:paraId="060EA28B" w14:textId="63219BC0" w:rsidR="004B1A63" w:rsidRDefault="004B1A63">
      <w:r>
        <w:t xml:space="preserve">Styring av domenene </w:t>
      </w:r>
      <w:r w:rsidR="00015951">
        <w:t>«</w:t>
      </w:r>
      <w:r>
        <w:t>.no</w:t>
      </w:r>
      <w:r w:rsidR="00015951">
        <w:t>»</w:t>
      </w:r>
      <w:r>
        <w:t xml:space="preserve">, </w:t>
      </w:r>
      <w:r w:rsidR="00015951">
        <w:t>«</w:t>
      </w:r>
      <w:r>
        <w:t>.sj</w:t>
      </w:r>
      <w:r w:rsidR="00015951">
        <w:t>»</w:t>
      </w:r>
      <w:r>
        <w:t xml:space="preserve"> og </w:t>
      </w:r>
      <w:r w:rsidR="00015951">
        <w:t>«</w:t>
      </w:r>
      <w:r>
        <w:t>.bv</w:t>
      </w:r>
      <w:r w:rsidR="00015951">
        <w:t>»</w:t>
      </w:r>
      <w:r>
        <w:t xml:space="preserve"> gjøres som nevnt over av Norid. Ut over dette har vi som nasjon svært begrenset kontroll med utviklingen av DNS, da verken beslutningen om at Norge skal kontrollere disse domenene eller driften av rot-servere, gjøres av norske virksomheter. Den distribuerte naturen til DNS-systemet, og det faktum at den sentrale styringen av systemet gjøres fra land Norge har sikkerhetspolitisk samarbeid med, gjør at situasjonen fremstår som lite kritisk.</w:t>
      </w:r>
    </w:p>
    <w:p w14:paraId="7A7E58FA" w14:textId="77777777" w:rsidR="004B1A63" w:rsidRDefault="004B1A63">
      <w:r>
        <w:t>En større bekymring er knyttet til hvordan norske virksomheter og personer benytter DNS-systemet. Alt utstyr vil ha IP-adressen til den DNS-tjenesten de skal benytte kodet inn i seg. Kodingen av denne IP-adressen gjøres som regel av det nettverket som utstyret er koblet opp mot, og det foreligger ingen samlet oversikt over hvilke DNS-tjenester, norske eller utenlandske, som benyttes i norske nettverk.</w:t>
      </w:r>
    </w:p>
    <w:p w14:paraId="5C286EA6" w14:textId="77777777" w:rsidR="004B1A63" w:rsidRDefault="004B1A63">
      <w:r>
        <w:t>Bruk av DNS-tjenere som ligger utenfor landets grenser har to sider ved seg som grenser opp mot nasjonal kontroll. Den første er knyttet til tilgjengelighet, da bortfall av DNS-tjenester vil få de aller fleste informasjonssystemer til å slutte å virke. Den andre er knyttet til faren for misbruk av informasjon om norske forhold som en lekkasje av DNS-oppslag vil kunne medføre. Utvalget mener derfor at en definert grad av nasjonal autonomi knyttet til DNS bør være en del av målbildet for nasjonal kontroll med kritisk digital infrastruktur. Målbildet bør være basert på et faktagrunnlag knyttet til hvordan DNS-systemet benyttes av norske virksomheter.</w:t>
      </w:r>
    </w:p>
    <w:p w14:paraId="1629ABA7" w14:textId="77777777" w:rsidR="004B1A63" w:rsidRDefault="004B1A63">
      <w:pPr>
        <w:pStyle w:val="Overskrift2"/>
      </w:pPr>
      <w:r>
        <w:lastRenderedPageBreak/>
        <w:t>Digitale sertifikater</w:t>
      </w:r>
    </w:p>
    <w:p w14:paraId="57AAD4DF" w14:textId="77777777" w:rsidR="004B1A63" w:rsidRDefault="004B1A63" w:rsidP="006F4031">
      <w:r>
        <w:t>En sentral del av sikkerhetsregimet på internett består av å validere identiteten til enheter, til programkode og til dokumenter, samt å kryptere informasjon slik at den ikke kan leses av uvedkommende. Slik validering foregår i praksis ved at en sertifikatautoritet (CA) opererer som en tiltrodd tredjepart, og utsteder digitale sertifikater. Sertifikatene benyttes blant annet til følgende:</w:t>
      </w:r>
    </w:p>
    <w:p w14:paraId="4FB5597C" w14:textId="58F15564" w:rsidR="004B1A63" w:rsidRDefault="004B1A63">
      <w:pPr>
        <w:pStyle w:val="Listebombe"/>
      </w:pPr>
      <w:r>
        <w:t>For autentisering og kryptering av informasjon som flyter mellom to maskiner.</w:t>
      </w:r>
    </w:p>
    <w:p w14:paraId="7B36C827" w14:textId="0597B71C" w:rsidR="004B1A63" w:rsidRPr="005342B1" w:rsidRDefault="004B1A63">
      <w:pPr>
        <w:pStyle w:val="Listebombe"/>
        <w:rPr>
          <w:lang w:val="nn-NO"/>
        </w:rPr>
      </w:pPr>
      <w:r w:rsidRPr="005342B1">
        <w:rPr>
          <w:lang w:val="nn-NO"/>
        </w:rPr>
        <w:t>Som kodesigneringssertifikater for digital signering av programvare.</w:t>
      </w:r>
    </w:p>
    <w:p w14:paraId="7FA985C3" w14:textId="640754E0" w:rsidR="004B1A63" w:rsidRDefault="004B1A63">
      <w:pPr>
        <w:pStyle w:val="Listebombe"/>
      </w:pPr>
      <w:r>
        <w:t>Som grunnlag for kryptering og autentisering av e-post.</w:t>
      </w:r>
    </w:p>
    <w:p w14:paraId="257D84F3" w14:textId="024D4C78" w:rsidR="004B1A63" w:rsidRDefault="004B1A63">
      <w:pPr>
        <w:pStyle w:val="Listebombe"/>
      </w:pPr>
      <w:r>
        <w:t>Som grunnlag for elektronisk signatur av dokumenter.</w:t>
      </w:r>
    </w:p>
    <w:p w14:paraId="5B622289" w14:textId="454FF356" w:rsidR="004B1A63" w:rsidRDefault="004B1A63">
      <w:r>
        <w:t xml:space="preserve">Sertifikatautoritetene har en struktur av tillit seg imellom. Denne strukturen er forankret i et antall rot-sertifikatautoriteter som antas å ha bred, eller endog global tillit. En slik rot-sertifikatautoritet har således betydelig myndighet til å validere, men også invalidere en stor mengde sertifikater. En invalidering av mange sertifikater vil over noen tid få alvorlige konsekvenser for de aller fleste tjenestene som nå går over internett. Hvor lang tid som vil gå fra en invalidering til konsekvensene viser seg, vil variere fra sertifikat til sertifikat, og det vil avhenge av syklusen for fornyelse av sertifikatene. Sertifikater fornyes typisk hvert kvartal eller hvert år. Enkeltsertifikat kan også invalideres direkte ved å inkluderes i </w:t>
      </w:r>
      <w:r w:rsidR="00015951">
        <w:t>«</w:t>
      </w:r>
      <w:r>
        <w:t>certificate revocation lists</w:t>
      </w:r>
      <w:r w:rsidR="00015951">
        <w:t>»</w:t>
      </w:r>
      <w:r>
        <w:t xml:space="preserve"> av sertifikatautoriteten, noe som kan stanse en digital tjeneste umiddelbart.</w:t>
      </w:r>
    </w:p>
    <w:p w14:paraId="5ED3CDD1" w14:textId="77777777" w:rsidR="004B1A63" w:rsidRDefault="004B1A63">
      <w:r>
        <w:t>Det finnes flere norske sertifikatutstedere som er knyttet opp mot utenlandske rot-sertifikataktører. Buypass er den eneste rot-sertifikataktøren som er lokalisert i Norge og som kan sies å ha global tillit. Deres sertifikater er anerkjent og inkludert i rotsertifikat-programmene til både Apple, Google og Microsoft. Buypass er eid av Total Specific Solutions som har hovedkontor i Canada.</w:t>
      </w:r>
    </w:p>
    <w:p w14:paraId="7E8BA1EA" w14:textId="4C7193B7" w:rsidR="004B1A63" w:rsidRDefault="004B1A63">
      <w:r>
        <w:t>Dersom man ønsker nasjonal kontroll med en sertifikatstruktur, må den være forankret i en grad av nasjonal kontroll med en rotsertifikataktør. I EU har det i lengre tid vært oppmerksomhet rundt utfordringene knyttet til tjenester for digitale sertifikater. I april 2024 ble forordningen European Digital Identity Framework (eIDAS 2.0)</w:t>
      </w:r>
      <w:r w:rsidR="00015951" w:rsidRPr="00015951">
        <w:rPr>
          <w:rStyle w:val="Fotnotereferanse"/>
        </w:rPr>
        <w:footnoteReference w:id="157"/>
      </w:r>
      <w:r>
        <w:t xml:space="preserve"> vedtatt i EU, som blant annet gjør det lettere for nasjonale myndigheter å pålegge leverandører av nettlesere å godkjenne nasjonale rot-sertifikater.</w:t>
      </w:r>
    </w:p>
    <w:p w14:paraId="4DCF89CA" w14:textId="77777777" w:rsidR="004B1A63" w:rsidRDefault="004B1A63">
      <w:r>
        <w:t>Utvalget mener at det bør skaffes oversikt over graden av nasjonal kontroll med de sertifikat-tjenestene som er i faktisk bruk i Norge, for på den måten å ha et godt beslutningsgrunnlag for hvorvidt det er behov for en nasjonal rot-sertifikattjeneste.</w:t>
      </w:r>
    </w:p>
    <w:p w14:paraId="2DE5E6EC" w14:textId="77777777" w:rsidR="004B1A63" w:rsidRDefault="004B1A63">
      <w:pPr>
        <w:pStyle w:val="Overskrift2"/>
      </w:pPr>
      <w:r>
        <w:lastRenderedPageBreak/>
        <w:t>Nøyaktig tid</w:t>
      </w:r>
    </w:p>
    <w:p w14:paraId="67D8ABB9" w14:textId="77777777" w:rsidR="004B1A63" w:rsidRDefault="004B1A63" w:rsidP="006F4031">
      <w:r>
        <w:t>Sentrale deler av landets grunnleggende nasjonale funksjoner er avhengig av tilgang til en nøyaktig og synkronisert tidstjeneste. Behovet er spesielt uttalt i mobilnettene og i kraftdistribusjonen, der ny teknologi og nye bruksmønstre stiller helt andre krav til nøyaktig og synkronisert tidsangivelse enn tidligere.</w:t>
      </w:r>
    </w:p>
    <w:p w14:paraId="7E40B6B0" w14:textId="77777777" w:rsidR="004B1A63" w:rsidRDefault="004B1A63">
      <w:r>
        <w:t>Aktørene løser i dag behovet for nøyaktig tid på en av to måter. Telenor og Statkraft har etablert – eller er i ferd med å etablere – sine egne infrastrukturer for tidstjenester, med bakkebasert distribusjon av nøyaktig tid. Andre aktører med behov for tilgang til nøyaktig tid henter fra satellitt ved bruk av mottakere for satellittbaserte navigasjonssystemer (ofte forkortet til GNSS). GPS-systemet som drives av The United States Space Force er det mest kjente av disse. Alternative navigasjonssystemer som kan tilby eksakt tid er GLONASS (Russland), Beidou (Kina) and Galileo (EU).</w:t>
      </w:r>
    </w:p>
    <w:p w14:paraId="13AD8004" w14:textId="77777777" w:rsidR="004B1A63" w:rsidRDefault="004B1A63">
      <w:r>
        <w:t>Telenor og Statkraft sine løsninger for distribusjon av tidstjenester kan sies å ha en høy grad av nasjonal kontroll over seg. I den utstrekning de også gjør disse tidstjenestene tilgjengelig for andre aktører kan det også sies at effekten av denne nasjonale kontrollen går ut over grensene for Telenor og Statkraft sine egne virksomheter. Det er imidlertid verdt å merke seg at Norge ikke har noen nasjonal kontroll med de tidstjenestene som leveres fra satellitt. De installasjonene i Norge som henter nøyaktig tid fra satellittbaserte navigasjonstjenester har derfor en avhengighet til tjenester som ligger utenfor nasjonal kontroll. I noen tilfeller vil denne avhengigheten være av avgjørende karakter.</w:t>
      </w:r>
    </w:p>
    <w:p w14:paraId="0214D985" w14:textId="5A80D78D" w:rsidR="004B1A63" w:rsidRDefault="004B1A63">
      <w:r>
        <w:t>Problemstillinger knyttet til nøyaktig tid er omtalt i Nasjonal strategi for posisjonsbestemmelse, navigasjon og tidsbestemmelse</w:t>
      </w:r>
      <w:r w:rsidR="00015951" w:rsidRPr="00015951">
        <w:rPr>
          <w:rStyle w:val="Fotnotereferanse"/>
        </w:rPr>
        <w:footnoteReference w:id="158"/>
      </w:r>
      <w:r>
        <w:t xml:space="preserve">. I denne står det at Regjeringen vil </w:t>
      </w:r>
      <w:r w:rsidR="00015951">
        <w:t>«</w:t>
      </w:r>
      <w:r>
        <w:t>vurdere evnen til å opprettholde nøyaktig tid i digitale nett og om det er hensiktsmessig å innføre nasjonale krav til hvor lenge slike nett bør kunne fungere ved svikt i GNSS</w:t>
      </w:r>
      <w:r w:rsidR="00015951">
        <w:t>»</w:t>
      </w:r>
      <w:r>
        <w:t>.</w:t>
      </w:r>
    </w:p>
    <w:p w14:paraId="74E98267" w14:textId="5417BBC1" w:rsidR="004B1A63" w:rsidRDefault="004B1A63">
      <w:r>
        <w:t>Det finnes i dag ingen samlet nasjonal infrastruktur for tidstjenester. Denne mangelen har vært behandlet av Totalberedskapskommisjonen</w:t>
      </w:r>
      <w:r w:rsidR="00015951" w:rsidRPr="00015951">
        <w:rPr>
          <w:rStyle w:val="Fotnotereferanse"/>
        </w:rPr>
        <w:footnoteReference w:id="159"/>
      </w:r>
      <w:r>
        <w:t xml:space="preserve"> som skriver at </w:t>
      </w:r>
      <w:r w:rsidR="00015951">
        <w:t>«</w:t>
      </w:r>
      <w:r w:rsidRPr="00015951">
        <w:rPr>
          <w:rStyle w:val="kursiv"/>
        </w:rPr>
        <w:t>… svært mange samfunnsfunksjoner er avhengige av nøyaktig tid fra satellitter som er utenfor nasjonal kontroll. En nasjonal tidstjeneste som sikrer nasjonal egenevne med tanke på nøyaktig tid, vil være et viktig virkemiddel for å redusere denne sårbarheten</w:t>
      </w:r>
      <w:r w:rsidR="00015951">
        <w:t>»</w:t>
      </w:r>
      <w:r>
        <w:t>. Videre anbefaler NSM i sitt sikkerhetsfaglige råd fra 2023 at det bør etableres en nasjonal tidstjeneste. I den samme rapporten påpekes det at Sverige allerede har etablert en statlig kontrollert tjeneste for distribusjon av nøyaktig tid. Utvalget støtter Totalberedskapskommisjonen sitt syn om at en nasjonal tidstjeneste vil være et viktig virkemiddel for å redusere sårbarhet.</w:t>
      </w:r>
    </w:p>
    <w:p w14:paraId="3D3CA760" w14:textId="77777777" w:rsidR="004B1A63" w:rsidRDefault="004B1A63">
      <w:r>
        <w:t>Utvalget er kjent med at DFD har gitt Nkom og Justervesenet i oppdrag å kartlegge behovet for, og utrede løsninger for en nasjonal infrastruktur for distribusjon av presis tid/klokkesignal i Norge.</w:t>
      </w:r>
    </w:p>
    <w:p w14:paraId="5AEDE551" w14:textId="77777777" w:rsidR="004B1A63" w:rsidRDefault="004B1A63">
      <w:r>
        <w:lastRenderedPageBreak/>
        <w:t>I den sammenheng bør det vurderes i hvilken grad den nasjonale tjenesten kan bygge på, eller dra nytte av infrastrukturer som allerede er etablert av virksomheter som staten har eierskap i. Videre bør det vurderes om det norske behovet kan dekkes gjennom et samarbeid med våre nordiske naboland.</w:t>
      </w:r>
    </w:p>
    <w:p w14:paraId="73832D4A" w14:textId="77777777" w:rsidR="004B1A63" w:rsidRDefault="004B1A63">
      <w:pPr>
        <w:pStyle w:val="Overskrift2"/>
      </w:pPr>
      <w:r>
        <w:t>Skytjenester</w:t>
      </w:r>
    </w:p>
    <w:p w14:paraId="0A6D5A0F" w14:textId="77777777" w:rsidR="004B1A63" w:rsidRDefault="004B1A63" w:rsidP="006F4031">
      <w:r>
        <w:t>Noen få superskalære sky-leverandører – Google, Amazon og Microsoft – kontrollerer store deler av markedet for skytjenester. Felles for disse er at de er børsnoterte kommersielle selskaper med hovedkontor i USA. Kun Microsoft har foreløpig etablert skytjenester i Norge med et datasenter på Vestlandet og et på Østlandet, mens Google har startet bygging av et stort datasenter utenfor Skien. Ingen skytjenesteleverandør har foreløpig et komplett tjenestetilbud levert fra datasentre i Norge. Det betyr at norske kunder som ønsker å benytte de standardiserte tjenestene fra disse store leverandører i mange tilfeller er henvist til å legge sky-implementasjonen sin til utlandet.</w:t>
      </w:r>
    </w:p>
    <w:p w14:paraId="2024B3C3" w14:textId="77777777" w:rsidR="004B1A63" w:rsidRDefault="004B1A63">
      <w:r>
        <w:t>Plassering av skytjenester utenfor Norge representerer ikke nødvendigvis en svekkelse av nasjonal sikkerhet. Nasjonal kontroll kan gjenopprettes avtalemessig gjennom en kontraktsposisjon som kunde, noe som gir god kontroll langt opp i krisespennet så lenge tjenesten er kontrollert fra et land Norge har sikkerhetspolitisk samarbeid med. I de helt øverste delene av krisespennet kan det også være et poeng i seg selv å produsere tjenester utenfor landets grenser.</w:t>
      </w:r>
    </w:p>
    <w:p w14:paraId="3B11102A" w14:textId="390F6746" w:rsidR="004B1A63" w:rsidRDefault="004B1A63">
      <w:r>
        <w:t>Det er imidlertid to sider av denne saken som fortjener oppmerksomhet. Den ene er at skytjenester plassert utenfor landet kan gi tapt nasjonal kontroll over informasjon om norske individer og norske forhold. Denne problemstillingen er grundig belyst EU-domstolen gjennom to rettssaker.</w:t>
      </w:r>
      <w:r w:rsidR="00015951" w:rsidRPr="00015951">
        <w:rPr>
          <w:rStyle w:val="Fotnotereferanse"/>
        </w:rPr>
        <w:footnoteReference w:id="160"/>
      </w:r>
    </w:p>
    <w:p w14:paraId="18A5EA4F" w14:textId="55065DF3" w:rsidR="004B1A63" w:rsidRDefault="004B1A63">
      <w:r>
        <w:t xml:space="preserve">Det andre forholdet som er verdt å reflektere over er om totaliteten av tjenester som er lagt til utlandet samlet sett gir et uønsket tap av nasjonal kontroll. Merk at dette også gjelder såkalte </w:t>
      </w:r>
      <w:r w:rsidR="00015951">
        <w:t>«</w:t>
      </w:r>
      <w:r>
        <w:t>mikrotjenester</w:t>
      </w:r>
      <w:r w:rsidR="00015951">
        <w:t>»</w:t>
      </w:r>
      <w:r>
        <w:t xml:space="preserve"> som f.eks. autentisering, lagring, databaser, osv. som ofte benyttes i moderne software-utvikling, og som gjør det vanskelig for tjenesteyter å holde oversikt over avhengigheter og verdikjeder. Det bør settes i gang et arbeid for å holde oversikt over slik utilsiktet tap av nasjonal kontroll.</w:t>
      </w:r>
    </w:p>
    <w:p w14:paraId="301AA461" w14:textId="77777777" w:rsidR="004B1A63" w:rsidRDefault="004B1A63">
      <w:r>
        <w:t>Justissektoren har gjennomført et konseptvalgarbeid for en nasjonal skytjeneste for ugradert, skjermingsverdig informasjon og andre beskyttelsesverdige data. I totalberedskapsmeldingen sier regjeringen at de vil planlegge en nasjonal skytjeneste for å sikre økt nasjonal kontroll med kritisk digital infrastruktur, viktige samfunnsfunksjoner og digitale verdier, og de har valgt et konsept der det inngås avtale med én eller noen få leverandører som skal utvikle, drifte og forvalte en nasjonal skytjeneste. En nasjonal skytjeneste vil inngå i et målbilde for nasjonal kontroll med datasenterinfrastruktur, herunder nasjonale kapasitetsmål, geografisk spredning, eventuelle fortifikatoriske sikringsbehov og mål for beredskapskapasitet i utlandet.</w:t>
      </w:r>
    </w:p>
    <w:p w14:paraId="0920E240" w14:textId="3791E753" w:rsidR="004B1A63" w:rsidRPr="00015951" w:rsidRDefault="00015951">
      <w:pPr>
        <w:pStyle w:val="blokksit"/>
        <w:rPr>
          <w:rStyle w:val="kursiv"/>
        </w:rPr>
      </w:pPr>
      <w:r w:rsidRPr="00015951">
        <w:rPr>
          <w:rStyle w:val="halvfet"/>
        </w:rPr>
        <w:lastRenderedPageBreak/>
        <w:t>«</w:t>
      </w:r>
      <w:r w:rsidR="004B1A63" w:rsidRPr="00015951">
        <w:rPr>
          <w:rStyle w:val="halvfet"/>
        </w:rPr>
        <w:t>Utvalget ser behov for etablering av nasjonal skyløsning ut fra behovet for nasjonal kontroll, og mener at dette arbeidet bør gis høy prioritet. Det anbefales at Justis- og beredskapsdepartementet tydeliggjør videre ambisjonsnivå og plan, og gjør nødvendige midler tilgjengelig for arbeidet.</w:t>
      </w:r>
      <w:r w:rsidRPr="00015951">
        <w:rPr>
          <w:rStyle w:val="halvfet"/>
        </w:rPr>
        <w:t>»</w:t>
      </w:r>
    </w:p>
    <w:p w14:paraId="4D946FE4" w14:textId="77777777" w:rsidR="004B1A63" w:rsidRDefault="004B1A63">
      <w:pPr>
        <w:pStyle w:val="Overskrift2"/>
      </w:pPr>
      <w:r>
        <w:t>Internettsamtrafikk</w:t>
      </w:r>
    </w:p>
    <w:p w14:paraId="529551F9" w14:textId="20292A4C" w:rsidR="004B1A63" w:rsidRDefault="004B1A63" w:rsidP="006F4031">
      <w:r>
        <w:t>For at internett i Norge skal fungere må de norske nettstrukturene utveksle trafikk med nettstrukturer i utlandet. Mesteparten av internettrafikken som går ut og inn i Norge formidles gjennom de to internasjonale transittleverandørene Arelion og Lumen, samt de større norske internettilbyderne Telenor, Telia, GlobalConnect og Altibox.</w:t>
      </w:r>
      <w:r w:rsidR="00015951" w:rsidRPr="00015951">
        <w:rPr>
          <w:rStyle w:val="Fotnotereferanse"/>
        </w:rPr>
        <w:footnoteReference w:id="161"/>
      </w:r>
    </w:p>
    <w:p w14:paraId="4576969F" w14:textId="77777777" w:rsidR="004B1A63" w:rsidRDefault="004B1A63">
      <w:r>
        <w:t>Hverken Lumen eller Arelion har norsk eierskap, og virksomheten de driver fremstår som vanskelig tilgjengelig for norsk jurisdiksjon. Samtidig vil slike selskaper være helt sentrale aktører i verdikjeden til internettjenester som ble beskrevet i forrige avsnitt. Utvalget ser det som viktig at norske myndigheter holder oversikt over vår avhengighet av enkeltleverandører innen Internettsamtrafikk, og legger til rette for en grad av diversitet i leverandørbildet som sikrer at norsk internettsamtrafikk med utlandet er robust i hele krisespennet.</w:t>
      </w:r>
    </w:p>
    <w:p w14:paraId="717D3171" w14:textId="77777777" w:rsidR="004B1A63" w:rsidRDefault="004B1A63">
      <w:pPr>
        <w:pStyle w:val="Overskrift2"/>
      </w:pPr>
      <w:r>
        <w:t>Tjenester for kommunikasjon med befolkningen</w:t>
      </w:r>
    </w:p>
    <w:p w14:paraId="6ADEBA87" w14:textId="77777777" w:rsidR="004B1A63" w:rsidRDefault="004B1A63" w:rsidP="006F4031">
      <w:r>
        <w:t>I diskusjonen om kritisk digital infrastruktur har mobiltelefon som plattform for å kommunisere med- og mellom borgerne en sentral plass. Dette er gjenspeilet i at norske nummerserier som grunnlag for tale- og meldingstjenester er definert som en grunnleggende nasjonal funksjon etter sikkerhetsloven. Viktigheten av tale- og meldingstjenester er tilsvarende viktig utenfor sikkerhetslovens virkeområde, da det knapt er mulig å se for seg en virksomhet av betydning som ikke har en avhengighet til slike tjenester.</w:t>
      </w:r>
    </w:p>
    <w:p w14:paraId="7DA6BE42" w14:textId="77777777" w:rsidR="004B1A63" w:rsidRDefault="004B1A63">
      <w:r>
        <w:t>Det er imidlertid omfattende internasjonal kommersiell interesse i å tilby alternative meldings- og taletjenester. Eksempler på slike alternative tjenester som er mye i bruk er Instagram, Messenger, Snapchat, TikTok, FaceTime/iMessage, Skype, Google Meet og Teams. Felles for disse tjenestene er at de ikke ligger under noen form for nasjonal kontroll, at de ikke baserer seg på norske nummerserier og at de har stor utbredelse blant nordmenn.</w:t>
      </w:r>
    </w:p>
    <w:p w14:paraId="00DDD581" w14:textId="32240F87" w:rsidR="004B1A63" w:rsidRDefault="004B1A63">
      <w:r>
        <w:t xml:space="preserve">Til tross for at internasjonale tjenester i noen grad ser ut til å fortrenge tale- og meldingstjenester basert på norske nummerserier, ser ikke utvalget at det er noen umiddelbare behov for tiltak på dette området. Grunnen til dette er at tale- og meldingstjenester basert på norske nummerserier fortsatt er </w:t>
      </w:r>
      <w:r>
        <w:lastRenderedPageBreak/>
        <w:t>tilgjengelige på alle mobiltelefoner som har utbredelse i Norge, og det er etablert systemer for masseutsending av nødvarsler i samarbeid med mobiloperatørene.</w:t>
      </w:r>
      <w:r w:rsidR="00015951" w:rsidRPr="00015951">
        <w:rPr>
          <w:rStyle w:val="Fotnotereferanse"/>
        </w:rPr>
        <w:footnoteReference w:id="162"/>
      </w:r>
    </w:p>
    <w:p w14:paraId="59545C27" w14:textId="77777777" w:rsidR="004B1A63" w:rsidRDefault="004B1A63">
      <w:pPr>
        <w:pStyle w:val="Overskrift2"/>
      </w:pPr>
      <w:r>
        <w:t>Lavbanesatellitter</w:t>
      </w:r>
    </w:p>
    <w:p w14:paraId="1460170B" w14:textId="7078A79E" w:rsidR="004B1A63" w:rsidRDefault="004B1A63" w:rsidP="006F4031">
      <w:r>
        <w:t>Det gjøres for tiden store investeringer i systemer av lavbanesatellitter for internett-tilgang. De mest kjente systemene er Starlink som opereres av SpaceX</w:t>
      </w:r>
      <w:r w:rsidR="00015951" w:rsidRPr="00015951">
        <w:rPr>
          <w:rStyle w:val="Fotnotereferanse"/>
        </w:rPr>
        <w:footnoteReference w:id="163"/>
      </w:r>
      <w:r>
        <w:t>, og OneWeb som opereres av Eutelsat</w:t>
      </w:r>
      <w:r w:rsidR="00015951" w:rsidRPr="00015951">
        <w:rPr>
          <w:rStyle w:val="Fotnotereferanse"/>
        </w:rPr>
        <w:footnoteReference w:id="164"/>
      </w:r>
      <w:r>
        <w:t>, men det finnes flere andre kommersielle systemer som er i drift. EU utvikler en europeisk konstellasjon av lavbanesatellitter ved navn Infrastructure for Resilience, Interconnectivity and Security by Satellite (IRIS²), og som planlegges å være fullt operativ i 2027.</w:t>
      </w:r>
      <w:r w:rsidR="00015951" w:rsidRPr="00015951">
        <w:rPr>
          <w:rStyle w:val="Fotnotereferanse"/>
        </w:rPr>
        <w:footnoteReference w:id="165"/>
      </w:r>
      <w:r>
        <w:t xml:space="preserve"> Tilgang til IRIS er ikke omfattet av EØS avtalen. Programmet anses være av betydning for norsk samfunnssikkerhet og beredskap, Forsvaret, samt for utviklingen av norsk romindustri, og utvalget viser til at regjeringen arbeider for å muliggjøre norsk deltakelse i programmet.</w:t>
      </w:r>
      <w:r w:rsidR="00015951" w:rsidRPr="00015951">
        <w:rPr>
          <w:rStyle w:val="Fotnotereferanse"/>
        </w:rPr>
        <w:footnoteReference w:id="166"/>
      </w:r>
      <w:r>
        <w:t xml:space="preserve"> Det pågår ingen utvikling av lavbanesatellitt-konstellasjoner som kan sies å være under noen form for nasjonal norsk kontroll.</w:t>
      </w:r>
    </w:p>
    <w:p w14:paraId="4560BBE4" w14:textId="77777777" w:rsidR="004B1A63" w:rsidRDefault="004B1A63">
      <w:r>
        <w:t>Lavbanesatellitter har foreløpig svært liten utbredelse som plattform for nett-tilgang i Norge. Potensialet i teknologien er imidlertid stort. Spesielt vil den nærmest fullstendige flatedekningen et system av lavbanesatellitter gir samt den høye båndbredden som har blitt demonstrert gjøre slik teknologi til et attraktivt alternativ for nett-tilgang i områder som er kostbare å nå med fiber. Lavbanesatellitter vil også kunne spille en betydelig rolle som backup-løsning i situasjoner der bakkebasert nettilgang har falt bort.</w:t>
      </w:r>
    </w:p>
    <w:p w14:paraId="2B14EAD4" w14:textId="77777777" w:rsidR="004B1A63" w:rsidRPr="00015951" w:rsidRDefault="004B1A63">
      <w:pPr>
        <w:rPr>
          <w:rStyle w:val="kursiv"/>
        </w:rPr>
      </w:pPr>
      <w:r>
        <w:t>Utvalget er forsiktige med å spå i hvilken grad lavbanesatellitter vil være en disruptiv kraft i det norske telekom-markedet. Vi observerer likevel at de investeringene som gjøres i slike infrastrukturer er svært omfattende, og disse investeringene gjøres med en forventning om inntjening også fra norske brukere</w:t>
      </w:r>
      <w:r w:rsidRPr="00015951">
        <w:rPr>
          <w:rStyle w:val="kursiv"/>
        </w:rPr>
        <w:t xml:space="preserve">. </w:t>
      </w:r>
      <w:r>
        <w:t>Utvalget anbefaler derfor norske myndigheter om å følge utviklingen nøye, og at det søkes å spille en rolle i det pågående europeiske initiativet.</w:t>
      </w:r>
      <w:r w:rsidRPr="00015951">
        <w:rPr>
          <w:rStyle w:val="kursiv"/>
        </w:rPr>
        <w:t xml:space="preserve"> </w:t>
      </w:r>
      <w:r>
        <w:t>Basert på ovennevnte støtter utvalget regjeringens mål om aktiv deltakelse i IRIS².</w:t>
      </w:r>
    </w:p>
    <w:p w14:paraId="5C81880D" w14:textId="77777777" w:rsidR="004B1A63" w:rsidRDefault="004B1A63">
      <w:pPr>
        <w:pStyle w:val="Overskrift2"/>
      </w:pPr>
      <w:r>
        <w:lastRenderedPageBreak/>
        <w:t>Oppsummering</w:t>
      </w:r>
    </w:p>
    <w:p w14:paraId="704D4E09" w14:textId="77777777" w:rsidR="004B1A63" w:rsidRDefault="004B1A63" w:rsidP="006F4031">
      <w:r>
        <w:t>Vi har i dette kapittelet belyst flere digitale infrastrukturer som er kritisk viktige for digital kommunikasjon, men som ikke er underlagt norsk jurisdiksjon. Disse infrastrukturene er svært mangeartede, og de tiltakene vi foreslår vil av den grunn falle i flere kategorier.</w:t>
      </w:r>
    </w:p>
    <w:p w14:paraId="60B79E03" w14:textId="77777777" w:rsidR="004B1A63" w:rsidRDefault="004B1A63">
      <w:r>
        <w:t>I diskusjonene knyttet til nasjonal sky og til nøyaktig tid er det både teknisk og økonomisk gjennomførbart å lage nasjonalt kontrollerte alternativer til de utenlandske infrastrukturene som nå benyttes. Slike løsninger vil kunne gi tilfredsstillende grad av handlefrihet ved at de gjør de virkemidlene som er beskrevet i kapittel 9 virksomme på områder der de tidligere ikke har hatt effekt.</w:t>
      </w:r>
    </w:p>
    <w:p w14:paraId="7F35C4E8" w14:textId="77777777" w:rsidR="004B1A63" w:rsidRDefault="004B1A63">
      <w:r>
        <w:t>Våre forslag om aktiv deltakelse i ICANN, samt å søke norsk deltakelse i IRIS² er av en annen karakter. Disse forslagene vil i noen grad sørge for at norske behov har plass i de vurderingene som skal gjøres på sentrale teknologiområder, og som vil kunne få effekt for Norge.</w:t>
      </w:r>
    </w:p>
    <w:p w14:paraId="4CD00718" w14:textId="77777777" w:rsidR="004B1A63" w:rsidRDefault="004B1A63">
      <w:r>
        <w:t>Den siste kategorien av tiltak er utvikling av faktagrunnlag knyttet til våre internasjonale avhengigheter. Institusjoner og individers avhengighet av skytjenester, mikrotjenester, DNS-servere, og digitale sertifikater utenfor landets grenser er i liten grad regulert. Det er en fare for at de samlet sett utgjør et betydelig tap av nasjonal kontroll både over systemers integritet og over lekkasje av informasjon om norske forhold. Likeledes er alle disse tjenenestene avhengig av velfungerende strukturer for internettsamtrafikk for å kunne fungere.</w:t>
      </w:r>
    </w:p>
    <w:p w14:paraId="63AD05A6" w14:textId="54E79288" w:rsidR="004B1A63" w:rsidRPr="00015951" w:rsidRDefault="00015951">
      <w:pPr>
        <w:pStyle w:val="blokksit"/>
      </w:pPr>
      <w:r>
        <w:t>«</w:t>
      </w:r>
      <w:r w:rsidR="004B1A63" w:rsidRPr="00015951">
        <w:rPr>
          <w:rStyle w:val="halvfet"/>
        </w:rPr>
        <w:t>Digitaliserings- og forvaltningsdepartementet bør vedlikeholde et faktagrunnlag knyttet til nasjonal avhengighet av utenlandske innsatsfaktorer, herunder mikrotjenester, DNS-tjenere, sertifikattjenester, og internettsamtrafikk. Dette faktagrunnlaget bør danne basis for utvikling og vedlikehold av målbilde og virkemidler for nasjonal kontroll, og i den sammenheng vår avhengighet til infrastruktur som ligger utenfor norsk jurisdiksjon.</w:t>
      </w:r>
      <w:r w:rsidRPr="00015951">
        <w:rPr>
          <w:rStyle w:val="halvfet"/>
        </w:rPr>
        <w:t>»</w:t>
      </w:r>
    </w:p>
    <w:p w14:paraId="7FBE9AA6" w14:textId="77777777" w:rsidR="004B1A63" w:rsidRDefault="004B1A63" w:rsidP="00171C15">
      <w:pPr>
        <w:pStyle w:val="Overskrift1"/>
      </w:pPr>
      <w:r>
        <w:t>Økonomiske og administrative konsekvenser</w:t>
      </w:r>
    </w:p>
    <w:p w14:paraId="1E71E698" w14:textId="05CEC88A" w:rsidR="00F25864" w:rsidRPr="00F25864" w:rsidRDefault="004B4E04" w:rsidP="00F25864">
      <w:r>
        <w:rPr>
          <w:noProof/>
        </w:rPr>
        <w:drawing>
          <wp:inline distT="0" distB="0" distL="0" distR="0" wp14:anchorId="557ECE06" wp14:editId="6185FEB0">
            <wp:extent cx="3657600" cy="2581275"/>
            <wp:effectExtent l="0" t="0" r="0" b="0"/>
            <wp:docPr id="38" name="Bilde 2" descr="Nærbilde av en montør som er på vei opp i en telefonstolpe. I bakgrunnen skimtes en montør som er oppe i en annen stol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2" descr="Nærbilde av en montør som er på vei opp i en telefonstolpe. I bakgrunnen skimtes en montør som er oppe i en annen stolp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4E3FE158" w14:textId="77777777" w:rsidR="004B1A63" w:rsidRDefault="004B1A63">
      <w:r>
        <w:rPr>
          <w:spacing w:val="-2"/>
        </w:rPr>
        <w:t xml:space="preserve">Utvalget legger i denne rapporten fram en rekke konkrete forslag for å øke myndighetenes </w:t>
      </w:r>
      <w:r>
        <w:t xml:space="preserve">evne til å styrke nasjonal kontroll med kritisk digital kommunikasjonsinfrastruktur, som vil få administrative og </w:t>
      </w:r>
      <w:r>
        <w:lastRenderedPageBreak/>
        <w:t>økonomiske konsekvenser for både myndigheter og virksomheter. De økonomiske og administrative konsekvensene er imidlertid usikre.</w:t>
      </w:r>
    </w:p>
    <w:p w14:paraId="03B4BD5F" w14:textId="77777777" w:rsidR="004B1A63" w:rsidRDefault="004B1A63">
      <w:r>
        <w:t>Enkelte av utvalgets anbefalinger som</w:t>
      </w:r>
    </w:p>
    <w:p w14:paraId="47D1952A" w14:textId="16DC24A3" w:rsidR="004B1A63" w:rsidRDefault="004B1A63">
      <w:pPr>
        <w:pStyle w:val="Liste"/>
      </w:pPr>
      <w:r>
        <w:t>at alle myndigheter som har sektoransvar etter sikkerhetsloven, gis tilgang til opplysninger fra registeret over reelle rettighetshavere,</w:t>
      </w:r>
    </w:p>
    <w:p w14:paraId="4E545A2D" w14:textId="543CC904" w:rsidR="004B1A63" w:rsidRDefault="004B1A63">
      <w:pPr>
        <w:pStyle w:val="Liste"/>
      </w:pPr>
      <w:r>
        <w:t>at der det er finnes relevant EU-regelverk, sørger for at dette regelverket gjennomføres i Norge og i så nær tid som mulig med tilsvarende regulering i EU, og</w:t>
      </w:r>
    </w:p>
    <w:p w14:paraId="15145C19" w14:textId="6CFCFAF2" w:rsidR="004B1A63" w:rsidRDefault="004B1A63">
      <w:pPr>
        <w:pStyle w:val="Liste"/>
      </w:pPr>
      <w:r>
        <w:t>at der statlig eierskap er begrunnet i hensynet til samfunnssikkerhet og beredskap, bør være tydeligere hvordan det hensynet veies mot hensynet til avkastning, andre aksjonærer og for eksempel statsstøtteregler,</w:t>
      </w:r>
    </w:p>
    <w:p w14:paraId="491DE633" w14:textId="77777777" w:rsidR="004B1A63" w:rsidRDefault="004B1A63">
      <w:r>
        <w:t>er anbefalinger som utvalget mener vil ligge under ulike departementers ordinære oppgaver. Utvalget mener disse oppgavene bør prioriteres, men vil etter utvalgets syn ikke medføre nevneverdig økning av administrative eller økonomiske kostnader.</w:t>
      </w:r>
    </w:p>
    <w:p w14:paraId="1B15186F" w14:textId="77777777" w:rsidR="004B1A63" w:rsidRDefault="004B1A63">
      <w:r>
        <w:t>Ekomsikkerhetsutvalget foreslår som et utgangspunkt at DFD bør definere og vedlikeholde en helhetlig oversikt over kritisk digital kommunikasjonsinfrastruktur og selskapene som eier denne Til dette arbeidet kreves ressurser. Det er grunn til å anta at det ved etableringen av en slik oversikt vil være behov for særlige ressurser både knyttet til å definere kritisk digital kommunikasjonsinfrastruktur og identifisere selskapene som eier den. I tillegg er det behov for ressurser som kan sikre tilstrekkelig beskyttelse av informasjonen både når det gjelder oppbevaring og behandling av den. For at denne oversikten skal ha verdi over tid, er det nødvendig at det også gis tilstrekkelige ressurser for å vedlikeholde den. Departementet har allerede i dag plikt etter sikkerhetsloven til å utpeke virksomheter som har infrastruktur som har avgjørende eller vesentlig betydning for grunnleggende nasjonale funksjoner eller nasjonale sikkerhetsinteresser. Utvalget antar at en utvidelse til å kartlegge infrastrukturer og virksomheter som anses samfunnskritiske og relevante i forhold til nasjonal kontroll, men som ikke er så kritiske at de skal utpekes etter reglene i sikkerhetsloven, vil medføre et ikke ubetydelig behov for ytterligere ressurser. Fordi departementet ennå ikke har identifisert virksomheter med vesentlig betydning for grunnleggende nasjonale funksjoner eller for nasjonale sikkerhetsinteresser, er det vanskelig å anslå omfanget av gjenstående kartlegging og konkretisere de årlige økte kostnadene.</w:t>
      </w:r>
    </w:p>
    <w:p w14:paraId="13570F00" w14:textId="77777777" w:rsidR="004B1A63" w:rsidRDefault="004B1A63">
      <w:r>
        <w:t xml:space="preserve">Utvalget foreslår videre en strukturert metode for å etablere et målbilde med konkrete </w:t>
      </w:r>
      <w:r>
        <w:rPr>
          <w:spacing w:val="-4"/>
        </w:rPr>
        <w:t xml:space="preserve">styringsevner og handlefriheter staten bør ha for å ivareta nasjonal kontroll av kritisk digital kommunikasjonsinfrastruktur. Når målbildet er definert, må det gjennomføres en analyse av </w:t>
      </w:r>
      <w:r>
        <w:rPr>
          <w:spacing w:val="-2"/>
        </w:rPr>
        <w:t xml:space="preserve">aktuelle virkemidler som er nødvendig for å nå målbildet, for å avklare om de virkemidlene som finnes er tilstrekkelige. Arbeidet både med å etablere og vedlikeholde et slikt målbilde og å avklare om og eventuelt sikre at man har nødvendige virkemidler, vil åpenbart påføre </w:t>
      </w:r>
      <w:r>
        <w:rPr>
          <w:spacing w:val="-4"/>
        </w:rPr>
        <w:t xml:space="preserve">kostnader for myndighetene. Utvalget finner det vanskelig å kvantifisere kostnadene fordi det ligger utenfor utvalgets mandat å definere disse målbildene og har kun foreslått en metodikk </w:t>
      </w:r>
      <w:r>
        <w:t xml:space="preserve">som kan anvendes. Samtidig vil utvalget peke på at når det etableres og vedlikeholdes et målbilde og gjennomføres gapanalyser av målbildet og virkemidler, må det være et mål at dette arbeidet blir en integrert del av det øvrige forvaltningsarbeidet for å ivareta nasjonal kontroll av kritisk digital kommunikasjonsinfrastruktur, og at det bygges videre på dette i arbeidet med strategier, handlingsplaner og regelverksarbeid. Målet er at et etablert målbilde vil forenkle videre arbeid med å </w:t>
      </w:r>
      <w:r>
        <w:lastRenderedPageBreak/>
        <w:t>ivareta nasjonal kontroll av kritisk digital infrastruktur, og dermed redusere ressursbehovet i slike prosesser.</w:t>
      </w:r>
    </w:p>
    <w:p w14:paraId="0DE74114" w14:textId="6E9CDC42" w:rsidR="004B1A63" w:rsidRDefault="004B1A63">
      <w:r>
        <w:t xml:space="preserve">Utvalget mener at kontrollomfanget knyttet til økonomiske sikkerhetstruende aktivitet må utvides sammenliknet med i dag både når det gjelder type sikkerhetstruende aktivitet og kretsen av virksomheter som har kritisk digital kommunikasjonsinfrastruktur. Utvalget viser i denne sammenheng til at regjeringen i </w:t>
      </w:r>
      <w:r w:rsidR="00015951">
        <w:t xml:space="preserve">Meld. St. </w:t>
      </w:r>
      <w:r w:rsidR="00015951">
        <w:t>9</w:t>
      </w:r>
      <w:r>
        <w:t xml:space="preserve"> (2024–2025) </w:t>
      </w:r>
      <w:r w:rsidRPr="00015951">
        <w:rPr>
          <w:rStyle w:val="kursiv"/>
        </w:rPr>
        <w:t>Totalberedskapsmeldingen</w:t>
      </w:r>
      <w:r>
        <w:t xml:space="preserve"> punkt 8.2 mener det er behov for å videreutvikle dagens ordning for håndtering av potensielt sikkerhetstruende utenlandske investeringer i virksomheter som ikke er underlagt sikkerhetsloven, og at det er igangsatt et arbeid for å utarbeide forslag til en ny lov for kontroll av utenlandske investeringer. Etter utvalgets syn bør gjennomføringen av de nedenfor nevnte vurderinger, kartlegginger og avklaringer, bli en naturlig del av det arbeidet regjeringen har startet:</w:t>
      </w:r>
    </w:p>
    <w:p w14:paraId="7BB85A14" w14:textId="262DB215" w:rsidR="004B1A63" w:rsidRDefault="004B1A63">
      <w:pPr>
        <w:pStyle w:val="Liste"/>
      </w:pPr>
      <w:r>
        <w:t>vurdere om sektorregelverket i tilstrekkelig grad sikrer tidlig informasjon om kontrollsvekkende virksomhet fra de selskapene som er eier av kritisk digital infrastruktur.</w:t>
      </w:r>
    </w:p>
    <w:p w14:paraId="6A64ABD9" w14:textId="51CBAC85" w:rsidR="004B1A63" w:rsidRDefault="004B1A63">
      <w:pPr>
        <w:pStyle w:val="Liste"/>
      </w:pPr>
      <w:r>
        <w:t>ved utarbeidelse av ny lov for kontroll av utenlandske investeringer se hen til EUs nye regelverk om screening av utenlandske direkte investeringer, uavhengig av om regelverket anses EØS-relevant.</w:t>
      </w:r>
    </w:p>
    <w:p w14:paraId="332183F7" w14:textId="3D63B1C8" w:rsidR="004B1A63" w:rsidRDefault="004B1A63">
      <w:pPr>
        <w:pStyle w:val="Liste"/>
      </w:pPr>
      <w:r>
        <w:t>dersom det opprettes en investeringskontrollmyndighet, sikre at sektorspesifikk fagkompetanse blir tilgjengeliggjort for en slik etat.</w:t>
      </w:r>
    </w:p>
    <w:p w14:paraId="27D0764B" w14:textId="0B16E366" w:rsidR="004B1A63" w:rsidRDefault="004B1A63">
      <w:pPr>
        <w:pStyle w:val="Liste"/>
      </w:pPr>
      <w:r>
        <w:t xml:space="preserve">klarlegge om bestemmelsen i sikkerhetsloven </w:t>
      </w:r>
      <w:r w:rsidR="00015951">
        <w:t>§ </w:t>
      </w:r>
      <w:r w:rsidR="00015951">
        <w:t>1</w:t>
      </w:r>
      <w:r>
        <w:t>0-3 er i tråd med EØS-avtalen.</w:t>
      </w:r>
    </w:p>
    <w:p w14:paraId="0356F3BE" w14:textId="65372743" w:rsidR="004B1A63" w:rsidRDefault="004B1A63">
      <w:pPr>
        <w:pStyle w:val="Liste"/>
      </w:pPr>
      <w:r>
        <w:t>avklare om det sektorspesifikke regelverket er i stand til å ivareta situasjoner der man står overfor kontrollsvekkende aktivitet i ekomsektoren. I første omgang er det behov for å vurdere rekkevidden av bestemmelsene i ekomloven §</w:t>
      </w:r>
      <w:r w:rsidR="00015951">
        <w:t>§ </w:t>
      </w:r>
      <w:r w:rsidR="00015951">
        <w:t>3</w:t>
      </w:r>
      <w:r>
        <w:t xml:space="preserve">-1, 3-5 og 3-7 opp mot sikkerhetsloven </w:t>
      </w:r>
      <w:r w:rsidR="00015951">
        <w:t>§ </w:t>
      </w:r>
      <w:r w:rsidR="00015951">
        <w:t>2</w:t>
      </w:r>
      <w:r>
        <w:t>-5.</w:t>
      </w:r>
    </w:p>
    <w:p w14:paraId="39D160FE" w14:textId="77777777" w:rsidR="004B1A63" w:rsidRDefault="004B1A63">
      <w:r>
        <w:t>Siden utvalget ikke tar konkret stilling til hvordan en ny ordning med kontroll av utenlandske investeringer skal utformes, men viser til at det er behov for å utvide kontrollen av økonomisk aktivitet samt at regjeringen må se hen til det arbeidet med et nytt screeningregelverk som er satt i gang i EU, har ikke utvalget grunnlag for å konkretisere hvilke økte kostnader dette vil medføre verken for virksomhetene eller myndighetene. Det er likevel klart at en bredere kontroll av økonomisk aktivitet vil gi flere transaksjoner som skal kontrolleres, og dermed økte kostnader både for virksomhetene og for myndighetene. For myndighetene vil de økte kostnadene særlig være knyttet til større veiledningsbehov overfor investorer om regelverk og prosedyrer for meldepliktige saker, økte kostnader knyttet til saksbehandling av meldingene, samt økte kostnader med oppfølging særlig av vedtak der det er stilt vilkår for at transaksjonen kan gjennomføres. For næringslivet vil økte kostnader følge av at flere transaksjoner skal meldes og gjennomgå investeringskontroll, samt knyttet til tidstapet fra melding er sendt til myndighetene har truffet en beslutning, og det blir klart om en transaksjon kan gjennomføre eller ikke.</w:t>
      </w:r>
    </w:p>
    <w:p w14:paraId="3082C71E" w14:textId="77777777" w:rsidR="004B1A63" w:rsidRDefault="004B1A63">
      <w:r>
        <w:t>Utvalget har foreslått et arbeid med å etablere et faktagrunnlag knyttet til avhengighet av internasjonale infrastrukturer som mikrotjenester, DNS-tjenere, sertifikattjenester og internettsamtrafikk.</w:t>
      </w:r>
    </w:p>
    <w:p w14:paraId="241D9162" w14:textId="77777777" w:rsidR="004B1A63" w:rsidRDefault="004B1A63">
      <w:r>
        <w:t xml:space="preserve">Dette er et tiltak av vesentlig betydning for å holde oversikt over hvilke land og aktører som har kontroll over kritisk digital infrastruktur som ligger utenfor norsk jurisdiksjon. Kostnadene ved å opprette </w:t>
      </w:r>
      <w:r>
        <w:lastRenderedPageBreak/>
        <w:t>og vedlikeholde et slikt faktagrunnlag vil være avhengig de behovene som fremkommer under utarbeidelsen av et målbilde, og av den grunn er det ikke mulig å tallfeste kostnadene. Utvalget er imidlertid ikke kjent med at det foregår vesentlig arbeid på dette området fra før, og man må forvente at en meningsfull dimensjonering og gjennomføring av dette tiltaket vil kreve tilleggsbevilgninger, og i noen grad også oppbygging av teknisk ekspertise. Utvalget bemerker at flere nærliggende land står overfor samme utfordring, og at et internasjonalt samarbeid om dette fremstår som en mulighet som også vil kunne påvirke kostnadsbildet.</w:t>
      </w:r>
    </w:p>
    <w:p w14:paraId="1D5F1B05" w14:textId="77777777" w:rsidR="004B1A63" w:rsidRDefault="004B1A63" w:rsidP="003C04CB">
      <w:pPr>
        <w:pStyle w:val="Overskrift1"/>
      </w:pPr>
      <w:r>
        <w:t>Referanseliste</w:t>
      </w:r>
    </w:p>
    <w:p w14:paraId="3ECFE125" w14:textId="7DC65663" w:rsidR="000336F0" w:rsidRPr="000336F0" w:rsidRDefault="004B4E04" w:rsidP="000336F0">
      <w:r>
        <w:rPr>
          <w:noProof/>
        </w:rPr>
        <w:drawing>
          <wp:inline distT="0" distB="0" distL="0" distR="0" wp14:anchorId="55DF4CE7" wp14:editId="3C4A49C0">
            <wp:extent cx="3657600" cy="2581275"/>
            <wp:effectExtent l="0" t="0" r="0" b="0"/>
            <wp:docPr id="39" name="Bilde 1" descr="Bilde tatt i solnedgang av Kjevik rullebane med tente markeringsl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1" descr="Bilde tatt i solnedgang av Kjevik rullebane med tente markeringsly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57600" cy="2581275"/>
                    </a:xfrm>
                    <a:prstGeom prst="rect">
                      <a:avLst/>
                    </a:prstGeom>
                    <a:noFill/>
                    <a:ln>
                      <a:noFill/>
                    </a:ln>
                  </pic:spPr>
                </pic:pic>
              </a:graphicData>
            </a:graphic>
          </wp:inline>
        </w:drawing>
      </w:r>
    </w:p>
    <w:p w14:paraId="649C4E0E" w14:textId="77777777" w:rsidR="004B1A63" w:rsidRDefault="004B1A63">
      <w:pPr>
        <w:rPr>
          <w:rStyle w:val="Hyperkobling"/>
        </w:rPr>
      </w:pPr>
      <w:r>
        <w:t xml:space="preserve">Aftenposten 2023, </w:t>
      </w:r>
      <w:hyperlink r:id="rId107" w:history="1">
        <w:r>
          <w:rPr>
            <w:rStyle w:val="Hyperkobling"/>
          </w:rPr>
          <w:t>https://www.aftenposten.no/verden/i/zE3RRq/starlink-systemet-gir-elon-musk-stor-makt-det-skaper-bekymring</w:t>
        </w:r>
      </w:hyperlink>
    </w:p>
    <w:p w14:paraId="5B6B549D" w14:textId="77777777" w:rsidR="004B1A63" w:rsidRPr="005744AF" w:rsidRDefault="004B1A63">
      <w:pPr>
        <w:rPr>
          <w:lang w:val="en-US"/>
        </w:rPr>
      </w:pPr>
      <w:r w:rsidRPr="005744AF">
        <w:rPr>
          <w:lang w:val="en-US"/>
        </w:rPr>
        <w:t xml:space="preserve">ANALYSIS Perspectives on the Economic Effects of FDI and Investment Screening (2022), </w:t>
      </w:r>
      <w:hyperlink r:id="rId108" w:history="1">
        <w:r w:rsidRPr="005744AF">
          <w:rPr>
            <w:rStyle w:val="Hyperkobling"/>
            <w:lang w:val="en-US"/>
          </w:rPr>
          <w:t>https://www.kommerskollegium.se/globalassets/publikationer/rapporter/2022/perspectives-on-the-economic-effects-of-fdi-and-investment-screening.pdf</w:t>
        </w:r>
      </w:hyperlink>
    </w:p>
    <w:p w14:paraId="3F99E998" w14:textId="77777777" w:rsidR="004B1A63" w:rsidRPr="005744AF" w:rsidRDefault="004B1A63">
      <w:pPr>
        <w:rPr>
          <w:lang w:val="en-US"/>
        </w:rPr>
      </w:pPr>
      <w:r w:rsidRPr="005744AF">
        <w:rPr>
          <w:lang w:val="en-US"/>
        </w:rPr>
        <w:t xml:space="preserve">A New European Commission Proposal on Foreign Direct Investment Screening: Towards Greater Harmonization? (2024), Crowell &amp; Moring LLP, </w:t>
      </w:r>
      <w:hyperlink r:id="rId109" w:history="1">
        <w:r w:rsidRPr="005744AF">
          <w:rPr>
            <w:rStyle w:val="Hyperkobling"/>
            <w:lang w:val="en-US"/>
          </w:rPr>
          <w:t>https://www.crowell.com/en/insights/client-alerts/a-new-european-commission-proposal-on-foreign-direct-investment-screening-towards-greater-harmonization</w:t>
        </w:r>
      </w:hyperlink>
    </w:p>
    <w:p w14:paraId="0EA34EE7" w14:textId="77777777" w:rsidR="004B1A63" w:rsidRPr="005744AF" w:rsidRDefault="004B1A63">
      <w:pPr>
        <w:rPr>
          <w:lang w:val="en-US"/>
        </w:rPr>
      </w:pPr>
      <w:r w:rsidRPr="005744AF">
        <w:rPr>
          <w:lang w:val="en-US"/>
        </w:rPr>
        <w:t xml:space="preserve">Atlantic Cable Maintenance and Repair Agreement (ACMA), </w:t>
      </w:r>
      <w:hyperlink r:id="rId110" w:history="1">
        <w:r w:rsidRPr="005744AF">
          <w:rPr>
            <w:rStyle w:val="Hyperkobling"/>
            <w:lang w:val="en-US"/>
          </w:rPr>
          <w:t>https://www.acma2017.com/</w:t>
        </w:r>
      </w:hyperlink>
    </w:p>
    <w:p w14:paraId="2A16AFDD" w14:textId="77777777" w:rsidR="004B1A63" w:rsidRPr="005744AF" w:rsidRDefault="004B1A63">
      <w:pPr>
        <w:rPr>
          <w:lang w:val="en-US"/>
        </w:rPr>
      </w:pPr>
      <w:r w:rsidRPr="005744AF">
        <w:rPr>
          <w:lang w:val="en-US"/>
        </w:rPr>
        <w:t xml:space="preserve">BEREC Report (2023) on the impact of Artificial Intelligence (AI) solutions in the telecommunications sector on regulation, </w:t>
      </w:r>
      <w:hyperlink r:id="rId111" w:history="1">
        <w:r w:rsidRPr="005744AF">
          <w:rPr>
            <w:rStyle w:val="Hyperkobling"/>
            <w:lang w:val="en-US"/>
          </w:rPr>
          <w:t>https://www.berec.europa.eu/en/document-categories/berec/reports/berec-report-on-the-impact-of-artificial-intelligence-ai-solutions-in-the-telecommunications-sector-on-regulation</w:t>
        </w:r>
      </w:hyperlink>
    </w:p>
    <w:p w14:paraId="436570C0" w14:textId="77777777" w:rsidR="004B1A63" w:rsidRPr="005744AF" w:rsidRDefault="004B1A63">
      <w:pPr>
        <w:rPr>
          <w:lang w:val="en-US"/>
        </w:rPr>
      </w:pPr>
      <w:r w:rsidRPr="005744AF">
        <w:rPr>
          <w:lang w:val="en-US"/>
        </w:rPr>
        <w:t xml:space="preserve">BEREC Report (2024) on Cloud and Edge Computing Services, </w:t>
      </w:r>
      <w:hyperlink r:id="rId112" w:history="1">
        <w:r w:rsidRPr="005744AF">
          <w:rPr>
            <w:rStyle w:val="Hyperkobling"/>
            <w:lang w:val="en-US"/>
          </w:rPr>
          <w:t>https://www.berec.europa.eu/en/all-documents/berec/reports/berec-report-on-cloud-and-edge-computing-services</w:t>
        </w:r>
      </w:hyperlink>
    </w:p>
    <w:p w14:paraId="25A349D2" w14:textId="7BE62715" w:rsidR="004B1A63" w:rsidRPr="005744AF" w:rsidRDefault="004B1A63">
      <w:pPr>
        <w:rPr>
          <w:lang w:val="en-US"/>
        </w:rPr>
      </w:pPr>
      <w:r w:rsidRPr="005744AF">
        <w:rPr>
          <w:lang w:val="en-US"/>
        </w:rPr>
        <w:lastRenderedPageBreak/>
        <w:t xml:space="preserve">Cai, D., og J. Li (2019) </w:t>
      </w:r>
      <w:r w:rsidR="00015951">
        <w:rPr>
          <w:lang w:val="en-US"/>
        </w:rPr>
        <w:t>«</w:t>
      </w:r>
      <w:r w:rsidRPr="005744AF">
        <w:rPr>
          <w:lang w:val="en-US"/>
        </w:rPr>
        <w:t>To favor more or less? Corporate lobbying over preferential treatment to state-owned enterprises,</w:t>
      </w:r>
      <w:r w:rsidR="00015951">
        <w:rPr>
          <w:lang w:val="en-US"/>
        </w:rPr>
        <w:t>»</w:t>
      </w:r>
      <w:r w:rsidRPr="005744AF">
        <w:rPr>
          <w:lang w:val="en-US"/>
        </w:rPr>
        <w:t xml:space="preserve"> </w:t>
      </w:r>
      <w:r w:rsidRPr="00015951">
        <w:rPr>
          <w:rStyle w:val="kursiv"/>
          <w:lang w:val="en-US"/>
        </w:rPr>
        <w:t xml:space="preserve">Journal of Regulatory Economics </w:t>
      </w:r>
      <w:r w:rsidRPr="005744AF">
        <w:rPr>
          <w:lang w:val="en-US"/>
        </w:rPr>
        <w:t>55, 334–57</w:t>
      </w:r>
    </w:p>
    <w:p w14:paraId="0453CF7D" w14:textId="77777777" w:rsidR="004B1A63" w:rsidRPr="005744AF" w:rsidRDefault="004B1A63">
      <w:pPr>
        <w:rPr>
          <w:lang w:val="en-US"/>
        </w:rPr>
      </w:pPr>
      <w:r w:rsidRPr="005744AF">
        <w:rPr>
          <w:lang w:val="en-US"/>
        </w:rPr>
        <w:t>Cooper, D., Heilman, E., Brogle, K., Reyzin, L., &amp; Goldberg, S. (2013, November). On the risk of misbehaving RPKI authorities. In Proceedings of the Twelfth ACM Workshop on Hot Topics in Networks (pp. 1-7)</w:t>
      </w:r>
    </w:p>
    <w:p w14:paraId="1E4BABDB" w14:textId="77777777" w:rsidR="004B1A63" w:rsidRPr="005342B1" w:rsidRDefault="004B1A63">
      <w:pPr>
        <w:rPr>
          <w:lang w:val="en-US"/>
        </w:rPr>
      </w:pPr>
      <w:r w:rsidRPr="005342B1">
        <w:rPr>
          <w:lang w:val="en-US"/>
        </w:rPr>
        <w:t xml:space="preserve">Datasenterindustrien i Norge 2023-2024, Rapport Norsk datasenterindustri, </w:t>
      </w:r>
      <w:hyperlink r:id="rId113" w:history="1">
        <w:r w:rsidRPr="005342B1">
          <w:rPr>
            <w:rStyle w:val="Hyperkobling"/>
            <w:lang w:val="en-US"/>
          </w:rPr>
          <w:t>https://static1.squarespace.com/static/6129463e215bea534c574c7f/t/65a92c45d4a60f02b227271f/1705585734796/Datasenterindustrien+i+Norge+2023-2024.pdf</w:t>
        </w:r>
      </w:hyperlink>
    </w:p>
    <w:p w14:paraId="580CA1EF" w14:textId="77777777" w:rsidR="004B1A63" w:rsidRPr="005342B1" w:rsidRDefault="004B1A63">
      <w:pPr>
        <w:rPr>
          <w:lang w:val="en-US"/>
        </w:rPr>
      </w:pPr>
      <w:r w:rsidRPr="005342B1">
        <w:rPr>
          <w:lang w:val="en-US"/>
        </w:rPr>
        <w:t xml:space="preserve">Diesen, Karlsen, Kosiander, Løvik, Nyhamar (2024), Erfaringer fra krigen i Ukraina – læringspunkter etter tusen dager med krig, FFI-rapport 24/01299 </w:t>
      </w:r>
      <w:hyperlink r:id="rId114" w:history="1">
        <w:r w:rsidRPr="005342B1">
          <w:rPr>
            <w:rStyle w:val="Hyperkobling"/>
            <w:lang w:val="en-US"/>
          </w:rPr>
          <w:t>https://www.ffi.no/publikasjoner/arkiv/erfaringer-fra-krigen-i-ukraina-laeringspunkter-etter-tusen-dager-med-krig</w:t>
        </w:r>
      </w:hyperlink>
    </w:p>
    <w:p w14:paraId="77AD428F" w14:textId="77777777" w:rsidR="004B1A63" w:rsidRPr="005342B1" w:rsidRDefault="004B1A63">
      <w:pPr>
        <w:rPr>
          <w:lang w:val="nn-NO"/>
        </w:rPr>
      </w:pPr>
      <w:r w:rsidRPr="005342B1">
        <w:rPr>
          <w:lang w:val="nn-NO"/>
        </w:rPr>
        <w:t xml:space="preserve">Digi.no (2024), </w:t>
      </w:r>
      <w:hyperlink r:id="rId115" w:history="1">
        <w:r w:rsidRPr="005342B1">
          <w:rPr>
            <w:rStyle w:val="Hyperkobling"/>
            <w:lang w:val="nn-NO"/>
          </w:rPr>
          <w:t>https://www.digi.no/artikler/starlink-vil-levere-1-gbit-s-fra-satellittene/551895</w:t>
        </w:r>
      </w:hyperlink>
    </w:p>
    <w:p w14:paraId="4CDF6800" w14:textId="77777777" w:rsidR="004B1A63" w:rsidRPr="005342B1" w:rsidRDefault="004B1A63">
      <w:pPr>
        <w:rPr>
          <w:lang w:val="nn-NO"/>
        </w:rPr>
      </w:pPr>
      <w:r w:rsidRPr="005342B1">
        <w:rPr>
          <w:lang w:val="nn-NO"/>
        </w:rPr>
        <w:t xml:space="preserve">Digi.no (2024), </w:t>
      </w:r>
      <w:hyperlink r:id="rId116" w:history="1">
        <w:r w:rsidRPr="005342B1">
          <w:rPr>
            <w:rStyle w:val="Hyperkobling"/>
            <w:lang w:val="nn-NO"/>
          </w:rPr>
          <w:t>https://www.digi.no/artikler/nsm-etter-crowdstrike-still-kritiske-sporsmal-om-programvareutviklingen/549154</w:t>
        </w:r>
      </w:hyperlink>
    </w:p>
    <w:p w14:paraId="31A5B22D" w14:textId="77777777" w:rsidR="004B1A63" w:rsidRPr="005744AF" w:rsidRDefault="004B1A63">
      <w:pPr>
        <w:rPr>
          <w:lang w:val="en-US"/>
        </w:rPr>
      </w:pPr>
      <w:r w:rsidRPr="005744AF">
        <w:rPr>
          <w:lang w:val="en-US"/>
        </w:rPr>
        <w:t xml:space="preserve">e-Estonia (2019), </w:t>
      </w:r>
      <w:hyperlink r:id="rId117" w:history="1">
        <w:r w:rsidRPr="005744AF">
          <w:rPr>
            <w:rStyle w:val="Hyperkobling"/>
            <w:lang w:val="en-US"/>
          </w:rPr>
          <w:t>https://e-estonia.com/data-embassy-the-digital-continuity-of-a-state/</w:t>
        </w:r>
      </w:hyperlink>
    </w:p>
    <w:p w14:paraId="3CB12A96" w14:textId="77777777" w:rsidR="004B1A63" w:rsidRPr="005342B1" w:rsidRDefault="004B1A63">
      <w:pPr>
        <w:rPr>
          <w:lang w:val="en-US"/>
        </w:rPr>
      </w:pPr>
      <w:r w:rsidRPr="005342B1">
        <w:rPr>
          <w:lang w:val="en-US"/>
        </w:rPr>
        <w:t xml:space="preserve">Ekominfrastruktur i Nordland Regional risiko- og sårbarhetsanalyse for Nordland (2023), Nkom, </w:t>
      </w:r>
      <w:hyperlink r:id="rId118" w:history="1">
        <w:r w:rsidRPr="005342B1">
          <w:rPr>
            <w:rStyle w:val="Hyperkobling"/>
            <w:lang w:val="en-US"/>
          </w:rPr>
          <w:t>file:///C:/Users/DFD1112/Downloads/Risiko%20og%20s%C3%A5rbarhetsanalyse%20for%20Nordland%20-%20Offentlig%20rapport.pdf</w:t>
        </w:r>
      </w:hyperlink>
    </w:p>
    <w:p w14:paraId="73BB85D8" w14:textId="77777777" w:rsidR="004B1A63" w:rsidRPr="005342B1" w:rsidRDefault="004B1A63">
      <w:pPr>
        <w:rPr>
          <w:lang w:val="en-US"/>
        </w:rPr>
      </w:pPr>
      <w:r w:rsidRPr="005342B1">
        <w:rPr>
          <w:lang w:val="en-US"/>
        </w:rPr>
        <w:t xml:space="preserve">Ekominfrastruktur i Trøndelag Regional risiko- og sårbarhetsvurdering for Trøndelag (2024), Nkom, </w:t>
      </w:r>
      <w:hyperlink r:id="rId119" w:history="1">
        <w:r w:rsidRPr="005342B1">
          <w:rPr>
            <w:rStyle w:val="Hyperkobling"/>
            <w:lang w:val="en-US"/>
          </w:rPr>
          <w:t>https://www.regjeringen.no/contentassets/4b9d05c6dd134d8aa67dfbe576605a45/off_rapport_sarbarhetsanalyse_for_trondelag_2024-02-05.pdf</w:t>
        </w:r>
      </w:hyperlink>
    </w:p>
    <w:p w14:paraId="7C0AA900" w14:textId="77777777" w:rsidR="004B1A63" w:rsidRPr="005342B1" w:rsidRDefault="004B1A63">
      <w:pPr>
        <w:rPr>
          <w:lang w:val="nn-NO"/>
        </w:rPr>
      </w:pPr>
      <w:r w:rsidRPr="005342B1">
        <w:rPr>
          <w:lang w:val="nn-NO"/>
        </w:rPr>
        <w:t xml:space="preserve">eidsiva.no, </w:t>
      </w:r>
      <w:hyperlink r:id="rId120" w:history="1">
        <w:r w:rsidRPr="005342B1">
          <w:rPr>
            <w:rStyle w:val="Hyperkobling"/>
            <w:lang w:val="nn-NO"/>
          </w:rPr>
          <w:t>https://www.eidsiva.no/om-eidsiva/eiere/</w:t>
        </w:r>
      </w:hyperlink>
    </w:p>
    <w:p w14:paraId="400256D1" w14:textId="77777777" w:rsidR="004B1A63" w:rsidRDefault="004B1A63">
      <w:r>
        <w:t xml:space="preserve">erhvervsstyrelsen.dk, </w:t>
      </w:r>
      <w:hyperlink r:id="rId121" w:history="1">
        <w:r>
          <w:rPr>
            <w:rStyle w:val="Hyperkobling"/>
          </w:rPr>
          <w:t>https://erhvervsstyrelsen.dk/vejledning-aktiviteter-omfattet-af-investeringsscreeningsloven</w:t>
        </w:r>
      </w:hyperlink>
    </w:p>
    <w:p w14:paraId="34C96678" w14:textId="77777777" w:rsidR="004B1A63" w:rsidRDefault="004B1A63">
      <w:r>
        <w:t xml:space="preserve">(EU) 2016/1148 av 6. juli 2016 om tiltak for å sikre et høyt felles nivå for sikkerhet i nettverks- og informasjonssystemer i hele Unionen (NIS-direktivet), </w:t>
      </w:r>
      <w:hyperlink r:id="rId122" w:history="1">
        <w:r>
          <w:rPr>
            <w:rStyle w:val="Hyperkobling"/>
          </w:rPr>
          <w:t>https://eur-lex.europa.eu/legal-content/EN/TXT/PDF/?uri=CELEX:32016L1148</w:t>
        </w:r>
      </w:hyperlink>
    </w:p>
    <w:p w14:paraId="2D6CDB91" w14:textId="77777777" w:rsidR="004B1A63" w:rsidRDefault="004B1A63">
      <w:r>
        <w:t xml:space="preserve">(EU) 2018/151 av 30. januar 2018 om fastsettelse av regler for anvendelse av europaparlaments- og rådsdirektiv </w:t>
      </w:r>
      <w:hyperlink r:id="rId123" w:history="1">
        <w:r>
          <w:rPr>
            <w:rStyle w:val="Hyperkobling"/>
          </w:rPr>
          <w:t>(EU) 2016/1148</w:t>
        </w:r>
      </w:hyperlink>
      <w:r>
        <w:t xml:space="preserve"> med hensyn til ytterligere spesifisering av de elementene som tilbydere av digitale tjenester skal ta hensyn til for å håndtere risikoene knyttet til sikkerheten i nettverks- og informasjonssystemer, og av parametrene for å avgjøre om en hendelse har en betydelig innvirkning, </w:t>
      </w:r>
      <w:hyperlink r:id="rId124" w:history="1">
        <w:r>
          <w:rPr>
            <w:rStyle w:val="Hyperkobling"/>
          </w:rPr>
          <w:t>https://eur-lex.europa.eu/legal-content/EN/TXT/PDF/?uri=CELEX:32018R0151</w:t>
        </w:r>
      </w:hyperlink>
    </w:p>
    <w:p w14:paraId="44301893" w14:textId="77777777" w:rsidR="004B1A63" w:rsidRDefault="004B1A63">
      <w:r>
        <w:lastRenderedPageBreak/>
        <w:t xml:space="preserve">(EU) 2019/881 av 17. april 2019 om ENISA (Den europeiske unions cybersikkerhetsbyrå), </w:t>
      </w:r>
      <w:hyperlink r:id="rId125" w:history="1">
        <w:r>
          <w:rPr>
            <w:rStyle w:val="Hyperkobling"/>
          </w:rPr>
          <w:t>https://eur-lex.europa.eu/legal-content/EN/TXT/PDF/?uri=CELEX:32019R0881</w:t>
        </w:r>
      </w:hyperlink>
    </w:p>
    <w:p w14:paraId="042BA383" w14:textId="77777777" w:rsidR="004B1A63" w:rsidRDefault="004B1A63">
      <w:r>
        <w:t xml:space="preserve">(EU) 2019/452 av 19. mars 2019 om kontroll av utenlandske direkteinvesteringer, </w:t>
      </w:r>
      <w:hyperlink r:id="rId126" w:history="1">
        <w:r>
          <w:rPr>
            <w:rStyle w:val="Hyperkobling"/>
          </w:rPr>
          <w:t>https://eur-lex.europa.eu/legal-content/EN/TXT/PDF/?uri=CELEX:32019R0452</w:t>
        </w:r>
      </w:hyperlink>
    </w:p>
    <w:p w14:paraId="192C7F7B" w14:textId="77777777" w:rsidR="004B1A63" w:rsidRDefault="004B1A63">
      <w:r>
        <w:t xml:space="preserve">(EU) 2021/694 av 29. april 2021 om opprettelse av programmet for et digitalt Europa, og om oppheving av beslutning </w:t>
      </w:r>
      <w:hyperlink r:id="rId127" w:history="1">
        <w:r>
          <w:rPr>
            <w:rStyle w:val="Hyperkobling"/>
          </w:rPr>
          <w:t>(EU) 2015/2240</w:t>
        </w:r>
      </w:hyperlink>
      <w:r>
        <w:t xml:space="preserve">, </w:t>
      </w:r>
      <w:hyperlink r:id="rId128" w:history="1">
        <w:r>
          <w:rPr>
            <w:rStyle w:val="Hyperkobling"/>
          </w:rPr>
          <w:t>https://eur-lex.europa.eu/legal-content/EN/TXT/PDF/?uri=CELEX:32021R0694</w:t>
        </w:r>
      </w:hyperlink>
    </w:p>
    <w:p w14:paraId="5B234F93" w14:textId="77777777" w:rsidR="004B1A63" w:rsidRDefault="004B1A63">
      <w:pPr>
        <w:rPr>
          <w:spacing w:val="-2"/>
        </w:rPr>
      </w:pPr>
      <w:r>
        <w:rPr>
          <w:spacing w:val="-2"/>
        </w:rPr>
        <w:t xml:space="preserve">(EU) 2022/2555 av 14. desember 2022 om tiltak for å sikre et høyt felles nivå for sikkerhet i nett- og informasjonssystemer i hele Unionen og om oppheving av direktiv </w:t>
      </w:r>
      <w:hyperlink r:id="rId129" w:history="1">
        <w:r>
          <w:rPr>
            <w:rStyle w:val="Hyperkobling"/>
            <w:spacing w:val="-2"/>
          </w:rPr>
          <w:t>(EU) 2016/1148</w:t>
        </w:r>
      </w:hyperlink>
      <w:r>
        <w:rPr>
          <w:spacing w:val="-2"/>
        </w:rPr>
        <w:t xml:space="preserve"> [NIS2], </w:t>
      </w:r>
      <w:hyperlink r:id="rId130" w:history="1">
        <w:r>
          <w:rPr>
            <w:rStyle w:val="Hyperkobling"/>
            <w:spacing w:val="-2"/>
          </w:rPr>
          <w:t>https://eur-lex.europa.eu/legal-content/EN/TXT/PDF/?uri=CELEX:32022L2555</w:t>
        </w:r>
      </w:hyperlink>
    </w:p>
    <w:p w14:paraId="74B09596" w14:textId="77777777" w:rsidR="004B1A63" w:rsidRDefault="004B1A63">
      <w:pPr>
        <w:rPr>
          <w:spacing w:val="-2"/>
        </w:rPr>
      </w:pPr>
      <w:r>
        <w:rPr>
          <w:spacing w:val="-2"/>
        </w:rPr>
        <w:t xml:space="preserve">Europakommisjonen, </w:t>
      </w:r>
      <w:hyperlink r:id="rId131" w:history="1">
        <w:r>
          <w:rPr>
            <w:rStyle w:val="Hyperkobling"/>
            <w:spacing w:val="-2"/>
          </w:rPr>
          <w:t>https://digital-strategy.ec.europa.eu/en/activities/digital-programme</w:t>
        </w:r>
      </w:hyperlink>
    </w:p>
    <w:p w14:paraId="35679DDE" w14:textId="77777777" w:rsidR="004B1A63" w:rsidRDefault="004B1A63">
      <w:r>
        <w:t xml:space="preserve">Europakommisjonen, </w:t>
      </w:r>
      <w:hyperlink r:id="rId132" w:history="1">
        <w:r>
          <w:rPr>
            <w:rStyle w:val="Hyperkobling"/>
          </w:rPr>
          <w:t>https://defence-industry-space.ec.europa.eu/eu-space/iris2-secure-connectivity_en</w:t>
        </w:r>
      </w:hyperlink>
    </w:p>
    <w:p w14:paraId="63202995" w14:textId="6640493B" w:rsidR="004B1A63" w:rsidRPr="005744AF" w:rsidRDefault="004B1A63">
      <w:pPr>
        <w:rPr>
          <w:lang w:val="en-US"/>
        </w:rPr>
      </w:pPr>
      <w:r w:rsidRPr="005744AF">
        <w:rPr>
          <w:lang w:val="en-US"/>
        </w:rPr>
        <w:t>Europakommisjonen, WHITE PAPER How to master Europe</w:t>
      </w:r>
      <w:r w:rsidR="00015951">
        <w:rPr>
          <w:lang w:val="en-US"/>
        </w:rPr>
        <w:t>’</w:t>
      </w:r>
      <w:r w:rsidRPr="005744AF">
        <w:rPr>
          <w:lang w:val="en-US"/>
        </w:rPr>
        <w:t xml:space="preserve">s digital infrastructure needs? (2024). </w:t>
      </w:r>
      <w:hyperlink r:id="rId133" w:history="1">
        <w:r w:rsidRPr="005744AF">
          <w:rPr>
            <w:rStyle w:val="Hyperkobling"/>
            <w:lang w:val="en-US"/>
          </w:rPr>
          <w:t>White_Paper__Ho_to_master_Europes_digital_infrastructure_needs_CkoePennGJi1hpdkuARxMGuH5s_102533.pdf</w:t>
        </w:r>
      </w:hyperlink>
    </w:p>
    <w:p w14:paraId="63E83476" w14:textId="77777777" w:rsidR="004B1A63" w:rsidRPr="005744AF" w:rsidRDefault="004B1A63">
      <w:pPr>
        <w:rPr>
          <w:lang w:val="en-US"/>
        </w:rPr>
      </w:pPr>
      <w:r w:rsidRPr="005744AF">
        <w:rPr>
          <w:lang w:val="en-US"/>
        </w:rPr>
        <w:t xml:space="preserve">Europakommisjonen, The future of European competitiveness (2024), </w:t>
      </w:r>
      <w:hyperlink r:id="rId134" w:history="1">
        <w:r w:rsidRPr="005744AF">
          <w:rPr>
            <w:rStyle w:val="Hyperkobling"/>
            <w:lang w:val="en-US"/>
          </w:rPr>
          <w:t>https://commission.europa.eu/document/download/97e481fd-2dc3-412d-be4c-f152a8232961_en?filename=The%20future%20of%20European%20competitiveness%20_%20A%20competitiveness%20strategy%20for%20Europe.pdf</w:t>
        </w:r>
      </w:hyperlink>
    </w:p>
    <w:p w14:paraId="5E316BF5" w14:textId="77777777" w:rsidR="004B1A63" w:rsidRPr="005744AF" w:rsidRDefault="004B1A63">
      <w:pPr>
        <w:rPr>
          <w:lang w:val="en-US"/>
        </w:rPr>
      </w:pPr>
      <w:r w:rsidRPr="005744AF">
        <w:rPr>
          <w:lang w:val="en-US"/>
        </w:rPr>
        <w:t xml:space="preserve">EU – Security and Defence Partnership between the European Union and Norway, </w:t>
      </w:r>
      <w:hyperlink r:id="rId135" w:history="1">
        <w:r w:rsidRPr="005744AF">
          <w:rPr>
            <w:rStyle w:val="Hyperkobling"/>
            <w:lang w:val="en-US"/>
          </w:rPr>
          <w:t>https://www.regjeringen.no/contentassets/abc084fe921e403791ddb505622ba365/eu-norway-security-and-defence-partnership.pdf</w:t>
        </w:r>
      </w:hyperlink>
    </w:p>
    <w:p w14:paraId="29076EB9" w14:textId="77777777" w:rsidR="004B1A63" w:rsidRDefault="004B1A63">
      <w:r>
        <w:t xml:space="preserve">Felles redegjørelse NSM og Nkom, </w:t>
      </w:r>
      <w:hyperlink r:id="rId136" w:history="1">
        <w:r>
          <w:rPr>
            <w:rStyle w:val="Hyperkobling"/>
          </w:rPr>
          <w:t>https://www.regjeringen.no/contentassets/17dba73e91354368aad3d53d600a18b0/tilsyn-med-nodnett---felles-redegjorelse-nsm-nkom.pdf</w:t>
        </w:r>
      </w:hyperlink>
    </w:p>
    <w:p w14:paraId="1D2F6515" w14:textId="77777777" w:rsidR="004B1A63" w:rsidRPr="005744AF" w:rsidRDefault="004B1A63">
      <w:pPr>
        <w:rPr>
          <w:lang w:val="en-US"/>
        </w:rPr>
      </w:pPr>
      <w:r w:rsidRPr="005744AF">
        <w:rPr>
          <w:lang w:val="en-US"/>
        </w:rPr>
        <w:t xml:space="preserve">Finnish government – breakdown of state ownership, </w:t>
      </w:r>
      <w:hyperlink r:id="rId137" w:history="1">
        <w:r w:rsidRPr="005744AF">
          <w:rPr>
            <w:rStyle w:val="Hyperkobling"/>
            <w:lang w:val="en-US"/>
          </w:rPr>
          <w:t>https://valtioneuvosto.fi/en/government-ownership-steering/breakdown</w:t>
        </w:r>
      </w:hyperlink>
    </w:p>
    <w:p w14:paraId="3E45A11C" w14:textId="77777777" w:rsidR="004B1A63" w:rsidRDefault="004B1A63">
      <w:r>
        <w:t xml:space="preserve">Fokus 2024, Etterretningstjenestens vurdering av aktuelle sikkerhetsutfordringer, </w:t>
      </w:r>
      <w:hyperlink r:id="rId138" w:history="1">
        <w:r>
          <w:rPr>
            <w:rStyle w:val="Hyperkobling"/>
          </w:rPr>
          <w:t>https://www.etterretningstjenesten.no/publikasjoner/fokus/Fokus24_innhold</w:t>
        </w:r>
      </w:hyperlink>
    </w:p>
    <w:p w14:paraId="104277C8" w14:textId="77777777" w:rsidR="004B1A63" w:rsidRDefault="004B1A63">
      <w:r>
        <w:t xml:space="preserve">Fremtidens digitale Norge, Nasjonal digitaliseringsstrategi 2024-2030, Digitaliserings- og forvaltningsdepartementet (2024), </w:t>
      </w:r>
      <w:hyperlink r:id="rId139" w:history="1">
        <w:r>
          <w:rPr>
            <w:rStyle w:val="Hyperkobling"/>
          </w:rPr>
          <w:t>https://www.regjeringen.no/contentassets/c499c3b6c93740bd989c43d886f65924/no/pdfs/nasjonal-digitaliseringsstrategi_ny.pdf</w:t>
        </w:r>
      </w:hyperlink>
    </w:p>
    <w:p w14:paraId="60F9E781" w14:textId="77777777" w:rsidR="004B1A63" w:rsidRPr="005744AF" w:rsidRDefault="004B1A63">
      <w:pPr>
        <w:rPr>
          <w:lang w:val="en-US"/>
        </w:rPr>
      </w:pPr>
      <w:r w:rsidRPr="005342B1">
        <w:lastRenderedPageBreak/>
        <w:t xml:space="preserve">Gerbl, M., McIvor, R., &amp; Humphreys, P. (2016). </w:t>
      </w:r>
      <w:r w:rsidRPr="005744AF">
        <w:rPr>
          <w:lang w:val="en-US"/>
        </w:rPr>
        <w:t>Making the business process outsourcing decision: why distance matters. International Journal of Operations &amp; Production Management, 36(9), 1037-1064</w:t>
      </w:r>
    </w:p>
    <w:p w14:paraId="6E333460" w14:textId="77777777" w:rsidR="004B1A63" w:rsidRPr="005744AF" w:rsidRDefault="004B1A63">
      <w:pPr>
        <w:rPr>
          <w:lang w:val="en-US"/>
        </w:rPr>
      </w:pPr>
      <w:r w:rsidRPr="005744AF">
        <w:rPr>
          <w:lang w:val="en-US"/>
        </w:rPr>
        <w:t xml:space="preserve">Helsedirektoratet, </w:t>
      </w:r>
      <w:hyperlink r:id="rId140" w:history="1">
        <w:r w:rsidRPr="005744AF">
          <w:rPr>
            <w:rStyle w:val="Hyperkobling"/>
            <w:lang w:val="en-US"/>
          </w:rPr>
          <w:t>https://www.ehelse.no/velferdsteknologi-og-digital-hjemmeoppfolging</w:t>
        </w:r>
      </w:hyperlink>
    </w:p>
    <w:p w14:paraId="3D6D3206" w14:textId="77777777" w:rsidR="004B1A63" w:rsidRPr="005342B1" w:rsidRDefault="004B1A63">
      <w:pPr>
        <w:rPr>
          <w:lang w:val="en-US"/>
        </w:rPr>
      </w:pPr>
      <w:r w:rsidRPr="005342B1">
        <w:rPr>
          <w:lang w:val="en-US"/>
        </w:rPr>
        <w:t xml:space="preserve">Internett i Norge – Årsrapport 2023, Nkom, </w:t>
      </w:r>
      <w:hyperlink r:id="rId141" w:history="1">
        <w:r w:rsidRPr="005342B1">
          <w:rPr>
            <w:rStyle w:val="Hyperkobling"/>
            <w:lang w:val="en-US"/>
          </w:rPr>
          <w:t>file:///C:/Users/DFD1112/Downloads/Internett%20i%20Norge%20-%20%C3%85rsrapport%202023.pdf</w:t>
        </w:r>
      </w:hyperlink>
    </w:p>
    <w:p w14:paraId="2124E06E" w14:textId="77777777" w:rsidR="004B1A63" w:rsidRPr="005342B1" w:rsidRDefault="004B1A63">
      <w:pPr>
        <w:rPr>
          <w:lang w:val="en-US"/>
        </w:rPr>
      </w:pPr>
      <w:r w:rsidRPr="005342B1">
        <w:rPr>
          <w:lang w:val="en-US"/>
        </w:rPr>
        <w:t xml:space="preserve">Internett i Norge – Årsrapport for 2024, Nkom, </w:t>
      </w:r>
      <w:hyperlink r:id="rId142" w:history="1">
        <w:r w:rsidRPr="005342B1">
          <w:rPr>
            <w:rStyle w:val="Hyperkobling"/>
            <w:lang w:val="en-US"/>
          </w:rPr>
          <w:t>file:///C:/Users/DFD1112/Downloads/Internett%20i%20Norge%20-%20%C3%85rsrapport%202024.pdf</w:t>
        </w:r>
      </w:hyperlink>
    </w:p>
    <w:p w14:paraId="1EC2A40B" w14:textId="7BC97DFB" w:rsidR="004B1A63" w:rsidRPr="005342B1" w:rsidRDefault="00015951">
      <w:pPr>
        <w:rPr>
          <w:lang w:val="en-US"/>
        </w:rPr>
      </w:pPr>
      <w:r w:rsidRPr="005342B1">
        <w:rPr>
          <w:lang w:val="en-US"/>
        </w:rPr>
        <w:t>Innst. 8</w:t>
      </w:r>
      <w:r>
        <w:rPr>
          <w:lang w:val="en-US"/>
        </w:rPr>
        <w:t xml:space="preserve"> </w:t>
      </w:r>
      <w:r w:rsidRPr="005342B1">
        <w:rPr>
          <w:lang w:val="en-US"/>
        </w:rPr>
        <w:t xml:space="preserve">S </w:t>
      </w:r>
      <w:r w:rsidR="004B1A63" w:rsidRPr="005342B1">
        <w:rPr>
          <w:lang w:val="en-US"/>
        </w:rPr>
        <w:t xml:space="preserve">fra næringskomiteen, behandlet i Stortinget 15. desember 2023 punkt 13, </w:t>
      </w:r>
      <w:hyperlink r:id="rId143" w:history="1">
        <w:r w:rsidR="004B1A63" w:rsidRPr="005342B1">
          <w:rPr>
            <w:rStyle w:val="Hyperkobling"/>
            <w:lang w:val="en-US"/>
          </w:rPr>
          <w:t>https://www.stortinget.no/no/Saker-og-publikasjoner/Publikasjoner/Innstillinger/Stortinget/2023-2024/inns-202324-008s/?all=true</w:t>
        </w:r>
      </w:hyperlink>
    </w:p>
    <w:p w14:paraId="2C1C09CC" w14:textId="328E5510" w:rsidR="004B1A63" w:rsidRPr="005342B1" w:rsidRDefault="00015951">
      <w:pPr>
        <w:rPr>
          <w:lang w:val="nn-NO"/>
        </w:rPr>
      </w:pPr>
      <w:r>
        <w:rPr>
          <w:lang w:val="nn-NO"/>
        </w:rPr>
        <w:t xml:space="preserve">Innst. </w:t>
      </w:r>
      <w:r w:rsidRPr="005342B1">
        <w:rPr>
          <w:lang w:val="nn-NO"/>
        </w:rPr>
        <w:t>123</w:t>
      </w:r>
      <w:r>
        <w:rPr>
          <w:lang w:val="nn-NO"/>
        </w:rPr>
        <w:t xml:space="preserve"> </w:t>
      </w:r>
      <w:r w:rsidRPr="005342B1">
        <w:rPr>
          <w:lang w:val="nn-NO"/>
        </w:rPr>
        <w:t>S (2023</w:t>
      </w:r>
      <w:r>
        <w:rPr>
          <w:lang w:val="nn-NO"/>
        </w:rPr>
        <w:t>–</w:t>
      </w:r>
      <w:r w:rsidRPr="005342B1">
        <w:rPr>
          <w:lang w:val="nn-NO"/>
        </w:rPr>
        <w:t>2024)</w:t>
      </w:r>
      <w:r w:rsidR="004B1A63" w:rsidRPr="005342B1">
        <w:rPr>
          <w:lang w:val="nn-NO"/>
        </w:rPr>
        <w:t xml:space="preserve"> kap. 922 post 95, </w:t>
      </w:r>
      <w:hyperlink r:id="rId144" w:history="1">
        <w:r w:rsidR="004B1A63" w:rsidRPr="005342B1">
          <w:rPr>
            <w:rStyle w:val="Hyperkobling"/>
            <w:lang w:val="nn-NO"/>
          </w:rPr>
          <w:t>https://www.stortinget.no/globalassets/pdf/innstillinger/stortinget/2023-2024/inns-202324-123s.pdf</w:t>
        </w:r>
      </w:hyperlink>
    </w:p>
    <w:p w14:paraId="4AB09BBE" w14:textId="65157221" w:rsidR="004B1A63" w:rsidRPr="005744AF" w:rsidRDefault="00015951">
      <w:pPr>
        <w:rPr>
          <w:lang w:val="en-US"/>
        </w:rPr>
      </w:pPr>
      <w:r>
        <w:rPr>
          <w:lang w:val="en-US"/>
        </w:rPr>
        <w:t xml:space="preserve">Innst. </w:t>
      </w:r>
      <w:r w:rsidRPr="005744AF">
        <w:rPr>
          <w:lang w:val="en-US"/>
        </w:rPr>
        <w:t>182</w:t>
      </w:r>
      <w:r>
        <w:rPr>
          <w:lang w:val="en-US"/>
        </w:rPr>
        <w:t xml:space="preserve"> </w:t>
      </w:r>
      <w:r w:rsidRPr="005744AF">
        <w:rPr>
          <w:lang w:val="en-US"/>
        </w:rPr>
        <w:t>S (2015</w:t>
      </w:r>
      <w:r>
        <w:rPr>
          <w:lang w:val="en-US"/>
        </w:rPr>
        <w:t>–</w:t>
      </w:r>
      <w:r w:rsidRPr="005744AF">
        <w:rPr>
          <w:lang w:val="en-US"/>
        </w:rPr>
        <w:t>2016)</w:t>
      </w:r>
      <w:r w:rsidR="004B1A63" w:rsidRPr="005744AF">
        <w:rPr>
          <w:lang w:val="en-US"/>
        </w:rPr>
        <w:t xml:space="preserve"> side 7, </w:t>
      </w:r>
      <w:hyperlink r:id="rId145" w:history="1">
        <w:r w:rsidR="004B1A63" w:rsidRPr="005744AF">
          <w:rPr>
            <w:rStyle w:val="Hyperkobling"/>
            <w:lang w:val="en-US"/>
          </w:rPr>
          <w:t>https://www.stortinget.no/globalassets/pdf/innstillinger/stortinget/2015-2016/inns-201516-182.pdf</w:t>
        </w:r>
      </w:hyperlink>
    </w:p>
    <w:p w14:paraId="7453B08C" w14:textId="5A8E6098" w:rsidR="004B1A63" w:rsidRPr="005744AF" w:rsidRDefault="00015951">
      <w:pPr>
        <w:rPr>
          <w:lang w:val="en-US"/>
        </w:rPr>
      </w:pPr>
      <w:r>
        <w:rPr>
          <w:lang w:val="en-US"/>
        </w:rPr>
        <w:t xml:space="preserve">Innst. </w:t>
      </w:r>
      <w:r w:rsidRPr="005744AF">
        <w:rPr>
          <w:lang w:val="en-US"/>
        </w:rPr>
        <w:t>247</w:t>
      </w:r>
      <w:r>
        <w:rPr>
          <w:lang w:val="en-US"/>
        </w:rPr>
        <w:t xml:space="preserve"> </w:t>
      </w:r>
      <w:r w:rsidRPr="005744AF">
        <w:rPr>
          <w:lang w:val="en-US"/>
        </w:rPr>
        <w:t>S (2022</w:t>
      </w:r>
      <w:r>
        <w:rPr>
          <w:lang w:val="en-US"/>
        </w:rPr>
        <w:t>–</w:t>
      </w:r>
      <w:r w:rsidRPr="005744AF">
        <w:rPr>
          <w:lang w:val="en-US"/>
        </w:rPr>
        <w:t>2023)</w:t>
      </w:r>
      <w:r w:rsidR="004B1A63" w:rsidRPr="005744AF">
        <w:rPr>
          <w:lang w:val="en-US"/>
        </w:rPr>
        <w:t xml:space="preserve">, </w:t>
      </w:r>
      <w:hyperlink r:id="rId146" w:history="1">
        <w:r w:rsidR="004B1A63" w:rsidRPr="005744AF">
          <w:rPr>
            <w:rStyle w:val="Hyperkobling"/>
            <w:lang w:val="en-US"/>
          </w:rPr>
          <w:t>https://www.stortinget.no/globalassets/pdf/innstillinger/stortinget/2022-2023/inns-202223-247s.pdf</w:t>
        </w:r>
      </w:hyperlink>
    </w:p>
    <w:p w14:paraId="49A8D39C" w14:textId="77777777" w:rsidR="004B1A63" w:rsidRPr="005744AF" w:rsidRDefault="004B1A63">
      <w:pPr>
        <w:rPr>
          <w:lang w:val="en-US"/>
        </w:rPr>
      </w:pPr>
      <w:r w:rsidRPr="005744AF">
        <w:rPr>
          <w:lang w:val="en-US"/>
        </w:rPr>
        <w:t xml:space="preserve">ISP – </w:t>
      </w:r>
      <w:hyperlink r:id="rId147" w:history="1">
        <w:r w:rsidRPr="005744AF">
          <w:rPr>
            <w:rStyle w:val="Hyperkobling"/>
            <w:lang w:val="en-US"/>
          </w:rPr>
          <w:t>https://www.isp.se/utlandska-direktinvesteringar</w:t>
        </w:r>
      </w:hyperlink>
    </w:p>
    <w:p w14:paraId="6CCADF1C" w14:textId="77777777" w:rsidR="004B1A63" w:rsidRPr="005744AF" w:rsidRDefault="004B1A63">
      <w:pPr>
        <w:rPr>
          <w:lang w:val="en-US"/>
        </w:rPr>
      </w:pPr>
      <w:r>
        <w:t xml:space="preserve">Johan Røed Steen (2022). Skytjenester for offentlig sektor – Avveininger og internasjonale erfaringer. </w:t>
      </w:r>
      <w:r w:rsidRPr="005744AF">
        <w:rPr>
          <w:lang w:val="en-US"/>
        </w:rPr>
        <w:t xml:space="preserve">Fafo-rapport 2022:22, </w:t>
      </w:r>
      <w:hyperlink r:id="rId148" w:history="1">
        <w:r w:rsidRPr="005744AF">
          <w:rPr>
            <w:rStyle w:val="Hyperkobling"/>
            <w:lang w:val="en-US"/>
          </w:rPr>
          <w:t>https://www.fafo.no/images/pub/2022/20825.pdf</w:t>
        </w:r>
      </w:hyperlink>
    </w:p>
    <w:p w14:paraId="3DDE3467" w14:textId="77777777" w:rsidR="004B1A63" w:rsidRPr="005744AF" w:rsidRDefault="004B1A63">
      <w:pPr>
        <w:rPr>
          <w:lang w:val="en-US"/>
        </w:rPr>
      </w:pPr>
      <w:r w:rsidRPr="005744AF">
        <w:rPr>
          <w:lang w:val="en-US"/>
        </w:rPr>
        <w:t xml:space="preserve">Joint statement, Nordic and Baltic Ministers of Digitalisation (2024), </w:t>
      </w:r>
      <w:hyperlink r:id="rId149" w:history="1">
        <w:r w:rsidRPr="005744AF">
          <w:rPr>
            <w:rStyle w:val="Hyperkobling"/>
            <w:lang w:val="en-US"/>
          </w:rPr>
          <w:t>https://www.norden.org/en/declaration/joint-statement-nordic-and-baltic-ministers-digitalisation</w:t>
        </w:r>
      </w:hyperlink>
    </w:p>
    <w:p w14:paraId="108D1762" w14:textId="3A091443" w:rsidR="004B1A63" w:rsidRPr="005342B1" w:rsidRDefault="004B1A63">
      <w:pPr>
        <w:rPr>
          <w:rStyle w:val="Hyperkobling"/>
          <w:lang w:val="fr-FR"/>
        </w:rPr>
      </w:pPr>
      <w:r w:rsidRPr="005342B1">
        <w:rPr>
          <w:lang w:val="fr-FR"/>
        </w:rPr>
        <w:t xml:space="preserve">Journal Officiel du Grand-Duche de Luxembourg, </w:t>
      </w:r>
      <w:hyperlink r:id="rId150" w:history="1">
        <w:r w:rsidR="00227F91" w:rsidRPr="00DF6095">
          <w:rPr>
            <w:rStyle w:val="Hyperkobling"/>
            <w:lang w:val="fr-FR"/>
          </w:rPr>
          <w:t>https://legilux.public.lu/eli/etat/leg/loi/2017/12/01/a1029/jo</w:t>
        </w:r>
      </w:hyperlink>
      <w:r w:rsidR="00227F91">
        <w:rPr>
          <w:lang w:val="fr-FR"/>
        </w:rPr>
        <w:t xml:space="preserve"> </w:t>
      </w:r>
    </w:p>
    <w:p w14:paraId="0FC6B46A" w14:textId="77777777" w:rsidR="004B1A63" w:rsidRDefault="004B1A63">
      <w:r>
        <w:t xml:space="preserve">Kartlegging av offentlige myndigheters mulige bruk av opplysninger om eierskap til aksjer og fast eiendom (2023), Skatteetaten, </w:t>
      </w:r>
      <w:hyperlink r:id="rId151" w:history="1">
        <w:r>
          <w:rPr>
            <w:rStyle w:val="Hyperkobling"/>
          </w:rPr>
          <w:t>https://www.regjeringen.no/globalassets/departementene/fin/2024/kartlegging-eierskapsopplysninger-v-1.0.pdf</w:t>
        </w:r>
      </w:hyperlink>
    </w:p>
    <w:p w14:paraId="5504079F" w14:textId="77777777" w:rsidR="004B1A63" w:rsidRDefault="004B1A63">
      <w:r>
        <w:t xml:space="preserve">Kommunale inntekter fra kraftsektoren Inntekter fra kommunalt og fylkeskommunalt eierskap i kraftsektoren og som vertskommune for slik virksomhet, samt anvendelse av inntektene. På oppdrag fra TBU, </w:t>
      </w:r>
      <w:hyperlink r:id="rId152" w:history="1">
        <w:r>
          <w:rPr>
            <w:rStyle w:val="Hyperkobling"/>
          </w:rPr>
          <w:t>https://www.regjeringen.no/contentassets/d28f4297bf6c4fd89c5b099d7a89f79c/kommunale-inntekter-fra-kraftsektoren-thema.pdf</w:t>
        </w:r>
      </w:hyperlink>
    </w:p>
    <w:p w14:paraId="16A532AF" w14:textId="77777777" w:rsidR="004B1A63" w:rsidRDefault="004B1A63">
      <w:r>
        <w:lastRenderedPageBreak/>
        <w:t xml:space="preserve">Kongelig resolusjon, ref. nr. 47, saksnr.: 21/1898, av 26. mars 2021, </w:t>
      </w:r>
      <w:hyperlink r:id="rId153" w:history="1">
        <w:r>
          <w:rPr>
            <w:rStyle w:val="Hyperkobling"/>
          </w:rPr>
          <w:t>https://www.regjeringen.no/contentassets/e775dc91a33e4713a090da7398e6f3f5/endelig-godkjent-kgl.res.-stans-av-salget-av-bergen-engines-as.pdf</w:t>
        </w:r>
      </w:hyperlink>
    </w:p>
    <w:p w14:paraId="5A9627D5" w14:textId="77777777" w:rsidR="004B1A63" w:rsidRDefault="004B1A63">
      <w:r>
        <w:t xml:space="preserve">Konseptvalgutredning for nasjonal skytjeneste (2023), NSM, </w:t>
      </w:r>
      <w:hyperlink r:id="rId154" w:history="1">
        <w:r>
          <w:rPr>
            <w:rStyle w:val="Hyperkobling"/>
          </w:rPr>
          <w:t>https://nsm.no/getfile.php/1313330-1696430485/NSM/Filer/Dokumenter/Rapporter/Nasjonal%20skytjeneste%20-%20konseptvalgutredning%20-%20KVU%202023.pdf</w:t>
        </w:r>
      </w:hyperlink>
    </w:p>
    <w:p w14:paraId="4D83026D" w14:textId="77777777" w:rsidR="004B1A63" w:rsidRDefault="004B1A63">
      <w:r>
        <w:t xml:space="preserve">Lagen om granskning av utländska direktinvesteringar (2023:560) av 1. desember 2023 (Sverige), </w:t>
      </w:r>
      <w:hyperlink r:id="rId155" w:history="1">
        <w:r>
          <w:rPr>
            <w:rStyle w:val="Hyperkobling"/>
          </w:rPr>
          <w:t>https://www.riksdagen.se/sv/dokument-och-lagar/dokument/svensk-forfattningssamling/lag-2023560-om-granskning-av-utlandska_sfs-2023-560/</w:t>
        </w:r>
      </w:hyperlink>
    </w:p>
    <w:p w14:paraId="3600E697" w14:textId="77777777" w:rsidR="004B1A63" w:rsidRDefault="004B1A63">
      <w:r>
        <w:t xml:space="preserve">Lov om behandlingsmåten i forvaltningssaker (forvaltningsloven), </w:t>
      </w:r>
      <w:hyperlink r:id="rId156" w:history="1">
        <w:r>
          <w:rPr>
            <w:rStyle w:val="Hyperkobling"/>
          </w:rPr>
          <w:t>https://lovdata.no/dokument/NL/lov/1967-02-10</w:t>
        </w:r>
      </w:hyperlink>
    </w:p>
    <w:p w14:paraId="5B9B0446" w14:textId="77777777" w:rsidR="004B1A63" w:rsidRDefault="004B1A63">
      <w:r>
        <w:t xml:space="preserve">Lov om elektronisk kommunikasjon (ekomloven), </w:t>
      </w:r>
      <w:hyperlink r:id="rId157" w:history="1">
        <w:r>
          <w:rPr>
            <w:rStyle w:val="Hyperkobling"/>
          </w:rPr>
          <w:t>https://lovdata.no/dokument/NL/lov/2024-12-13-76</w:t>
        </w:r>
      </w:hyperlink>
    </w:p>
    <w:p w14:paraId="64FFCDF7" w14:textId="77777777" w:rsidR="004B1A63" w:rsidRDefault="004B1A63">
      <w:r>
        <w:t xml:space="preserve">Lov om endringer i sikkerhetsloven (eierskapskontroll og lovens virkeområde), </w:t>
      </w:r>
      <w:hyperlink r:id="rId158" w:history="1">
        <w:r>
          <w:rPr>
            <w:rStyle w:val="Hyperkobling"/>
          </w:rPr>
          <w:t>https://lovdata.no/dokument/NL/lov/2023-06-20-77</w:t>
        </w:r>
      </w:hyperlink>
    </w:p>
    <w:p w14:paraId="448D6315" w14:textId="77777777" w:rsidR="004B1A63" w:rsidRDefault="004B1A63">
      <w:r>
        <w:t xml:space="preserve">Lov om digital sikkerhet (digitalsikkerhetsloven), </w:t>
      </w:r>
      <w:hyperlink r:id="rId159" w:history="1">
        <w:r>
          <w:rPr>
            <w:rStyle w:val="Hyperkobling"/>
          </w:rPr>
          <w:t>https://lovdata.no/dokument/LTI/lov/2023-12-20-108</w:t>
        </w:r>
      </w:hyperlink>
    </w:p>
    <w:p w14:paraId="7F1EFB1C" w14:textId="77777777" w:rsidR="004B1A63" w:rsidRDefault="004B1A63">
      <w:r>
        <w:t xml:space="preserve">Lov om militære rekvisisjoner (rekvisisjonsloven), </w:t>
      </w:r>
      <w:hyperlink r:id="rId160" w:history="1">
        <w:r>
          <w:rPr>
            <w:rStyle w:val="Hyperkobling"/>
          </w:rPr>
          <w:t>https://lovdata.no/dokument/NL/lov/1951-06-29-19</w:t>
        </w:r>
      </w:hyperlink>
    </w:p>
    <w:p w14:paraId="6294633F" w14:textId="77777777" w:rsidR="004B1A63" w:rsidRDefault="004B1A63">
      <w:r>
        <w:t xml:space="preserve">Lov om nasjonal sikkerhet (sikkerhetsloven), </w:t>
      </w:r>
      <w:hyperlink r:id="rId161" w:history="1">
        <w:r>
          <w:rPr>
            <w:rStyle w:val="Hyperkobling"/>
          </w:rPr>
          <w:t>https://lovdata.no/dokument/NL/lov/2018-06-01-24</w:t>
        </w:r>
      </w:hyperlink>
    </w:p>
    <w:p w14:paraId="71B04E50" w14:textId="77777777" w:rsidR="004B1A63" w:rsidRDefault="004B1A63">
      <w:r>
        <w:t xml:space="preserve">Lov om næringsberedskap (næringsberedskapsloven), </w:t>
      </w:r>
      <w:hyperlink r:id="rId162" w:history="1">
        <w:r>
          <w:rPr>
            <w:rStyle w:val="Hyperkobling"/>
          </w:rPr>
          <w:t>https://lovdata.no/dokument/NL/lov/2011-12-16-65</w:t>
        </w:r>
      </w:hyperlink>
    </w:p>
    <w:p w14:paraId="13B93885" w14:textId="77777777" w:rsidR="004B1A63" w:rsidRDefault="004B1A63">
      <w:r>
        <w:t xml:space="preserve">Lov om register over reelle rettighetshavere, </w:t>
      </w:r>
      <w:hyperlink r:id="rId163" w:history="1">
        <w:r>
          <w:rPr>
            <w:rStyle w:val="Hyperkobling"/>
          </w:rPr>
          <w:t>https://lovdata.no/dokument/NL/lov/2019-03-01-2</w:t>
        </w:r>
      </w:hyperlink>
    </w:p>
    <w:p w14:paraId="43B9F7B2" w14:textId="77777777" w:rsidR="004B1A63" w:rsidRDefault="004B1A63">
      <w:r>
        <w:t xml:space="preserve">Lov om screening af visse udenlandske direkte investeringer m.v. i Danmark (investeringsscreeningsloven), </w:t>
      </w:r>
      <w:hyperlink r:id="rId164" w:history="1">
        <w:r>
          <w:rPr>
            <w:rStyle w:val="Hyperkobling"/>
          </w:rPr>
          <w:t>https://www.retsinformation.dk/eli/lta/2021/842</w:t>
        </w:r>
      </w:hyperlink>
    </w:p>
    <w:p w14:paraId="5060360A" w14:textId="77777777" w:rsidR="004B1A63" w:rsidRDefault="004B1A63">
      <w:r>
        <w:t xml:space="preserve">Lov om særlige rådgjerder under krig, krigsfare og liknende forhold (beredskapsloven), </w:t>
      </w:r>
      <w:hyperlink r:id="rId165" w:history="1">
        <w:r>
          <w:rPr>
            <w:rStyle w:val="Hyperkobling"/>
          </w:rPr>
          <w:t>https://lovdata.no/dokument/NL/lov/1950-12-15-7</w:t>
        </w:r>
      </w:hyperlink>
    </w:p>
    <w:p w14:paraId="1605F753" w14:textId="77777777" w:rsidR="004B1A63" w:rsidRDefault="004B1A63">
      <w:r>
        <w:t xml:space="preserve">Lysekonsern.no, </w:t>
      </w:r>
      <w:hyperlink r:id="rId166" w:history="1">
        <w:r>
          <w:rPr>
            <w:rStyle w:val="Hyperkobling"/>
          </w:rPr>
          <w:t>https://www.lysekonsern.no/om-oss/eierskap-og-historie/</w:t>
        </w:r>
      </w:hyperlink>
    </w:p>
    <w:p w14:paraId="7DEDEEE2" w14:textId="650C0434" w:rsidR="004B1A63" w:rsidRDefault="00015951">
      <w:r>
        <w:t xml:space="preserve">Meld. St. </w:t>
      </w:r>
      <w:r>
        <w:t>6</w:t>
      </w:r>
      <w:r w:rsidR="004B1A63">
        <w:t xml:space="preserve"> (2022–2023) Et grønnere og mer aktivt statlig eierskap — Statens direkte eierskap i selskaper, </w:t>
      </w:r>
      <w:hyperlink r:id="rId167" w:history="1">
        <w:r w:rsidR="004B1A63">
          <w:rPr>
            <w:rStyle w:val="Hyperkobling"/>
          </w:rPr>
          <w:t>https://www.regjeringen.no/contentassets/b45b4a63e301435293bd1b10d1ede45b/no/pdfs/stm202220230006000dddpdfs.pdf</w:t>
        </w:r>
      </w:hyperlink>
    </w:p>
    <w:p w14:paraId="2BF25C19" w14:textId="0FA8CA10" w:rsidR="004B1A63" w:rsidRDefault="00015951">
      <w:r>
        <w:t xml:space="preserve">Meld. St. </w:t>
      </w:r>
      <w:r>
        <w:t>8</w:t>
      </w:r>
      <w:r w:rsidR="004B1A63">
        <w:t xml:space="preserve"> (2019–2020) Statens direkte eierskap i selskaper — Bærekraftig verdiskaping, </w:t>
      </w:r>
      <w:hyperlink r:id="rId168" w:history="1">
        <w:r w:rsidR="004B1A63">
          <w:rPr>
            <w:rStyle w:val="Hyperkobling"/>
          </w:rPr>
          <w:t>https://www.regjeringen.no/contentassets/44ee372146f44a3eb70fc0872a5e395c/no/pdfs/stm201920200008000dddpdfs.pdf</w:t>
        </w:r>
      </w:hyperlink>
    </w:p>
    <w:p w14:paraId="0BC3F8A3" w14:textId="6FB7269D" w:rsidR="004B1A63" w:rsidRDefault="00015951">
      <w:r>
        <w:lastRenderedPageBreak/>
        <w:t xml:space="preserve">Meld. St. </w:t>
      </w:r>
      <w:r>
        <w:t>9</w:t>
      </w:r>
      <w:r w:rsidR="004B1A63">
        <w:t xml:space="preserve"> (2022–2023) Nasjonal kontroll og digital motstandskraft for å ivareta nasjonal sikkerhet – Så åpent som mulig, så sikkert som nødvendig, </w:t>
      </w:r>
      <w:hyperlink r:id="rId169" w:history="1">
        <w:r w:rsidR="004B1A63">
          <w:rPr>
            <w:rStyle w:val="Hyperkobling"/>
          </w:rPr>
          <w:t>https://www.regjeringen.no/contentassets/d256b455415c4cae8a710f62cc97d4f9/no/pdfs/stm202220230009000dddpdfs.pdf</w:t>
        </w:r>
      </w:hyperlink>
    </w:p>
    <w:p w14:paraId="7826389D" w14:textId="2957D4E6" w:rsidR="004B1A63" w:rsidRDefault="00015951">
      <w:r>
        <w:t xml:space="preserve">Meld. St. </w:t>
      </w:r>
      <w:r>
        <w:t>9</w:t>
      </w:r>
      <w:r w:rsidR="004B1A63">
        <w:t xml:space="preserve"> (2024–2025) Totalberedskapsmeldingen – Forberedt på kriser og krig, </w:t>
      </w:r>
      <w:hyperlink r:id="rId170" w:history="1">
        <w:r w:rsidR="004B1A63">
          <w:rPr>
            <w:rStyle w:val="Hyperkobling"/>
          </w:rPr>
          <w:t>https://www.regjeringen.no/contentassets/c24e6978185f4a49a7d2689a4741a9b1/no/pdfs/stm202420250009000dddpdfs.pdf</w:t>
        </w:r>
      </w:hyperlink>
    </w:p>
    <w:p w14:paraId="6D56D019" w14:textId="77777777" w:rsidR="004B1A63" w:rsidRDefault="004B1A63">
      <w:r>
        <w:t xml:space="preserve">Med. St. 28 (2020–2021) Vår felles digitale grunnmur, </w:t>
      </w:r>
      <w:hyperlink r:id="rId171" w:history="1">
        <w:r>
          <w:rPr>
            <w:rStyle w:val="Hyperkobling"/>
          </w:rPr>
          <w:t>https://www.regjeringen.no/contentassets/e8441e5b035a4e18bbebf74737530c2f/no/pdfs/stm202020210028000dddpdfs.pdf</w:t>
        </w:r>
      </w:hyperlink>
    </w:p>
    <w:p w14:paraId="367A5308" w14:textId="77777777" w:rsidR="004B1A63" w:rsidRPr="005342B1" w:rsidRDefault="004B1A63">
      <w:r w:rsidRPr="005342B1">
        <w:t xml:space="preserve">Microsoft blog (2022), </w:t>
      </w:r>
      <w:hyperlink r:id="rId172" w:history="1">
        <w:r w:rsidRPr="005342B1">
          <w:rPr>
            <w:rStyle w:val="Hyperkobling"/>
          </w:rPr>
          <w:t>https://blogs.microsoft.com/on-the-issues/2022/06/22/defending-ukraine-early-lessons-from-the-cyber-war/</w:t>
        </w:r>
      </w:hyperlink>
    </w:p>
    <w:p w14:paraId="0DD02ECE" w14:textId="77777777" w:rsidR="004B1A63" w:rsidRPr="005744AF" w:rsidRDefault="004B1A63">
      <w:pPr>
        <w:rPr>
          <w:lang w:val="en-US"/>
        </w:rPr>
      </w:pPr>
      <w:r w:rsidRPr="005744AF">
        <w:rPr>
          <w:lang w:val="en-US"/>
        </w:rPr>
        <w:t xml:space="preserve">Ministry of Economic Affairs and Employment of Finland, </w:t>
      </w:r>
      <w:hyperlink r:id="rId173" w:history="1">
        <w:r w:rsidRPr="005744AF">
          <w:rPr>
            <w:rStyle w:val="Hyperkobling"/>
            <w:lang w:val="en-US"/>
          </w:rPr>
          <w:t>https://tem.fi/en/acquisitions</w:t>
        </w:r>
      </w:hyperlink>
    </w:p>
    <w:p w14:paraId="06A04099" w14:textId="3ADD469A" w:rsidR="004B1A63" w:rsidRPr="005744AF" w:rsidRDefault="004B1A63">
      <w:pPr>
        <w:rPr>
          <w:lang w:val="en-US"/>
        </w:rPr>
      </w:pPr>
      <w:r w:rsidRPr="005744AF">
        <w:rPr>
          <w:lang w:val="en-US"/>
        </w:rPr>
        <w:t xml:space="preserve">Moran, Theodore H. (2009). </w:t>
      </w:r>
      <w:r w:rsidRPr="00015951">
        <w:rPr>
          <w:rStyle w:val="kursiv"/>
          <w:lang w:val="en-US"/>
        </w:rPr>
        <w:t xml:space="preserve">Foreign Acquisitions and National Security: What are Genuine </w:t>
      </w:r>
      <w:r w:rsidRPr="005744AF">
        <w:rPr>
          <w:lang w:val="en-US"/>
        </w:rPr>
        <w:t>Threats</w:t>
      </w:r>
      <w:r w:rsidRPr="00015951">
        <w:rPr>
          <w:rStyle w:val="kursiv"/>
          <w:lang w:val="en-US"/>
        </w:rPr>
        <w:t>? What are Implausible Worries? A Framework for OECD Countries, and Beyond</w:t>
      </w:r>
      <w:r w:rsidRPr="005744AF">
        <w:rPr>
          <w:lang w:val="en-US"/>
        </w:rPr>
        <w:t>. (Post OECD draft December 14, 2009;</w:t>
      </w:r>
      <w:r w:rsidR="00015951">
        <w:rPr>
          <w:lang w:val="en-US"/>
        </w:rPr>
        <w:t xml:space="preserve"> </w:t>
      </w:r>
      <w:hyperlink r:id="rId174" w:history="1">
        <w:r w:rsidR="00B334C6" w:rsidRPr="00DF6095">
          <w:rPr>
            <w:rStyle w:val="Hyperkobling"/>
            <w:lang w:val="en-US"/>
          </w:rPr>
          <w:t>https://www.usitc.gov/research_and_analysis/documents/Moran_OECD_Ana</w:t>
        </w:r>
        <w:r w:rsidR="00B334C6" w:rsidRPr="00DF6095">
          <w:rPr>
            <w:rStyle w:val="Hyperkobling"/>
            <w:lang w:val="en-US"/>
          </w:rPr>
          <w:t>l</w:t>
        </w:r>
        <w:r w:rsidR="00B334C6" w:rsidRPr="00DF6095">
          <w:rPr>
            <w:rStyle w:val="Hyperkobling"/>
            <w:lang w:val="en-US"/>
          </w:rPr>
          <w:t>ysis_5b_0.pdf</w:t>
        </w:r>
      </w:hyperlink>
      <w:r w:rsidRPr="005744AF">
        <w:rPr>
          <w:lang w:val="en-US"/>
        </w:rPr>
        <w:t>)</w:t>
      </w:r>
    </w:p>
    <w:p w14:paraId="4CDAE40E" w14:textId="77777777" w:rsidR="004B1A63" w:rsidRPr="005744AF" w:rsidRDefault="004B1A63">
      <w:pPr>
        <w:rPr>
          <w:spacing w:val="-4"/>
          <w:lang w:val="en-US"/>
        </w:rPr>
      </w:pPr>
      <w:r w:rsidRPr="005744AF">
        <w:rPr>
          <w:lang w:val="en-US"/>
        </w:rPr>
        <w:t xml:space="preserve">Much more than a market – speed, security, solidarity (2024), Enrico Letta, </w:t>
      </w:r>
      <w:hyperlink r:id="rId175" w:history="1">
        <w:r w:rsidRPr="005744AF">
          <w:rPr>
            <w:rStyle w:val="Hyperkobling"/>
            <w:lang w:val="en-US"/>
          </w:rPr>
          <w:t>https://www.</w:t>
        </w:r>
        <w:r w:rsidRPr="005744AF">
          <w:rPr>
            <w:rStyle w:val="Hyperkobling"/>
            <w:spacing w:val="-4"/>
            <w:lang w:val="en-US"/>
          </w:rPr>
          <w:t>consilium.europa.eu/media/ny3j24sm/much-more-than-a-market-report-by-enrico-letta.pdf</w:t>
        </w:r>
      </w:hyperlink>
    </w:p>
    <w:p w14:paraId="046BC8F4" w14:textId="77777777" w:rsidR="004B1A63" w:rsidRDefault="004B1A63">
      <w:r>
        <w:t xml:space="preserve">Nasjonal kontroll av IKT-tjenester (2023), NSM, </w:t>
      </w:r>
      <w:hyperlink r:id="rId176" w:history="1">
        <w:r>
          <w:rPr>
            <w:rStyle w:val="Hyperkobling"/>
          </w:rPr>
          <w:t>https://nsm.no/getfile.php/1313327-1696336231/NSM/Filer/Dokumenter/Rapporter/Nasjonal%20kontroll%20av%20IKT-tjenester.pdf</w:t>
        </w:r>
      </w:hyperlink>
    </w:p>
    <w:p w14:paraId="3608E047" w14:textId="77777777" w:rsidR="004B1A63" w:rsidRPr="005342B1" w:rsidRDefault="004B1A63">
      <w:pPr>
        <w:rPr>
          <w:lang w:val="nn-NO"/>
        </w:rPr>
      </w:pPr>
      <w:r w:rsidRPr="005342B1">
        <w:rPr>
          <w:lang w:val="nn-NO"/>
        </w:rPr>
        <w:t xml:space="preserve">Nasjonal trusselvurdering 2024, PST. </w:t>
      </w:r>
      <w:hyperlink r:id="rId177" w:history="1">
        <w:r w:rsidRPr="005342B1">
          <w:rPr>
            <w:rStyle w:val="Hyperkobling"/>
            <w:lang w:val="nn-NO"/>
          </w:rPr>
          <w:t>https://www.pst.no/alle-artikler/trusselvurderinger/ntv-2024/</w:t>
        </w:r>
      </w:hyperlink>
    </w:p>
    <w:p w14:paraId="0D90E102" w14:textId="77777777" w:rsidR="004B1A63" w:rsidRPr="005744AF" w:rsidRDefault="004B1A63">
      <w:pPr>
        <w:rPr>
          <w:lang w:val="en-US"/>
        </w:rPr>
      </w:pPr>
      <w:r w:rsidRPr="005744AF">
        <w:rPr>
          <w:lang w:val="en-US"/>
        </w:rPr>
        <w:t xml:space="preserve">NATO (Marcom) 2024, </w:t>
      </w:r>
      <w:hyperlink r:id="rId178" w:history="1">
        <w:r w:rsidRPr="005744AF">
          <w:rPr>
            <w:rStyle w:val="Hyperkobling"/>
            <w:lang w:val="en-US"/>
          </w:rPr>
          <w:t>Allied Maritime Command – NATO officially launches new Maritime Centre for Security of Critical Undersea Infrastructure</w:t>
        </w:r>
      </w:hyperlink>
    </w:p>
    <w:p w14:paraId="0A14BBB5" w14:textId="77777777" w:rsidR="004B1A63" w:rsidRPr="005744AF" w:rsidRDefault="004B1A63">
      <w:pPr>
        <w:rPr>
          <w:lang w:val="en-US"/>
        </w:rPr>
      </w:pPr>
      <w:r w:rsidRPr="005744AF">
        <w:rPr>
          <w:lang w:val="en-US"/>
        </w:rPr>
        <w:t xml:space="preserve">NATO (2024), </w:t>
      </w:r>
      <w:hyperlink r:id="rId179" w:history="1">
        <w:r w:rsidRPr="005744AF">
          <w:rPr>
            <w:rStyle w:val="Hyperkobling"/>
            <w:lang w:val="en-US"/>
          </w:rPr>
          <w:t>NATO – News: NATO holds first meeting of Critical Undersea Infrastructure Network, 23-May.-2024</w:t>
        </w:r>
      </w:hyperlink>
      <w:r w:rsidRPr="005744AF">
        <w:rPr>
          <w:lang w:val="en-US"/>
        </w:rPr>
        <w:t xml:space="preserve">, </w:t>
      </w:r>
      <w:hyperlink r:id="rId180" w:history="1">
        <w:r w:rsidRPr="005744AF">
          <w:rPr>
            <w:rStyle w:val="Hyperkobling"/>
            <w:lang w:val="en-US"/>
          </w:rPr>
          <w:t>https://www.nato.int/cps/en/natohq/news_225582.htm</w:t>
        </w:r>
      </w:hyperlink>
    </w:p>
    <w:p w14:paraId="5871C826" w14:textId="77777777" w:rsidR="004B1A63" w:rsidRPr="005342B1" w:rsidRDefault="004B1A63">
      <w:pPr>
        <w:rPr>
          <w:lang w:val="en-US"/>
        </w:rPr>
      </w:pPr>
      <w:r w:rsidRPr="005342B1">
        <w:rPr>
          <w:lang w:val="en-US"/>
        </w:rPr>
        <w:t xml:space="preserve">Nkom årsrapport 2023, </w:t>
      </w:r>
      <w:hyperlink r:id="rId181" w:history="1">
        <w:r w:rsidRPr="005342B1">
          <w:rPr>
            <w:rStyle w:val="Hyperkobling"/>
            <w:lang w:val="en-US"/>
          </w:rPr>
          <w:t>file:///C:/Users/DFD1112/Downloads/Nkom%20%C3%85rsrapport_2023.pdf</w:t>
        </w:r>
      </w:hyperlink>
    </w:p>
    <w:p w14:paraId="201838E4" w14:textId="77777777" w:rsidR="004B1A63" w:rsidRPr="005744AF" w:rsidRDefault="004B1A63">
      <w:pPr>
        <w:rPr>
          <w:lang w:val="en-US"/>
        </w:rPr>
      </w:pPr>
      <w:r w:rsidRPr="005744AF">
        <w:rPr>
          <w:lang w:val="en-US"/>
        </w:rPr>
        <w:t xml:space="preserve">Noregs Bank Memo 1/2023, </w:t>
      </w:r>
      <w:hyperlink r:id="rId182" w:history="1">
        <w:r w:rsidRPr="005744AF">
          <w:rPr>
            <w:rStyle w:val="Hyperkobling"/>
            <w:lang w:val="en-US"/>
          </w:rPr>
          <w:t>https://www.norges-bank.no/aktuelt/nyheter-og-hendelser/Publikasjoner/Norges-Bank-Memo-/2023/memo-12023-betalingsformidling/nettrapport-memo-12023-betalingsformidling/</w:t>
        </w:r>
      </w:hyperlink>
    </w:p>
    <w:p w14:paraId="5C4B498F" w14:textId="77777777" w:rsidR="004B1A63" w:rsidRPr="005342B1" w:rsidRDefault="004B1A63">
      <w:pPr>
        <w:rPr>
          <w:lang w:val="en-US"/>
        </w:rPr>
      </w:pPr>
      <w:r w:rsidRPr="005342B1">
        <w:rPr>
          <w:lang w:val="en-US"/>
        </w:rPr>
        <w:t xml:space="preserve">Norge som datasenternasjon (2018), strategi, Nærings- og fiskeridepartementet, </w:t>
      </w:r>
      <w:hyperlink r:id="rId183" w:history="1">
        <w:r w:rsidRPr="005342B1">
          <w:rPr>
            <w:rStyle w:val="Hyperkobling"/>
            <w:lang w:val="en-US"/>
          </w:rPr>
          <w:t>https://www.regjeringen.no/globalassets/departementene/nfd/dokumenter/strategier/strategi-nfd-nett-uu.pdf</w:t>
        </w:r>
      </w:hyperlink>
    </w:p>
    <w:p w14:paraId="4F51DEC5" w14:textId="77777777" w:rsidR="004B1A63" w:rsidRPr="005342B1" w:rsidRDefault="004B1A63">
      <w:pPr>
        <w:rPr>
          <w:lang w:val="en-US"/>
        </w:rPr>
      </w:pPr>
      <w:r w:rsidRPr="005342B1">
        <w:rPr>
          <w:lang w:val="en-US"/>
        </w:rPr>
        <w:t xml:space="preserve">Norske datasenter – berekraftige, digitale kraftsenter (2021), strategi, Kommunal- og distriktsdepartementet, </w:t>
      </w:r>
      <w:hyperlink r:id="rId184" w:history="1">
        <w:r w:rsidRPr="005342B1">
          <w:rPr>
            <w:rStyle w:val="Hyperkobling"/>
            <w:lang w:val="en-US"/>
          </w:rPr>
          <w:t>https://www.regjeringen.no/contentassets/0eabdbcbfb2540699466a4a1a801d737/nn-no/pdfs/norske-datasenter.pdf</w:t>
        </w:r>
      </w:hyperlink>
    </w:p>
    <w:p w14:paraId="12DC1405" w14:textId="77777777" w:rsidR="004B1A63" w:rsidRPr="005342B1" w:rsidRDefault="004B1A63">
      <w:pPr>
        <w:rPr>
          <w:lang w:val="en-US"/>
        </w:rPr>
      </w:pPr>
      <w:r w:rsidRPr="005342B1">
        <w:rPr>
          <w:lang w:val="en-US"/>
        </w:rPr>
        <w:lastRenderedPageBreak/>
        <w:t xml:space="preserve">Notat Folketingets Europaudvalg – Forslag til Europa-Parlamentet og Rådets forordning om screening af udenlandske investeringer i Unionen og om ophævelse af EuropaParlamentets og Rådets forordning (EU) 2019/452 KOM (2024) 23, </w:t>
      </w:r>
      <w:hyperlink r:id="rId185" w:history="1">
        <w:r w:rsidRPr="005342B1">
          <w:rPr>
            <w:rStyle w:val="Hyperkobling"/>
            <w:lang w:val="en-US"/>
          </w:rPr>
          <w:t>https://www.eu.dk/samling/20231/kommissionsforslag/KOM(2024)0023/bilag/2/2871851.pdf</w:t>
        </w:r>
      </w:hyperlink>
    </w:p>
    <w:p w14:paraId="1FF8BF3D" w14:textId="77777777" w:rsidR="004B1A63" w:rsidRDefault="004B1A63">
      <w:r>
        <w:t xml:space="preserve">NOU 2018: 5 Kapital i omstillingens tid — Næringslivets tilgang til kapital, </w:t>
      </w:r>
      <w:hyperlink r:id="rId186" w:history="1">
        <w:r>
          <w:rPr>
            <w:rStyle w:val="Hyperkobling"/>
          </w:rPr>
          <w:t>https://www.regjeringen.no/contentassets/62f6dd4e0274432da6475e53f4b14d44/no/pdfs/nou201820180005000dddpdfs.pdf</w:t>
        </w:r>
      </w:hyperlink>
    </w:p>
    <w:p w14:paraId="24CD3C36" w14:textId="77777777" w:rsidR="004B1A63" w:rsidRDefault="004B1A63">
      <w:r>
        <w:t xml:space="preserve">NOU 2023: 14 Forsvarskommisjonen av 2021 – Forsvar for fred og frihet, </w:t>
      </w:r>
      <w:hyperlink r:id="rId187" w:history="1">
        <w:r>
          <w:rPr>
            <w:rStyle w:val="Hyperkobling"/>
          </w:rPr>
          <w:t>https://www.regjeringen.no/contentassets/8b8a7fc642f44ef5b27a1465301492ff/no/pdfs/nou202320230014000dddpdfs.pdf</w:t>
        </w:r>
      </w:hyperlink>
    </w:p>
    <w:p w14:paraId="708BAE2B" w14:textId="77777777" w:rsidR="004B1A63" w:rsidRDefault="004B1A63">
      <w:r>
        <w:rPr>
          <w:spacing w:val="-4"/>
        </w:rPr>
        <w:t xml:space="preserve">NOU 2023: 17 Nå er det alvor – rustet for en usikker fremtid (Totalberedskapskommisjonen), </w:t>
      </w:r>
      <w:hyperlink r:id="rId188" w:history="1">
        <w:r>
          <w:rPr>
            <w:rStyle w:val="Hyperkobling"/>
          </w:rPr>
          <w:t>https://www.regjeringen.no/contentassets/4b9ba57bebae44d2bebfc845ff6cd5f5/no/pdfs/nou202320230017000dddpdfs.pdf</w:t>
        </w:r>
      </w:hyperlink>
    </w:p>
    <w:p w14:paraId="39A59D8F" w14:textId="77777777" w:rsidR="004B1A63" w:rsidRDefault="004B1A63">
      <w:r>
        <w:t xml:space="preserve">NOU 2023: 28 Investeringskontroll- En åpen økonomi i usikre tider (Investeringskontrollutvalget), </w:t>
      </w:r>
      <w:hyperlink r:id="rId189" w:history="1">
        <w:r>
          <w:rPr>
            <w:rStyle w:val="Hyperkobling"/>
          </w:rPr>
          <w:t>https://www.regjeringen.no/contentassets/d48b7fedaa21484cb1f33e118bcd1162/no/pdfs/nou202320230028000dddpdfs.pdf</w:t>
        </w:r>
      </w:hyperlink>
    </w:p>
    <w:p w14:paraId="219A4D32" w14:textId="77777777" w:rsidR="004B1A63" w:rsidRDefault="004B1A63">
      <w:r>
        <w:t xml:space="preserve">NOU 2023: 4 Tid for handling — Personellet i en bærekraftig helse- og omsorgstjeneste, </w:t>
      </w:r>
      <w:hyperlink r:id="rId190" w:history="1">
        <w:r>
          <w:rPr>
            <w:rStyle w:val="Hyperkobling"/>
          </w:rPr>
          <w:t>https://www.regjeringen.no/contentassets/337fef958f2148bebd326f0749a1213d/no/pdfs/nou202320230004000dddpdfs.pdf</w:t>
        </w:r>
      </w:hyperlink>
    </w:p>
    <w:p w14:paraId="37902D43" w14:textId="77777777" w:rsidR="004B1A63" w:rsidRDefault="004B1A63">
      <w:r>
        <w:t xml:space="preserve">NOU 2024: 7 Norge og EØS: Utvikling og erfaringer (Eldringutvalget), </w:t>
      </w:r>
      <w:hyperlink r:id="rId191" w:history="1">
        <w:r>
          <w:rPr>
            <w:rStyle w:val="Hyperkobling"/>
          </w:rPr>
          <w:t>https://www.regjeringen.no/contentassets/15ef86ab491f4856b8d431f5fa32de98/no/pdfs/nou202420240007000dddpdfs.pdf</w:t>
        </w:r>
      </w:hyperlink>
    </w:p>
    <w:p w14:paraId="312542BA" w14:textId="77777777" w:rsidR="004B1A63" w:rsidRPr="005342B1" w:rsidRDefault="004B1A63">
      <w:pPr>
        <w:rPr>
          <w:lang w:val="nn-NO"/>
        </w:rPr>
      </w:pPr>
      <w:r w:rsidRPr="005342B1">
        <w:rPr>
          <w:lang w:val="nn-NO"/>
        </w:rPr>
        <w:t xml:space="preserve">NRK (2022), </w:t>
      </w:r>
      <w:hyperlink r:id="rId192" w:history="1">
        <w:r w:rsidRPr="005342B1">
          <w:rPr>
            <w:rStyle w:val="Hyperkobling"/>
            <w:lang w:val="nn-NO"/>
          </w:rPr>
          <w:t>https://www.nrk.no/tromsogfinnmark/rodt-krever-svar-etter-at-bredbandsfylket-avtalte-samarbeid-med-russiske-megafon-1.16183441</w:t>
        </w:r>
      </w:hyperlink>
    </w:p>
    <w:p w14:paraId="7D7D95CF" w14:textId="77777777" w:rsidR="004B1A63" w:rsidRPr="005342B1" w:rsidRDefault="004B1A63">
      <w:pPr>
        <w:rPr>
          <w:lang w:val="nn-NO"/>
        </w:rPr>
      </w:pPr>
      <w:r w:rsidRPr="005342B1">
        <w:rPr>
          <w:lang w:val="nn-NO"/>
        </w:rPr>
        <w:t xml:space="preserve">NRK (2024), </w:t>
      </w:r>
      <w:hyperlink r:id="rId193" w:history="1">
        <w:r w:rsidRPr="005342B1">
          <w:rPr>
            <w:rStyle w:val="Hyperkobling"/>
            <w:lang w:val="nn-NO"/>
          </w:rPr>
          <w:t>https://www.nrk.no/vestfoldogtelemark/google-bygger-enormt-datasenter-i-skien-1.16749861</w:t>
        </w:r>
      </w:hyperlink>
    </w:p>
    <w:p w14:paraId="55E927E6" w14:textId="77777777" w:rsidR="004B1A63" w:rsidRDefault="004B1A63">
      <w:r>
        <w:t xml:space="preserve">NSM, Hva er sikkerhetstruende økonomisk virksomhet? </w:t>
      </w:r>
      <w:hyperlink r:id="rId194" w:history="1">
        <w:r>
          <w:rPr>
            <w:rStyle w:val="Hyperkobling"/>
          </w:rPr>
          <w:t>https://nsm.no/regelverk-og-hjelp/rad-og-anbefalinger/handtering-av-sikkerhetstruende-okonomisk-virksomhet/hva-er-sikkerhetstruende-okonomisk-virksomhet/</w:t>
        </w:r>
      </w:hyperlink>
    </w:p>
    <w:p w14:paraId="6CAC8C93" w14:textId="77777777" w:rsidR="004B1A63" w:rsidRPr="005342B1" w:rsidRDefault="004B1A63">
      <w:pPr>
        <w:rPr>
          <w:lang w:val="nn-NO"/>
        </w:rPr>
      </w:pPr>
      <w:r w:rsidRPr="005342B1">
        <w:rPr>
          <w:lang w:val="nn-NO"/>
        </w:rPr>
        <w:t xml:space="preserve">NTB (2021), </w:t>
      </w:r>
      <w:hyperlink r:id="rId195" w:history="1">
        <w:r w:rsidRPr="005342B1">
          <w:rPr>
            <w:rStyle w:val="Hyperkobling"/>
            <w:lang w:val="nn-NO"/>
          </w:rPr>
          <w:t>https://kommunikasjon.ntb.no/pressemelding/17920407/telenor-og-google-cloud-inngar-strategisk-partnerskap?publisherId=4954260</w:t>
        </w:r>
      </w:hyperlink>
    </w:p>
    <w:p w14:paraId="3299E46E" w14:textId="77777777" w:rsidR="004B1A63" w:rsidRPr="005342B1" w:rsidRDefault="004B1A63">
      <w:pPr>
        <w:rPr>
          <w:lang w:val="nn-NO"/>
        </w:rPr>
      </w:pPr>
      <w:r w:rsidRPr="005342B1">
        <w:rPr>
          <w:lang w:val="nn-NO"/>
        </w:rPr>
        <w:t xml:space="preserve">NTB (2022), </w:t>
      </w:r>
      <w:hyperlink r:id="rId196" w:history="1">
        <w:r w:rsidRPr="005342B1">
          <w:rPr>
            <w:rStyle w:val="Hyperkobling"/>
            <w:lang w:val="nn-NO"/>
          </w:rPr>
          <w:t>https://kommunikasjon.ntb.no/pressemelding/17942689/telenor-etablerer-fiberselskap-i-norge?publisherId=4954260</w:t>
        </w:r>
      </w:hyperlink>
    </w:p>
    <w:p w14:paraId="54DD21B5" w14:textId="77777777" w:rsidR="004B1A63" w:rsidRPr="005342B1" w:rsidRDefault="004B1A63">
      <w:pPr>
        <w:rPr>
          <w:lang w:val="nn-NO"/>
        </w:rPr>
      </w:pPr>
      <w:r w:rsidRPr="005342B1">
        <w:rPr>
          <w:lang w:val="nn-NO"/>
        </w:rPr>
        <w:t xml:space="preserve">NTB (2024), </w:t>
      </w:r>
      <w:hyperlink r:id="rId197" w:history="1">
        <w:r w:rsidRPr="005342B1">
          <w:rPr>
            <w:rStyle w:val="Hyperkobling"/>
            <w:lang w:val="nn-NO"/>
          </w:rPr>
          <w:t>https://kommunikasjon.ntb.no/pressemelding/18052346/telenor-group-announces-collaboration-with-nvidia-to-support-its-ai-first-ambition?publisherId=4954260</w:t>
        </w:r>
      </w:hyperlink>
    </w:p>
    <w:p w14:paraId="4262FD1D" w14:textId="77777777" w:rsidR="004B1A63" w:rsidRPr="005342B1" w:rsidRDefault="004B1A63">
      <w:pPr>
        <w:rPr>
          <w:lang w:val="nn-NO"/>
        </w:rPr>
      </w:pPr>
      <w:r w:rsidRPr="005342B1">
        <w:rPr>
          <w:lang w:val="nn-NO"/>
        </w:rPr>
        <w:lastRenderedPageBreak/>
        <w:t xml:space="preserve">NTB (2024), </w:t>
      </w:r>
      <w:hyperlink r:id="rId198" w:history="1">
        <w:r w:rsidRPr="005342B1">
          <w:rPr>
            <w:rStyle w:val="Hyperkobling"/>
            <w:lang w:val="nn-NO"/>
          </w:rPr>
          <w:t>https://kommunikasjon.ntb.no/pressemelding/18037732/eidsiva-kjoper-etablert-datasenter-vi-skal-tilby-trygg-lagring-med-100-percent-nasjonalt-offentlig-eierskap?publisherId=17848064&amp;lang=no</w:t>
        </w:r>
      </w:hyperlink>
    </w:p>
    <w:p w14:paraId="6A950BA3" w14:textId="63F83AEC" w:rsidR="004B1A63" w:rsidRDefault="004B1A63">
      <w:r w:rsidRPr="005744AF">
        <w:rPr>
          <w:lang w:val="en-US"/>
        </w:rPr>
        <w:t>OECD (2024) Shaping Norway</w:t>
      </w:r>
      <w:r w:rsidR="00015951">
        <w:rPr>
          <w:lang w:val="en-US"/>
        </w:rPr>
        <w:t>’</w:t>
      </w:r>
      <w:r w:rsidRPr="005744AF">
        <w:rPr>
          <w:lang w:val="en-US"/>
        </w:rPr>
        <w:t xml:space="preserve">s Digital Future. </w:t>
      </w:r>
      <w:hyperlink r:id="rId199" w:history="1">
        <w:r>
          <w:rPr>
            <w:rStyle w:val="Hyperkobling"/>
          </w:rPr>
          <w:t>https://www.oecd.org/en/publications/shaping-norway-s-digital-future_d3af799c-en/full-report.html</w:t>
        </w:r>
      </w:hyperlink>
    </w:p>
    <w:p w14:paraId="72EC5EB4" w14:textId="77777777" w:rsidR="004B1A63" w:rsidRPr="005744AF" w:rsidRDefault="004B1A63">
      <w:pPr>
        <w:rPr>
          <w:lang w:val="en-US"/>
        </w:rPr>
      </w:pPr>
      <w:r w:rsidRPr="005744AF">
        <w:rPr>
          <w:lang w:val="en-US"/>
        </w:rPr>
        <w:t xml:space="preserve">OneWeb, </w:t>
      </w:r>
      <w:hyperlink r:id="rId200" w:history="1">
        <w:r w:rsidRPr="005744AF">
          <w:rPr>
            <w:rStyle w:val="Hyperkobling"/>
            <w:lang w:val="en-US"/>
          </w:rPr>
          <w:t>https://oneweb.net/about-us</w:t>
        </w:r>
      </w:hyperlink>
    </w:p>
    <w:p w14:paraId="70FA0E35" w14:textId="77777777" w:rsidR="004B1A63" w:rsidRDefault="004B1A63">
      <w:r>
        <w:t xml:space="preserve">Privat eierskap i Norge 2021, Menon Economics, </w:t>
      </w:r>
      <w:hyperlink r:id="rId201" w:history="1">
        <w:r>
          <w:rPr>
            <w:rStyle w:val="Hyperkobling"/>
          </w:rPr>
          <w:t>https://menon.no/prosjekter/privat-eierskap-i-norge-2021</w:t>
        </w:r>
      </w:hyperlink>
    </w:p>
    <w:p w14:paraId="43FFF9F8" w14:textId="18DD7620" w:rsidR="004B1A63" w:rsidRDefault="00015951">
      <w:r>
        <w:t xml:space="preserve">Prop. </w:t>
      </w:r>
      <w:r>
        <w:t>11</w:t>
      </w:r>
      <w:r>
        <w:t xml:space="preserve"> </w:t>
      </w:r>
      <w:r>
        <w:t>L (2024</w:t>
      </w:r>
      <w:r w:rsidR="004B1A63">
        <w:t xml:space="preserve">–2025) Endringer i sivilbeskyttelsesloven (sivil arbeidskraftberedskap), </w:t>
      </w:r>
      <w:hyperlink r:id="rId202" w:history="1">
        <w:r w:rsidR="004B1A63">
          <w:rPr>
            <w:rStyle w:val="Hyperkobling"/>
          </w:rPr>
          <w:t>https://www.regjeringen.no/contentassets/5512d3505ad240e08bd772795b0f8370/no/pdfs/prp202420250011000dddpdfs.pdf</w:t>
        </w:r>
      </w:hyperlink>
    </w:p>
    <w:p w14:paraId="4E257C87" w14:textId="1AF1CCDA" w:rsidR="004B1A63" w:rsidRDefault="00015951">
      <w:r>
        <w:t xml:space="preserve">Prop. </w:t>
      </w:r>
      <w:r>
        <w:t>25</w:t>
      </w:r>
      <w:r>
        <w:t xml:space="preserve"> </w:t>
      </w:r>
      <w:r>
        <w:t>S (2023</w:t>
      </w:r>
      <w:r w:rsidR="004B1A63">
        <w:t xml:space="preserve">–2024) Endringar i statsbudsjettet 2023 under Nærings- og fiskeridepartementet, </w:t>
      </w:r>
      <w:hyperlink r:id="rId203" w:history="1">
        <w:r w:rsidR="004B1A63">
          <w:rPr>
            <w:rStyle w:val="Hyperkobling"/>
          </w:rPr>
          <w:t>https://www.regjeringen.no/contentassets/f8065596bce74356b5249bd67d716ee4/nn-no/pdfs/prp202320240025000dddpdfs.pdf</w:t>
        </w:r>
      </w:hyperlink>
    </w:p>
    <w:p w14:paraId="0F27344B" w14:textId="15F12253" w:rsidR="004B1A63" w:rsidRDefault="00015951">
      <w:r>
        <w:t xml:space="preserve">Prop. </w:t>
      </w:r>
      <w:r>
        <w:t>87</w:t>
      </w:r>
      <w:r>
        <w:t xml:space="preserve"> </w:t>
      </w:r>
      <w:r>
        <w:t>S (2023</w:t>
      </w:r>
      <w:r w:rsidR="004B1A63">
        <w:t xml:space="preserve">–2024) Forsvarsløftet – for Norges trygghet, </w:t>
      </w:r>
      <w:hyperlink r:id="rId204" w:history="1">
        <w:r w:rsidR="004B1A63">
          <w:rPr>
            <w:rStyle w:val="Hyperkobling"/>
          </w:rPr>
          <w:t>https://www.regjeringen.no/contentassets/27e00e5acc014c5ba741aacfff235d99/no/pdfs/prp202320240087000dddpdfs.pdf</w:t>
        </w:r>
      </w:hyperlink>
    </w:p>
    <w:p w14:paraId="6E0DCE47" w14:textId="51082B91" w:rsidR="004B1A63" w:rsidRDefault="00015951">
      <w:r>
        <w:t xml:space="preserve">Prop. </w:t>
      </w:r>
      <w:r>
        <w:t>93</w:t>
      </w:r>
      <w:r>
        <w:t xml:space="preserve"> </w:t>
      </w:r>
      <w:r>
        <w:t>LS (2023</w:t>
      </w:r>
      <w:r w:rsidR="004B1A63">
        <w:t xml:space="preserve">–2024) Lov om elektronisk kommunikasjon, </w:t>
      </w:r>
      <w:hyperlink r:id="rId205" w:history="1">
        <w:r w:rsidR="004B1A63">
          <w:rPr>
            <w:rStyle w:val="Hyperkobling"/>
          </w:rPr>
          <w:t>https://www.regjeringen.no/contentassets/096a9d827c8f48c3ae8b7817fe463a25/no/pdfs/prp202320240093000dddpdfs.pdf</w:t>
        </w:r>
      </w:hyperlink>
    </w:p>
    <w:p w14:paraId="22AF5A01" w14:textId="5771C25D" w:rsidR="004B1A63" w:rsidRDefault="00015951">
      <w:r>
        <w:t xml:space="preserve">Prop. </w:t>
      </w:r>
      <w:r>
        <w:t>97</w:t>
      </w:r>
      <w:r>
        <w:t xml:space="preserve"> </w:t>
      </w:r>
      <w:r>
        <w:t>L (2015</w:t>
      </w:r>
      <w:r w:rsidR="004B1A63">
        <w:t xml:space="preserve">–2016) Endringer i sikkerhetsloven, </w:t>
      </w:r>
      <w:hyperlink r:id="rId206" w:history="1">
        <w:r w:rsidR="004B1A63">
          <w:rPr>
            <w:rStyle w:val="Hyperkobling"/>
          </w:rPr>
          <w:t>https://www.regjeringen.no/contentassets/69a229ce36cd40beb7cfba3f1f2af6e8/no/pdfs/prp201520160097000dddpdfs.pdf</w:t>
        </w:r>
      </w:hyperlink>
    </w:p>
    <w:p w14:paraId="3C1C9488" w14:textId="4F66ACA0" w:rsidR="004B1A63" w:rsidRDefault="00015951">
      <w:r>
        <w:t xml:space="preserve">Prop. </w:t>
      </w:r>
      <w:r>
        <w:t>153</w:t>
      </w:r>
      <w:r>
        <w:t xml:space="preserve"> </w:t>
      </w:r>
      <w:r>
        <w:t>L (2016</w:t>
      </w:r>
      <w:r w:rsidR="004B1A63">
        <w:t xml:space="preserve">–2017) Lov om nasjonal sikkerhet (sikkerhetsloven), </w:t>
      </w:r>
      <w:hyperlink r:id="rId207" w:history="1">
        <w:r w:rsidR="004B1A63">
          <w:rPr>
            <w:rStyle w:val="Hyperkobling"/>
          </w:rPr>
          <w:t>https://www.regjeringen.no/no/dokumenter/prop.-153-l-2016-2017/id2556988/</w:t>
        </w:r>
      </w:hyperlink>
    </w:p>
    <w:p w14:paraId="2F7AF9C7" w14:textId="685DBE50" w:rsidR="004B1A63" w:rsidRDefault="00015951">
      <w:r>
        <w:t xml:space="preserve">Prop. </w:t>
      </w:r>
      <w:r>
        <w:t>143</w:t>
      </w:r>
      <w:r>
        <w:t xml:space="preserve"> </w:t>
      </w:r>
      <w:r>
        <w:t>L (2016</w:t>
      </w:r>
      <w:r w:rsidR="004B1A63">
        <w:t xml:space="preserve">–2017) Endringar i statsbudsjettet 2017 under Finansdepartementet og Kommunal- og moderniseringsdepartementet, </w:t>
      </w:r>
      <w:hyperlink r:id="rId208" w:history="1">
        <w:r w:rsidR="004B1A63">
          <w:rPr>
            <w:rStyle w:val="Hyperkobling"/>
          </w:rPr>
          <w:t>https://www.regjeringen.no/contentassets/94770ac58f8e4975beb27f031f5e3402/nn-no/pdfs/prp201620170143000dddpdfs.pdf</w:t>
        </w:r>
      </w:hyperlink>
    </w:p>
    <w:p w14:paraId="1BCD0F00" w14:textId="0F5A333E" w:rsidR="004B1A63" w:rsidRPr="005342B1" w:rsidRDefault="00015951">
      <w:pPr>
        <w:rPr>
          <w:lang w:val="en-US"/>
        </w:rPr>
      </w:pPr>
      <w:r>
        <w:rPr>
          <w:lang w:val="en-US"/>
        </w:rPr>
        <w:t xml:space="preserve">Prop. </w:t>
      </w:r>
      <w:r w:rsidRPr="005342B1">
        <w:rPr>
          <w:lang w:val="en-US"/>
        </w:rPr>
        <w:t>1</w:t>
      </w:r>
      <w:r>
        <w:rPr>
          <w:lang w:val="en-US"/>
        </w:rPr>
        <w:t xml:space="preserve"> </w:t>
      </w:r>
      <w:r w:rsidRPr="005342B1">
        <w:rPr>
          <w:lang w:val="en-US"/>
        </w:rPr>
        <w:t>S (2024</w:t>
      </w:r>
      <w:r w:rsidR="004B1A63" w:rsidRPr="005342B1">
        <w:rPr>
          <w:lang w:val="en-US"/>
        </w:rPr>
        <w:t xml:space="preserve">–2025) For budsjettåret 2025 under Digitaliserings- og forvaltningsdepartementet, </w:t>
      </w:r>
      <w:hyperlink r:id="rId209" w:history="1">
        <w:r w:rsidR="004B1A63" w:rsidRPr="005342B1">
          <w:rPr>
            <w:rStyle w:val="Hyperkobling"/>
            <w:lang w:val="en-US"/>
          </w:rPr>
          <w:t>https://www.regjeringen.no/contentassets/e628c0d8c3a44971bb48bd5a487cb52d/nn-no/pdfs/prp202420250001dfddddpdfs.pdf</w:t>
        </w:r>
      </w:hyperlink>
    </w:p>
    <w:p w14:paraId="24C54652" w14:textId="77777777" w:rsidR="004B1A63" w:rsidRPr="005744AF" w:rsidRDefault="004B1A63">
      <w:pPr>
        <w:rPr>
          <w:lang w:val="en-US"/>
        </w:rPr>
      </w:pPr>
      <w:r w:rsidRPr="005744AF">
        <w:rPr>
          <w:lang w:val="en-US"/>
        </w:rPr>
        <w:t xml:space="preserve">Proposal for a REGULATION OF THE EUROPEAN PARLIAMENT AND OF THE COUNCIL on the screening of foreign investments in the Union and repealing Regulation (EU) 2019/452 of the European Parliament and of the Council, </w:t>
      </w:r>
      <w:hyperlink r:id="rId210" w:history="1">
        <w:r w:rsidRPr="005744AF">
          <w:rPr>
            <w:rStyle w:val="Hyperkobling"/>
            <w:lang w:val="en-US"/>
          </w:rPr>
          <w:t>Proposal for a new regulation on the screening of foreign investments (10).pdf</w:t>
        </w:r>
      </w:hyperlink>
    </w:p>
    <w:p w14:paraId="3F279107" w14:textId="77777777" w:rsidR="004B1A63" w:rsidRDefault="004B1A63">
      <w:r>
        <w:lastRenderedPageBreak/>
        <w:t xml:space="preserve">På rett sted til rett tid – Nasjonal strategi for posisjonsbestemmelse, navigasjon og tidsbestemmelse (2018), Samferdselsdepartementet, </w:t>
      </w:r>
      <w:hyperlink r:id="rId211" w:history="1">
        <w:r>
          <w:rPr>
            <w:rStyle w:val="Hyperkobling"/>
          </w:rPr>
          <w:t>https://www.regjeringen.no/contentassets/abd1dec7647a4c22aaef7d93046e3f2b/pa-rett-sted-til-rett-tid.pdf</w:t>
        </w:r>
      </w:hyperlink>
    </w:p>
    <w:p w14:paraId="6BF3A031" w14:textId="77777777" w:rsidR="004B1A63" w:rsidRDefault="004B1A63">
      <w:r>
        <w:t xml:space="preserve">Regjeringens arbeidsprogram for EU- og EØS-saker 2024-2025, </w:t>
      </w:r>
      <w:hyperlink r:id="rId212" w:history="1">
        <w:r>
          <w:rPr>
            <w:rStyle w:val="Hyperkobling"/>
          </w:rPr>
          <w:t>https://www.regjeringen.no/contentassets/a6636bfa850f4add822ba8ac7ecb2014/regjeringens-arbeidsprogram-for-eu-saker.pdf</w:t>
        </w:r>
      </w:hyperlink>
    </w:p>
    <w:p w14:paraId="7C557228" w14:textId="77777777" w:rsidR="004B1A63" w:rsidRDefault="004B1A63">
      <w:r>
        <w:t xml:space="preserve">Regjeringen.no (2023), </w:t>
      </w:r>
      <w:hyperlink r:id="rId213" w:history="1">
        <w:r>
          <w:rPr>
            <w:rStyle w:val="Hyperkobling"/>
          </w:rPr>
          <w:t>Space Nor https://www.regjeringen.no/no/aktuelt/space-norway-med-avtale-om-kjop-av-telenor-satellite/id3014624/way med avtale om kjøp av Telenor Satellite – regjeringen.no</w:t>
        </w:r>
      </w:hyperlink>
    </w:p>
    <w:p w14:paraId="75095A32" w14:textId="77777777" w:rsidR="004B1A63" w:rsidRDefault="004B1A63">
      <w:r>
        <w:t xml:space="preserve">Regjeringen.no (2023), </w:t>
      </w:r>
      <w:hyperlink r:id="rId214" w:history="1">
        <w:r>
          <w:rPr>
            <w:rStyle w:val="Hyperkobling"/>
          </w:rPr>
          <w:t>https://www.regjeringen.no/no/aktuelt/green-mountain-vert-underlagt-sikkerheitslova-og-far-etablere-datasenter-i-innlandet/id2989926/</w:t>
        </w:r>
      </w:hyperlink>
    </w:p>
    <w:p w14:paraId="02D61F23" w14:textId="77777777" w:rsidR="004B1A63" w:rsidRDefault="004B1A63">
      <w:r>
        <w:t xml:space="preserve">Regjeringen.no (2023), </w:t>
      </w:r>
      <w:hyperlink r:id="rId215" w:history="1">
        <w:r>
          <w:rPr>
            <w:rStyle w:val="Hyperkobling"/>
          </w:rPr>
          <w:t>https://www.regjeringen.no/no/aktuelt/nytt-system-for-nodvarsel-til-befolkningen-er-etablert/id2958586/</w:t>
        </w:r>
      </w:hyperlink>
    </w:p>
    <w:p w14:paraId="6B7535A3" w14:textId="77777777" w:rsidR="004B1A63" w:rsidRDefault="004B1A63">
      <w:r>
        <w:t xml:space="preserve">Regjeringen.no (2024), </w:t>
      </w:r>
      <w:hyperlink r:id="rId216" w:history="1">
        <w:r>
          <w:rPr>
            <w:rStyle w:val="Hyperkobling"/>
          </w:rPr>
          <w:t>https://www.regjeringen.no/no/aktuelt/okt-sikkerhet-for-kritisk-infrastruktur-pa-norsk-sokkel/id3023761/</w:t>
        </w:r>
      </w:hyperlink>
    </w:p>
    <w:p w14:paraId="0A97A9B4" w14:textId="77777777" w:rsidR="004B1A63" w:rsidRDefault="004B1A63">
      <w:r>
        <w:t xml:space="preserve">Regjeringen.no (2024), </w:t>
      </w:r>
      <w:hyperlink r:id="rId217" w:history="1">
        <w:r>
          <w:rPr>
            <w:rStyle w:val="Hyperkobling"/>
          </w:rPr>
          <w:t>Nytt n https://www.regjeringen.no/no/aktuelt/skal-sikre-tryggere-havbunn/id3083648/orsk-tysk initiativ skal styrke kritisk undersjøisk infrastruktur i Europa – regjeringen.no</w:t>
        </w:r>
      </w:hyperlink>
    </w:p>
    <w:p w14:paraId="77560FC4" w14:textId="77777777" w:rsidR="004B1A63" w:rsidRDefault="004B1A63">
      <w:r>
        <w:t xml:space="preserve">Regjeringen.no (2024), </w:t>
      </w:r>
      <w:hyperlink r:id="rId218" w:history="1">
        <w:r>
          <w:rPr>
            <w:rStyle w:val="Hyperkobling"/>
          </w:rPr>
          <w:t>https://www.regjeringen.no/no/aktuelt/samarbeid-for-a-sikre-kritisk-undersjoisk-infrastruktur/id3033122/</w:t>
        </w:r>
      </w:hyperlink>
    </w:p>
    <w:p w14:paraId="3BA7C6F1" w14:textId="77777777" w:rsidR="004B1A63" w:rsidRDefault="004B1A63">
      <w:r>
        <w:t xml:space="preserve">Regjeringen.no (2024), </w:t>
      </w:r>
      <w:hyperlink r:id="rId219" w:history="1">
        <w:r>
          <w:rPr>
            <w:rStyle w:val="Hyperkobling"/>
          </w:rPr>
          <w:t>https://www.regjeringen.no/no/aktuelt/norge-slutter-seg-til-internasjonalt-initiativ-om-undersjoiske-kabler/id3075280/</w:t>
        </w:r>
      </w:hyperlink>
    </w:p>
    <w:p w14:paraId="2E87E564" w14:textId="77777777" w:rsidR="004B1A63" w:rsidRDefault="004B1A63">
      <w:r>
        <w:t xml:space="preserve">Regjeringen.no (2025), </w:t>
      </w:r>
      <w:hyperlink r:id="rId220" w:history="1">
        <w:r>
          <w:rPr>
            <w:rStyle w:val="Hyperkobling"/>
          </w:rPr>
          <w:t>Skal sikre tryggere havbunn – regjeringen.n https://www.regjeringen.no/no/aktuelt/skal-sikre-tryggere-havbunn/id3083648/o</w:t>
        </w:r>
      </w:hyperlink>
    </w:p>
    <w:p w14:paraId="2E77FF00" w14:textId="77777777" w:rsidR="004B1A63" w:rsidRDefault="004B1A63">
      <w:r>
        <w:t xml:space="preserve">Risiko 2023 Økt forutsigbarhet krever høyere beredskap, NSM, </w:t>
      </w:r>
      <w:hyperlink r:id="rId221" w:history="1">
        <w:r>
          <w:rPr>
            <w:rStyle w:val="Hyperkobling"/>
          </w:rPr>
          <w:t>https://nsm.no/getfile.php/1312547-1676548301/NSM/Filer/Dokumenter/Rapporter/Risiko%202023%20-%20Nasjonal%20sikkerhetsmyndighet.pdf</w:t>
        </w:r>
      </w:hyperlink>
    </w:p>
    <w:p w14:paraId="4C7E7C64" w14:textId="77777777" w:rsidR="004B1A63" w:rsidRDefault="004B1A63">
      <w:r>
        <w:t xml:space="preserve">Risiko 2024 Nasjonal sikkerhet – et felles ansvar, NSM, </w:t>
      </w:r>
      <w:hyperlink r:id="rId222" w:history="1">
        <w:r>
          <w:rPr>
            <w:rStyle w:val="Hyperkobling"/>
          </w:rPr>
          <w:t>https://nsm.no/getfile.php/1313477-1719434219/NSM/Filer/Dokumenter/Rapporter/Risiko%202024.pdf</w:t>
        </w:r>
      </w:hyperlink>
    </w:p>
    <w:p w14:paraId="2B76D68E" w14:textId="77777777" w:rsidR="004B1A63" w:rsidRDefault="004B1A63">
      <w:r>
        <w:t xml:space="preserve">Risiko- og sårbarhetsanalyse for ekomsektoren (2024), Nkom. </w:t>
      </w:r>
      <w:hyperlink r:id="rId223" w:history="1">
        <w:r>
          <w:rPr>
            <w:rStyle w:val="Hyperkobling"/>
          </w:rPr>
          <w:t>file:///C:/Users/DFD1112/Downloads/EkomROS%202024%20-%20offentlig%20versjon.pdf</w:t>
        </w:r>
      </w:hyperlink>
    </w:p>
    <w:p w14:paraId="0911D158" w14:textId="77777777" w:rsidR="004B1A63" w:rsidRDefault="004B1A63">
      <w:r>
        <w:t xml:space="preserve">Robuste transmisjonsnett for Norge mot 2030 Målbilder og virkemidler (2022), Nkom, </w:t>
      </w:r>
      <w:hyperlink r:id="rId224" w:history="1">
        <w:r>
          <w:rPr>
            <w:rStyle w:val="Hyperkobling"/>
          </w:rPr>
          <w:t>file:///C:/Users/DFD1112/Downloads/Nkomrapport%2001.2022%20-%20Robuste%20transmisjonsnett%20for%20Norge%20mot%202030-ENKLE%20SIDER.pdf</w:t>
        </w:r>
      </w:hyperlink>
    </w:p>
    <w:p w14:paraId="0B98C296" w14:textId="77777777" w:rsidR="004B1A63" w:rsidRDefault="004B1A63">
      <w:r>
        <w:lastRenderedPageBreak/>
        <w:t xml:space="preserve">Samfunnets kritiske funksjoner (2016), DSB. </w:t>
      </w:r>
      <w:hyperlink r:id="rId225" w:history="1">
        <w:r>
          <w:rPr>
            <w:rStyle w:val="Hyperkobling"/>
          </w:rPr>
          <w:t>https://www.dsb.no/globalassets/dokumenter/rapporter/kiks-2_januar.pdf</w:t>
        </w:r>
      </w:hyperlink>
    </w:p>
    <w:p w14:paraId="7E6DAF02" w14:textId="77777777" w:rsidR="004B1A63" w:rsidRDefault="004B1A63">
      <w:r>
        <w:t xml:space="preserve">Schrems I og Schrems II, </w:t>
      </w:r>
      <w:hyperlink r:id="rId226" w:history="1">
        <w:r>
          <w:rPr>
            <w:rStyle w:val="Hyperkobling"/>
          </w:rPr>
          <w:t>https://eur-lex.europa.eu/legal-content/EN/TXT/PDF/?uri=CELEX:62014CJ0362</w:t>
        </w:r>
      </w:hyperlink>
    </w:p>
    <w:p w14:paraId="50DFDA9C" w14:textId="77777777" w:rsidR="004B1A63" w:rsidRDefault="004B1A63">
      <w:r>
        <w:t xml:space="preserve">Sikkerhetsfaglig råd – Et motstandsdyktig Norge (2023), NSM. </w:t>
      </w:r>
      <w:hyperlink r:id="rId227" w:history="1">
        <w:r>
          <w:rPr>
            <w:rStyle w:val="Hyperkobling"/>
          </w:rPr>
          <w:t>https://nsm.no/getfile.php/1312994-1683615611/NSM/Filer/Dokumenter/Rapporter/Sikkerhetsfaglig%20r%C3%A5d%20-%20Et%20motstandsdyktig%20Norge.pdf</w:t>
        </w:r>
      </w:hyperlink>
    </w:p>
    <w:p w14:paraId="36D26851" w14:textId="77777777" w:rsidR="004B1A63" w:rsidRDefault="004B1A63">
      <w:r>
        <w:t xml:space="preserve">Spørsmål til skriftlig besvarelse nr. 18 fra stortingsrepresentant (1463202), </w:t>
      </w:r>
      <w:hyperlink r:id="rId228" w:history="1">
        <w:r>
          <w:rPr>
            <w:rStyle w:val="Hyperkobling"/>
          </w:rPr>
          <w:t>https://www.stortinget.no/no/Saker-og-publikasjoner/Sporsmal/Skriftlige-sporsmal-og-svar/Skriftlig-sporsmal/?qnid=67684</w:t>
        </w:r>
      </w:hyperlink>
    </w:p>
    <w:p w14:paraId="40F8B681" w14:textId="77777777" w:rsidR="004B1A63" w:rsidRPr="005744AF" w:rsidRDefault="004B1A63">
      <w:pPr>
        <w:rPr>
          <w:lang w:val="en-US"/>
        </w:rPr>
      </w:pPr>
      <w:r w:rsidRPr="005744AF">
        <w:rPr>
          <w:lang w:val="en-US"/>
        </w:rPr>
        <w:t xml:space="preserve">Starlink, </w:t>
      </w:r>
      <w:hyperlink r:id="rId229" w:history="1">
        <w:r w:rsidRPr="005744AF">
          <w:rPr>
            <w:rStyle w:val="Hyperkobling"/>
            <w:lang w:val="en-US"/>
          </w:rPr>
          <w:t>https://www.starlink.com/</w:t>
        </w:r>
      </w:hyperlink>
    </w:p>
    <w:p w14:paraId="207E4CDB" w14:textId="77777777" w:rsidR="004B1A63" w:rsidRPr="005342B1" w:rsidRDefault="004B1A63">
      <w:pPr>
        <w:rPr>
          <w:lang w:val="en-US"/>
        </w:rPr>
      </w:pPr>
      <w:r w:rsidRPr="005342B1">
        <w:rPr>
          <w:lang w:val="en-US"/>
        </w:rPr>
        <w:t xml:space="preserve">Statens eierrapport (2023) – Statens direkte eierskap i selskaper, </w:t>
      </w:r>
      <w:hyperlink r:id="rId230" w:history="1">
        <w:r w:rsidRPr="005342B1">
          <w:rPr>
            <w:rStyle w:val="Hyperkobling"/>
            <w:lang w:val="en-US"/>
          </w:rPr>
          <w:t>https://www.regjeringen.no/contentassets/1a9b9fca3f5542c08bd576c844f6034b/no/pdfs/statens-eierrapport-2023.pdf</w:t>
        </w:r>
      </w:hyperlink>
    </w:p>
    <w:p w14:paraId="285726CE" w14:textId="77777777" w:rsidR="004B1A63" w:rsidRPr="005342B1" w:rsidRDefault="004B1A63">
      <w:pPr>
        <w:rPr>
          <w:lang w:val="en-US"/>
        </w:rPr>
      </w:pPr>
      <w:r w:rsidRPr="005342B1">
        <w:rPr>
          <w:lang w:val="en-US"/>
        </w:rPr>
        <w:t xml:space="preserve">Stortinget – Møte torsdag den 18. april 2024, Sak nr. 3 [14:38:04], </w:t>
      </w:r>
      <w:hyperlink r:id="rId231" w:history="1">
        <w:r w:rsidRPr="005342B1">
          <w:rPr>
            <w:rStyle w:val="Hyperkobling"/>
            <w:lang w:val="en-US"/>
          </w:rPr>
          <w:t>https://www.stortinget.no/no/Saker-og-publikasjoner/Publikasjoner/Referater/Stortinget/2023-2024/refs-202324-04-18?m=3</w:t>
        </w:r>
      </w:hyperlink>
    </w:p>
    <w:p w14:paraId="32787DFC" w14:textId="77777777" w:rsidR="004B1A63" w:rsidRPr="005342B1" w:rsidRDefault="004B1A63">
      <w:pPr>
        <w:rPr>
          <w:lang w:val="nn-NO"/>
        </w:rPr>
      </w:pPr>
      <w:r w:rsidRPr="005342B1">
        <w:rPr>
          <w:lang w:val="nn-NO"/>
        </w:rPr>
        <w:t xml:space="preserve">Tampnet.com (2021), </w:t>
      </w:r>
      <w:hyperlink r:id="rId232" w:history="1">
        <w:r w:rsidRPr="005342B1">
          <w:rPr>
            <w:rStyle w:val="Hyperkobling"/>
            <w:lang w:val="nn-NO"/>
          </w:rPr>
          <w:t>https://www.tampnet.com/press/tampnet-and-oneweb-sign-agreement-to-further-develop-the-next-generation-of-offshore-connectivity-capabilities</w:t>
        </w:r>
      </w:hyperlink>
    </w:p>
    <w:p w14:paraId="5385FB85" w14:textId="77777777" w:rsidR="004B1A63" w:rsidRPr="005342B1" w:rsidRDefault="004B1A63">
      <w:pPr>
        <w:rPr>
          <w:lang w:val="nn-NO"/>
        </w:rPr>
      </w:pPr>
      <w:r w:rsidRPr="005342B1">
        <w:rPr>
          <w:lang w:val="nn-NO"/>
        </w:rPr>
        <w:t xml:space="preserve">Telenor.no (2017), </w:t>
      </w:r>
      <w:hyperlink r:id="rId233" w:history="1">
        <w:r w:rsidRPr="005342B1">
          <w:rPr>
            <w:rStyle w:val="Hyperkobling"/>
            <w:lang w:val="nn-NO"/>
          </w:rPr>
          <w:t>https://www.telenor.no/om/presse-og-media/pressemeldinger/telenor-styrker-beredskapen-langs-finnmarkskysten.page</w:t>
        </w:r>
      </w:hyperlink>
    </w:p>
    <w:p w14:paraId="560F0863" w14:textId="77777777" w:rsidR="004B1A63" w:rsidRPr="005342B1" w:rsidRDefault="004B1A63">
      <w:pPr>
        <w:rPr>
          <w:lang w:val="nn-NO"/>
        </w:rPr>
      </w:pPr>
      <w:r w:rsidRPr="005342B1">
        <w:rPr>
          <w:lang w:val="nn-NO"/>
        </w:rPr>
        <w:t xml:space="preserve">Telia.no (2024), </w:t>
      </w:r>
      <w:hyperlink r:id="rId234" w:history="1">
        <w:r w:rsidRPr="005342B1">
          <w:rPr>
            <w:rStyle w:val="Hyperkobling"/>
            <w:lang w:val="nn-NO"/>
          </w:rPr>
          <w:t>https://presse.telia.no/pressreleases/telia-tar-sitt-nordiske-partnerskap-med-microsoft-til-det-norske-markedet-forenkler-hverdagen-for-bedriftskundene-3357446</w:t>
        </w:r>
      </w:hyperlink>
    </w:p>
    <w:p w14:paraId="19C1AD76" w14:textId="77777777" w:rsidR="004B1A63" w:rsidRDefault="004B1A63">
      <w:r w:rsidRPr="005342B1">
        <w:rPr>
          <w:lang w:val="nn-NO"/>
        </w:rPr>
        <w:t xml:space="preserve">Waage, K., Kvalvik, S. N., &amp; Lindgren, P. Y. (2021). </w:t>
      </w:r>
      <w:r w:rsidRPr="00015951">
        <w:rPr>
          <w:rStyle w:val="kursiv"/>
        </w:rPr>
        <w:t>Utenlandske investeringer og andre økonomiske virkemidler-når truer de nasjonal sikkerhet?</w:t>
      </w:r>
      <w:r>
        <w:t xml:space="preserve"> FFI-RAPPORT 20/03149. (</w:t>
      </w:r>
      <w:hyperlink r:id="rId235" w:history="1">
        <w:r>
          <w:rPr>
            <w:rStyle w:val="Hyperkobling"/>
          </w:rPr>
          <w:t>http://18.195.19.6/handle/20.500.12242/2832</w:t>
        </w:r>
      </w:hyperlink>
      <w:r>
        <w:t>)</w:t>
      </w:r>
    </w:p>
    <w:p w14:paraId="36284622" w14:textId="77777777" w:rsidR="004B1A63" w:rsidRDefault="004B1A63" w:rsidP="003C04CB">
      <w:pPr>
        <w:pStyle w:val="Overskrift1"/>
      </w:pPr>
      <w:r>
        <w:t>Vedlegg</w:t>
      </w:r>
    </w:p>
    <w:p w14:paraId="42175E05" w14:textId="08F9052D" w:rsidR="004B1A63" w:rsidRDefault="004B1A63">
      <w:pPr>
        <w:ind w:left="1134" w:hanging="1134"/>
      </w:pPr>
      <w:r w:rsidRPr="00015951">
        <w:rPr>
          <w:rStyle w:val="halvfet"/>
        </w:rPr>
        <w:t>Vedlegg 1:</w:t>
      </w:r>
      <w:r>
        <w:t xml:space="preserve"> Utvalgets samlede forslag til tiltak</w:t>
      </w:r>
    </w:p>
    <w:p w14:paraId="157EAD3A" w14:textId="544850E9" w:rsidR="004B1A63" w:rsidRDefault="004B1A63">
      <w:pPr>
        <w:ind w:left="1134" w:hanging="1134"/>
        <w:rPr>
          <w:spacing w:val="-2"/>
        </w:rPr>
      </w:pPr>
      <w:r w:rsidRPr="00015951">
        <w:rPr>
          <w:rStyle w:val="halvfet"/>
        </w:rPr>
        <w:t>Vedlegg 2:</w:t>
      </w:r>
      <w:r>
        <w:t xml:space="preserve"> </w:t>
      </w:r>
      <w:r>
        <w:rPr>
          <w:spacing w:val="-2"/>
        </w:rPr>
        <w:t>Fremtidsanalyse foretatt av Oslo Economics og Norsk Utenrikspolitisk Institutt</w:t>
      </w:r>
    </w:p>
    <w:p w14:paraId="37C84185" w14:textId="7554D202" w:rsidR="004B1A63" w:rsidRDefault="004B1A63">
      <w:pPr>
        <w:ind w:left="1134" w:hanging="1134"/>
      </w:pPr>
      <w:r w:rsidRPr="00015951">
        <w:rPr>
          <w:rStyle w:val="halvfet"/>
        </w:rPr>
        <w:t>Vedlegg 3:</w:t>
      </w:r>
      <w:r>
        <w:t xml:space="preserve"> Analyse av eierstrukturer foretatt av Menon Economics</w:t>
      </w:r>
    </w:p>
    <w:p w14:paraId="18864EAE" w14:textId="56FE07F8" w:rsidR="004B1A63" w:rsidRDefault="004B1A63">
      <w:pPr>
        <w:ind w:left="1134" w:hanging="1134"/>
      </w:pPr>
      <w:r w:rsidRPr="00015951">
        <w:rPr>
          <w:rStyle w:val="halvfet"/>
        </w:rPr>
        <w:t>Vedlegg 4:</w:t>
      </w:r>
      <w:r w:rsidR="003C04CB" w:rsidRPr="00015951">
        <w:rPr>
          <w:rStyle w:val="halvfet"/>
        </w:rPr>
        <w:t xml:space="preserve"> </w:t>
      </w:r>
      <w:r>
        <w:t>Juridisk utredning foretatt av professor Christoffer Conrad Eriksen (UiO)</w:t>
      </w:r>
    </w:p>
    <w:p w14:paraId="738527FF" w14:textId="36562A57" w:rsidR="004B1A63" w:rsidRDefault="004B1A63">
      <w:pPr>
        <w:ind w:left="1134" w:hanging="1134"/>
      </w:pPr>
      <w:r w:rsidRPr="00015951">
        <w:rPr>
          <w:rStyle w:val="halvfet"/>
        </w:rPr>
        <w:t>Vedlegg 5:</w:t>
      </w:r>
      <w:r w:rsidR="003C04CB">
        <w:t xml:space="preserve"> </w:t>
      </w:r>
      <w:r>
        <w:t>Tilbakemeldinger fra tilbyderne knyttet til nasjonal kontroll</w:t>
      </w:r>
      <w:r w:rsidR="00227F91">
        <w:t xml:space="preserve"> </w:t>
      </w:r>
      <w:r>
        <w:t>med kritisk digital infrastruktur</w:t>
      </w:r>
    </w:p>
    <w:p w14:paraId="565C6A15" w14:textId="43201EA3" w:rsidR="004B1A63" w:rsidRDefault="004B1A63">
      <w:pPr>
        <w:ind w:left="1134" w:hanging="1134"/>
      </w:pPr>
      <w:r w:rsidRPr="00015951">
        <w:rPr>
          <w:rStyle w:val="halvfet"/>
        </w:rPr>
        <w:lastRenderedPageBreak/>
        <w:t>Vedlegg 6:</w:t>
      </w:r>
      <w:r w:rsidR="003C04CB">
        <w:t xml:space="preserve"> </w:t>
      </w:r>
      <w:r>
        <w:t>Informasjonsinnhenting april 2024 offentlige ekomtilbydere</w:t>
      </w:r>
    </w:p>
    <w:sectPr w:rsidR="004B1A63">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A1842D" w14:textId="77777777" w:rsidR="004B1A63" w:rsidRDefault="004B1A63">
      <w:pPr>
        <w:spacing w:before="0" w:after="0" w:line="240" w:lineRule="auto"/>
      </w:pPr>
      <w:r>
        <w:separator/>
      </w:r>
    </w:p>
  </w:endnote>
  <w:endnote w:type="continuationSeparator" w:id="0">
    <w:p w14:paraId="6398CA9F" w14:textId="77777777" w:rsidR="004B1A63" w:rsidRDefault="004B1A6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Bold">
    <w:altName w:val="Calibri"/>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OpenSans-Italic">
    <w:altName w:val="Calibri"/>
    <w:panose1 w:val="00000000000000000000"/>
    <w:charset w:val="4D"/>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67986" w14:textId="77777777" w:rsidR="004B1A63" w:rsidRDefault="004B1A63">
      <w:pPr>
        <w:spacing w:before="0" w:after="0" w:line="240" w:lineRule="auto"/>
      </w:pPr>
      <w:r>
        <w:separator/>
      </w:r>
    </w:p>
  </w:footnote>
  <w:footnote w:type="continuationSeparator" w:id="0">
    <w:p w14:paraId="77E68B17" w14:textId="77777777" w:rsidR="004B1A63" w:rsidRDefault="004B1A63">
      <w:pPr>
        <w:spacing w:before="0" w:after="0" w:line="240" w:lineRule="auto"/>
      </w:pPr>
      <w:r>
        <w:continuationSeparator/>
      </w:r>
    </w:p>
  </w:footnote>
  <w:footnote w:id="1">
    <w:p w14:paraId="79B3A43F" w14:textId="59BEB4F5" w:rsidR="00015951" w:rsidRPr="00015951" w:rsidRDefault="00015951">
      <w:pPr>
        <w:pStyle w:val="Fotnotetekst"/>
        <w:rPr>
          <w:rStyle w:val="kursiv"/>
        </w:rPr>
      </w:pPr>
      <w:r w:rsidRPr="00015951">
        <w:rPr>
          <w:rStyle w:val="Fotnotereferanse"/>
        </w:rPr>
        <w:footnoteRef/>
      </w:r>
      <w:r>
        <w:tab/>
        <w:t xml:space="preserve">NOU 2023: 17 </w:t>
      </w:r>
      <w:r w:rsidRPr="00015951">
        <w:rPr>
          <w:rStyle w:val="kursiv"/>
        </w:rPr>
        <w:t>Nå er det alvor – Rustet for en usikker fremtid</w:t>
      </w:r>
    </w:p>
  </w:footnote>
  <w:footnote w:id="2">
    <w:p w14:paraId="18440AED" w14:textId="28A9586D" w:rsidR="00015951" w:rsidRPr="00015951" w:rsidRDefault="00015951">
      <w:pPr>
        <w:pStyle w:val="Fotnotetekst"/>
        <w:rPr>
          <w:rStyle w:val="kursiv"/>
        </w:rPr>
      </w:pPr>
      <w:r w:rsidRPr="00015951">
        <w:rPr>
          <w:rStyle w:val="Fotnotereferanse"/>
        </w:rPr>
        <w:footnoteRef/>
      </w:r>
      <w:r>
        <w:tab/>
      </w:r>
      <w:r>
        <w:t xml:space="preserve">Meld. St. </w:t>
      </w:r>
      <w:r>
        <w:t xml:space="preserve">9 (2024–2025) </w:t>
      </w:r>
      <w:r w:rsidRPr="00015951">
        <w:rPr>
          <w:rStyle w:val="kursiv"/>
        </w:rPr>
        <w:t>Totalberedskapsmeldingen – Forberedt på kriser og krig</w:t>
      </w:r>
    </w:p>
  </w:footnote>
  <w:footnote w:id="3">
    <w:p w14:paraId="2D149BED" w14:textId="3EC47050" w:rsidR="00015951" w:rsidRDefault="00015951">
      <w:pPr>
        <w:pStyle w:val="Fotnotetekst"/>
      </w:pPr>
      <w:r w:rsidRPr="00015951">
        <w:rPr>
          <w:rStyle w:val="Fotnotereferanse"/>
        </w:rPr>
        <w:footnoteRef/>
      </w:r>
      <w:r>
        <w:tab/>
        <w:t>Ny frist ble i dialog med departementet (DFD) satt til 28. februar 2025.</w:t>
      </w:r>
    </w:p>
  </w:footnote>
  <w:footnote w:id="4">
    <w:p w14:paraId="7C865E5D" w14:textId="17240193" w:rsidR="00015951" w:rsidRDefault="00015951">
      <w:pPr>
        <w:pStyle w:val="Fotnotetekst"/>
      </w:pPr>
      <w:r w:rsidRPr="00015951">
        <w:rPr>
          <w:rStyle w:val="Fotnotereferanse"/>
        </w:rPr>
        <w:footnoteRef/>
      </w:r>
      <w:r>
        <w:tab/>
        <w:t xml:space="preserve">Se for eksempel </w:t>
      </w:r>
      <w:r>
        <w:t xml:space="preserve">Meld. St. </w:t>
      </w:r>
      <w:r>
        <w:t xml:space="preserve">28 (2020–2021) </w:t>
      </w:r>
      <w:r w:rsidRPr="00015951">
        <w:rPr>
          <w:rStyle w:val="kursiv"/>
        </w:rPr>
        <w:t>Vår felles digitale grunnmur, og Fremtidens digitale Norge</w:t>
      </w:r>
      <w:r>
        <w:t xml:space="preserve">, </w:t>
      </w:r>
      <w:r w:rsidRPr="00015951">
        <w:rPr>
          <w:rStyle w:val="kursiv"/>
        </w:rPr>
        <w:t>Nasjonal digitaliseringsstrategi</w:t>
      </w:r>
      <w:r>
        <w:t xml:space="preserve"> 2024-2030 utgitt av Digitaliserings- og forvaltningsdepartementet.</w:t>
      </w:r>
    </w:p>
  </w:footnote>
  <w:footnote w:id="5">
    <w:p w14:paraId="7C8119D8" w14:textId="30BF0FF3" w:rsidR="00015951" w:rsidRDefault="00015951">
      <w:pPr>
        <w:pStyle w:val="Fotnotetekst"/>
      </w:pPr>
      <w:r w:rsidRPr="00015951">
        <w:rPr>
          <w:rStyle w:val="Fotnotereferanse"/>
        </w:rPr>
        <w:footnoteRef/>
      </w:r>
      <w:r>
        <w:tab/>
        <w:t xml:space="preserve">Regjeringen lanserte sin første datasenterstrategi i 2018, se </w:t>
      </w:r>
      <w:hyperlink r:id="rId1" w:history="1">
        <w:r>
          <w:rPr>
            <w:rStyle w:val="Hyperkobling"/>
          </w:rPr>
          <w:t>https://www.regjeringen.no/globalassets/departementene/nfd/dokumenter/strategier/strategi-nfd-nett-uu.pdf</w:t>
        </w:r>
      </w:hyperlink>
      <w:r>
        <w:t xml:space="preserve"> En oppdatert datasenterstrategi ble gitt ut i august 2021, se </w:t>
      </w:r>
      <w:hyperlink r:id="rId2" w:history="1">
        <w:r>
          <w:rPr>
            <w:rStyle w:val="Hyperkobling"/>
          </w:rPr>
          <w:t>https://www.regjeringen.no/contentassets/0eabdbcbfb2540699466a4a1a801d737/nn-no/pdfs/norske-datasenter.pdf</w:t>
        </w:r>
      </w:hyperlink>
    </w:p>
  </w:footnote>
  <w:footnote w:id="6">
    <w:p w14:paraId="1BE02298" w14:textId="6547C677" w:rsidR="00015951" w:rsidRDefault="00015951">
      <w:pPr>
        <w:pStyle w:val="Fotnotetekst"/>
      </w:pPr>
      <w:r w:rsidRPr="00015951">
        <w:rPr>
          <w:rStyle w:val="Fotnotereferanse"/>
        </w:rPr>
        <w:footnoteRef/>
      </w:r>
      <w:r>
        <w:tab/>
        <w:t xml:space="preserve">Starlink sendte i første halvdel av oktober 2024 søknad til amerikanske myndigheter om å få gjøre endringer i oppsettet for deler av satellittene sine slik at de skal kunne levere Gigabit-hastigheter – se </w:t>
      </w:r>
      <w:hyperlink r:id="rId3" w:history="1">
        <w:r>
          <w:rPr>
            <w:rStyle w:val="Hyperkobling"/>
          </w:rPr>
          <w:t>https://www.digi.no/artikler/starlink-vil-levere-1-gbit-s-fra-satellittene/551895</w:t>
        </w:r>
      </w:hyperlink>
    </w:p>
  </w:footnote>
  <w:footnote w:id="7">
    <w:p w14:paraId="73B3B4E4" w14:textId="1E2E692D" w:rsidR="00015951" w:rsidRPr="005744AF" w:rsidRDefault="00015951">
      <w:pPr>
        <w:pStyle w:val="Fotnotetekst"/>
        <w:rPr>
          <w:lang w:val="en-US"/>
        </w:rPr>
      </w:pPr>
      <w:r w:rsidRPr="00015951">
        <w:rPr>
          <w:rStyle w:val="Fotnotereferanse"/>
        </w:rPr>
        <w:footnoteRef/>
      </w:r>
      <w:r w:rsidRPr="005744AF">
        <w:rPr>
          <w:lang w:val="en-US"/>
        </w:rPr>
        <w:tab/>
        <w:t>Infrastructure for Resilience, Interconnection and Security by Satellite (IRIS)</w:t>
      </w:r>
    </w:p>
  </w:footnote>
  <w:footnote w:id="8">
    <w:p w14:paraId="6A15D978" w14:textId="262A8C40" w:rsidR="00015951" w:rsidRDefault="00015951">
      <w:pPr>
        <w:pStyle w:val="Fotnotetekst"/>
      </w:pPr>
      <w:r w:rsidRPr="00015951">
        <w:rPr>
          <w:rStyle w:val="Fotnotereferanse"/>
        </w:rPr>
        <w:footnoteRef/>
      </w:r>
      <w:r>
        <w:tab/>
        <w:t xml:space="preserve">Aftenposten 2023, </w:t>
      </w:r>
      <w:hyperlink r:id="rId4" w:history="1">
        <w:r>
          <w:rPr>
            <w:rStyle w:val="Hyperkobling"/>
          </w:rPr>
          <w:t>https://www.aftenposten.no/verden/i/zE3RRq/starlink-systemet-gir-elon-musk-stor-makt-det-skaper-bekymring</w:t>
        </w:r>
      </w:hyperlink>
    </w:p>
  </w:footnote>
  <w:footnote w:id="9">
    <w:p w14:paraId="1047EA3A" w14:textId="2193011B" w:rsidR="00015951" w:rsidRPr="005342B1" w:rsidRDefault="00015951">
      <w:pPr>
        <w:pStyle w:val="Fotnotetekst"/>
        <w:rPr>
          <w:lang w:val="nn-NO"/>
        </w:rPr>
      </w:pPr>
      <w:r w:rsidRPr="00015951">
        <w:rPr>
          <w:rStyle w:val="Fotnotereferanse"/>
        </w:rPr>
        <w:footnoteRef/>
      </w:r>
      <w:r w:rsidRPr="005342B1">
        <w:rPr>
          <w:lang w:val="nn-NO"/>
        </w:rPr>
        <w:tab/>
        <w:t xml:space="preserve">Microsoft blog 2022, </w:t>
      </w:r>
      <w:hyperlink r:id="rId5" w:history="1">
        <w:r w:rsidRPr="005342B1">
          <w:rPr>
            <w:rStyle w:val="Hyperkobling"/>
            <w:lang w:val="nn-NO"/>
          </w:rPr>
          <w:t>https://blogs.microsoft.com/on-the-issues/2022/06/22/defending-ukraine-early-lessons-from-the-cyber-war/</w:t>
        </w:r>
      </w:hyperlink>
      <w:r w:rsidRPr="005342B1">
        <w:rPr>
          <w:lang w:val="nn-NO"/>
        </w:rPr>
        <w:t xml:space="preserve"> </w:t>
      </w:r>
    </w:p>
  </w:footnote>
  <w:footnote w:id="10">
    <w:p w14:paraId="61DCA8C1" w14:textId="69B5F320" w:rsidR="00015951" w:rsidRPr="005342B1" w:rsidRDefault="00015951">
      <w:pPr>
        <w:pStyle w:val="Fotnotetekst"/>
        <w:rPr>
          <w:lang w:val="fr-FR"/>
        </w:rPr>
      </w:pPr>
      <w:r w:rsidRPr="00015951">
        <w:rPr>
          <w:rStyle w:val="Fotnotereferanse"/>
        </w:rPr>
        <w:footnoteRef/>
      </w:r>
      <w:r w:rsidRPr="005342B1">
        <w:rPr>
          <w:lang w:val="fr-FR"/>
        </w:rPr>
        <w:tab/>
        <w:t xml:space="preserve">Journal officiel du Grand-Duche de Luxembourg 2017, </w:t>
      </w:r>
      <w:hyperlink r:id="rId6" w:history="1">
        <w:r w:rsidRPr="005342B1">
          <w:rPr>
            <w:rStyle w:val="Hyperkobling"/>
            <w:lang w:val="fr-FR"/>
          </w:rPr>
          <w:t>https://legilux.public.lu/eli/etat/leg/loi/2017/12/01/a1029/jo</w:t>
        </w:r>
      </w:hyperlink>
      <w:r w:rsidRPr="005342B1">
        <w:rPr>
          <w:lang w:val="fr-FR"/>
        </w:rPr>
        <w:t xml:space="preserve"> </w:t>
      </w:r>
    </w:p>
  </w:footnote>
  <w:footnote w:id="11">
    <w:p w14:paraId="2A6A7E0D" w14:textId="28193B54" w:rsidR="00015951" w:rsidRPr="005744AF" w:rsidRDefault="00015951">
      <w:pPr>
        <w:pStyle w:val="Fotnotetekst"/>
        <w:rPr>
          <w:lang w:val="en-US"/>
        </w:rPr>
      </w:pPr>
      <w:r w:rsidRPr="00015951">
        <w:rPr>
          <w:rStyle w:val="Fotnotereferanse"/>
        </w:rPr>
        <w:footnoteRef/>
      </w:r>
      <w:r w:rsidRPr="005744AF">
        <w:rPr>
          <w:lang w:val="en-US"/>
        </w:rPr>
        <w:tab/>
        <w:t xml:space="preserve">e-estonia 2019, </w:t>
      </w:r>
      <w:hyperlink r:id="rId7" w:history="1">
        <w:r w:rsidRPr="005744AF">
          <w:rPr>
            <w:rStyle w:val="Hyperkobling"/>
            <w:lang w:val="en-US"/>
          </w:rPr>
          <w:t>https://e-estonia.com/data-embassy-the-digital-continuity-of-a-state/</w:t>
        </w:r>
      </w:hyperlink>
      <w:r w:rsidRPr="005744AF">
        <w:rPr>
          <w:lang w:val="en-US"/>
        </w:rPr>
        <w:t xml:space="preserve"> </w:t>
      </w:r>
    </w:p>
  </w:footnote>
  <w:footnote w:id="12">
    <w:p w14:paraId="1A4C7693" w14:textId="6DD71F4C" w:rsidR="00015951" w:rsidRPr="00015951" w:rsidRDefault="00015951">
      <w:pPr>
        <w:pStyle w:val="Fotnotetekst"/>
        <w:rPr>
          <w:rStyle w:val="kursiv"/>
          <w:lang w:val="en-US"/>
        </w:rPr>
      </w:pPr>
      <w:r w:rsidRPr="00015951">
        <w:rPr>
          <w:rStyle w:val="Fotnotereferanse"/>
        </w:rPr>
        <w:footnoteRef/>
      </w:r>
      <w:r w:rsidRPr="005342B1">
        <w:rPr>
          <w:lang w:val="en-US"/>
        </w:rPr>
        <w:tab/>
      </w:r>
      <w:r>
        <w:rPr>
          <w:lang w:val="en-US"/>
        </w:rPr>
        <w:t xml:space="preserve">Meld. St. </w:t>
      </w:r>
      <w:r w:rsidRPr="005342B1">
        <w:rPr>
          <w:lang w:val="en-US"/>
        </w:rPr>
        <w:t xml:space="preserve">9 (2024–2025) </w:t>
      </w:r>
      <w:r w:rsidRPr="00015951">
        <w:rPr>
          <w:rStyle w:val="kursiv"/>
          <w:lang w:val="en-US"/>
        </w:rPr>
        <w:t>Totalberedskapsmeldingen</w:t>
      </w:r>
    </w:p>
  </w:footnote>
  <w:footnote w:id="13">
    <w:p w14:paraId="5A412B0E" w14:textId="67624C4A" w:rsidR="00015951" w:rsidRPr="005342B1" w:rsidRDefault="00015951">
      <w:pPr>
        <w:pStyle w:val="Fotnotetekst"/>
        <w:rPr>
          <w:lang w:val="en-US"/>
        </w:rPr>
      </w:pPr>
      <w:r w:rsidRPr="00015951">
        <w:rPr>
          <w:rStyle w:val="Fotnotereferanse"/>
        </w:rPr>
        <w:footnoteRef/>
      </w:r>
      <w:r w:rsidRPr="005342B1">
        <w:rPr>
          <w:lang w:val="en-US"/>
        </w:rPr>
        <w:tab/>
        <w:t xml:space="preserve">The Digital Europe Programme, </w:t>
      </w:r>
      <w:hyperlink r:id="rId8" w:history="1">
        <w:r w:rsidRPr="005342B1">
          <w:rPr>
            <w:rStyle w:val="Hyperkobling"/>
            <w:lang w:val="en-US"/>
          </w:rPr>
          <w:t>https://digital-strategy.ec.europa.eu/en/activities/digital-programme</w:t>
        </w:r>
      </w:hyperlink>
      <w:r w:rsidRPr="005342B1">
        <w:rPr>
          <w:lang w:val="en-US"/>
        </w:rPr>
        <w:t xml:space="preserve"> </w:t>
      </w:r>
    </w:p>
  </w:footnote>
  <w:footnote w:id="14">
    <w:p w14:paraId="365D03CE" w14:textId="12753994" w:rsidR="00015951" w:rsidRPr="005744AF" w:rsidRDefault="00015951">
      <w:pPr>
        <w:pStyle w:val="Fotnotetekst"/>
        <w:rPr>
          <w:lang w:val="en-US"/>
        </w:rPr>
      </w:pPr>
      <w:r w:rsidRPr="00015951">
        <w:rPr>
          <w:rStyle w:val="Fotnotereferanse"/>
        </w:rPr>
        <w:footnoteRef/>
      </w:r>
      <w:r w:rsidRPr="005744AF">
        <w:rPr>
          <w:lang w:val="en-US"/>
        </w:rPr>
        <w:tab/>
        <w:t xml:space="preserve">Regulation (EU) 2021/694 of the European Parliament and of the Council of 29 April 2021 establishing the Digital Europe Programme and repealing Decision (EU) 2015/2240 </w:t>
      </w:r>
      <w:hyperlink r:id="rId9" w:history="1">
        <w:r w:rsidRPr="005744AF">
          <w:rPr>
            <w:rStyle w:val="Hyperkobling"/>
            <w:lang w:val="en-US"/>
          </w:rPr>
          <w:t>EUR-Lex – 02021R0694-20230921 – EN – EU https://e-estonia.com/data-embassy-the-digital-continuity-of-a-state/R-Lex</w:t>
        </w:r>
      </w:hyperlink>
    </w:p>
  </w:footnote>
  <w:footnote w:id="15">
    <w:p w14:paraId="3E68FBC5" w14:textId="162D841B" w:rsidR="00015951" w:rsidRDefault="00015951">
      <w:pPr>
        <w:pStyle w:val="Fotnotetekst"/>
      </w:pPr>
      <w:r w:rsidRPr="00015951">
        <w:rPr>
          <w:rStyle w:val="Fotnotereferanse"/>
        </w:rPr>
        <w:footnoteRef/>
      </w:r>
      <w:r>
        <w:tab/>
        <w:t xml:space="preserve">Fokus 2024 – Etterretningstjenestens vurdering av aktuelle sikkerhetsutfordringer, </w:t>
      </w:r>
      <w:hyperlink r:id="rId10" w:history="1">
        <w:r>
          <w:rPr>
            <w:rStyle w:val="Hyperkobling"/>
          </w:rPr>
          <w:t>https://www.etterretningstjenesten.no/publikasjoner/fokus/Fokus24_innhold</w:t>
        </w:r>
      </w:hyperlink>
    </w:p>
  </w:footnote>
  <w:footnote w:id="16">
    <w:p w14:paraId="7C09DA72" w14:textId="6249BAEB" w:rsidR="00015951" w:rsidRPr="005342B1" w:rsidRDefault="00015951">
      <w:pPr>
        <w:pStyle w:val="Fotnotetekst"/>
        <w:rPr>
          <w:lang w:val="nn-NO"/>
        </w:rPr>
      </w:pPr>
      <w:r w:rsidRPr="00015951">
        <w:rPr>
          <w:rStyle w:val="Fotnotereferanse"/>
        </w:rPr>
        <w:footnoteRef/>
      </w:r>
      <w:r w:rsidRPr="005342B1">
        <w:rPr>
          <w:lang w:val="nn-NO"/>
        </w:rPr>
        <w:tab/>
        <w:t xml:space="preserve">Nasjonal trusselvurdering 2024, PST, </w:t>
      </w:r>
      <w:hyperlink r:id="rId11" w:history="1">
        <w:r w:rsidRPr="005342B1">
          <w:rPr>
            <w:rStyle w:val="Hyperkobling"/>
            <w:lang w:val="nn-NO"/>
          </w:rPr>
          <w:t>https://www.pst.no/alle-artikler/trusselvurderinger/ntv-2024/</w:t>
        </w:r>
      </w:hyperlink>
      <w:r w:rsidRPr="005342B1">
        <w:rPr>
          <w:lang w:val="nn-NO"/>
        </w:rPr>
        <w:t xml:space="preserve"> </w:t>
      </w:r>
    </w:p>
  </w:footnote>
  <w:footnote w:id="17">
    <w:p w14:paraId="4CC1AE17" w14:textId="04DF5E2B" w:rsidR="00015951" w:rsidRDefault="00015951">
      <w:pPr>
        <w:pStyle w:val="Fotnotetekst"/>
      </w:pPr>
      <w:r w:rsidRPr="00015951">
        <w:rPr>
          <w:rStyle w:val="Fotnotereferanse"/>
        </w:rPr>
        <w:footnoteRef/>
      </w:r>
      <w:r>
        <w:tab/>
        <w:t xml:space="preserve">Risiko 2024 – Nasjonal sikkerhet – et felles ansvar, NSM, </w:t>
      </w:r>
      <w:hyperlink r:id="rId12" w:history="1">
        <w:r>
          <w:rPr>
            <w:rStyle w:val="Hyperkobling"/>
          </w:rPr>
          <w:t>https://nsm.no/getfile.php/1313477-1719434219/NSM/Filer/Dokumenter/Rapporter/Risiko%202024.pdf</w:t>
        </w:r>
      </w:hyperlink>
      <w:r>
        <w:t xml:space="preserve"> </w:t>
      </w:r>
    </w:p>
  </w:footnote>
  <w:footnote w:id="18">
    <w:p w14:paraId="1154CFBF" w14:textId="7B18F7DC" w:rsidR="00015951" w:rsidRDefault="00015951">
      <w:pPr>
        <w:pStyle w:val="Fotnotetekst"/>
      </w:pPr>
      <w:r w:rsidRPr="00015951">
        <w:rPr>
          <w:rStyle w:val="Fotnotereferanse"/>
        </w:rPr>
        <w:footnoteRef/>
      </w:r>
      <w:r>
        <w:tab/>
        <w:t xml:space="preserve">Risiko og sårbarhetsanalyse for ekomsektoren (2024), Nkom, </w:t>
      </w:r>
      <w:hyperlink r:id="rId13" w:history="1">
        <w:r>
          <w:rPr>
            <w:rStyle w:val="Hyperkobling"/>
          </w:rPr>
          <w:t>file:///C:/Users/DFD1112/Downloads/EkomROS%202024%20-%20offentlig%20versjon%20(1).pdf</w:t>
        </w:r>
      </w:hyperlink>
    </w:p>
  </w:footnote>
  <w:footnote w:id="19">
    <w:p w14:paraId="6DFA35BC" w14:textId="13A76F65" w:rsidR="00015951" w:rsidRDefault="00015951">
      <w:pPr>
        <w:pStyle w:val="Fotnotetekst"/>
      </w:pPr>
      <w:r w:rsidRPr="00015951">
        <w:rPr>
          <w:rStyle w:val="Fotnotereferanse"/>
        </w:rPr>
        <w:footnoteRef/>
      </w:r>
      <w:r>
        <w:tab/>
        <w:t xml:space="preserve">Utenlandske investeringer og andre økonomiske virkemidler – når truer de nasjonal sikkerhet? FFI-rapport 20/03149, </w:t>
      </w:r>
      <w:hyperlink r:id="rId14" w:history="1">
        <w:r>
          <w:rPr>
            <w:rStyle w:val="Hyperkobling"/>
          </w:rPr>
          <w:t>https://ffi-publikasjoner.archive.knowledgearc.net/bitstream/handle/20.500.12242/2832/03149.pdf</w:t>
        </w:r>
      </w:hyperlink>
    </w:p>
  </w:footnote>
  <w:footnote w:id="20">
    <w:p w14:paraId="59A6A110" w14:textId="30D53C69" w:rsidR="00015951" w:rsidRDefault="00015951">
      <w:pPr>
        <w:pStyle w:val="Fotnotetekst"/>
      </w:pPr>
      <w:r w:rsidRPr="00015951">
        <w:rPr>
          <w:rStyle w:val="Fotnotereferanse"/>
        </w:rPr>
        <w:footnoteRef/>
      </w:r>
      <w:r>
        <w:tab/>
      </w:r>
      <w:r>
        <w:rPr>
          <w:spacing w:val="-1"/>
        </w:rPr>
        <w:t xml:space="preserve">Hva er sikkerhetstruende økonomisk aktivitet? Veiledning NSM, </w:t>
      </w:r>
      <w:hyperlink r:id="rId15" w:history="1">
        <w:r>
          <w:rPr>
            <w:rStyle w:val="Hyperkobling"/>
            <w:spacing w:val="-1"/>
          </w:rPr>
          <w:t>https://nsm.no/regelverk-og-hjelp/rad-og-anbefalinger/handtering-av-sikkerhetstruende-okonomisk-virksomhet/hva-er-sikkerhetstruende-okonomisk-virksomhet/</w:t>
        </w:r>
      </w:hyperlink>
    </w:p>
  </w:footnote>
  <w:footnote w:id="21">
    <w:p w14:paraId="3D1964DF" w14:textId="1DF0D23E" w:rsidR="00015951" w:rsidRDefault="00015951">
      <w:pPr>
        <w:pStyle w:val="Fotnotetekst"/>
      </w:pPr>
      <w:r w:rsidRPr="00015951">
        <w:rPr>
          <w:rStyle w:val="Fotnotereferanse"/>
        </w:rPr>
        <w:footnoteRef/>
      </w:r>
      <w:r>
        <w:tab/>
        <w:t xml:space="preserve">Erfaringer fra krigen i Ukraina – læringspunkter etter tusen dager med krig, FFI-rapport 24/01299, </w:t>
      </w:r>
      <w:hyperlink r:id="rId16" w:history="1">
        <w:r>
          <w:rPr>
            <w:rStyle w:val="Hyperkobling"/>
          </w:rPr>
          <w:t>https://ffi-publikasjoner.archive.knowledgearc.net/bitstream/handle/20.500.12242/3313/24-01299.pdf</w:t>
        </w:r>
      </w:hyperlink>
      <w:r>
        <w:t xml:space="preserve"> </w:t>
      </w:r>
    </w:p>
  </w:footnote>
  <w:footnote w:id="22">
    <w:p w14:paraId="5399D26E" w14:textId="1103BBF9" w:rsidR="00015951" w:rsidRDefault="00015951">
      <w:pPr>
        <w:pStyle w:val="Fotnotetekst"/>
      </w:pPr>
      <w:r w:rsidRPr="00015951">
        <w:rPr>
          <w:rStyle w:val="Fotnotereferanse"/>
        </w:rPr>
        <w:footnoteRef/>
      </w:r>
      <w:r>
        <w:tab/>
        <w:t xml:space="preserve">Fremtidens digitale Norge Nasjonal digitaliseringsstrategi 2024–2030, </w:t>
      </w:r>
      <w:hyperlink r:id="rId17" w:history="1">
        <w:r>
          <w:rPr>
            <w:rStyle w:val="Hyperkobling"/>
          </w:rPr>
          <w:t>https://www.regjeringen.no/contentassets/c499c3b6c93740bd989c43d886f65924/no/pdfs/nasjonal-digitaliseringsstrategi_ny.pdf</w:t>
        </w:r>
      </w:hyperlink>
    </w:p>
  </w:footnote>
  <w:footnote w:id="23">
    <w:p w14:paraId="1D6A2E6B" w14:textId="66C9DE07" w:rsidR="00015951" w:rsidRDefault="00015951">
      <w:pPr>
        <w:pStyle w:val="Fotnotetekst"/>
      </w:pPr>
      <w:r w:rsidRPr="00015951">
        <w:rPr>
          <w:rStyle w:val="Fotnotereferanse"/>
        </w:rPr>
        <w:footnoteRef/>
      </w:r>
      <w:r>
        <w:tab/>
        <w:t xml:space="preserve">NRK 2024 </w:t>
      </w:r>
      <w:hyperlink r:id="rId18" w:history="1">
        <w:r>
          <w:rPr>
            <w:rStyle w:val="Hyperkobling"/>
          </w:rPr>
          <w:t>https://www.nrk.no/vestfoldogtelemark/google-bygger-enormt-datasenter-i-skien-1.16749861</w:t>
        </w:r>
      </w:hyperlink>
    </w:p>
  </w:footnote>
  <w:footnote w:id="24">
    <w:p w14:paraId="3683A981" w14:textId="206F098E" w:rsidR="00015951" w:rsidRDefault="00015951">
      <w:pPr>
        <w:pStyle w:val="Fotnotetekst"/>
      </w:pPr>
      <w:r w:rsidRPr="00015951">
        <w:rPr>
          <w:rStyle w:val="Fotnotereferanse"/>
        </w:rPr>
        <w:footnoteRef/>
      </w:r>
      <w:r>
        <w:tab/>
        <w:t xml:space="preserve">Regjeringen.no 2023, </w:t>
      </w:r>
      <w:hyperlink r:id="rId19" w:history="1">
        <w:r>
          <w:rPr>
            <w:rStyle w:val="Hyperkobling"/>
          </w:rPr>
          <w:t>https://www.regjeringen.no/no/aktuelt/green-mountain-vert-underlagt-sikkerheitslova-og-far-etablere-datasenter-i-innlandet/id2989926/</w:t>
        </w:r>
      </w:hyperlink>
    </w:p>
  </w:footnote>
  <w:footnote w:id="25">
    <w:p w14:paraId="47D470C2" w14:textId="391DA94C" w:rsidR="00015951" w:rsidRPr="005342B1" w:rsidRDefault="00015951">
      <w:pPr>
        <w:pStyle w:val="Fotnotetekst"/>
        <w:rPr>
          <w:lang w:val="nn-NO"/>
        </w:rPr>
      </w:pPr>
      <w:r w:rsidRPr="00015951">
        <w:rPr>
          <w:rStyle w:val="Fotnotereferanse"/>
        </w:rPr>
        <w:footnoteRef/>
      </w:r>
      <w:r w:rsidRPr="005342B1">
        <w:rPr>
          <w:lang w:val="nn-NO"/>
        </w:rPr>
        <w:tab/>
        <w:t xml:space="preserve">NTB 2021, </w:t>
      </w:r>
      <w:hyperlink r:id="rId20" w:history="1">
        <w:r w:rsidRPr="005342B1">
          <w:rPr>
            <w:rStyle w:val="Hyperkobling"/>
            <w:lang w:val="nn-NO"/>
          </w:rPr>
          <w:t>https://kommunikasjon.ntb.no/pressemelding/17920407/telenor-og-google-cloud-inngar-strategisk-partnerskap?publisherId=4954260</w:t>
        </w:r>
      </w:hyperlink>
      <w:r w:rsidRPr="005342B1">
        <w:rPr>
          <w:lang w:val="nn-NO"/>
        </w:rPr>
        <w:t xml:space="preserve"> </w:t>
      </w:r>
    </w:p>
  </w:footnote>
  <w:footnote w:id="26">
    <w:p w14:paraId="4A9717B2" w14:textId="38AAF3A5" w:rsidR="00015951" w:rsidRPr="005342B1" w:rsidRDefault="00015951">
      <w:pPr>
        <w:pStyle w:val="Fotnotetekst"/>
        <w:rPr>
          <w:lang w:val="nn-NO"/>
        </w:rPr>
      </w:pPr>
      <w:r w:rsidRPr="00015951">
        <w:rPr>
          <w:rStyle w:val="Fotnotereferanse"/>
        </w:rPr>
        <w:footnoteRef/>
      </w:r>
      <w:r w:rsidRPr="005342B1">
        <w:rPr>
          <w:lang w:val="nn-NO"/>
        </w:rPr>
        <w:tab/>
        <w:t xml:space="preserve">NTB 2024, </w:t>
      </w:r>
      <w:hyperlink r:id="rId21" w:history="1">
        <w:r w:rsidRPr="005342B1">
          <w:rPr>
            <w:rStyle w:val="Hyperkobling"/>
            <w:lang w:val="nn-NO"/>
          </w:rPr>
          <w:t>https://kommunikasjon.ntb.no/pressemelding/18052346/telenor-group-announces-collaboration-with-nvidia-to-support-its-ai-first-ambition?publisherId=4954260</w:t>
        </w:r>
      </w:hyperlink>
      <w:r w:rsidRPr="005342B1">
        <w:rPr>
          <w:lang w:val="nn-NO"/>
        </w:rPr>
        <w:t xml:space="preserve"> </w:t>
      </w:r>
    </w:p>
  </w:footnote>
  <w:footnote w:id="27">
    <w:p w14:paraId="565E667D" w14:textId="7A49BC9A" w:rsidR="00015951" w:rsidRPr="005342B1" w:rsidRDefault="00015951">
      <w:pPr>
        <w:pStyle w:val="Fotnotetekst"/>
        <w:rPr>
          <w:lang w:val="nn-NO"/>
        </w:rPr>
      </w:pPr>
      <w:r w:rsidRPr="00015951">
        <w:rPr>
          <w:rStyle w:val="Fotnotereferanse"/>
        </w:rPr>
        <w:footnoteRef/>
      </w:r>
      <w:r w:rsidRPr="005342B1">
        <w:rPr>
          <w:lang w:val="nn-NO"/>
        </w:rPr>
        <w:tab/>
        <w:t xml:space="preserve">Telia 2024, </w:t>
      </w:r>
      <w:hyperlink r:id="rId22" w:history="1">
        <w:r w:rsidRPr="005342B1">
          <w:rPr>
            <w:rStyle w:val="Hyperkobling"/>
            <w:lang w:val="nn-NO"/>
          </w:rPr>
          <w:t>https://presse.telia.no/pressreleases/telia-tar-sitt-nordiske-partnerskap-med-microsoft-til-det-norske-markedet-forenkler-hverdagen-for-bedriftskundene-3357446</w:t>
        </w:r>
      </w:hyperlink>
      <w:r w:rsidRPr="005342B1">
        <w:rPr>
          <w:lang w:val="nn-NO"/>
        </w:rPr>
        <w:t xml:space="preserve"> </w:t>
      </w:r>
    </w:p>
  </w:footnote>
  <w:footnote w:id="28">
    <w:p w14:paraId="75F7D278" w14:textId="054F3193" w:rsidR="00015951" w:rsidRPr="005342B1" w:rsidRDefault="00015951">
      <w:pPr>
        <w:pStyle w:val="Fotnotetekst"/>
        <w:rPr>
          <w:lang w:val="nn-NO"/>
        </w:rPr>
      </w:pPr>
      <w:r w:rsidRPr="00015951">
        <w:rPr>
          <w:rStyle w:val="Fotnotereferanse"/>
        </w:rPr>
        <w:footnoteRef/>
      </w:r>
      <w:r w:rsidRPr="005342B1">
        <w:rPr>
          <w:lang w:val="nn-NO"/>
        </w:rPr>
        <w:tab/>
        <w:t xml:space="preserve">Tampnet 2021, </w:t>
      </w:r>
      <w:hyperlink r:id="rId23" w:history="1">
        <w:r w:rsidRPr="005342B1">
          <w:rPr>
            <w:rStyle w:val="Hyperkobling"/>
            <w:lang w:val="nn-NO"/>
          </w:rPr>
          <w:t>https://www.tampnet.com/press/tampnet-and-oneweb-sign-agreement-to-further-develop-the-next-generation-of-offshore-connectivity-capabilities</w:t>
        </w:r>
      </w:hyperlink>
      <w:r w:rsidRPr="005342B1">
        <w:rPr>
          <w:lang w:val="nn-NO"/>
        </w:rPr>
        <w:t xml:space="preserve"> </w:t>
      </w:r>
    </w:p>
  </w:footnote>
  <w:footnote w:id="29">
    <w:p w14:paraId="62633501" w14:textId="02E57D94" w:rsidR="00015951" w:rsidRPr="005342B1" w:rsidRDefault="00015951">
      <w:pPr>
        <w:pStyle w:val="Fotnotetekst"/>
        <w:rPr>
          <w:lang w:val="nn-NO"/>
        </w:rPr>
      </w:pPr>
      <w:r w:rsidRPr="00015951">
        <w:rPr>
          <w:rStyle w:val="Fotnotereferanse"/>
        </w:rPr>
        <w:footnoteRef/>
      </w:r>
      <w:r w:rsidRPr="005342B1">
        <w:rPr>
          <w:lang w:val="nn-NO"/>
        </w:rPr>
        <w:tab/>
        <w:t xml:space="preserve">NRK 2022, </w:t>
      </w:r>
      <w:hyperlink r:id="rId24" w:history="1">
        <w:r w:rsidRPr="005342B1">
          <w:rPr>
            <w:rStyle w:val="Hyperkobling"/>
            <w:lang w:val="nn-NO"/>
          </w:rPr>
          <w:t>https://www.nrk.no/tromsogfinnmark/rodt-krever-svar-etter-at-bredbandsfylket-avtalte-samarbeid-med-russiske-megafon-1.16183441</w:t>
        </w:r>
      </w:hyperlink>
    </w:p>
  </w:footnote>
  <w:footnote w:id="30">
    <w:p w14:paraId="5EB9DEAF" w14:textId="4BD5EB62" w:rsidR="00015951" w:rsidRPr="005342B1" w:rsidRDefault="00015951">
      <w:pPr>
        <w:pStyle w:val="Fotnotetekst"/>
        <w:rPr>
          <w:lang w:val="nn-NO"/>
        </w:rPr>
      </w:pPr>
      <w:r w:rsidRPr="00015951">
        <w:rPr>
          <w:rStyle w:val="Fotnotereferanse"/>
        </w:rPr>
        <w:footnoteRef/>
      </w:r>
      <w:r w:rsidRPr="005342B1">
        <w:rPr>
          <w:lang w:val="nn-NO"/>
        </w:rPr>
        <w:tab/>
        <w:t xml:space="preserve">NTB 2022, </w:t>
      </w:r>
      <w:hyperlink r:id="rId25" w:history="1">
        <w:r w:rsidRPr="005342B1">
          <w:rPr>
            <w:rStyle w:val="Hyperkobling"/>
            <w:lang w:val="nn-NO"/>
          </w:rPr>
          <w:t>https://kommunikasjon.ntb.no/pressemelding/17942689/telenor-etablerer-fiberselskap-i-norge?publisherId=4954260</w:t>
        </w:r>
      </w:hyperlink>
    </w:p>
  </w:footnote>
  <w:footnote w:id="31">
    <w:p w14:paraId="22510A4C" w14:textId="71DC2F14" w:rsidR="00015951" w:rsidRPr="005342B1" w:rsidRDefault="00015951">
      <w:pPr>
        <w:pStyle w:val="Fotnotetekst"/>
        <w:rPr>
          <w:lang w:val="nn-NO"/>
        </w:rPr>
      </w:pPr>
      <w:r w:rsidRPr="00015951">
        <w:rPr>
          <w:rStyle w:val="Fotnotereferanse"/>
        </w:rPr>
        <w:footnoteRef/>
      </w:r>
      <w:r w:rsidRPr="005342B1">
        <w:rPr>
          <w:lang w:val="nn-NO"/>
        </w:rPr>
        <w:tab/>
        <w:t xml:space="preserve">Spørsmål til skriftlig besvarelse nr. 18 fra stortingsrepresentant Christian Tybring-Gjedde, </w:t>
      </w:r>
      <w:hyperlink r:id="rId26" w:history="1">
        <w:r w:rsidRPr="005342B1">
          <w:rPr>
            <w:rStyle w:val="Hyperkobling"/>
            <w:lang w:val="nn-NO"/>
          </w:rPr>
          <w:t>https://www.stortinget.no/no/Saker-og-publikasjoner/Sporsmal/Skriftlige-sporsmal-og-svar/Skriftlig-sporsmal/?qnid=67684</w:t>
        </w:r>
      </w:hyperlink>
    </w:p>
  </w:footnote>
  <w:footnote w:id="32">
    <w:p w14:paraId="389DA4C7" w14:textId="635B15C5" w:rsidR="00015951" w:rsidRPr="005342B1" w:rsidRDefault="00015951">
      <w:pPr>
        <w:pStyle w:val="Fotnotetekst"/>
        <w:rPr>
          <w:lang w:val="nn-NO"/>
        </w:rPr>
      </w:pPr>
      <w:r w:rsidRPr="00015951">
        <w:rPr>
          <w:rStyle w:val="Fotnotereferanse"/>
        </w:rPr>
        <w:footnoteRef/>
      </w:r>
      <w:r w:rsidRPr="005342B1">
        <w:rPr>
          <w:lang w:val="nn-NO"/>
        </w:rPr>
        <w:tab/>
        <w:t xml:space="preserve">Digi.no 2024, </w:t>
      </w:r>
      <w:hyperlink r:id="rId27" w:history="1">
        <w:r w:rsidRPr="005342B1">
          <w:rPr>
            <w:rStyle w:val="Hyperkobling"/>
            <w:lang w:val="nn-NO"/>
          </w:rPr>
          <w:t>https://www.digi.no/artikler/nsm-etter-crowdstrike-still-kritiske-sporsmal-om-programvareutviklingen/549154</w:t>
        </w:r>
      </w:hyperlink>
    </w:p>
  </w:footnote>
  <w:footnote w:id="33">
    <w:p w14:paraId="4F4AC2EE" w14:textId="7E412F16" w:rsidR="00015951" w:rsidRDefault="00015951">
      <w:pPr>
        <w:pStyle w:val="Fotnotetekst"/>
      </w:pPr>
      <w:r w:rsidRPr="00015951">
        <w:rPr>
          <w:rStyle w:val="Fotnotereferanse"/>
        </w:rPr>
        <w:footnoteRef/>
      </w:r>
      <w:r>
        <w:tab/>
        <w:t xml:space="preserve">Felles redegjørelse NSM og Nkom, </w:t>
      </w:r>
      <w:hyperlink r:id="rId28" w:history="1">
        <w:r>
          <w:rPr>
            <w:rStyle w:val="Hyperkobling"/>
          </w:rPr>
          <w:t>https://www.regjeringen.no/contentassets/17dba73e91354368aad3d53d600a18b0/tilsyn-med-nodnett---felles-redegjorelse-nsm-nkom.pdf</w:t>
        </w:r>
      </w:hyperlink>
      <w:r>
        <w:t xml:space="preserve"> </w:t>
      </w:r>
    </w:p>
  </w:footnote>
  <w:footnote w:id="34">
    <w:p w14:paraId="494D95D4" w14:textId="07F5C241" w:rsidR="00015951" w:rsidRDefault="00015951">
      <w:pPr>
        <w:pStyle w:val="Fotnotetekst"/>
      </w:pPr>
      <w:r w:rsidRPr="00015951">
        <w:rPr>
          <w:rStyle w:val="Fotnotereferanse"/>
        </w:rPr>
        <w:footnoteRef/>
      </w:r>
      <w:r>
        <w:tab/>
        <w:t xml:space="preserve">Fremtidens digitale Norge Nasjonal digitaliseringsstrategi 2024–2030, </w:t>
      </w:r>
      <w:hyperlink r:id="rId29" w:history="1">
        <w:r>
          <w:rPr>
            <w:rStyle w:val="Hyperkobling"/>
          </w:rPr>
          <w:t>https://www.regjeringen.no/contentassets/c499c3b6c93740bd989c43d886f65924/no/pdfs/nasjonal-digitaliseringsstrategi_ny.pdf</w:t>
        </w:r>
      </w:hyperlink>
    </w:p>
  </w:footnote>
  <w:footnote w:id="35">
    <w:p w14:paraId="6804E0F0" w14:textId="5558A39A" w:rsidR="00015951" w:rsidRDefault="00015951">
      <w:pPr>
        <w:pStyle w:val="Fotnotetekst"/>
      </w:pPr>
      <w:r w:rsidRPr="00015951">
        <w:rPr>
          <w:rStyle w:val="Fotnotereferanse"/>
        </w:rPr>
        <w:footnoteRef/>
      </w:r>
      <w:r>
        <w:tab/>
        <w:t xml:space="preserve">Konseptvalgutredning for nasjonal skytjeneste 2023, NSM, </w:t>
      </w:r>
      <w:hyperlink r:id="rId30" w:history="1">
        <w:r>
          <w:rPr>
            <w:rStyle w:val="Hyperkobling"/>
          </w:rPr>
          <w:t>https://nsm.no/getfile.php/1313330-1696430485/NSM/Filer/Dokumenter/Rapporter/Nasjonal%20skytjeneste%20-%20konseptvalgutredning%20-%20KVU%202023.pdf</w:t>
        </w:r>
      </w:hyperlink>
    </w:p>
  </w:footnote>
  <w:footnote w:id="36">
    <w:p w14:paraId="2CDDFC5F" w14:textId="07A84F83" w:rsidR="00015951" w:rsidRDefault="00015951">
      <w:pPr>
        <w:pStyle w:val="Fotnotetekst"/>
      </w:pPr>
      <w:r w:rsidRPr="00015951">
        <w:rPr>
          <w:rStyle w:val="Fotnotereferanse"/>
        </w:rPr>
        <w:footnoteRef/>
      </w:r>
      <w:r>
        <w:tab/>
        <w:t xml:space="preserve">Stortinget, møte den 18. april 2024, </w:t>
      </w:r>
      <w:hyperlink r:id="rId31" w:history="1">
        <w:r>
          <w:rPr>
            <w:rStyle w:val="Hyperkobling"/>
          </w:rPr>
          <w:t>https://www.stortinget.no/no/Saker-og-publikasjoner/Publikasjoner/Referater/Stortinget/2023-2024/refs-202324-04-18?m=3</w:t>
        </w:r>
      </w:hyperlink>
      <w:r>
        <w:t xml:space="preserve">, </w:t>
      </w:r>
      <w:r>
        <w:t xml:space="preserve">Meld. St. </w:t>
      </w:r>
      <w:r>
        <w:t xml:space="preserve">9 (2024 –2025) Totalberedskapsmeldingen, </w:t>
      </w:r>
      <w:hyperlink r:id="rId32" w:history="1">
        <w:r>
          <w:rPr>
            <w:rStyle w:val="Hyperkobling"/>
          </w:rPr>
          <w:t>https://www.regjeringen.no/contentassets/c24e6978185f4a49a7d2689a4741a9b1/no/pdfs/stm202420250009000dddpdfs.pdf</w:t>
        </w:r>
      </w:hyperlink>
    </w:p>
  </w:footnote>
  <w:footnote w:id="37">
    <w:p w14:paraId="56D5F852" w14:textId="4B7F0715" w:rsidR="00015951" w:rsidRDefault="00015951">
      <w:pPr>
        <w:pStyle w:val="Fotnotetekst"/>
      </w:pPr>
      <w:r w:rsidRPr="00015951">
        <w:rPr>
          <w:rStyle w:val="Fotnotereferanse"/>
        </w:rPr>
        <w:footnoteRef/>
      </w:r>
      <w:r>
        <w:tab/>
      </w:r>
      <w:hyperlink r:id="rId33" w:history="1">
        <w:r>
          <w:rPr>
            <w:rStyle w:val="Hyperkobling"/>
          </w:rPr>
          <w:t>Økt sikkerhet for kritisk infrastruktur på norsk sokkel -https://www.regjeringen.no/contentassets/c24e6978185f4a49a7d2689a4741a9b1/no/pdfs/stm202420250009000dddpdfs.pdf regjeringen.no</w:t>
        </w:r>
      </w:hyperlink>
    </w:p>
  </w:footnote>
  <w:footnote w:id="38">
    <w:p w14:paraId="51B035DA" w14:textId="6B6B139C" w:rsidR="00015951" w:rsidRDefault="00015951">
      <w:pPr>
        <w:pStyle w:val="Fotnotetekst"/>
      </w:pPr>
      <w:r w:rsidRPr="00015951">
        <w:rPr>
          <w:rStyle w:val="Fotnotereferanse"/>
        </w:rPr>
        <w:footnoteRef/>
      </w:r>
      <w:r>
        <w:tab/>
      </w:r>
      <w:hyperlink r:id="rId34" w:history="1">
        <w:r>
          <w:rPr>
            <w:rStyle w:val="Hyperkobling"/>
          </w:rPr>
          <w:t>https://spacenorway.com/news/space-norway-delivery-enhances-the-armed-forces-operational-capability-in-the-high-north/</w:t>
        </w:r>
      </w:hyperlink>
    </w:p>
  </w:footnote>
  <w:footnote w:id="39">
    <w:p w14:paraId="43811B4E" w14:textId="7ED216F0" w:rsidR="00015951" w:rsidRDefault="00015951">
      <w:pPr>
        <w:pStyle w:val="Fotnotetekst"/>
      </w:pPr>
      <w:r w:rsidRPr="00015951">
        <w:rPr>
          <w:rStyle w:val="Fotnotereferanse"/>
        </w:rPr>
        <w:footnoteRef/>
      </w:r>
      <w:r>
        <w:tab/>
      </w:r>
      <w:hyperlink r:id="rId35" w:history="1">
        <w:r>
          <w:rPr>
            <w:rStyle w:val="Hyperkobling"/>
          </w:rPr>
          <w:t>https://www.regjeringen.no/no/aktuelt/space-norway-med-avtale-om-kjop-av-telenor-satellite/id3014624/?expand=factbox3014627</w:t>
        </w:r>
      </w:hyperlink>
    </w:p>
  </w:footnote>
  <w:footnote w:id="40">
    <w:p w14:paraId="1004B33F" w14:textId="477BD0FD" w:rsidR="00015951" w:rsidRDefault="00015951">
      <w:pPr>
        <w:pStyle w:val="Fotnotetekst"/>
      </w:pPr>
      <w:r w:rsidRPr="00015951">
        <w:rPr>
          <w:rStyle w:val="Fotnotereferanse"/>
        </w:rPr>
        <w:footnoteRef/>
      </w:r>
      <w:r>
        <w:tab/>
      </w:r>
      <w:hyperlink r:id="rId36" w:history="1">
        <w:r>
          <w:rPr>
            <w:rStyle w:val="Hyperkobling"/>
          </w:rPr>
          <w:t>https://www.stortinget.no/no/Saker-og-publikasjoner/Sporsmal/Skriftlige-sporsmal-og-svar/Skriftlig-sporsmal/?qnid=67684</w:t>
        </w:r>
      </w:hyperlink>
    </w:p>
  </w:footnote>
  <w:footnote w:id="41">
    <w:p w14:paraId="5FE731E7" w14:textId="61811B66" w:rsidR="00015951" w:rsidRDefault="00015951">
      <w:pPr>
        <w:pStyle w:val="Fotnotetekst"/>
      </w:pPr>
      <w:r w:rsidRPr="00015951">
        <w:rPr>
          <w:rStyle w:val="Fotnotereferanse"/>
        </w:rPr>
        <w:footnoteRef/>
      </w:r>
      <w:r>
        <w:tab/>
      </w:r>
      <w:hyperlink r:id="rId37" w:anchor="match_1" w:history="1">
        <w:r>
          <w:rPr>
            <w:rStyle w:val="Hyperkobling"/>
          </w:rPr>
          <w:t>https://www.stortinget.no/no/Saker-og-publikasjoner/Publikasjoner/Innstillinger/Stortinget/2023-2024/inns-202324-008s/?m=1&amp;s=Telenor+Fiber#match_1</w:t>
        </w:r>
      </w:hyperlink>
    </w:p>
  </w:footnote>
  <w:footnote w:id="42">
    <w:p w14:paraId="5674FD1F" w14:textId="73417710" w:rsidR="00015951" w:rsidRPr="000B057A" w:rsidRDefault="00015951">
      <w:pPr>
        <w:pStyle w:val="Fotnotetekst"/>
        <w:rPr>
          <w:spacing w:val="-1"/>
        </w:rPr>
      </w:pPr>
      <w:r w:rsidRPr="00015951">
        <w:rPr>
          <w:rStyle w:val="Fotnotereferanse"/>
        </w:rPr>
        <w:footnoteRef/>
      </w:r>
      <w:r>
        <w:tab/>
      </w:r>
      <w:hyperlink r:id="rId38" w:history="1">
        <w:r>
          <w:rPr>
            <w:rStyle w:val="Hyperkobling"/>
            <w:spacing w:val="-1"/>
          </w:rPr>
          <w:t>https://www.regjeringen.no/no/aktuelt/regjeringen-setter-vilkar-knyttet-til-kjop-av-eierandel-i-globalconnect/id2970605/</w:t>
        </w:r>
      </w:hyperlink>
    </w:p>
  </w:footnote>
  <w:footnote w:id="43">
    <w:p w14:paraId="35EE72C6" w14:textId="4F474A17" w:rsidR="00015951" w:rsidRDefault="00015951">
      <w:pPr>
        <w:pStyle w:val="Fotnotetekst"/>
      </w:pPr>
      <w:r w:rsidRPr="00015951">
        <w:rPr>
          <w:rStyle w:val="Fotnotereferanse"/>
        </w:rPr>
        <w:footnoteRef/>
      </w:r>
      <w:r>
        <w:tab/>
      </w:r>
      <w:hyperlink r:id="rId39" w:history="1">
        <w:r>
          <w:rPr>
            <w:rStyle w:val="Hyperkobling"/>
          </w:rPr>
          <w:t>https://www.regjeringen.no/no/aktuelt/green-mountain-vert-underlagt-sikkerheitslova-og-far-etablere-datasenter-i-innlandet/id2989926/</w:t>
        </w:r>
      </w:hyperlink>
    </w:p>
  </w:footnote>
  <w:footnote w:id="44">
    <w:p w14:paraId="552149B4" w14:textId="4DE17149" w:rsidR="00015951" w:rsidRDefault="00015951">
      <w:pPr>
        <w:pStyle w:val="Fotnotetekst"/>
      </w:pPr>
      <w:r w:rsidRPr="00015951">
        <w:rPr>
          <w:rStyle w:val="Fotnotereferanse"/>
        </w:rPr>
        <w:footnoteRef/>
      </w:r>
      <w:r>
        <w:tab/>
        <w:t>Selskaper som er av avgjørende betydning for utbygging, drift og vedlikehold av infrastrukturen</w:t>
      </w:r>
    </w:p>
  </w:footnote>
  <w:footnote w:id="45">
    <w:p w14:paraId="6E3B2F66" w14:textId="4117C4D6" w:rsidR="00015951" w:rsidRDefault="00015951">
      <w:pPr>
        <w:pStyle w:val="Fotnotetekst"/>
      </w:pPr>
      <w:r w:rsidRPr="00015951">
        <w:rPr>
          <w:rStyle w:val="Fotnotereferanse"/>
        </w:rPr>
        <w:footnoteRef/>
      </w:r>
      <w:r>
        <w:tab/>
        <w:t xml:space="preserve">Jf. sikkerhetsloven </w:t>
      </w:r>
      <w:r>
        <w:t>§ </w:t>
      </w:r>
      <w:r>
        <w:t>1-5, nr. 2</w:t>
      </w:r>
    </w:p>
  </w:footnote>
  <w:footnote w:id="46">
    <w:p w14:paraId="4B64DFBD" w14:textId="567188E2" w:rsidR="00015951" w:rsidRDefault="00015951">
      <w:pPr>
        <w:pStyle w:val="Fotnotetekst"/>
      </w:pPr>
      <w:r w:rsidRPr="00015951">
        <w:rPr>
          <w:rStyle w:val="Fotnotereferanse"/>
        </w:rPr>
        <w:footnoteRef/>
      </w:r>
      <w:r>
        <w:tab/>
        <w:t>Eksempelvis kritikaliteten av at befolkningen har mulighet for å kunne kommunisere under en krise</w:t>
      </w:r>
    </w:p>
  </w:footnote>
  <w:footnote w:id="47">
    <w:p w14:paraId="5B3F8E36" w14:textId="472C2F74" w:rsidR="00015951" w:rsidRDefault="00015951">
      <w:pPr>
        <w:pStyle w:val="Fotnotetekst"/>
      </w:pPr>
      <w:r w:rsidRPr="00015951">
        <w:rPr>
          <w:rStyle w:val="Fotnotereferanse"/>
        </w:rPr>
        <w:footnoteRef/>
      </w:r>
      <w:r>
        <w:tab/>
      </w:r>
      <w:hyperlink r:id="rId40" w:history="1">
        <w:r>
          <w:rPr>
            <w:rStyle w:val="Hyperkobling"/>
          </w:rPr>
          <w:t>https://www.dsb.no/globalassets/dokumenter/rapporter/kiks-2_januar.pdf</w:t>
        </w:r>
      </w:hyperlink>
    </w:p>
  </w:footnote>
  <w:footnote w:id="48">
    <w:p w14:paraId="1FCDA590" w14:textId="6F0555A2" w:rsidR="00015951" w:rsidRDefault="00015951">
      <w:pPr>
        <w:pStyle w:val="Fotnotetekst"/>
      </w:pPr>
      <w:r w:rsidRPr="00015951">
        <w:rPr>
          <w:rStyle w:val="Fotnotereferanse"/>
        </w:rPr>
        <w:footnoteRef/>
      </w:r>
      <w:r>
        <w:tab/>
        <w:t>Satellittbasert kommunikasjon er en av flere satellittbaserte tjenester</w:t>
      </w:r>
    </w:p>
  </w:footnote>
  <w:footnote w:id="49">
    <w:p w14:paraId="22686663" w14:textId="10B07B28" w:rsidR="00015951" w:rsidRDefault="00015951">
      <w:pPr>
        <w:pStyle w:val="Fotnotetekst"/>
      </w:pPr>
      <w:r w:rsidRPr="00015951">
        <w:rPr>
          <w:rStyle w:val="Fotnotereferanse"/>
        </w:rPr>
        <w:footnoteRef/>
      </w:r>
      <w:r>
        <w:tab/>
        <w:t>DNS og NRDB forklares i kapittel 5.3.</w:t>
      </w:r>
    </w:p>
  </w:footnote>
  <w:footnote w:id="50">
    <w:p w14:paraId="1EBE1E39" w14:textId="1D5CBCDD" w:rsidR="00015951" w:rsidRDefault="00015951">
      <w:pPr>
        <w:pStyle w:val="Fotnotetekst"/>
      </w:pPr>
      <w:r w:rsidRPr="00015951">
        <w:rPr>
          <w:rStyle w:val="Fotnotereferanse"/>
        </w:rPr>
        <w:footnoteRef/>
      </w:r>
      <w:r>
        <w:tab/>
        <w:t>Norsk helsenett, Sikt, Nødnett, Avinor, Bane NOR, Statnett, Cyberforsvaret</w:t>
      </w:r>
    </w:p>
  </w:footnote>
  <w:footnote w:id="51">
    <w:p w14:paraId="29D1D325" w14:textId="387E5F1A" w:rsidR="00015951" w:rsidRDefault="00015951">
      <w:pPr>
        <w:pStyle w:val="Fotnotetekst"/>
      </w:pPr>
      <w:r w:rsidRPr="00015951">
        <w:rPr>
          <w:rStyle w:val="Fotnotereferanse"/>
        </w:rPr>
        <w:footnoteRef/>
      </w:r>
      <w:r>
        <w:tab/>
        <w:t xml:space="preserve">Jf. sikkerhetsloven </w:t>
      </w:r>
      <w:r>
        <w:t>§ </w:t>
      </w:r>
      <w:r>
        <w:t>1-3 første ledd</w:t>
      </w:r>
    </w:p>
  </w:footnote>
  <w:footnote w:id="52">
    <w:p w14:paraId="2F3BD85C" w14:textId="25ACAE6B" w:rsidR="00015951" w:rsidRDefault="00015951">
      <w:pPr>
        <w:pStyle w:val="Fotnotetekst"/>
      </w:pPr>
      <w:r w:rsidRPr="00015951">
        <w:rPr>
          <w:rStyle w:val="Fotnotereferanse"/>
        </w:rPr>
        <w:footnoteRef/>
      </w:r>
      <w:r>
        <w:tab/>
        <w:t xml:space="preserve">Jf. sikkerhetsloven </w:t>
      </w:r>
      <w:r>
        <w:t>§ </w:t>
      </w:r>
      <w:r>
        <w:t>2-1 første ledd, bokstav b</w:t>
      </w:r>
    </w:p>
  </w:footnote>
  <w:footnote w:id="53">
    <w:p w14:paraId="66482670" w14:textId="2EA0B280" w:rsidR="00015951" w:rsidRDefault="00015951">
      <w:pPr>
        <w:pStyle w:val="Fotnotetekst"/>
      </w:pPr>
      <w:r w:rsidRPr="00015951">
        <w:rPr>
          <w:rStyle w:val="Fotnotereferanse"/>
        </w:rPr>
        <w:footnoteRef/>
      </w:r>
      <w:r>
        <w:tab/>
        <w:t>Unntatt mobilnett offshore</w:t>
      </w:r>
    </w:p>
  </w:footnote>
  <w:footnote w:id="54">
    <w:p w14:paraId="023DC2A9" w14:textId="70BB9A2C" w:rsidR="00015951" w:rsidRDefault="00015951">
      <w:pPr>
        <w:pStyle w:val="Fotnotetekst"/>
      </w:pPr>
      <w:r w:rsidRPr="00015951">
        <w:rPr>
          <w:rStyle w:val="Fotnotereferanse"/>
        </w:rPr>
        <w:footnoteRef/>
      </w:r>
      <w:r>
        <w:tab/>
        <w:t>Eier merkevaren ice</w:t>
      </w:r>
    </w:p>
  </w:footnote>
  <w:footnote w:id="55">
    <w:p w14:paraId="77033316" w14:textId="4849AA1F" w:rsidR="00015951" w:rsidRDefault="00015951">
      <w:pPr>
        <w:pStyle w:val="Fotnotetekst"/>
      </w:pPr>
      <w:r w:rsidRPr="00015951">
        <w:rPr>
          <w:rStyle w:val="Fotnotereferanse"/>
        </w:rPr>
        <w:footnoteRef/>
      </w:r>
      <w:r>
        <w:tab/>
        <w:t>Fra Fastland-Norge og på norsk sokkel</w:t>
      </w:r>
    </w:p>
  </w:footnote>
  <w:footnote w:id="56">
    <w:p w14:paraId="2917815F" w14:textId="03CF7B60" w:rsidR="00015951" w:rsidRDefault="00015951">
      <w:pPr>
        <w:pStyle w:val="Fotnotetekst"/>
      </w:pPr>
      <w:r w:rsidRPr="00015951">
        <w:rPr>
          <w:rStyle w:val="Fotnotereferanse"/>
        </w:rPr>
        <w:footnoteRef/>
      </w:r>
      <w:r w:rsidRPr="00015951">
        <w:rPr>
          <w:lang w:val="nn-NO"/>
        </w:rPr>
        <w:tab/>
      </w:r>
      <w:r w:rsidRPr="00015951">
        <w:rPr>
          <w:lang w:val="nn-NO"/>
        </w:rPr>
        <w:t>§ </w:t>
      </w:r>
      <w:r w:rsidRPr="00015951">
        <w:rPr>
          <w:lang w:val="nn-NO"/>
        </w:rPr>
        <w:t xml:space="preserve">1-5 nr. 37 i ny ekomlov, jf. </w:t>
      </w:r>
      <w:r>
        <w:t xml:space="preserve">Prop. </w:t>
      </w:r>
      <w:r>
        <w:t>93</w:t>
      </w:r>
      <w:r>
        <w:t xml:space="preserve"> </w:t>
      </w:r>
      <w:r>
        <w:t>LS (2023–2024)</w:t>
      </w:r>
    </w:p>
  </w:footnote>
  <w:footnote w:id="57">
    <w:p w14:paraId="5FF49E52" w14:textId="0D28D0C7" w:rsidR="00015951" w:rsidRDefault="00015951">
      <w:pPr>
        <w:pStyle w:val="Fotnotetekst"/>
      </w:pPr>
      <w:r w:rsidRPr="00015951">
        <w:rPr>
          <w:rStyle w:val="Fotnotereferanse"/>
        </w:rPr>
        <w:footnoteRef/>
      </w:r>
      <w:r>
        <w:tab/>
        <w:t>.no, .sj og .bv. Det er kun .no-domenet som er åpent for bruk.</w:t>
      </w:r>
    </w:p>
  </w:footnote>
  <w:footnote w:id="58">
    <w:p w14:paraId="5BFE75BE" w14:textId="14EAE55B" w:rsidR="00015951" w:rsidRDefault="00015951">
      <w:pPr>
        <w:pStyle w:val="Fotnotetekst"/>
      </w:pPr>
      <w:r w:rsidRPr="00015951">
        <w:rPr>
          <w:rStyle w:val="Fotnotereferanse"/>
        </w:rPr>
        <w:footnoteRef/>
      </w:r>
      <w:r>
        <w:tab/>
        <w:t xml:space="preserve">Direktiv (EU) 2022/2557 om kritiske enheters motstandsdyktighet (CER-direktivet) </w:t>
      </w:r>
    </w:p>
  </w:footnote>
  <w:footnote w:id="59">
    <w:p w14:paraId="5A75912E" w14:textId="3F2B5EC0" w:rsidR="00015951" w:rsidRDefault="00015951">
      <w:pPr>
        <w:pStyle w:val="Fotnotetekst"/>
      </w:pPr>
      <w:r w:rsidRPr="00015951">
        <w:rPr>
          <w:rStyle w:val="Fotnotereferanse"/>
        </w:rPr>
        <w:footnoteRef/>
      </w:r>
      <w:r>
        <w:tab/>
        <w:t>Direktiv (EU) 2022/2555 om tiltak for å sikre et høyt felles nivå for sikkerhet i nettverks- og informasjonssystemer</w:t>
      </w:r>
    </w:p>
  </w:footnote>
  <w:footnote w:id="60">
    <w:p w14:paraId="784BE8CC" w14:textId="49E9AF70" w:rsidR="00015951" w:rsidRDefault="00015951">
      <w:pPr>
        <w:pStyle w:val="Fotnotetekst"/>
      </w:pPr>
      <w:r w:rsidRPr="00015951">
        <w:rPr>
          <w:rStyle w:val="Fotnotereferanse"/>
        </w:rPr>
        <w:footnoteRef/>
      </w:r>
      <w:r>
        <w:tab/>
        <w:t>Personlig eierskap omfatter både familieeide bedrifter der flere fra familien eier sammen, enkeltpersoners bedrifter og bedrifter med flere private eiere som ikke er i slekt.</w:t>
      </w:r>
    </w:p>
  </w:footnote>
  <w:footnote w:id="61">
    <w:p w14:paraId="7F81B44B" w14:textId="58EC9BB3" w:rsidR="00015951" w:rsidRDefault="00015951">
      <w:pPr>
        <w:pStyle w:val="Fotnotetekst"/>
      </w:pPr>
      <w:r w:rsidRPr="00015951">
        <w:rPr>
          <w:rStyle w:val="Fotnotereferanse"/>
        </w:rPr>
        <w:footnoteRef/>
      </w:r>
      <w:r>
        <w:tab/>
        <w:t>Beregningen av utenlandsk eierskap basert på omsetning er utført av Menon med utgangspunkt i datasettet som ligger til grunn for rapporten Privat eierskap i Norge i 2021. Beregningen var opprinnelig ikke inntatt i Menon Economics (2024).</w:t>
      </w:r>
    </w:p>
  </w:footnote>
  <w:footnote w:id="62">
    <w:p w14:paraId="7AF6158A" w14:textId="3024F34A" w:rsidR="00015951" w:rsidRDefault="00015951">
      <w:pPr>
        <w:pStyle w:val="Fotnotetekst"/>
      </w:pPr>
      <w:r w:rsidRPr="00015951">
        <w:rPr>
          <w:rStyle w:val="Fotnotereferanse"/>
        </w:rPr>
        <w:footnoteRef/>
      </w:r>
      <w:r>
        <w:tab/>
        <w:t>Menon Economics (2024). Privat eierskap i Norge 2021.</w:t>
      </w:r>
    </w:p>
  </w:footnote>
  <w:footnote w:id="63">
    <w:p w14:paraId="0E7EB7FC" w14:textId="73A11F05" w:rsidR="00015951" w:rsidRDefault="00015951">
      <w:pPr>
        <w:pStyle w:val="Fotnotetekst"/>
      </w:pPr>
      <w:r w:rsidRPr="00015951">
        <w:rPr>
          <w:rStyle w:val="Fotnotereferanse"/>
        </w:rPr>
        <w:footnoteRef/>
      </w:r>
      <w:r>
        <w:tab/>
        <w:t>Omtalen her baseres på figur 4-11 og 4-12 i Menon (2024).</w:t>
      </w:r>
    </w:p>
  </w:footnote>
  <w:footnote w:id="64">
    <w:p w14:paraId="3EE99C52" w14:textId="4B76C9BE" w:rsidR="00015951" w:rsidRPr="005342B1" w:rsidRDefault="00015951">
      <w:pPr>
        <w:pStyle w:val="Fotnotetekst"/>
      </w:pPr>
      <w:r w:rsidRPr="00015951">
        <w:rPr>
          <w:rStyle w:val="Fotnotereferanse"/>
        </w:rPr>
        <w:footnoteRef/>
      </w:r>
      <w:r w:rsidRPr="005342B1">
        <w:tab/>
        <w:t xml:space="preserve">Norges Bank Memo 1/2023 </w:t>
      </w:r>
      <w:hyperlink r:id="rId41" w:history="1">
        <w:r w:rsidRPr="005342B1">
          <w:rPr>
            <w:rStyle w:val="Hyperkobling"/>
          </w:rPr>
          <w:t>https://www.norges-bank.no/aktuelt/nyheter-og-hendelser/Publikasjoner/Norges-Bank-Memo-/2023/memo-12023-betalingsformidling/nettrapport-memo-12023-betalingsformidling/</w:t>
        </w:r>
      </w:hyperlink>
    </w:p>
  </w:footnote>
  <w:footnote w:id="65">
    <w:p w14:paraId="1CD0F857" w14:textId="6249A3D1" w:rsidR="00015951" w:rsidRDefault="00015951">
      <w:pPr>
        <w:pStyle w:val="Fotnotetekst"/>
      </w:pPr>
      <w:r w:rsidRPr="00015951">
        <w:rPr>
          <w:rStyle w:val="Fotnotereferanse"/>
        </w:rPr>
        <w:footnoteRef/>
      </w:r>
      <w:r>
        <w:tab/>
        <w:t xml:space="preserve">Helsedirektoratet – </w:t>
      </w:r>
      <w:hyperlink r:id="rId42" w:history="1">
        <w:r>
          <w:rPr>
            <w:rStyle w:val="Hyperkobling"/>
          </w:rPr>
          <w:t>https://www.ehelse.no/velferdsteknologi-og-digital-hjemmeoppfolging</w:t>
        </w:r>
      </w:hyperlink>
    </w:p>
  </w:footnote>
  <w:footnote w:id="66">
    <w:p w14:paraId="77ABDEDF" w14:textId="758DF139" w:rsidR="00015951" w:rsidRDefault="00015951">
      <w:pPr>
        <w:pStyle w:val="Fotnotetekst"/>
      </w:pPr>
      <w:r w:rsidRPr="00015951">
        <w:rPr>
          <w:rStyle w:val="Fotnotereferanse"/>
        </w:rPr>
        <w:footnoteRef/>
      </w:r>
      <w:r>
        <w:tab/>
        <w:t xml:space="preserve">NOU 2023: 4 </w:t>
      </w:r>
      <w:r w:rsidRPr="00015951">
        <w:rPr>
          <w:rStyle w:val="kursiv"/>
        </w:rPr>
        <w:t>Tid for handling – Personellet i en bærekraftig helse- og omsorgstjeneste</w:t>
      </w:r>
      <w:r>
        <w:t xml:space="preserve">, </w:t>
      </w:r>
      <w:hyperlink r:id="rId43" w:history="1">
        <w:r>
          <w:rPr>
            <w:rStyle w:val="Hyperkobling"/>
          </w:rPr>
          <w:t>https://www.regjeringen.no/contentassets/337fef958f2148bebd326f0749a1213d/no/pdfs/nou202320230004000dddpdfs.pdf</w:t>
        </w:r>
      </w:hyperlink>
    </w:p>
  </w:footnote>
  <w:footnote w:id="67">
    <w:p w14:paraId="7F9FEC01" w14:textId="0E6C3F31" w:rsidR="00015951" w:rsidRDefault="00015951">
      <w:pPr>
        <w:pStyle w:val="Fotnotetekst"/>
      </w:pPr>
      <w:r w:rsidRPr="00015951">
        <w:rPr>
          <w:rStyle w:val="Fotnotereferanse"/>
        </w:rPr>
        <w:footnoteRef/>
      </w:r>
      <w:r>
        <w:tab/>
      </w:r>
      <w:hyperlink r:id="rId44" w:history="1">
        <w:r>
          <w:rPr>
            <w:rStyle w:val="Hyperkobling"/>
          </w:rPr>
          <w:t>https://www.oecd.org/en/publications/shaping-norway-s-digital-future_d3af799c-en/full-report.html</w:t>
        </w:r>
      </w:hyperlink>
    </w:p>
  </w:footnote>
  <w:footnote w:id="68">
    <w:p w14:paraId="192B1F8D" w14:textId="2C12300F" w:rsidR="00015951" w:rsidRDefault="00015951">
      <w:pPr>
        <w:pStyle w:val="Fotnotetekst"/>
      </w:pPr>
      <w:r w:rsidRPr="00015951">
        <w:rPr>
          <w:rStyle w:val="Fotnotereferanse"/>
        </w:rPr>
        <w:footnoteRef/>
      </w:r>
      <w:r>
        <w:tab/>
      </w:r>
      <w:hyperlink r:id="rId45" w:history="1">
        <w:r>
          <w:rPr>
            <w:rStyle w:val="Hyperkobling"/>
          </w:rPr>
          <w:t>https://www.berec.europa.eu/en/document-categories/berec/reports/berec-report-on-the-impact-of-artificial-intelligence-ai-solutions-in-the-telecommunications-sector-on-regulation</w:t>
        </w:r>
      </w:hyperlink>
    </w:p>
  </w:footnote>
  <w:footnote w:id="69">
    <w:p w14:paraId="444BD3AC" w14:textId="6753854F" w:rsidR="00015951" w:rsidRDefault="00015951">
      <w:pPr>
        <w:pStyle w:val="Fotnotetekst"/>
      </w:pPr>
      <w:r w:rsidRPr="00015951">
        <w:rPr>
          <w:rStyle w:val="Fotnotereferanse"/>
        </w:rPr>
        <w:footnoteRef/>
      </w:r>
      <w:r>
        <w:tab/>
      </w:r>
      <w:hyperlink r:id="rId46" w:history="1">
        <w:r>
          <w:rPr>
            <w:rStyle w:val="Hyperkobling"/>
          </w:rPr>
          <w:t>https://www.berec.europa.eu/en/all-documents/berec/reports/berec-report-on-cloud-and-edge-computing-services</w:t>
        </w:r>
      </w:hyperlink>
    </w:p>
  </w:footnote>
  <w:footnote w:id="70">
    <w:p w14:paraId="3D682A82" w14:textId="3359E7CA" w:rsidR="00015951" w:rsidRPr="00015951" w:rsidRDefault="00015951">
      <w:pPr>
        <w:pStyle w:val="Fotnotetekst"/>
        <w:rPr>
          <w:rStyle w:val="kursiv"/>
          <w:lang w:val="en-US"/>
        </w:rPr>
      </w:pPr>
      <w:r w:rsidRPr="00015951">
        <w:rPr>
          <w:rStyle w:val="Fotnotereferanse"/>
        </w:rPr>
        <w:footnoteRef/>
      </w:r>
      <w:r w:rsidRPr="005342B1">
        <w:rPr>
          <w:lang w:val="en-US"/>
        </w:rPr>
        <w:tab/>
        <w:t xml:space="preserve">Se for eksempel Europakommisjonens Hvitbok </w:t>
      </w:r>
      <w:r w:rsidRPr="00015951">
        <w:rPr>
          <w:rStyle w:val="kursiv"/>
          <w:lang w:val="en-US"/>
        </w:rPr>
        <w:t>How to master Europe</w:t>
      </w:r>
      <w:r w:rsidRPr="00015951">
        <w:rPr>
          <w:rStyle w:val="kursiv"/>
          <w:lang w:val="en-US"/>
        </w:rPr>
        <w:t>’</w:t>
      </w:r>
      <w:r w:rsidRPr="00015951">
        <w:rPr>
          <w:rStyle w:val="kursiv"/>
          <w:lang w:val="en-US"/>
        </w:rPr>
        <w:t xml:space="preserve">s digital infrastructure needs?, </w:t>
      </w:r>
      <w:r w:rsidRPr="005342B1">
        <w:rPr>
          <w:lang w:val="en-US"/>
        </w:rPr>
        <w:t xml:space="preserve">Enrico Lettas rapport </w:t>
      </w:r>
      <w:r w:rsidRPr="00015951">
        <w:rPr>
          <w:rStyle w:val="kursiv"/>
          <w:lang w:val="en-US"/>
        </w:rPr>
        <w:t>Much more than a market (2024)</w:t>
      </w:r>
      <w:r w:rsidRPr="005342B1">
        <w:rPr>
          <w:lang w:val="en-US"/>
        </w:rPr>
        <w:t xml:space="preserve">, og Mario Draghis rapport </w:t>
      </w:r>
      <w:r w:rsidRPr="00015951">
        <w:rPr>
          <w:rStyle w:val="kursiv"/>
          <w:lang w:val="en-US"/>
        </w:rPr>
        <w:t>The future of European competitiveness</w:t>
      </w:r>
      <w:r w:rsidRPr="005342B1">
        <w:rPr>
          <w:lang w:val="en-US"/>
        </w:rPr>
        <w:t xml:space="preserve"> (2024)</w:t>
      </w:r>
    </w:p>
  </w:footnote>
  <w:footnote w:id="71">
    <w:p w14:paraId="2C485D88" w14:textId="08C4EA1D" w:rsidR="00015951" w:rsidRDefault="00015951">
      <w:pPr>
        <w:pStyle w:val="Fotnotetekst"/>
      </w:pPr>
      <w:r w:rsidRPr="00015951">
        <w:rPr>
          <w:rStyle w:val="Fotnotereferanse"/>
        </w:rPr>
        <w:footnoteRef/>
      </w:r>
      <w:r>
        <w:tab/>
        <w:t>Team Telecom er en samling av byråer (Department of Justice, Defence med ansvar for ulike deler av nasjonal sikkerhet og som gir råd til den føderale kommunikasjonskommisjonen (FCC) om mulige sikkerhetsrisikoer ved utgivelse av lisenser for å delta i det amerikanske ekommarkedet.</w:t>
      </w:r>
    </w:p>
  </w:footnote>
  <w:footnote w:id="72">
    <w:p w14:paraId="11586022" w14:textId="596F88B3" w:rsidR="00015951" w:rsidRDefault="00015951">
      <w:pPr>
        <w:pStyle w:val="Fotnotetekst"/>
      </w:pPr>
      <w:r w:rsidRPr="00015951">
        <w:rPr>
          <w:rStyle w:val="Fotnotereferanse"/>
        </w:rPr>
        <w:footnoteRef/>
      </w:r>
      <w:r>
        <w:tab/>
        <w:t>Norskregistrert utenlandsk foretak</w:t>
      </w:r>
    </w:p>
  </w:footnote>
  <w:footnote w:id="73">
    <w:p w14:paraId="7980C147" w14:textId="1977F340" w:rsidR="00015951" w:rsidRDefault="00015951">
      <w:pPr>
        <w:pStyle w:val="Fotnotetekst"/>
      </w:pPr>
      <w:r w:rsidRPr="00015951">
        <w:rPr>
          <w:rStyle w:val="Fotnotereferanse"/>
        </w:rPr>
        <w:footnoteRef/>
      </w:r>
      <w:r>
        <w:tab/>
        <w:t>Allmennaksjeselskap en selskapsform for store norske selskaper med mange aksjonærer og med aksjekapital på minimum 1 million kroner som er regulert i allmennaksjeloven. Hovedforskjellene mellom et ASA og et AS er at det er færre begrensninger i kjøp og salg av aksjene i et ASA, og at det derfor kan børsnoteres og aksjene kan omsettes fritt.</w:t>
      </w:r>
    </w:p>
  </w:footnote>
  <w:footnote w:id="74">
    <w:p w14:paraId="614116C8" w14:textId="79D903CE" w:rsidR="00015951" w:rsidRDefault="00015951">
      <w:pPr>
        <w:pStyle w:val="Fotnotetekst"/>
      </w:pPr>
      <w:r w:rsidRPr="00015951">
        <w:rPr>
          <w:rStyle w:val="Fotnotereferanse"/>
        </w:rPr>
        <w:footnoteRef/>
      </w:r>
      <w:r>
        <w:tab/>
        <w:t>Har man mer enn 1/3 flertall av aksjene har man såkalt negativt flertall. Det innebærer at man kan blokkere vedtektsendringer, fusjoner, fisjoner, kapitalforhøyelser og kapitalnedsettelser. Se nærmere i avsnitt 8.2.3.</w:t>
      </w:r>
    </w:p>
  </w:footnote>
  <w:footnote w:id="75">
    <w:p w14:paraId="40507B8E" w14:textId="579118D5" w:rsidR="00015951" w:rsidRDefault="00015951">
      <w:pPr>
        <w:pStyle w:val="Fotnotetekst"/>
      </w:pPr>
      <w:r w:rsidRPr="00015951">
        <w:rPr>
          <w:rStyle w:val="Fotnotereferanse"/>
        </w:rPr>
        <w:footnoteRef/>
      </w:r>
      <w:r>
        <w:tab/>
        <w:t xml:space="preserve">Alle AS og ASA skal ha bedriftsforsamling dersom selskapet har mer enn 200 ansatte (asl. og asal. </w:t>
      </w:r>
      <w:r>
        <w:t>§ </w:t>
      </w:r>
      <w:r>
        <w:t>6-35). Den skal bestå av minst 12 medlemmer, der 2/3 velges av generalforsamlingen, mens 1/3 velges av og blant de ansatte.</w:t>
      </w:r>
    </w:p>
  </w:footnote>
  <w:footnote w:id="76">
    <w:p w14:paraId="064EDB5A" w14:textId="3DB176B7" w:rsidR="00015951" w:rsidRDefault="00015951">
      <w:pPr>
        <w:pStyle w:val="Fotnotetekst"/>
      </w:pPr>
      <w:r w:rsidRPr="00015951">
        <w:rPr>
          <w:rStyle w:val="Fotnotereferanse"/>
        </w:rPr>
        <w:footnoteRef/>
      </w:r>
      <w:r>
        <w:tab/>
        <w:t>Rettssubjekt som ikke er en fysisk person, men for eksempel et selskap</w:t>
      </w:r>
    </w:p>
  </w:footnote>
  <w:footnote w:id="77">
    <w:p w14:paraId="3E73891C" w14:textId="4D2B53E5" w:rsidR="00015951" w:rsidRDefault="00015951">
      <w:pPr>
        <w:pStyle w:val="Fotnotetekst"/>
      </w:pPr>
      <w:r w:rsidRPr="00015951">
        <w:rPr>
          <w:rStyle w:val="Fotnotereferanse"/>
        </w:rPr>
        <w:footnoteRef/>
      </w:r>
      <w:r>
        <w:tab/>
        <w:t xml:space="preserve">Kartlegging av offentlige myndigheters mulige bruk av opplysninger om eierskap til aksjer og fast eiendom </w:t>
      </w:r>
      <w:hyperlink r:id="rId47" w:history="1">
        <w:r>
          <w:rPr>
            <w:rStyle w:val="Hyperkobling"/>
          </w:rPr>
          <w:t>https://www.regjeringen.no/globalassets/departementene/fin/2024/kartlegging-eierskapsopplysninger-v-1.0.pdf</w:t>
        </w:r>
      </w:hyperlink>
    </w:p>
  </w:footnote>
  <w:footnote w:id="78">
    <w:p w14:paraId="0467630C" w14:textId="2AF312C6" w:rsidR="00015951" w:rsidRDefault="00015951">
      <w:pPr>
        <w:pStyle w:val="Fotnotetekst"/>
      </w:pPr>
      <w:r w:rsidRPr="00015951">
        <w:rPr>
          <w:rStyle w:val="Fotnotereferanse"/>
        </w:rPr>
        <w:footnoteRef/>
      </w:r>
      <w:r>
        <w:tab/>
        <w:t xml:space="preserve">Lov om register over reelle rettighetshavere </w:t>
      </w:r>
      <w:r>
        <w:t>§ </w:t>
      </w:r>
      <w:r>
        <w:t xml:space="preserve">3, jf. </w:t>
      </w:r>
      <w:r>
        <w:t>§ </w:t>
      </w:r>
      <w:r>
        <w:t xml:space="preserve">2. Unntak fra registreringsplikten følger av forskrift til lov om register over reelle rettighetshavere </w:t>
      </w:r>
      <w:r>
        <w:t>§ </w:t>
      </w:r>
      <w:r>
        <w:t>1-2.</w:t>
      </w:r>
    </w:p>
  </w:footnote>
  <w:footnote w:id="79">
    <w:p w14:paraId="77FCF62A" w14:textId="51655801" w:rsidR="00015951" w:rsidRDefault="00015951">
      <w:pPr>
        <w:pStyle w:val="Fotnotetekst"/>
      </w:pPr>
      <w:r w:rsidRPr="00015951">
        <w:rPr>
          <w:rStyle w:val="Fotnotereferanse"/>
        </w:rPr>
        <w:footnoteRef/>
      </w:r>
      <w:r>
        <w:tab/>
      </w:r>
      <w:hyperlink r:id="rId48" w:history="1">
        <w:r>
          <w:rPr>
            <w:rStyle w:val="Hyperkobling"/>
          </w:rPr>
          <w:t>https://www.brreg.no/reelle-rettighetshavere/</w:t>
        </w:r>
      </w:hyperlink>
    </w:p>
  </w:footnote>
  <w:footnote w:id="80">
    <w:p w14:paraId="04B89FBF" w14:textId="51C7FB29" w:rsidR="00015951" w:rsidRDefault="00015951">
      <w:pPr>
        <w:pStyle w:val="Fotnotetekst"/>
      </w:pPr>
      <w:r w:rsidRPr="00015951">
        <w:rPr>
          <w:rStyle w:val="Fotnotereferanse"/>
        </w:rPr>
        <w:footnoteRef/>
      </w:r>
      <w:r>
        <w:tab/>
        <w:t>Eierne kan alle være profittmaksimerende, men de kan ha forskjellige perspektiver. For eksempel, noen kan ha et kortsiktig perspektiv, mens andre er langsiktige eiere. Noen kan også eie relatert virksomhet og oppnå indirekte gevinster fra selskapet derigjennom og derfor ha andre interesser enn dem som kun er aksjonærer i selskapet.</w:t>
      </w:r>
    </w:p>
  </w:footnote>
  <w:footnote w:id="81">
    <w:p w14:paraId="4814CFFC" w14:textId="6BFD0629" w:rsidR="00015951" w:rsidRDefault="00015951">
      <w:pPr>
        <w:pStyle w:val="Fotnotetekst"/>
      </w:pPr>
      <w:r w:rsidRPr="00015951">
        <w:rPr>
          <w:rStyle w:val="Fotnotereferanse"/>
        </w:rPr>
        <w:footnoteRef/>
      </w:r>
      <w:r>
        <w:tab/>
        <w:t>Dette behøver ikke alltid være tilfelle. Stiftelser vil eksempelvis ofte ha andre formål. Eiere av aksjeselskaper kan også ha andre formål som det kan være vanskelig å avdekke, noe som kan være utfordrende når de får kontroll gjennom høy eierandel (derav aksjelovens beskyttelse av minoritetsaksjonærer nevnt tidligere). Uansett må selskapet over tid oppnå tilstrekkelig lønnsomhet til å kunne dekke sine kostnader eller få tilført ny kapital for ikke å gå konkurs.</w:t>
      </w:r>
    </w:p>
  </w:footnote>
  <w:footnote w:id="82">
    <w:p w14:paraId="446E782D" w14:textId="58B76055" w:rsidR="00015951" w:rsidRDefault="00015951">
      <w:pPr>
        <w:pStyle w:val="Fotnotetekst"/>
      </w:pPr>
      <w:r w:rsidRPr="00015951">
        <w:rPr>
          <w:rStyle w:val="Fotnotereferanse"/>
        </w:rPr>
        <w:footnoteRef/>
      </w:r>
      <w:r>
        <w:tab/>
        <w:t>Det betyr også at de kan handle på eget initiativ, ikke på vegne av instrukser fra sin statsledelse.</w:t>
      </w:r>
    </w:p>
  </w:footnote>
  <w:footnote w:id="83">
    <w:p w14:paraId="71968BAF" w14:textId="2B9520AE" w:rsidR="00015951" w:rsidRDefault="00015951">
      <w:pPr>
        <w:pStyle w:val="Fotnotetekst"/>
      </w:pPr>
      <w:r w:rsidRPr="00015951">
        <w:rPr>
          <w:rStyle w:val="Fotnotereferanse"/>
        </w:rPr>
        <w:footnoteRef/>
      </w:r>
      <w:r>
        <w:tab/>
        <w:t>De fleste formene for fordelaktig behandling er nevnt i Cai og Li (2019), men da i forhold til offentlige eide selskaper.</w:t>
      </w:r>
    </w:p>
  </w:footnote>
  <w:footnote w:id="84">
    <w:p w14:paraId="7406920A" w14:textId="0096E80C" w:rsidR="00015951" w:rsidRDefault="00015951">
      <w:pPr>
        <w:pStyle w:val="Fotnotetekst"/>
      </w:pPr>
      <w:r w:rsidRPr="00015951">
        <w:rPr>
          <w:rStyle w:val="Fotnotereferanse"/>
        </w:rPr>
        <w:footnoteRef/>
      </w:r>
      <w:r>
        <w:tab/>
        <w:t xml:space="preserve">Når salget av Bergen Engines AS ble stanset, var noen av begrunnelsene i forslaget til vedtak faren for ulovlige handlinger som omgåelse av eksportregelverk samt etterretning og sabotasje. (Kongelig resolusjon, ref. nr. 47, saksnr.: 21/1898, av 26. mars 2021 </w:t>
      </w:r>
      <w:hyperlink r:id="rId49" w:history="1">
        <w:r>
          <w:rPr>
            <w:rStyle w:val="Hyperkobling"/>
          </w:rPr>
          <w:t>https://www.regjeringen.no/contentassets/e775dc91a33e4713a090da7398e6f3f5/endelig-godkjent-kgl.res.-stans-av-salget-av-bergen-engines-as.pdf</w:t>
        </w:r>
      </w:hyperlink>
      <w:r>
        <w:t xml:space="preserve"> )</w:t>
      </w:r>
    </w:p>
  </w:footnote>
  <w:footnote w:id="85">
    <w:p w14:paraId="668C71CD" w14:textId="0759CCF3" w:rsidR="00015951" w:rsidRDefault="00015951">
      <w:pPr>
        <w:pStyle w:val="Fotnotetekst"/>
      </w:pPr>
      <w:r w:rsidRPr="00015951">
        <w:rPr>
          <w:rStyle w:val="Fotnotereferanse"/>
        </w:rPr>
        <w:footnoteRef/>
      </w:r>
      <w:r>
        <w:tab/>
        <w:t>Selv om vi legger til grunn at private eiere søker å opptre rasjonelt og profittmaksimerende, åpner vi for at de kan være ubevisst påvirket av oppfatninger som gir skjevheter i deres beslutninger (</w:t>
      </w:r>
      <w:r>
        <w:t>«</w:t>
      </w:r>
      <w:r>
        <w:t>bias</w:t>
      </w:r>
      <w:r>
        <w:t>»</w:t>
      </w:r>
      <w:r>
        <w:t>).</w:t>
      </w:r>
    </w:p>
  </w:footnote>
  <w:footnote w:id="86">
    <w:p w14:paraId="4C9E27B1" w14:textId="56D6E6CC" w:rsidR="00015951" w:rsidRDefault="00015951">
      <w:pPr>
        <w:pStyle w:val="Fotnotetekst"/>
      </w:pPr>
      <w:r w:rsidRPr="00015951">
        <w:rPr>
          <w:rStyle w:val="Fotnotereferanse"/>
        </w:rPr>
        <w:footnoteRef/>
      </w:r>
      <w:r>
        <w:tab/>
        <w:t xml:space="preserve">Dette vil kanskje være spesielt aktuelt dersom utenlandske eiere kommer fra et lavkostland og dermed også har høyere språklig og kulturell kompetanse til å flytte virksomhet dit (jf. </w:t>
      </w:r>
      <w:r w:rsidRPr="005744AF">
        <w:rPr>
          <w:lang w:val="en-US"/>
        </w:rPr>
        <w:t xml:space="preserve">Gerbl, M., McIvor, R., &amp; Humphreys, P. (2016). Making the business process outsourcing decision: why distance matters. </w:t>
      </w:r>
      <w:r>
        <w:t>International Journal of Operations &amp; Production Management, 36(9), 1037-1064.).</w:t>
      </w:r>
    </w:p>
  </w:footnote>
  <w:footnote w:id="87">
    <w:p w14:paraId="39ECA36E" w14:textId="5B2C2602" w:rsidR="00015951" w:rsidRDefault="00015951">
      <w:pPr>
        <w:pStyle w:val="Fotnotetekst"/>
      </w:pPr>
      <w:r w:rsidRPr="00015951">
        <w:rPr>
          <w:rStyle w:val="Fotnotereferanse"/>
        </w:rPr>
        <w:footnoteRef/>
      </w:r>
      <w:r>
        <w:tab/>
        <w:t>Med normal i denne sammenheng menes hva som ville skjedd i fravær av en slik innflytelse, altså når eieren er uavhengig og fri.</w:t>
      </w:r>
    </w:p>
  </w:footnote>
  <w:footnote w:id="88">
    <w:p w14:paraId="52F3DB7D" w14:textId="49B9612E" w:rsidR="00015951" w:rsidRDefault="00015951">
      <w:pPr>
        <w:pStyle w:val="Fotnotetekst"/>
      </w:pPr>
      <w:r w:rsidRPr="00015951">
        <w:rPr>
          <w:rStyle w:val="Fotnotereferanse"/>
        </w:rPr>
        <w:footnoteRef/>
      </w:r>
      <w:r>
        <w:tab/>
        <w:t xml:space="preserve">I Bergen Engines vedtaket ble det eksempelvis fremhevet at (s. 6): </w:t>
      </w:r>
      <w:r>
        <w:t>«</w:t>
      </w:r>
      <w:r>
        <w:t>Selskaper kontrollert av en stat vi har sikkerhetssamarbeid med, er ikke berørt av vedtaket. Det er altså fortsatt et stort kapitalmarked som vil kvalifisere som eier.</w:t>
      </w:r>
      <w:r>
        <w:t>»</w:t>
      </w:r>
    </w:p>
  </w:footnote>
  <w:footnote w:id="89">
    <w:p w14:paraId="4B5FB838" w14:textId="44BBDFFC" w:rsidR="00015951" w:rsidRDefault="00015951">
      <w:pPr>
        <w:pStyle w:val="Fotnotetekst"/>
      </w:pPr>
      <w:r w:rsidRPr="00015951">
        <w:rPr>
          <w:rStyle w:val="Fotnotereferanse"/>
        </w:rPr>
        <w:footnoteRef/>
      </w:r>
      <w:r>
        <w:tab/>
        <w:t>Menons vurdering er at det i kartleggingen ikke er avdekket eierforhold som fremstår som problematiske, bortsett fra eierskapet til Huawei (som allerede er godt kjent for norske myndigheter).</w:t>
      </w:r>
    </w:p>
  </w:footnote>
  <w:footnote w:id="90">
    <w:p w14:paraId="7E5801A7" w14:textId="34227AB2" w:rsidR="00015951" w:rsidRDefault="00015951">
      <w:pPr>
        <w:pStyle w:val="Fotnotetekst"/>
      </w:pPr>
      <w:r w:rsidRPr="00015951">
        <w:rPr>
          <w:rStyle w:val="Fotnotereferanse"/>
        </w:rPr>
        <w:footnoteRef/>
      </w:r>
      <w:r>
        <w:tab/>
        <w:t>En stordriftsfordel er høyere spisskompetanse som også kan bety høyere kvalitet.</w:t>
      </w:r>
    </w:p>
  </w:footnote>
  <w:footnote w:id="91">
    <w:p w14:paraId="171B1D8B" w14:textId="665CD88C" w:rsidR="00015951" w:rsidRDefault="00015951">
      <w:pPr>
        <w:pStyle w:val="Fotnotetekst"/>
      </w:pPr>
      <w:r w:rsidRPr="00015951">
        <w:rPr>
          <w:rStyle w:val="Fotnotereferanse"/>
        </w:rPr>
        <w:footnoteRef/>
      </w:r>
      <w:r>
        <w:tab/>
      </w:r>
      <w:r>
        <w:t xml:space="preserve">Meld. St. </w:t>
      </w:r>
      <w:r>
        <w:t xml:space="preserve">6 (2022–2023) </w:t>
      </w:r>
      <w:r w:rsidRPr="00015951">
        <w:rPr>
          <w:rStyle w:val="kursiv"/>
        </w:rPr>
        <w:t>Et grønnere og mer aktivt statlig eierskap,</w:t>
      </w:r>
      <w:r>
        <w:t xml:space="preserve"> kapittel 5, </w:t>
      </w:r>
      <w:hyperlink r:id="rId50" w:history="1">
        <w:r>
          <w:rPr>
            <w:rStyle w:val="Hyperkobling"/>
          </w:rPr>
          <w:t>https://www.regjeringen.no/contentassets/b45b4a63e301435293bd1b10d1ede45b/no/pdfs/stm202220230006000dddpdfs.pdf</w:t>
        </w:r>
      </w:hyperlink>
    </w:p>
  </w:footnote>
  <w:footnote w:id="92">
    <w:p w14:paraId="4C62DB49" w14:textId="5E6BBD3C" w:rsidR="00015951" w:rsidRDefault="00015951">
      <w:pPr>
        <w:pStyle w:val="Fotnotetekst"/>
      </w:pPr>
      <w:r w:rsidRPr="00015951">
        <w:rPr>
          <w:rStyle w:val="Fotnotereferanse"/>
        </w:rPr>
        <w:footnoteRef/>
      </w:r>
      <w:r>
        <w:tab/>
      </w:r>
      <w:r>
        <w:t xml:space="preserve">Meld. St. </w:t>
      </w:r>
      <w:r>
        <w:t xml:space="preserve">8 (2019–2020) </w:t>
      </w:r>
      <w:r w:rsidRPr="00015951">
        <w:rPr>
          <w:rStyle w:val="kursiv"/>
        </w:rPr>
        <w:t>Statens direkte eierskap i selskaper – Bærekraftig verdiskaping,</w:t>
      </w:r>
      <w:r>
        <w:t xml:space="preserve"> avsnitt 5.2, </w:t>
      </w:r>
      <w:hyperlink r:id="rId51" w:history="1">
        <w:r>
          <w:rPr>
            <w:rStyle w:val="Hyperkobling"/>
          </w:rPr>
          <w:t>https://www.regjeringen.no/contentassets/44ee372146f44a3eb70fc0872a5e395c/no/pdfs/stm201920200008000dddpdfs.pdf</w:t>
        </w:r>
      </w:hyperlink>
    </w:p>
  </w:footnote>
  <w:footnote w:id="93">
    <w:p w14:paraId="673D5043" w14:textId="05C763A8" w:rsidR="00015951" w:rsidRDefault="00015951">
      <w:pPr>
        <w:pStyle w:val="Fotnotetekst"/>
      </w:pPr>
      <w:r w:rsidRPr="00015951">
        <w:rPr>
          <w:rStyle w:val="Fotnotereferanse"/>
        </w:rPr>
        <w:footnoteRef/>
      </w:r>
      <w:r>
        <w:tab/>
      </w:r>
      <w:r>
        <w:t xml:space="preserve">Meld. St. </w:t>
      </w:r>
      <w:r>
        <w:t>6 (2022–2023</w:t>
      </w:r>
      <w:r w:rsidRPr="00015951">
        <w:rPr>
          <w:rStyle w:val="kursiv"/>
        </w:rPr>
        <w:t>) Et grønnere og mer aktivt statlig eierskap – Statens direkte eierskap i selskaper,</w:t>
      </w:r>
      <w:r>
        <w:t xml:space="preserve"> avsnitt 5.3</w:t>
      </w:r>
    </w:p>
  </w:footnote>
  <w:footnote w:id="94">
    <w:p w14:paraId="78EB276E" w14:textId="4422BA6A" w:rsidR="00015951" w:rsidRDefault="00015951">
      <w:pPr>
        <w:pStyle w:val="Fotnotetekst"/>
      </w:pPr>
      <w:r w:rsidRPr="00015951">
        <w:rPr>
          <w:rStyle w:val="Fotnotereferanse"/>
        </w:rPr>
        <w:footnoteRef/>
      </w:r>
      <w:r>
        <w:tab/>
      </w:r>
      <w:hyperlink r:id="rId52" w:history="1">
        <w:r>
          <w:rPr>
            <w:rStyle w:val="Hyperkobling"/>
          </w:rPr>
          <w:t>https://www.regjeringen.no/no/tema/naringsliv/statlig-eierskap/eierstyring-og-ledelse/id613433/</w:t>
        </w:r>
      </w:hyperlink>
    </w:p>
  </w:footnote>
  <w:footnote w:id="95">
    <w:p w14:paraId="25DB8C1F" w14:textId="52472B55" w:rsidR="00015951" w:rsidRDefault="00015951">
      <w:pPr>
        <w:pStyle w:val="Fotnotetekst"/>
      </w:pPr>
      <w:r w:rsidRPr="00015951">
        <w:rPr>
          <w:rStyle w:val="Fotnotereferanse"/>
        </w:rPr>
        <w:footnoteRef/>
      </w:r>
      <w:r>
        <w:tab/>
        <w:t>Innst. 8</w:t>
      </w:r>
      <w:r>
        <w:t xml:space="preserve"> </w:t>
      </w:r>
      <w:r>
        <w:t>S fra næringskomiteen, behandlet i Stortinget 15. desember 2023 punkt 13.</w:t>
      </w:r>
    </w:p>
  </w:footnote>
  <w:footnote w:id="96">
    <w:p w14:paraId="26330D00" w14:textId="0C3C6FBB" w:rsidR="00015951" w:rsidRDefault="00015951">
      <w:pPr>
        <w:pStyle w:val="Fotnotetekst"/>
      </w:pPr>
      <w:r w:rsidRPr="00015951">
        <w:rPr>
          <w:rStyle w:val="Fotnotereferanse"/>
        </w:rPr>
        <w:footnoteRef/>
      </w:r>
      <w:r>
        <w:tab/>
        <w:t>KKR (Kohlberg Kravis Roberts &amp; Co) er et globalt investeringsselskap hjemmehørende i USA (</w:t>
      </w:r>
      <w:hyperlink r:id="rId53" w:history="1">
        <w:r>
          <w:rPr>
            <w:rStyle w:val="Hyperkobling"/>
          </w:rPr>
          <w:t>https://www.kkr.com/</w:t>
        </w:r>
      </w:hyperlink>
      <w:r>
        <w:t>)</w:t>
      </w:r>
    </w:p>
  </w:footnote>
  <w:footnote w:id="97">
    <w:p w14:paraId="3E084AA2" w14:textId="43EC8EB8" w:rsidR="00015951" w:rsidRPr="005342B1" w:rsidRDefault="00015951">
      <w:pPr>
        <w:pStyle w:val="Fotnotetekst"/>
        <w:rPr>
          <w:lang w:val="nn-NO"/>
        </w:rPr>
      </w:pPr>
      <w:r w:rsidRPr="00015951">
        <w:rPr>
          <w:rStyle w:val="Fotnotereferanse"/>
        </w:rPr>
        <w:footnoteRef/>
      </w:r>
      <w:r>
        <w:tab/>
        <w:t xml:space="preserve">Se </w:t>
      </w:r>
      <w:r>
        <w:t xml:space="preserve">Prop. </w:t>
      </w:r>
      <w:r>
        <w:t>25</w:t>
      </w:r>
      <w:r>
        <w:t xml:space="preserve"> </w:t>
      </w:r>
      <w:r>
        <w:t xml:space="preserve">S (2023–2024) og </w:t>
      </w:r>
      <w:r>
        <w:t xml:space="preserve">Innst. </w:t>
      </w:r>
      <w:r w:rsidRPr="005342B1">
        <w:rPr>
          <w:lang w:val="nn-NO"/>
        </w:rPr>
        <w:t>123</w:t>
      </w:r>
      <w:r>
        <w:t xml:space="preserve"> </w:t>
      </w:r>
      <w:r w:rsidRPr="005342B1">
        <w:rPr>
          <w:lang w:val="nn-NO"/>
        </w:rPr>
        <w:t>S (2023</w:t>
      </w:r>
      <w:r>
        <w:t>–</w:t>
      </w:r>
      <w:r w:rsidRPr="005342B1">
        <w:rPr>
          <w:lang w:val="nn-NO"/>
        </w:rPr>
        <w:t>2024) kap. 922 post 95.</w:t>
      </w:r>
    </w:p>
  </w:footnote>
  <w:footnote w:id="98">
    <w:p w14:paraId="48E396CC" w14:textId="3406A68F" w:rsidR="00015951" w:rsidRPr="005342B1" w:rsidRDefault="00015951">
      <w:pPr>
        <w:pStyle w:val="Fotnotetekst"/>
        <w:rPr>
          <w:lang w:val="nn-NO"/>
        </w:rPr>
      </w:pPr>
      <w:r w:rsidRPr="00015951">
        <w:rPr>
          <w:rStyle w:val="Fotnotereferanse"/>
        </w:rPr>
        <w:footnoteRef/>
      </w:r>
      <w:r w:rsidRPr="005342B1">
        <w:rPr>
          <w:lang w:val="nn-NO"/>
        </w:rPr>
        <w:tab/>
      </w:r>
      <w:hyperlink r:id="rId54" w:history="1">
        <w:r w:rsidRPr="005342B1">
          <w:rPr>
            <w:rStyle w:val="Hyperkobling"/>
            <w:lang w:val="nn-NO"/>
          </w:rPr>
          <w:t>https://www.regjeringen.no/no/aktuelt/space-norway-med-avtale-om-kjop-av-telenor-satellite/id3014624/</w:t>
        </w:r>
      </w:hyperlink>
    </w:p>
  </w:footnote>
  <w:footnote w:id="99">
    <w:p w14:paraId="1D02A26F" w14:textId="4073CEA5" w:rsidR="00015951" w:rsidRDefault="00015951">
      <w:pPr>
        <w:pStyle w:val="Fotnotetekst"/>
      </w:pPr>
      <w:r w:rsidRPr="00015951">
        <w:rPr>
          <w:rStyle w:val="Fotnotereferanse"/>
        </w:rPr>
        <w:footnoteRef/>
      </w:r>
      <w:r>
        <w:tab/>
        <w:t>Samfunnssikkerhet beskrives som å inkludere cybersikkerhet, utenlandske investeringer samt andre økonomiske virkemidler for å true nasjonale sikkerhetsinteresser, inkludert kritiske samfunnsfunksjoner som elektronisk kommunikasjon (</w:t>
      </w:r>
      <w:r>
        <w:t xml:space="preserve">Meld. St. </w:t>
      </w:r>
      <w:r>
        <w:t>6 (2022–2023) side 22). Dette synes å overlappe i stor grad med behovet for nasjonal kontroll som er fokuset i denne rapporten.</w:t>
      </w:r>
    </w:p>
  </w:footnote>
  <w:footnote w:id="100">
    <w:p w14:paraId="795C2A38" w14:textId="2B16AB67" w:rsidR="00015951" w:rsidRDefault="00015951">
      <w:pPr>
        <w:pStyle w:val="Fotnotetekst"/>
      </w:pPr>
      <w:r w:rsidRPr="00015951">
        <w:rPr>
          <w:rStyle w:val="Fotnotereferanse"/>
        </w:rPr>
        <w:footnoteRef/>
      </w:r>
      <w:r>
        <w:tab/>
      </w:r>
      <w:hyperlink r:id="rId55" w:history="1">
        <w:r>
          <w:rPr>
            <w:rStyle w:val="Hyperkobling"/>
          </w:rPr>
          <w:t>https://www.lysekonsern.no/om-oss/eierskap-og-historie/</w:t>
        </w:r>
      </w:hyperlink>
      <w:r>
        <w:t xml:space="preserve"> </w:t>
      </w:r>
    </w:p>
  </w:footnote>
  <w:footnote w:id="101">
    <w:p w14:paraId="46D22682" w14:textId="1E167D5F" w:rsidR="00015951" w:rsidRDefault="00015951">
      <w:pPr>
        <w:pStyle w:val="Fotnotetekst"/>
      </w:pPr>
      <w:r w:rsidRPr="00015951">
        <w:rPr>
          <w:rStyle w:val="Fotnotereferanse"/>
        </w:rPr>
        <w:footnoteRef/>
      </w:r>
      <w:r>
        <w:tab/>
      </w:r>
      <w:hyperlink r:id="rId56" w:history="1">
        <w:r>
          <w:rPr>
            <w:rStyle w:val="Hyperkobling"/>
          </w:rPr>
          <w:t>https://www.eidsiva.no/om-eidsiva/eiere/</w:t>
        </w:r>
      </w:hyperlink>
      <w:r>
        <w:t xml:space="preserve"> </w:t>
      </w:r>
    </w:p>
  </w:footnote>
  <w:footnote w:id="102">
    <w:p w14:paraId="338E850B" w14:textId="22C7C165" w:rsidR="00015951" w:rsidRDefault="00015951">
      <w:pPr>
        <w:pStyle w:val="Fotnotetekst"/>
      </w:pPr>
      <w:r w:rsidRPr="00015951">
        <w:rPr>
          <w:rStyle w:val="Fotnotereferanse"/>
        </w:rPr>
        <w:footnoteRef/>
      </w:r>
      <w:r>
        <w:tab/>
        <w:t xml:space="preserve">Kommunale inntekter fra kraftsektoren Inntekter fra kommunalt og fylkeskommunalt eierskap i kraftsektoren og som vertskommune for slik virksomhet, samt anvendelse av inntektene. På oppdrag fra TBU – side 7: </w:t>
      </w:r>
      <w:r>
        <w:t>«</w:t>
      </w:r>
      <w:r w:rsidRPr="00015951">
        <w:rPr>
          <w:rStyle w:val="kursiv"/>
        </w:rPr>
        <w:t>Vannkraft alene består av 82 prosent av verdien av eierskapet med en verdi på 360 milliarder kroner. Annen virksomhet, som består primært av fiber/bredbånd og fjernvarmevirksomhet, er nest størst med 39 milliarder kroner, etterfulgt av eierskap i nettvirksomhet som består av 27 milliarder kroner. I tillegg kommer vindkraft og kraftsalg på henholdsvis 12 og 2 milliarder kroner.</w:t>
      </w:r>
      <w:r>
        <w:t>»</w:t>
      </w:r>
      <w:r>
        <w:t xml:space="preserve"> </w:t>
      </w:r>
      <w:hyperlink r:id="rId57" w:history="1">
        <w:r>
          <w:rPr>
            <w:rStyle w:val="Hyperkobling"/>
          </w:rPr>
          <w:t>https://www.regjeringen.no/contentassets/d28f4297bf6c4fd89c5b099d7a89f79c/kommunale-inntekter-fra-kraftsektoren-thema.pdf</w:t>
        </w:r>
      </w:hyperlink>
    </w:p>
  </w:footnote>
  <w:footnote w:id="103">
    <w:p w14:paraId="3F981D8D" w14:textId="00C3A976" w:rsidR="00015951" w:rsidRDefault="00015951">
      <w:pPr>
        <w:pStyle w:val="Fotnotetekst"/>
      </w:pPr>
      <w:r w:rsidRPr="00015951">
        <w:rPr>
          <w:rStyle w:val="Fotnotereferanse"/>
        </w:rPr>
        <w:footnoteRef/>
      </w:r>
      <w:r>
        <w:tab/>
      </w:r>
      <w:hyperlink r:id="rId58" w:history="1">
        <w:r>
          <w:rPr>
            <w:rStyle w:val="Hyperkobling"/>
          </w:rPr>
          <w:t>https://kommunikasjon.ntb.no/pressemelding/18037732/eidsiva-kjoper-etablert-datasenter-vi-skal-tilby-trygg-lagring-med-100-percent-nasjonalt-offentlig-eierskap?publisherId=17848064&amp;lang=no</w:t>
        </w:r>
      </w:hyperlink>
    </w:p>
  </w:footnote>
  <w:footnote w:id="104">
    <w:p w14:paraId="31217DDD" w14:textId="071B366F" w:rsidR="00015951" w:rsidRPr="00015951" w:rsidRDefault="00015951">
      <w:pPr>
        <w:pStyle w:val="Fotnotetekst"/>
        <w:rPr>
          <w:rStyle w:val="kursiv"/>
        </w:rPr>
      </w:pPr>
      <w:r w:rsidRPr="00015951">
        <w:rPr>
          <w:rStyle w:val="Fotnotereferanse"/>
        </w:rPr>
        <w:footnoteRef/>
      </w:r>
      <w:r>
        <w:tab/>
      </w:r>
      <w:r>
        <w:t xml:space="preserve">Meld. St. </w:t>
      </w:r>
      <w:r>
        <w:t xml:space="preserve">6 (2022–2023) </w:t>
      </w:r>
      <w:r w:rsidRPr="00015951">
        <w:rPr>
          <w:rStyle w:val="kursiv"/>
        </w:rPr>
        <w:t>Et grønnere og mer aktivt statlig eierskap – Statens direkte eierskap i selskaper</w:t>
      </w:r>
    </w:p>
  </w:footnote>
  <w:footnote w:id="105">
    <w:p w14:paraId="451DE8C9" w14:textId="0BE3E195" w:rsidR="00015951" w:rsidRDefault="00015951">
      <w:pPr>
        <w:pStyle w:val="Fotnotetekst"/>
      </w:pPr>
      <w:r w:rsidRPr="00015951">
        <w:rPr>
          <w:rStyle w:val="Fotnotereferanse"/>
        </w:rPr>
        <w:footnoteRef/>
      </w:r>
      <w:r>
        <w:tab/>
      </w:r>
      <w:hyperlink r:id="rId59" w:anchor="m2" w:history="1">
        <w:r>
          <w:rPr>
            <w:rStyle w:val="Hyperkobling"/>
          </w:rPr>
          <w:t>https://www.stortinget.no/no/Saker-og-publikasjoner/Publikasjoner/Innstillinger/Stortinget/2022-2023/inns-202223-247s/?all=true#m2</w:t>
        </w:r>
      </w:hyperlink>
      <w:r>
        <w:t xml:space="preserve"> </w:t>
      </w:r>
    </w:p>
  </w:footnote>
  <w:footnote w:id="106">
    <w:p w14:paraId="18F54B64" w14:textId="376229CC" w:rsidR="00015951" w:rsidRDefault="00015951">
      <w:pPr>
        <w:pStyle w:val="Fotnotetekst"/>
      </w:pPr>
      <w:r w:rsidRPr="00015951">
        <w:rPr>
          <w:rStyle w:val="Fotnotereferanse"/>
        </w:rPr>
        <w:footnoteRef/>
      </w:r>
      <w:r>
        <w:tab/>
        <w:t>Utredning av rettslige rammer for kontroll med kritisk digital infrastruktur</w:t>
      </w:r>
    </w:p>
  </w:footnote>
  <w:footnote w:id="107">
    <w:p w14:paraId="507D3FB1" w14:textId="26BC12A8" w:rsidR="00015951" w:rsidRDefault="00015951">
      <w:pPr>
        <w:pStyle w:val="Fotnotetekst"/>
      </w:pPr>
      <w:r w:rsidRPr="00015951">
        <w:rPr>
          <w:rStyle w:val="Fotnotereferanse"/>
        </w:rPr>
        <w:footnoteRef/>
      </w:r>
      <w:r>
        <w:tab/>
        <w:t xml:space="preserve">Lov om endringer i sikkerhetsloven, </w:t>
      </w:r>
      <w:hyperlink r:id="rId60" w:history="1">
        <w:r>
          <w:rPr>
            <w:rStyle w:val="Hyperkobling"/>
          </w:rPr>
          <w:t>https://lovdata.no/dokument/LTI/lov/2023-06-20-77</w:t>
        </w:r>
      </w:hyperlink>
      <w:r>
        <w:t xml:space="preserve"> </w:t>
      </w:r>
    </w:p>
  </w:footnote>
  <w:footnote w:id="108">
    <w:p w14:paraId="58994551" w14:textId="66A32BE5" w:rsidR="00015951" w:rsidRPr="005342B1" w:rsidRDefault="00015951">
      <w:pPr>
        <w:pStyle w:val="Fotnotetekst"/>
        <w:rPr>
          <w:lang w:val="nn-NO"/>
        </w:rPr>
      </w:pPr>
      <w:r w:rsidRPr="00015951">
        <w:rPr>
          <w:rStyle w:val="Fotnotereferanse"/>
        </w:rPr>
        <w:footnoteRef/>
      </w:r>
      <w:r w:rsidRPr="005342B1">
        <w:rPr>
          <w:lang w:val="nn-NO"/>
        </w:rPr>
        <w:tab/>
      </w:r>
      <w:r>
        <w:rPr>
          <w:lang w:val="nn-NO"/>
        </w:rPr>
        <w:t xml:space="preserve">Prop. </w:t>
      </w:r>
      <w:r w:rsidRPr="005342B1">
        <w:rPr>
          <w:lang w:val="nn-NO"/>
        </w:rPr>
        <w:t>93</w:t>
      </w:r>
      <w:r>
        <w:rPr>
          <w:lang w:val="nn-NO"/>
        </w:rPr>
        <w:t xml:space="preserve"> </w:t>
      </w:r>
      <w:r w:rsidRPr="005342B1">
        <w:rPr>
          <w:lang w:val="nn-NO"/>
        </w:rPr>
        <w:t>LS (2023–2024) side 279.</w:t>
      </w:r>
    </w:p>
  </w:footnote>
  <w:footnote w:id="109">
    <w:p w14:paraId="22FB5D19" w14:textId="4EA164FF" w:rsidR="00015951" w:rsidRPr="005342B1" w:rsidRDefault="00015951">
      <w:pPr>
        <w:pStyle w:val="Fotnotetekst"/>
        <w:rPr>
          <w:lang w:val="nn-NO"/>
        </w:rPr>
      </w:pPr>
      <w:r w:rsidRPr="00015951">
        <w:rPr>
          <w:rStyle w:val="Fotnotereferanse"/>
        </w:rPr>
        <w:footnoteRef/>
      </w:r>
      <w:r w:rsidRPr="005342B1">
        <w:rPr>
          <w:lang w:val="nn-NO"/>
        </w:rPr>
        <w:tab/>
        <w:t xml:space="preserve">Forordning 2018/151 om spesifisering av NIS-direktivet artikkel 16 nr. 1 og nr. 4, </w:t>
      </w:r>
      <w:hyperlink r:id="rId61" w:history="1">
        <w:r w:rsidRPr="005342B1">
          <w:rPr>
            <w:rStyle w:val="Hyperkobling"/>
            <w:lang w:val="nn-NO"/>
          </w:rPr>
          <w:t>https://eur-lex.europa.eu/legal-content/EN/TXT/PDF/?uri=CELEX:32018R0151</w:t>
        </w:r>
      </w:hyperlink>
      <w:r w:rsidRPr="005342B1">
        <w:rPr>
          <w:lang w:val="nn-NO"/>
        </w:rPr>
        <w:t xml:space="preserve"> </w:t>
      </w:r>
    </w:p>
  </w:footnote>
  <w:footnote w:id="110">
    <w:p w14:paraId="1A5C4C94" w14:textId="6CC19634" w:rsidR="00015951" w:rsidRPr="005342B1" w:rsidRDefault="00015951">
      <w:pPr>
        <w:pStyle w:val="Fotnotetekst"/>
        <w:rPr>
          <w:lang w:val="nn-NO"/>
        </w:rPr>
      </w:pPr>
      <w:r w:rsidRPr="00015951">
        <w:rPr>
          <w:rStyle w:val="Fotnotereferanse"/>
        </w:rPr>
        <w:footnoteRef/>
      </w:r>
      <w:r w:rsidRPr="005342B1">
        <w:rPr>
          <w:lang w:val="nn-NO"/>
        </w:rPr>
        <w:tab/>
        <w:t xml:space="preserve">Europaparlaments- og rådsforordning (EU) 2019/881 av 17. april 2019 om ENISA (Den europeiske unions cybersikkerhetsbyrå), </w:t>
      </w:r>
      <w:hyperlink r:id="rId62" w:history="1">
        <w:r w:rsidRPr="005342B1">
          <w:rPr>
            <w:rStyle w:val="Hyperkobling"/>
            <w:lang w:val="nn-NO"/>
          </w:rPr>
          <w:t>https://eur-lex.europa.eu/legal-content/EN/TXT/PDF/?uri=CELEX:32019R0881</w:t>
        </w:r>
      </w:hyperlink>
      <w:r w:rsidRPr="005342B1">
        <w:rPr>
          <w:lang w:val="nn-NO"/>
        </w:rPr>
        <w:t xml:space="preserve"> </w:t>
      </w:r>
    </w:p>
  </w:footnote>
  <w:footnote w:id="111">
    <w:p w14:paraId="226845E6" w14:textId="333F5ABB" w:rsidR="00015951" w:rsidRPr="005342B1" w:rsidRDefault="00015951">
      <w:pPr>
        <w:pStyle w:val="Fotnotetekst"/>
        <w:rPr>
          <w:lang w:val="nn-NO"/>
        </w:rPr>
      </w:pPr>
      <w:r w:rsidRPr="00015951">
        <w:rPr>
          <w:rStyle w:val="Fotnotereferanse"/>
        </w:rPr>
        <w:footnoteRef/>
      </w:r>
      <w:r w:rsidRPr="005342B1">
        <w:rPr>
          <w:lang w:val="nn-NO"/>
        </w:rPr>
        <w:tab/>
      </w:r>
      <w:hyperlink r:id="rId63" w:history="1">
        <w:r w:rsidRPr="005342B1">
          <w:rPr>
            <w:rStyle w:val="Hyperkobling"/>
            <w:lang w:val="nn-NO"/>
          </w:rPr>
          <w:t>https://www.regjeringen.no/no/dokumenter/prop.-1-s-20242025/id3057309/?ch=2</w:t>
        </w:r>
      </w:hyperlink>
    </w:p>
  </w:footnote>
  <w:footnote w:id="112">
    <w:p w14:paraId="5CD5F47A" w14:textId="22CC68C3" w:rsidR="00015951" w:rsidRPr="005342B1" w:rsidRDefault="00015951">
      <w:pPr>
        <w:pStyle w:val="Fotnotetekst"/>
        <w:rPr>
          <w:lang w:val="nn-NO"/>
        </w:rPr>
      </w:pPr>
      <w:r w:rsidRPr="00015951">
        <w:rPr>
          <w:rStyle w:val="Fotnotereferanse"/>
        </w:rPr>
        <w:footnoteRef/>
      </w:r>
      <w:r w:rsidRPr="005342B1">
        <w:rPr>
          <w:lang w:val="nn-NO"/>
        </w:rPr>
        <w:tab/>
      </w:r>
      <w:r>
        <w:rPr>
          <w:lang w:val="nn-NO"/>
        </w:rPr>
        <w:t xml:space="preserve">Prop. </w:t>
      </w:r>
      <w:r w:rsidRPr="005342B1">
        <w:rPr>
          <w:lang w:val="nn-NO"/>
        </w:rPr>
        <w:t>153</w:t>
      </w:r>
      <w:r>
        <w:rPr>
          <w:lang w:val="nn-NO"/>
        </w:rPr>
        <w:t xml:space="preserve"> </w:t>
      </w:r>
      <w:r w:rsidRPr="005342B1">
        <w:rPr>
          <w:lang w:val="nn-NO"/>
        </w:rPr>
        <w:t xml:space="preserve">L (2016–2017) side 167, </w:t>
      </w:r>
      <w:hyperlink r:id="rId64" w:history="1">
        <w:r w:rsidRPr="005342B1">
          <w:rPr>
            <w:rStyle w:val="Hyperkobling"/>
            <w:lang w:val="nn-NO"/>
          </w:rPr>
          <w:t>https://www.regjeringen.no/contentassets/0fcee45affd24280896b88b5413a00aa/no/pdfs/prp201620170153000dddpdfs.pdf</w:t>
        </w:r>
      </w:hyperlink>
    </w:p>
  </w:footnote>
  <w:footnote w:id="113">
    <w:p w14:paraId="234B29DF" w14:textId="7A228F26" w:rsidR="00015951" w:rsidRPr="005342B1" w:rsidRDefault="00015951">
      <w:pPr>
        <w:pStyle w:val="Fotnotetekst"/>
        <w:rPr>
          <w:lang w:val="nn-NO"/>
        </w:rPr>
      </w:pPr>
      <w:r w:rsidRPr="00015951">
        <w:rPr>
          <w:rStyle w:val="Fotnotereferanse"/>
        </w:rPr>
        <w:footnoteRef/>
      </w:r>
      <w:r w:rsidRPr="005342B1">
        <w:rPr>
          <w:lang w:val="nn-NO"/>
        </w:rPr>
        <w:tab/>
        <w:t xml:space="preserve">St. meld. 9 (2022–2023) </w:t>
      </w:r>
      <w:r w:rsidRPr="00015951">
        <w:rPr>
          <w:rStyle w:val="kursiv"/>
          <w:lang w:val="nn-NO"/>
        </w:rPr>
        <w:t>Nasjonal kontroll og digital motstandskraft for å ivareta nasjonal sikkerhet</w:t>
      </w:r>
      <w:r w:rsidRPr="005342B1">
        <w:rPr>
          <w:lang w:val="nn-NO"/>
        </w:rPr>
        <w:t xml:space="preserve"> punkt 3.3.3.</w:t>
      </w:r>
    </w:p>
  </w:footnote>
  <w:footnote w:id="114">
    <w:p w14:paraId="1299A61A" w14:textId="79629119" w:rsidR="00015951" w:rsidRPr="005342B1" w:rsidRDefault="00015951">
      <w:pPr>
        <w:pStyle w:val="Fotnotetekst"/>
        <w:rPr>
          <w:lang w:val="nn-NO"/>
        </w:rPr>
      </w:pPr>
      <w:r w:rsidRPr="00015951">
        <w:rPr>
          <w:rStyle w:val="Fotnotereferanse"/>
        </w:rPr>
        <w:footnoteRef/>
      </w:r>
      <w:r w:rsidRPr="005342B1">
        <w:rPr>
          <w:lang w:val="nn-NO"/>
        </w:rPr>
        <w:tab/>
        <w:t xml:space="preserve">NATOs </w:t>
      </w:r>
      <w:r>
        <w:rPr>
          <w:lang w:val="nn-NO"/>
        </w:rPr>
        <w:t>«</w:t>
      </w:r>
      <w:r w:rsidRPr="005342B1">
        <w:rPr>
          <w:lang w:val="nn-NO"/>
        </w:rPr>
        <w:t>Seven baseline requirements</w:t>
      </w:r>
      <w:r>
        <w:rPr>
          <w:lang w:val="nn-NO"/>
        </w:rPr>
        <w:t>»</w:t>
      </w:r>
      <w:r w:rsidRPr="005342B1">
        <w:rPr>
          <w:lang w:val="nn-NO"/>
        </w:rPr>
        <w:t xml:space="preserve"> vedtatt på toppmøte i Warszawa i 2016.</w:t>
      </w:r>
    </w:p>
  </w:footnote>
  <w:footnote w:id="115">
    <w:p w14:paraId="17646FA1" w14:textId="3BC3C277" w:rsidR="00015951" w:rsidRPr="005342B1" w:rsidRDefault="00015951">
      <w:pPr>
        <w:pStyle w:val="Fotnotetekst"/>
        <w:rPr>
          <w:lang w:val="nn-NO"/>
        </w:rPr>
      </w:pPr>
      <w:r w:rsidRPr="00015951">
        <w:rPr>
          <w:rStyle w:val="Fotnotereferanse"/>
        </w:rPr>
        <w:footnoteRef/>
      </w:r>
      <w:r w:rsidRPr="005342B1">
        <w:rPr>
          <w:lang w:val="nn-NO"/>
        </w:rPr>
        <w:tab/>
      </w:r>
      <w:hyperlink r:id="rId65" w:history="1">
        <w:r w:rsidRPr="005342B1">
          <w:rPr>
            <w:rStyle w:val="Hyperkobling"/>
            <w:lang w:val="nn-NO"/>
          </w:rPr>
          <w:t>https://mc.nato.int/media-centre/news/2024/nato-officially-launches-new-nmcscui</w:t>
        </w:r>
      </w:hyperlink>
      <w:r w:rsidRPr="005342B1">
        <w:rPr>
          <w:lang w:val="nn-NO"/>
        </w:rPr>
        <w:t xml:space="preserve"> </w:t>
      </w:r>
    </w:p>
  </w:footnote>
  <w:footnote w:id="116">
    <w:p w14:paraId="237390EA" w14:textId="4C59D9BA" w:rsidR="00015951" w:rsidRPr="005342B1" w:rsidRDefault="00015951">
      <w:pPr>
        <w:pStyle w:val="Fotnotetekst"/>
        <w:rPr>
          <w:lang w:val="nn-NO"/>
        </w:rPr>
      </w:pPr>
      <w:r w:rsidRPr="00015951">
        <w:rPr>
          <w:rStyle w:val="Fotnotereferanse"/>
        </w:rPr>
        <w:footnoteRef/>
      </w:r>
      <w:r w:rsidRPr="005342B1">
        <w:rPr>
          <w:lang w:val="nn-NO"/>
        </w:rPr>
        <w:tab/>
      </w:r>
      <w:hyperlink r:id="rId66" w:history="1">
        <w:r w:rsidRPr="005342B1">
          <w:rPr>
            <w:rStyle w:val="Hyperkobling"/>
            <w:lang w:val="nn-NO"/>
          </w:rPr>
          <w:t>https://www.regjeringen.no/no/aktuelt/nytt-norsk-tysk-initiativ-skal-styrke-kritisk-undersjoisk-infrastruktur-i-europa/id3061340/</w:t>
        </w:r>
      </w:hyperlink>
    </w:p>
  </w:footnote>
  <w:footnote w:id="117">
    <w:p w14:paraId="1B0AE678" w14:textId="02DA13BB" w:rsidR="00015951" w:rsidRPr="005342B1" w:rsidRDefault="00015951">
      <w:pPr>
        <w:pStyle w:val="Fotnotetekst"/>
        <w:rPr>
          <w:lang w:val="nn-NO"/>
        </w:rPr>
      </w:pPr>
      <w:r w:rsidRPr="00015951">
        <w:rPr>
          <w:rStyle w:val="Fotnotereferanse"/>
        </w:rPr>
        <w:footnoteRef/>
      </w:r>
      <w:r w:rsidRPr="005342B1">
        <w:rPr>
          <w:lang w:val="nn-NO"/>
        </w:rPr>
        <w:tab/>
      </w:r>
      <w:hyperlink r:id="rId67" w:history="1">
        <w:r w:rsidRPr="005342B1">
          <w:rPr>
            <w:rStyle w:val="Hyperkobling"/>
            <w:lang w:val="nn-NO"/>
          </w:rPr>
          <w:t>https://www.regjeringen.no/no/aktuelt/skal-sikre-tryggere-havbunn/id3083648/</w:t>
        </w:r>
      </w:hyperlink>
    </w:p>
  </w:footnote>
  <w:footnote w:id="118">
    <w:p w14:paraId="0BAD90B7" w14:textId="59D0D888" w:rsidR="00015951" w:rsidRPr="005342B1" w:rsidRDefault="00015951">
      <w:pPr>
        <w:pStyle w:val="Fotnotetekst"/>
        <w:rPr>
          <w:lang w:val="nn-NO"/>
        </w:rPr>
      </w:pPr>
      <w:r w:rsidRPr="00015951">
        <w:rPr>
          <w:rStyle w:val="Fotnotereferanse"/>
        </w:rPr>
        <w:footnoteRef/>
      </w:r>
      <w:r w:rsidRPr="005342B1">
        <w:rPr>
          <w:lang w:val="nn-NO"/>
        </w:rPr>
        <w:tab/>
      </w:r>
      <w:hyperlink r:id="rId68" w:history="1">
        <w:r w:rsidRPr="005342B1">
          <w:rPr>
            <w:rStyle w:val="Hyperkobling"/>
            <w:lang w:val="nn-NO"/>
          </w:rPr>
          <w:t>https://www.regjeringen.no/contentassets/abc084fe921e403791ddb505622ba365/eu-norway-security-and-defence-partnership.pdf</w:t>
        </w:r>
      </w:hyperlink>
    </w:p>
  </w:footnote>
  <w:footnote w:id="119">
    <w:p w14:paraId="111C35AD" w14:textId="3485068B" w:rsidR="00015951" w:rsidRPr="005342B1" w:rsidRDefault="00015951">
      <w:pPr>
        <w:pStyle w:val="Fotnotetekst"/>
        <w:rPr>
          <w:lang w:val="nn-NO"/>
        </w:rPr>
      </w:pPr>
      <w:r w:rsidRPr="00015951">
        <w:rPr>
          <w:rStyle w:val="Fotnotereferanse"/>
        </w:rPr>
        <w:footnoteRef/>
      </w:r>
      <w:r w:rsidRPr="005342B1">
        <w:rPr>
          <w:lang w:val="nn-NO"/>
        </w:rPr>
        <w:tab/>
      </w:r>
      <w:hyperlink r:id="rId69" w:history="1">
        <w:r w:rsidRPr="005342B1">
          <w:rPr>
            <w:rStyle w:val="Hyperkobling"/>
            <w:lang w:val="nn-NO"/>
          </w:rPr>
          <w:t>https://www.norden.org/en/declaration/joint-statement-nordic-and-baltic-ministers-digitalisation</w:t>
        </w:r>
      </w:hyperlink>
      <w:r w:rsidRPr="005342B1">
        <w:rPr>
          <w:lang w:val="nn-NO"/>
        </w:rPr>
        <w:t xml:space="preserve"> </w:t>
      </w:r>
    </w:p>
  </w:footnote>
  <w:footnote w:id="120">
    <w:p w14:paraId="7400373D" w14:textId="4D326E25" w:rsidR="00015951" w:rsidRPr="003621FB" w:rsidRDefault="00015951">
      <w:pPr>
        <w:pStyle w:val="Fotnotetekst"/>
        <w:rPr>
          <w:spacing w:val="-1"/>
          <w:lang w:val="nn-NO"/>
        </w:rPr>
      </w:pPr>
      <w:r w:rsidRPr="00015951">
        <w:rPr>
          <w:rStyle w:val="Fotnotereferanse"/>
        </w:rPr>
        <w:footnoteRef/>
      </w:r>
      <w:r w:rsidRPr="005342B1">
        <w:rPr>
          <w:lang w:val="nn-NO"/>
        </w:rPr>
        <w:tab/>
      </w:r>
      <w:hyperlink r:id="rId70" w:history="1">
        <w:r w:rsidRPr="005342B1">
          <w:rPr>
            <w:rStyle w:val="Hyperkobling"/>
            <w:spacing w:val="-1"/>
            <w:lang w:val="nn-NO"/>
          </w:rPr>
          <w:t>https://www.state.gov/joint-statement-on-the-security-and-resilience-of-undersea-cables-in-a-globally-digitalized-world/</w:t>
        </w:r>
      </w:hyperlink>
      <w:r w:rsidRPr="005342B1">
        <w:rPr>
          <w:spacing w:val="-1"/>
          <w:lang w:val="nn-NO"/>
        </w:rPr>
        <w:t xml:space="preserve"> </w:t>
      </w:r>
    </w:p>
  </w:footnote>
  <w:footnote w:id="121">
    <w:p w14:paraId="237F2DA5" w14:textId="39CD7CBF" w:rsidR="00015951" w:rsidRPr="005342B1" w:rsidRDefault="00015951">
      <w:pPr>
        <w:pStyle w:val="Fotnotetekst"/>
        <w:rPr>
          <w:lang w:val="nn-NO"/>
        </w:rPr>
      </w:pPr>
      <w:r w:rsidRPr="00015951">
        <w:rPr>
          <w:rStyle w:val="Fotnotereferanse"/>
        </w:rPr>
        <w:footnoteRef/>
      </w:r>
      <w:r w:rsidRPr="005342B1">
        <w:rPr>
          <w:lang w:val="nn-NO"/>
        </w:rPr>
        <w:tab/>
      </w:r>
      <w:hyperlink r:id="rId71" w:history="1">
        <w:r w:rsidRPr="005342B1">
          <w:rPr>
            <w:rStyle w:val="Hyperkobling"/>
            <w:lang w:val="nn-NO"/>
          </w:rPr>
          <w:t>https://www.isp.se/utlandska-direktinvesteringar</w:t>
        </w:r>
      </w:hyperlink>
    </w:p>
  </w:footnote>
  <w:footnote w:id="122">
    <w:p w14:paraId="7D97451E" w14:textId="08B34AEF" w:rsidR="00015951" w:rsidRPr="005342B1" w:rsidRDefault="00015951">
      <w:pPr>
        <w:pStyle w:val="Fotnotetekst"/>
        <w:rPr>
          <w:lang w:val="nn-NO"/>
        </w:rPr>
      </w:pPr>
      <w:r w:rsidRPr="00015951">
        <w:rPr>
          <w:rStyle w:val="Fotnotereferanse"/>
        </w:rPr>
        <w:footnoteRef/>
      </w:r>
      <w:r w:rsidRPr="005342B1">
        <w:rPr>
          <w:lang w:val="nn-NO"/>
        </w:rPr>
        <w:tab/>
      </w:r>
      <w:hyperlink r:id="rId72" w:history="1">
        <w:r w:rsidRPr="005342B1">
          <w:rPr>
            <w:rStyle w:val="Hyperkobling"/>
            <w:lang w:val="nn-NO"/>
          </w:rPr>
          <w:t>https://www.kommerskollegium.se/globalassets/publikationer/rapporter/2022/perspectives-on-the-economic-effects-of-fdi-and-investment-screening.pdf</w:t>
        </w:r>
      </w:hyperlink>
      <w:r w:rsidRPr="005342B1">
        <w:rPr>
          <w:lang w:val="nn-NO"/>
        </w:rPr>
        <w:t xml:space="preserve"> </w:t>
      </w:r>
    </w:p>
  </w:footnote>
  <w:footnote w:id="123">
    <w:p w14:paraId="522434BA" w14:textId="16D91D77" w:rsidR="00015951" w:rsidRPr="005342B1" w:rsidRDefault="00015951">
      <w:pPr>
        <w:pStyle w:val="Fotnotetekst"/>
        <w:rPr>
          <w:lang w:val="nn-NO"/>
        </w:rPr>
      </w:pPr>
      <w:r w:rsidRPr="00015951">
        <w:rPr>
          <w:rStyle w:val="Fotnotereferanse"/>
        </w:rPr>
        <w:footnoteRef/>
      </w:r>
      <w:r w:rsidRPr="005342B1">
        <w:rPr>
          <w:lang w:val="nn-NO"/>
        </w:rPr>
        <w:tab/>
      </w:r>
      <w:hyperlink r:id="rId73" w:history="1">
        <w:r w:rsidRPr="005342B1">
          <w:rPr>
            <w:rStyle w:val="Hyperkobling"/>
            <w:lang w:val="nn-NO"/>
          </w:rPr>
          <w:t>https://www.isp.se/utlandska-direktinvesteringar</w:t>
        </w:r>
      </w:hyperlink>
      <w:r w:rsidRPr="005342B1">
        <w:rPr>
          <w:lang w:val="nn-NO"/>
        </w:rPr>
        <w:t xml:space="preserve"> </w:t>
      </w:r>
    </w:p>
  </w:footnote>
  <w:footnote w:id="124">
    <w:p w14:paraId="459DAB6A" w14:textId="26FEC522" w:rsidR="00015951" w:rsidRPr="005342B1" w:rsidRDefault="00015951">
      <w:pPr>
        <w:pStyle w:val="Fotnotetekst"/>
        <w:rPr>
          <w:lang w:val="nn-NO"/>
        </w:rPr>
      </w:pPr>
      <w:r w:rsidRPr="00015951">
        <w:rPr>
          <w:rStyle w:val="Fotnotereferanse"/>
        </w:rPr>
        <w:footnoteRef/>
      </w:r>
      <w:r w:rsidRPr="005342B1">
        <w:rPr>
          <w:lang w:val="nn-NO"/>
        </w:rPr>
        <w:tab/>
      </w:r>
      <w:hyperlink r:id="rId74" w:history="1">
        <w:r w:rsidRPr="005342B1">
          <w:rPr>
            <w:rStyle w:val="Hyperkobling"/>
            <w:lang w:val="nn-NO"/>
          </w:rPr>
          <w:t>https://erhvervsstyrelsen.dk/vejledning-aktiviteter-omfattet-af-investeringsscreeningsloven</w:t>
        </w:r>
      </w:hyperlink>
      <w:r w:rsidRPr="005342B1">
        <w:rPr>
          <w:lang w:val="nn-NO"/>
        </w:rPr>
        <w:t xml:space="preserve"> </w:t>
      </w:r>
    </w:p>
  </w:footnote>
  <w:footnote w:id="125">
    <w:p w14:paraId="4BCA1919" w14:textId="092FA893" w:rsidR="00015951" w:rsidRDefault="00015951">
      <w:pPr>
        <w:pStyle w:val="Fotnotetekst"/>
      </w:pPr>
      <w:r w:rsidRPr="00015951">
        <w:rPr>
          <w:rStyle w:val="Fotnotereferanse"/>
        </w:rPr>
        <w:footnoteRef/>
      </w:r>
      <w:r>
        <w:tab/>
      </w:r>
      <w:hyperlink r:id="rId75" w:history="1">
        <w:r>
          <w:rPr>
            <w:rStyle w:val="Hyperkobling"/>
          </w:rPr>
          <w:t>https://tem.fi/en/acquisitions</w:t>
        </w:r>
      </w:hyperlink>
      <w:r>
        <w:t xml:space="preserve"> </w:t>
      </w:r>
    </w:p>
  </w:footnote>
  <w:footnote w:id="126">
    <w:p w14:paraId="63BE02F7" w14:textId="5E1CDBBA" w:rsidR="00015951" w:rsidRPr="00015951" w:rsidRDefault="00015951">
      <w:pPr>
        <w:pStyle w:val="Fotnotetekst"/>
        <w:rPr>
          <w:rStyle w:val="kursiv"/>
        </w:rPr>
      </w:pPr>
      <w:r w:rsidRPr="00015951">
        <w:rPr>
          <w:rStyle w:val="Fotnotereferanse"/>
        </w:rPr>
        <w:footnoteRef/>
      </w:r>
      <w:r>
        <w:tab/>
        <w:t xml:space="preserve">NOU 2023: 28 </w:t>
      </w:r>
      <w:r w:rsidRPr="00015951">
        <w:rPr>
          <w:rStyle w:val="kursiv"/>
        </w:rPr>
        <w:t>Investeringskontroll – en åpen økonomi i usikre tider</w:t>
      </w:r>
    </w:p>
  </w:footnote>
  <w:footnote w:id="127">
    <w:p w14:paraId="6E2190D0" w14:textId="3C9E052C" w:rsidR="00015951" w:rsidRDefault="00015951">
      <w:pPr>
        <w:pStyle w:val="Fotnotetekst"/>
      </w:pPr>
      <w:r w:rsidRPr="00015951">
        <w:rPr>
          <w:rStyle w:val="Fotnotereferanse"/>
        </w:rPr>
        <w:footnoteRef/>
      </w:r>
      <w:r>
        <w:tab/>
      </w:r>
      <w:hyperlink r:id="rId76" w:history="1">
        <w:r>
          <w:rPr>
            <w:rStyle w:val="Hyperkobling"/>
          </w:rPr>
          <w:t>https://www.crowell.com/en/insights/client-alerts/a-new-european-commission-proposal-on-foreign-direct-investment-screening-towards-greater-harmonization</w:t>
        </w:r>
      </w:hyperlink>
      <w:r>
        <w:t xml:space="preserve"> </w:t>
      </w:r>
    </w:p>
  </w:footnote>
  <w:footnote w:id="128">
    <w:p w14:paraId="2412195F" w14:textId="5A06E019" w:rsidR="00015951" w:rsidRPr="005744AF" w:rsidRDefault="00015951">
      <w:pPr>
        <w:pStyle w:val="Fotnotetekst"/>
        <w:rPr>
          <w:lang w:val="en-US"/>
        </w:rPr>
      </w:pPr>
      <w:r w:rsidRPr="00015951">
        <w:rPr>
          <w:rStyle w:val="Fotnotereferanse"/>
        </w:rPr>
        <w:footnoteRef/>
      </w:r>
      <w:r w:rsidRPr="005744AF">
        <w:rPr>
          <w:lang w:val="en-US"/>
        </w:rPr>
        <w:tab/>
      </w:r>
      <w:hyperlink r:id="rId77" w:history="1">
        <w:r w:rsidRPr="005744AF">
          <w:rPr>
            <w:rStyle w:val="Hyperkobling"/>
            <w:lang w:val="en-US"/>
          </w:rPr>
          <w:t>Proposal for a new regulation on the screening of foreign investments (10).pdf</w:t>
        </w:r>
      </w:hyperlink>
    </w:p>
  </w:footnote>
  <w:footnote w:id="129">
    <w:p w14:paraId="6A28BE25" w14:textId="1F445E55" w:rsidR="00015951" w:rsidRPr="005744AF" w:rsidRDefault="00015951">
      <w:pPr>
        <w:pStyle w:val="Fotnotetekst"/>
        <w:rPr>
          <w:lang w:val="en-US"/>
        </w:rPr>
      </w:pPr>
      <w:r w:rsidRPr="00015951">
        <w:rPr>
          <w:rStyle w:val="Fotnotereferanse"/>
        </w:rPr>
        <w:footnoteRef/>
      </w:r>
      <w:r w:rsidRPr="005744AF">
        <w:rPr>
          <w:lang w:val="en-US"/>
        </w:rPr>
        <w:tab/>
      </w:r>
      <w:hyperlink r:id="rId78" w:history="1">
        <w:r w:rsidRPr="005744AF">
          <w:rPr>
            <w:rStyle w:val="Hyperkobling"/>
            <w:lang w:val="en-US"/>
          </w:rPr>
          <w:t>https://www.crowell.com/en/insights/client-alerts/a-new-european-commission-proposal-on-foreign-direct-investment-screening-towards-greater-harmonization</w:t>
        </w:r>
      </w:hyperlink>
    </w:p>
  </w:footnote>
  <w:footnote w:id="130">
    <w:p w14:paraId="3D2A8B0C" w14:textId="5E536A4F" w:rsidR="00015951" w:rsidRPr="005744AF" w:rsidRDefault="00015951">
      <w:pPr>
        <w:pStyle w:val="Fotnotetekst"/>
        <w:rPr>
          <w:lang w:val="en-US"/>
        </w:rPr>
      </w:pPr>
      <w:r w:rsidRPr="00015951">
        <w:rPr>
          <w:rStyle w:val="Fotnotereferanse"/>
        </w:rPr>
        <w:footnoteRef/>
      </w:r>
      <w:r w:rsidRPr="005744AF">
        <w:rPr>
          <w:lang w:val="en-US"/>
        </w:rPr>
        <w:tab/>
      </w:r>
      <w:hyperlink r:id="rId79" w:history="1">
        <w:r w:rsidRPr="005744AF">
          <w:rPr>
            <w:rStyle w:val="Hyperkobling"/>
            <w:lang w:val="en-US"/>
          </w:rPr>
          <w:t>https://www.eu.dk/samling/20231/kommissionsforslag/KOM(2024)0023/bilag/2/2871851.pdf</w:t>
        </w:r>
      </w:hyperlink>
    </w:p>
  </w:footnote>
  <w:footnote w:id="131">
    <w:p w14:paraId="5CD7458C" w14:textId="0043491C" w:rsidR="00015951" w:rsidRPr="005744AF" w:rsidRDefault="00015951">
      <w:pPr>
        <w:pStyle w:val="Fotnotetekst"/>
        <w:rPr>
          <w:lang w:val="en-US"/>
        </w:rPr>
      </w:pPr>
      <w:r w:rsidRPr="00015951">
        <w:rPr>
          <w:rStyle w:val="Fotnotereferanse"/>
        </w:rPr>
        <w:footnoteRef/>
      </w:r>
      <w:r w:rsidRPr="005744AF">
        <w:rPr>
          <w:lang w:val="en-US"/>
        </w:rPr>
        <w:tab/>
      </w:r>
      <w:hyperlink r:id="rId80" w:history="1">
        <w:r w:rsidRPr="005744AF">
          <w:rPr>
            <w:rStyle w:val="Hyperkobling"/>
            <w:lang w:val="en-US"/>
          </w:rPr>
          <w:t>Proposal for a new regulation on the screening of foreign investments (10).pdf</w:t>
        </w:r>
      </w:hyperlink>
    </w:p>
  </w:footnote>
  <w:footnote w:id="132">
    <w:p w14:paraId="707AEEFD" w14:textId="4CBD8396" w:rsidR="00015951" w:rsidRPr="005744AF" w:rsidRDefault="00015951">
      <w:pPr>
        <w:pStyle w:val="Fotnotetekst"/>
        <w:rPr>
          <w:lang w:val="en-US"/>
        </w:rPr>
      </w:pPr>
      <w:r w:rsidRPr="00015951">
        <w:rPr>
          <w:rStyle w:val="Fotnotereferanse"/>
        </w:rPr>
        <w:footnoteRef/>
      </w:r>
      <w:r w:rsidRPr="005744AF">
        <w:rPr>
          <w:lang w:val="en-US"/>
        </w:rPr>
        <w:tab/>
        <w:t>Se for eksempel forslag til artikkel 1 nr. 3: Member States may adopt or maintain in force national provisions in fields not coordinated by this Regulation.</w:t>
      </w:r>
    </w:p>
  </w:footnote>
  <w:footnote w:id="133">
    <w:p w14:paraId="28053979" w14:textId="3020329A" w:rsidR="00015951" w:rsidRDefault="00015951">
      <w:pPr>
        <w:pStyle w:val="Fotnotetekst"/>
      </w:pPr>
      <w:r w:rsidRPr="00015951">
        <w:rPr>
          <w:rStyle w:val="Fotnotereferanse"/>
        </w:rPr>
        <w:footnoteRef/>
      </w:r>
      <w:r>
        <w:tab/>
        <w:t xml:space="preserve">Dette forutsetter at staten har tatt stilling til </w:t>
      </w:r>
      <w:r w:rsidRPr="00015951">
        <w:rPr>
          <w:rStyle w:val="kursiv"/>
        </w:rPr>
        <w:t>hvilke</w:t>
      </w:r>
      <w:r>
        <w:t xml:space="preserve"> selskaper som bør være under statlig eierskap. Dette er en dynamisk vurdering, jf. kapittel 11.5</w:t>
      </w:r>
    </w:p>
  </w:footnote>
  <w:footnote w:id="134">
    <w:p w14:paraId="3CAE689C" w14:textId="4F48EE43" w:rsidR="00015951" w:rsidRDefault="00015951">
      <w:pPr>
        <w:pStyle w:val="Fotnotetekst"/>
      </w:pPr>
      <w:r w:rsidRPr="00015951">
        <w:rPr>
          <w:rStyle w:val="Fotnotereferanse"/>
        </w:rPr>
        <w:footnoteRef/>
      </w:r>
      <w:r>
        <w:tab/>
      </w:r>
      <w:r>
        <w:t>«</w:t>
      </w:r>
      <w:r>
        <w:t>Robuste transmisjonsnett for Norge mot 2030 – Målbilder og virkemidler</w:t>
      </w:r>
      <w:r>
        <w:t>»</w:t>
      </w:r>
      <w:r>
        <w:t>, Nkom, 2022</w:t>
      </w:r>
    </w:p>
  </w:footnote>
  <w:footnote w:id="135">
    <w:p w14:paraId="49B499B2" w14:textId="13DD6264" w:rsidR="00015951" w:rsidRDefault="00015951">
      <w:pPr>
        <w:pStyle w:val="Fotnotetekst"/>
      </w:pPr>
      <w:r w:rsidRPr="00015951">
        <w:rPr>
          <w:rStyle w:val="Fotnotereferanse"/>
        </w:rPr>
        <w:footnoteRef/>
      </w:r>
      <w:r>
        <w:tab/>
      </w:r>
      <w:r>
        <w:t>«</w:t>
      </w:r>
      <w:r>
        <w:t>Ekominfrastruktur i Nordland – Regional risiko- og sårbarhetsanalyse for Nordland</w:t>
      </w:r>
      <w:r>
        <w:t>»</w:t>
      </w:r>
      <w:r>
        <w:t>, Nkom, 2023</w:t>
      </w:r>
    </w:p>
  </w:footnote>
  <w:footnote w:id="136">
    <w:p w14:paraId="6EB17893" w14:textId="52EAB37A" w:rsidR="00015951" w:rsidRDefault="00015951">
      <w:pPr>
        <w:pStyle w:val="Fotnotetekst"/>
      </w:pPr>
      <w:r w:rsidRPr="00015951">
        <w:rPr>
          <w:rStyle w:val="Fotnotereferanse"/>
        </w:rPr>
        <w:footnoteRef/>
      </w:r>
      <w:r>
        <w:tab/>
      </w:r>
      <w:hyperlink r:id="rId81" w:history="1">
        <w:r>
          <w:rPr>
            <w:rStyle w:val="Hyperkobling"/>
          </w:rPr>
          <w:t>https://www.acma2017.com/</w:t>
        </w:r>
      </w:hyperlink>
      <w:r>
        <w:t xml:space="preserve"> </w:t>
      </w:r>
    </w:p>
  </w:footnote>
  <w:footnote w:id="137">
    <w:p w14:paraId="0D070052" w14:textId="4665F108" w:rsidR="00015951" w:rsidRDefault="00015951">
      <w:pPr>
        <w:pStyle w:val="Fotnotetekst"/>
      </w:pPr>
      <w:r w:rsidRPr="00015951">
        <w:rPr>
          <w:rStyle w:val="Fotnotereferanse"/>
        </w:rPr>
        <w:footnoteRef/>
      </w:r>
      <w:r>
        <w:tab/>
      </w:r>
      <w:hyperlink r:id="rId82" w:history="1">
        <w:r>
          <w:rPr>
            <w:rStyle w:val="Hyperkobling"/>
          </w:rPr>
          <w:t>https://www.regjeringen.no/no/aktuelt/samarbeid-for-a-sikre-kritisk-undersjoisk-infrastruktur/id3033122/</w:t>
        </w:r>
      </w:hyperlink>
    </w:p>
  </w:footnote>
  <w:footnote w:id="138">
    <w:p w14:paraId="4C8B2831" w14:textId="79B894C5" w:rsidR="00015951" w:rsidRDefault="00015951">
      <w:pPr>
        <w:pStyle w:val="Fotnotetekst"/>
      </w:pPr>
      <w:r w:rsidRPr="00015951">
        <w:rPr>
          <w:rStyle w:val="Fotnotereferanse"/>
        </w:rPr>
        <w:footnoteRef/>
      </w:r>
      <w:r>
        <w:tab/>
      </w:r>
      <w:r>
        <w:rPr>
          <w:rStyle w:val="Hyperkobling"/>
        </w:rPr>
        <w:t xml:space="preserve">https://www.norden.org/en/declaration/joint-statement-nordic-and-baltic-ministers-digitalisation </w:t>
      </w:r>
    </w:p>
  </w:footnote>
  <w:footnote w:id="139">
    <w:p w14:paraId="3CA35EDB" w14:textId="490D38A9" w:rsidR="00015951" w:rsidRDefault="00015951">
      <w:pPr>
        <w:pStyle w:val="Fotnotetekst"/>
      </w:pPr>
      <w:r w:rsidRPr="00015951">
        <w:rPr>
          <w:rStyle w:val="Fotnotereferanse"/>
        </w:rPr>
        <w:footnoteRef/>
      </w:r>
      <w:r>
        <w:tab/>
      </w:r>
      <w:r>
        <w:rPr>
          <w:rStyle w:val="Hyperkobling"/>
          <w:spacing w:val="-1"/>
        </w:rPr>
        <w:t xml:space="preserve">https://www.regjeringen.no/no/aktuelt/norge-slutter-seg-til-internasjonalt-initiativ-om-undersjoiske-kabler/id3075280/ </w:t>
      </w:r>
    </w:p>
  </w:footnote>
  <w:footnote w:id="140">
    <w:p w14:paraId="3C93DB36" w14:textId="2687DBE0" w:rsidR="00015951" w:rsidRDefault="00015951">
      <w:pPr>
        <w:pStyle w:val="Fotnotetekst"/>
      </w:pPr>
      <w:r w:rsidRPr="00015951">
        <w:rPr>
          <w:rStyle w:val="Fotnotereferanse"/>
        </w:rPr>
        <w:footnoteRef/>
      </w:r>
      <w:r>
        <w:tab/>
      </w:r>
      <w:r>
        <w:rPr>
          <w:rStyle w:val="Hyperkobling"/>
        </w:rPr>
        <w:t xml:space="preserve">https://www.nato.int/cps/en/natohq/news_225582.htm </w:t>
      </w:r>
    </w:p>
  </w:footnote>
  <w:footnote w:id="141">
    <w:p w14:paraId="10888756" w14:textId="1C443FF3" w:rsidR="00015951" w:rsidRDefault="00015951">
      <w:pPr>
        <w:pStyle w:val="Fotnotetekst"/>
      </w:pPr>
      <w:r w:rsidRPr="00015951">
        <w:rPr>
          <w:rStyle w:val="Fotnotereferanse"/>
        </w:rPr>
        <w:footnoteRef/>
      </w:r>
      <w:r>
        <w:tab/>
      </w:r>
      <w:r>
        <w:rPr>
          <w:rStyle w:val="Hyperkobling"/>
          <w:spacing w:val="-3"/>
        </w:rPr>
        <w:t>https://www.telenor.no/om/presse-og-media/pressemeldinger/telenor-styrker-beredskapen-langs-finnmarkskysten.page</w:t>
      </w:r>
    </w:p>
  </w:footnote>
  <w:footnote w:id="142">
    <w:p w14:paraId="44EE1791" w14:textId="50DBB411" w:rsidR="00015951" w:rsidRDefault="00015951">
      <w:pPr>
        <w:pStyle w:val="Fotnotetekst"/>
      </w:pPr>
      <w:r w:rsidRPr="00015951">
        <w:rPr>
          <w:rStyle w:val="Fotnotereferanse"/>
        </w:rPr>
        <w:footnoteRef/>
      </w:r>
      <w:r>
        <w:tab/>
      </w:r>
      <w:hyperlink r:id="rId83" w:history="1">
        <w:r>
          <w:rPr>
            <w:rStyle w:val="Hyperkobling"/>
          </w:rPr>
          <w:t>off_rapport_sarbarhetsanalyse_for_trondelag_2024-02-05.pdf</w:t>
        </w:r>
      </w:hyperlink>
    </w:p>
  </w:footnote>
  <w:footnote w:id="143">
    <w:p w14:paraId="49F16B38" w14:textId="2C0EEE29" w:rsidR="00015951" w:rsidRDefault="00015951">
      <w:pPr>
        <w:pStyle w:val="Fotnotetekst"/>
      </w:pPr>
      <w:r w:rsidRPr="00015951">
        <w:rPr>
          <w:rStyle w:val="Fotnotereferanse"/>
        </w:rPr>
        <w:footnoteRef/>
      </w:r>
      <w:r>
        <w:tab/>
        <w:t>Nkom årsrapport 2023</w:t>
      </w:r>
    </w:p>
  </w:footnote>
  <w:footnote w:id="144">
    <w:p w14:paraId="557B6BBA" w14:textId="0433C95C" w:rsidR="00015951" w:rsidRDefault="00015951">
      <w:pPr>
        <w:pStyle w:val="Fotnotetekst"/>
      </w:pPr>
      <w:r w:rsidRPr="00015951">
        <w:rPr>
          <w:rStyle w:val="Fotnotereferanse"/>
        </w:rPr>
        <w:footnoteRef/>
      </w:r>
      <w:r>
        <w:tab/>
      </w:r>
      <w:hyperlink r:id="rId84" w:history="1">
        <w:r>
          <w:rPr>
            <w:rStyle w:val="Hyperkobling"/>
          </w:rPr>
          <w:t>https://www.regjeringen.no/contentassets/abd1dec7647a4c22aaef7d93046e3f2b/pa-rett-sted-til-rett-tid.pdf</w:t>
        </w:r>
      </w:hyperlink>
      <w:r>
        <w:t xml:space="preserve"> </w:t>
      </w:r>
    </w:p>
  </w:footnote>
  <w:footnote w:id="145">
    <w:p w14:paraId="7AE77E57" w14:textId="206C6C31" w:rsidR="00015951" w:rsidRDefault="00015951">
      <w:pPr>
        <w:pStyle w:val="Fotnotetekst"/>
      </w:pPr>
      <w:r w:rsidRPr="00015951">
        <w:rPr>
          <w:rStyle w:val="Fotnotereferanse"/>
        </w:rPr>
        <w:footnoteRef/>
      </w:r>
      <w:r>
        <w:tab/>
        <w:t>NOU 2023: 17</w:t>
      </w:r>
    </w:p>
  </w:footnote>
  <w:footnote w:id="146">
    <w:p w14:paraId="7DC719C8" w14:textId="02F85375" w:rsidR="00015951" w:rsidRDefault="00015951">
      <w:pPr>
        <w:pStyle w:val="Fotnotetekst"/>
      </w:pPr>
      <w:r w:rsidRPr="00015951">
        <w:rPr>
          <w:rStyle w:val="Fotnotereferanse"/>
        </w:rPr>
        <w:footnoteRef/>
      </w:r>
      <w:r>
        <w:tab/>
        <w:t xml:space="preserve">Sikkerhetsfaglig råd – Et motstandsdyktig Norge, NSM, </w:t>
      </w:r>
      <w:hyperlink r:id="rId85" w:history="1">
        <w:r>
          <w:rPr>
            <w:rStyle w:val="Hyperkobling"/>
          </w:rPr>
          <w:t>https://nsm.no/regelverk-og-hjelp/rapporter/sikkerhetsfaglig-rad-et-motstandsdyktig-norge</w:t>
        </w:r>
      </w:hyperlink>
      <w:r>
        <w:t xml:space="preserve"> </w:t>
      </w:r>
    </w:p>
  </w:footnote>
  <w:footnote w:id="147">
    <w:p w14:paraId="74960DC6" w14:textId="7A66B72A" w:rsidR="00015951" w:rsidRDefault="00015951">
      <w:pPr>
        <w:pStyle w:val="Fotnotetekst"/>
      </w:pPr>
      <w:r w:rsidRPr="00015951">
        <w:rPr>
          <w:rStyle w:val="Fotnotereferanse"/>
        </w:rPr>
        <w:footnoteRef/>
      </w:r>
      <w:r>
        <w:tab/>
        <w:t xml:space="preserve">Brev av 7. januar 2025 fra Digitaliserings- og forvaltningsdepartementet til Nkom. </w:t>
      </w:r>
    </w:p>
  </w:footnote>
  <w:footnote w:id="148">
    <w:p w14:paraId="31D3707A" w14:textId="2AD02AA2" w:rsidR="00015951" w:rsidRPr="003621FB" w:rsidRDefault="00015951">
      <w:pPr>
        <w:pStyle w:val="Fotnotetekst"/>
        <w:rPr>
          <w:spacing w:val="-1"/>
        </w:rPr>
      </w:pPr>
      <w:r w:rsidRPr="00015951">
        <w:rPr>
          <w:rStyle w:val="Fotnotereferanse"/>
        </w:rPr>
        <w:footnoteRef/>
      </w:r>
      <w:r>
        <w:tab/>
      </w:r>
      <w:hyperlink r:id="rId86" w:history="1">
        <w:r>
          <w:rPr>
            <w:rStyle w:val="Hyperkobling"/>
            <w:spacing w:val="-1"/>
          </w:rPr>
          <w:t>https://www.regjeringen.no/no/aktuelt/regjeringen-setter-vilkar-knyttet-til-kjop-av-eierandel-i-globalconnect/id2970605/</w:t>
        </w:r>
      </w:hyperlink>
    </w:p>
  </w:footnote>
  <w:footnote w:id="149">
    <w:p w14:paraId="6770557C" w14:textId="2BEEBAC6" w:rsidR="00015951" w:rsidRDefault="00015951">
      <w:pPr>
        <w:pStyle w:val="Fotnotetekst"/>
      </w:pPr>
      <w:r w:rsidRPr="00015951">
        <w:rPr>
          <w:rStyle w:val="Fotnotereferanse"/>
        </w:rPr>
        <w:footnoteRef/>
      </w:r>
      <w:r>
        <w:tab/>
        <w:t>Carbon Border Adjustment Mechanism</w:t>
      </w:r>
    </w:p>
  </w:footnote>
  <w:footnote w:id="150">
    <w:p w14:paraId="36876390" w14:textId="4E06FFC6" w:rsidR="00015951" w:rsidRDefault="00015951">
      <w:pPr>
        <w:pStyle w:val="Fotnotetekst"/>
      </w:pPr>
      <w:r w:rsidRPr="00015951">
        <w:rPr>
          <w:rStyle w:val="Fotnotereferanse"/>
        </w:rPr>
        <w:footnoteRef/>
      </w:r>
      <w:r>
        <w:tab/>
        <w:t>Utredning av rettslige rammer for kontroll med kritisk digital infrastruktur s. 42.</w:t>
      </w:r>
    </w:p>
  </w:footnote>
  <w:footnote w:id="151">
    <w:p w14:paraId="32FDA079" w14:textId="080F48A2" w:rsidR="00015951" w:rsidRPr="00015951" w:rsidRDefault="00015951">
      <w:pPr>
        <w:pStyle w:val="Fotnotetekst"/>
        <w:rPr>
          <w:rStyle w:val="kursiv"/>
        </w:rPr>
      </w:pPr>
      <w:r w:rsidRPr="00015951">
        <w:rPr>
          <w:rStyle w:val="Fotnotereferanse"/>
        </w:rPr>
        <w:footnoteRef/>
      </w:r>
      <w:r w:rsidRPr="005342B1">
        <w:tab/>
        <w:t>Forkortelsen står for</w:t>
      </w:r>
      <w:r w:rsidRPr="00015951">
        <w:rPr>
          <w:rStyle w:val="kursiv"/>
        </w:rPr>
        <w:t xml:space="preserve"> Réseaux IP Européens Network Coordination Centre.</w:t>
      </w:r>
    </w:p>
  </w:footnote>
  <w:footnote w:id="152">
    <w:p w14:paraId="5EF5B237" w14:textId="524F308C" w:rsidR="00015951" w:rsidRPr="005744AF" w:rsidRDefault="00015951">
      <w:pPr>
        <w:pStyle w:val="Fotnotetekst"/>
        <w:rPr>
          <w:lang w:val="en-US"/>
        </w:rPr>
      </w:pPr>
      <w:r w:rsidRPr="00015951">
        <w:rPr>
          <w:rStyle w:val="Fotnotereferanse"/>
        </w:rPr>
        <w:footnoteRef/>
      </w:r>
      <w:r w:rsidRPr="005744AF">
        <w:rPr>
          <w:lang w:val="en-US"/>
        </w:rPr>
        <w:tab/>
        <w:t xml:space="preserve">Akronymene står for </w:t>
      </w:r>
      <w:r w:rsidRPr="00015951">
        <w:rPr>
          <w:rStyle w:val="kursiv"/>
        </w:rPr>
        <w:t>Resource Public Key Infrastructure, Route Origin Validation</w:t>
      </w:r>
      <w:r w:rsidRPr="005744AF">
        <w:rPr>
          <w:lang w:val="en-US"/>
        </w:rPr>
        <w:t>.</w:t>
      </w:r>
    </w:p>
  </w:footnote>
  <w:footnote w:id="153">
    <w:p w14:paraId="531BA21D" w14:textId="6C8F9FD5" w:rsidR="00015951" w:rsidRPr="005744AF" w:rsidRDefault="00015951">
      <w:pPr>
        <w:pStyle w:val="Fotnotetekst"/>
        <w:rPr>
          <w:lang w:val="en-US"/>
        </w:rPr>
      </w:pPr>
      <w:r w:rsidRPr="00015951">
        <w:rPr>
          <w:rStyle w:val="Fotnotereferanse"/>
        </w:rPr>
        <w:footnoteRef/>
      </w:r>
      <w:r w:rsidRPr="005744AF">
        <w:rPr>
          <w:lang w:val="en-US"/>
        </w:rPr>
        <w:tab/>
        <w:t>Cooper, D., Heilman, E., Brogle, K., Reyzin, L., &amp; Goldberg, S. (2013, November). On the risk of misbehaving RPKI authorities. In Proceedings of the Twelfth ACM Workshop on Hot Topics in Networks (pp. 1-7).</w:t>
      </w:r>
    </w:p>
  </w:footnote>
  <w:footnote w:id="154">
    <w:p w14:paraId="1DBA694D" w14:textId="0F75DDCE" w:rsidR="00015951" w:rsidRPr="005342B1" w:rsidRDefault="00015951">
      <w:pPr>
        <w:pStyle w:val="Fotnotetekst"/>
        <w:rPr>
          <w:lang w:val="en-US"/>
        </w:rPr>
      </w:pPr>
      <w:r w:rsidRPr="00015951">
        <w:rPr>
          <w:rStyle w:val="Fotnotereferanse"/>
        </w:rPr>
        <w:footnoteRef/>
      </w:r>
      <w:r w:rsidRPr="005342B1">
        <w:rPr>
          <w:lang w:val="en-US"/>
        </w:rPr>
        <w:tab/>
        <w:t>Domain Name System</w:t>
      </w:r>
    </w:p>
  </w:footnote>
  <w:footnote w:id="155">
    <w:p w14:paraId="61735EC4" w14:textId="4837C93C" w:rsidR="00015951" w:rsidRPr="005342B1" w:rsidRDefault="00015951">
      <w:pPr>
        <w:pStyle w:val="Fotnotetekst"/>
        <w:rPr>
          <w:lang w:val="en-US"/>
        </w:rPr>
      </w:pPr>
      <w:r w:rsidRPr="00015951">
        <w:rPr>
          <w:rStyle w:val="Fotnotereferanse"/>
        </w:rPr>
        <w:footnoteRef/>
      </w:r>
      <w:r w:rsidRPr="005342B1">
        <w:rPr>
          <w:lang w:val="en-US"/>
        </w:rPr>
        <w:tab/>
        <w:t>Det er så langt kun åpnet for registreringer under .no</w:t>
      </w:r>
    </w:p>
  </w:footnote>
  <w:footnote w:id="156">
    <w:p w14:paraId="246CB494" w14:textId="137ED6A4" w:rsidR="00015951" w:rsidRPr="005342B1" w:rsidRDefault="00015951">
      <w:pPr>
        <w:pStyle w:val="Fotnotetekst"/>
        <w:rPr>
          <w:lang w:val="en-US"/>
        </w:rPr>
      </w:pPr>
      <w:r w:rsidRPr="00015951">
        <w:rPr>
          <w:rStyle w:val="Fotnotereferanse"/>
        </w:rPr>
        <w:footnoteRef/>
      </w:r>
      <w:r w:rsidRPr="005342B1">
        <w:rPr>
          <w:lang w:val="en-US"/>
        </w:rPr>
        <w:tab/>
        <w:t>Seks av disse ligger i Oslo, og en ligger i Trondheim</w:t>
      </w:r>
    </w:p>
  </w:footnote>
  <w:footnote w:id="157">
    <w:p w14:paraId="3C3CBFFA" w14:textId="2C9D6951" w:rsidR="00015951" w:rsidRPr="005744AF" w:rsidRDefault="00015951">
      <w:pPr>
        <w:pStyle w:val="Fotnotetekst"/>
        <w:rPr>
          <w:lang w:val="en-US"/>
        </w:rPr>
      </w:pPr>
      <w:r w:rsidRPr="00015951">
        <w:rPr>
          <w:rStyle w:val="Fotnotereferanse"/>
        </w:rPr>
        <w:footnoteRef/>
      </w:r>
      <w:r w:rsidRPr="005744AF">
        <w:rPr>
          <w:lang w:val="en-US"/>
        </w:rPr>
        <w:tab/>
        <w:t>Regulation (EU) 2024/1183 of the European Parliament and of the Council of 11 April 2024 amending Regulation (EU) No 910/2014 as regards establishing the European Digital Identity Framework</w:t>
      </w:r>
    </w:p>
  </w:footnote>
  <w:footnote w:id="158">
    <w:p w14:paraId="149289FF" w14:textId="21BF5492" w:rsidR="00015951" w:rsidRPr="005342B1" w:rsidRDefault="00015951">
      <w:pPr>
        <w:pStyle w:val="Fotnotetekst"/>
        <w:rPr>
          <w:lang w:val="en-US"/>
        </w:rPr>
      </w:pPr>
      <w:r w:rsidRPr="00015951">
        <w:rPr>
          <w:rStyle w:val="Fotnotereferanse"/>
        </w:rPr>
        <w:footnoteRef/>
      </w:r>
      <w:r w:rsidRPr="005342B1">
        <w:rPr>
          <w:lang w:val="en-US"/>
        </w:rPr>
        <w:tab/>
      </w:r>
      <w:r>
        <w:rPr>
          <w:lang w:val="en-US"/>
        </w:rPr>
        <w:t>«</w:t>
      </w:r>
      <w:r w:rsidRPr="005342B1">
        <w:rPr>
          <w:lang w:val="en-US"/>
        </w:rPr>
        <w:t>På rett sted til rett tid</w:t>
      </w:r>
      <w:r>
        <w:rPr>
          <w:lang w:val="en-US"/>
        </w:rPr>
        <w:t>»</w:t>
      </w:r>
      <w:r w:rsidRPr="005342B1">
        <w:rPr>
          <w:lang w:val="en-US"/>
        </w:rPr>
        <w:t>, Samferdselsdepartementet, 2018.</w:t>
      </w:r>
    </w:p>
  </w:footnote>
  <w:footnote w:id="159">
    <w:p w14:paraId="72FB43D1" w14:textId="74853D3C" w:rsidR="00015951" w:rsidRPr="005342B1" w:rsidRDefault="00015951">
      <w:pPr>
        <w:pStyle w:val="Fotnotetekst"/>
        <w:rPr>
          <w:lang w:val="en-US"/>
        </w:rPr>
      </w:pPr>
      <w:r w:rsidRPr="00015951">
        <w:rPr>
          <w:rStyle w:val="Fotnotereferanse"/>
        </w:rPr>
        <w:footnoteRef/>
      </w:r>
      <w:r w:rsidRPr="005342B1">
        <w:rPr>
          <w:lang w:val="en-US"/>
        </w:rPr>
        <w:tab/>
        <w:t>NOU 2023: 17</w:t>
      </w:r>
    </w:p>
  </w:footnote>
  <w:footnote w:id="160">
    <w:p w14:paraId="1EF9CAAA" w14:textId="5F263CA8" w:rsidR="00015951" w:rsidRPr="005342B1" w:rsidRDefault="00015951">
      <w:pPr>
        <w:pStyle w:val="Fotnotetekst"/>
        <w:rPr>
          <w:lang w:val="en-US"/>
        </w:rPr>
      </w:pPr>
      <w:r w:rsidRPr="00015951">
        <w:rPr>
          <w:rStyle w:val="Fotnotereferanse"/>
        </w:rPr>
        <w:footnoteRef/>
      </w:r>
      <w:r w:rsidRPr="005342B1">
        <w:rPr>
          <w:lang w:val="en-US"/>
        </w:rPr>
        <w:tab/>
        <w:t>Se Schrems I (</w:t>
      </w:r>
      <w:hyperlink r:id="rId87" w:history="1">
        <w:r w:rsidRPr="005342B1">
          <w:rPr>
            <w:rStyle w:val="Hyperkobling"/>
            <w:lang w:val="en-US"/>
          </w:rPr>
          <w:t>https://eur-lex.europa.eu/legal-content/EN/TXT/?uri=CELEX:62014CJ0362</w:t>
        </w:r>
      </w:hyperlink>
      <w:r w:rsidRPr="005342B1">
        <w:rPr>
          <w:lang w:val="en-US"/>
        </w:rPr>
        <w:t>) og Schrems II (</w:t>
      </w:r>
      <w:hyperlink r:id="rId88" w:history="1">
        <w:r w:rsidRPr="005342B1">
          <w:rPr>
            <w:rStyle w:val="Hyperkobling"/>
            <w:lang w:val="en-US"/>
          </w:rPr>
          <w:t>https://eur-lex.europa.eu/legal-content/EN/TXT/?uri=CELEX%3A62018CJ0311&amp;qid=1738086589197</w:t>
        </w:r>
      </w:hyperlink>
      <w:r w:rsidRPr="005342B1">
        <w:rPr>
          <w:lang w:val="en-US"/>
        </w:rPr>
        <w:t xml:space="preserve">) </w:t>
      </w:r>
    </w:p>
  </w:footnote>
  <w:footnote w:id="161">
    <w:p w14:paraId="6648727C" w14:textId="2170DF28" w:rsidR="00015951" w:rsidRPr="005342B1" w:rsidRDefault="00015951">
      <w:pPr>
        <w:pStyle w:val="Fotnotetekst"/>
        <w:rPr>
          <w:lang w:val="en-US"/>
        </w:rPr>
      </w:pPr>
      <w:r w:rsidRPr="00015951">
        <w:rPr>
          <w:rStyle w:val="Fotnotereferanse"/>
        </w:rPr>
        <w:footnoteRef/>
      </w:r>
      <w:r w:rsidRPr="005342B1">
        <w:rPr>
          <w:lang w:val="en-US"/>
        </w:rPr>
        <w:tab/>
      </w:r>
      <w:r>
        <w:rPr>
          <w:lang w:val="en-US"/>
        </w:rPr>
        <w:t>«</w:t>
      </w:r>
      <w:r w:rsidRPr="005342B1">
        <w:rPr>
          <w:lang w:val="en-US"/>
        </w:rPr>
        <w:t>Internett i Norge – Årsrapport 2023</w:t>
      </w:r>
      <w:r>
        <w:rPr>
          <w:lang w:val="en-US"/>
        </w:rPr>
        <w:t>»</w:t>
      </w:r>
      <w:r w:rsidRPr="005342B1">
        <w:rPr>
          <w:lang w:val="en-US"/>
        </w:rPr>
        <w:t>. Nasjonal kommunikasjonsmyndighet.</w:t>
      </w:r>
    </w:p>
  </w:footnote>
  <w:footnote w:id="162">
    <w:p w14:paraId="2C7479A6" w14:textId="1C8D82B3" w:rsidR="00015951" w:rsidRPr="005342B1" w:rsidRDefault="00015951">
      <w:pPr>
        <w:pStyle w:val="Fotnotetekst"/>
        <w:rPr>
          <w:lang w:val="en-US"/>
        </w:rPr>
      </w:pPr>
      <w:r w:rsidRPr="00015951">
        <w:rPr>
          <w:rStyle w:val="Fotnotereferanse"/>
        </w:rPr>
        <w:footnoteRef/>
      </w:r>
      <w:r w:rsidRPr="005342B1">
        <w:rPr>
          <w:lang w:val="en-US"/>
        </w:rPr>
        <w:tab/>
      </w:r>
      <w:hyperlink r:id="rId89" w:history="1">
        <w:r w:rsidRPr="005342B1">
          <w:rPr>
            <w:rStyle w:val="Hyperkobling"/>
            <w:lang w:val="en-US"/>
          </w:rPr>
          <w:t>https://www.regjeringen.no/no/aktuelt/nytt-system-for-nodvarsel-til-befolkningen-er-etablert/id2958586/</w:t>
        </w:r>
      </w:hyperlink>
    </w:p>
  </w:footnote>
  <w:footnote w:id="163">
    <w:p w14:paraId="089F4FF9" w14:textId="71B76953" w:rsidR="00015951" w:rsidRPr="005342B1" w:rsidRDefault="00015951">
      <w:pPr>
        <w:pStyle w:val="Fotnotetekst"/>
        <w:rPr>
          <w:lang w:val="en-US"/>
        </w:rPr>
      </w:pPr>
      <w:r w:rsidRPr="00015951">
        <w:rPr>
          <w:rStyle w:val="Fotnotereferanse"/>
        </w:rPr>
        <w:footnoteRef/>
      </w:r>
      <w:r w:rsidRPr="005342B1">
        <w:rPr>
          <w:lang w:val="en-US"/>
        </w:rPr>
        <w:tab/>
      </w:r>
      <w:hyperlink r:id="rId90" w:history="1">
        <w:r w:rsidRPr="005342B1">
          <w:rPr>
            <w:rStyle w:val="Hyperkobling"/>
            <w:lang w:val="en-US"/>
          </w:rPr>
          <w:t>https://www.starlink.com</w:t>
        </w:r>
      </w:hyperlink>
    </w:p>
  </w:footnote>
  <w:footnote w:id="164">
    <w:p w14:paraId="45C62135" w14:textId="45E0A5B9" w:rsidR="00015951" w:rsidRPr="005342B1" w:rsidRDefault="00015951">
      <w:pPr>
        <w:pStyle w:val="Fotnotetekst"/>
        <w:rPr>
          <w:lang w:val="en-US"/>
        </w:rPr>
      </w:pPr>
      <w:r w:rsidRPr="00015951">
        <w:rPr>
          <w:rStyle w:val="Fotnotereferanse"/>
        </w:rPr>
        <w:footnoteRef/>
      </w:r>
      <w:r w:rsidRPr="005342B1">
        <w:rPr>
          <w:lang w:val="en-US"/>
        </w:rPr>
        <w:tab/>
      </w:r>
      <w:hyperlink r:id="rId91" w:history="1">
        <w:r w:rsidRPr="005342B1">
          <w:rPr>
            <w:rStyle w:val="Hyperkobling"/>
            <w:lang w:val="en-US"/>
          </w:rPr>
          <w:t>https://oneweb.net/about-us</w:t>
        </w:r>
      </w:hyperlink>
    </w:p>
  </w:footnote>
  <w:footnote w:id="165">
    <w:p w14:paraId="01A8B648" w14:textId="0EA7B24A" w:rsidR="00015951" w:rsidRPr="005342B1" w:rsidRDefault="00015951">
      <w:pPr>
        <w:pStyle w:val="Fotnotetekst"/>
        <w:rPr>
          <w:lang w:val="en-US"/>
        </w:rPr>
      </w:pPr>
      <w:r w:rsidRPr="00015951">
        <w:rPr>
          <w:rStyle w:val="Fotnotereferanse"/>
        </w:rPr>
        <w:footnoteRef/>
      </w:r>
      <w:r w:rsidRPr="005342B1">
        <w:rPr>
          <w:lang w:val="en-US"/>
        </w:rPr>
        <w:tab/>
        <w:t>https://defence-industry-space.ec.europa.eu/eu-space/iris2-secure-connectivity_en</w:t>
      </w:r>
    </w:p>
  </w:footnote>
  <w:footnote w:id="166">
    <w:p w14:paraId="5FC34EB5" w14:textId="14B72E65" w:rsidR="00015951" w:rsidRDefault="00015951">
      <w:pPr>
        <w:pStyle w:val="Fotnotetekst"/>
      </w:pPr>
      <w:r w:rsidRPr="00015951">
        <w:rPr>
          <w:rStyle w:val="Fotnotereferanse"/>
        </w:rPr>
        <w:footnoteRef/>
      </w:r>
      <w:r>
        <w:tab/>
        <w:t>Regjeringens arbeidsprogram for EU- og EØS-saker 2024-2025 s. 17.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302341828">
    <w:abstractNumId w:val="25"/>
  </w:num>
  <w:num w:numId="8" w16cid:durableId="695350705">
    <w:abstractNumId w:val="2"/>
  </w:num>
  <w:num w:numId="9" w16cid:durableId="2074424752">
    <w:abstractNumId w:val="9"/>
  </w:num>
  <w:num w:numId="10" w16cid:durableId="1093283793">
    <w:abstractNumId w:val="10"/>
  </w:num>
  <w:num w:numId="11" w16cid:durableId="1549367804">
    <w:abstractNumId w:val="31"/>
  </w:num>
  <w:num w:numId="12" w16cid:durableId="1789155614">
    <w:abstractNumId w:val="4"/>
  </w:num>
  <w:num w:numId="13" w16cid:durableId="1281376518">
    <w:abstractNumId w:val="15"/>
  </w:num>
  <w:num w:numId="14" w16cid:durableId="1377050693">
    <w:abstractNumId w:val="30"/>
  </w:num>
  <w:num w:numId="15" w16cid:durableId="1122991450">
    <w:abstractNumId w:val="36"/>
  </w:num>
  <w:num w:numId="16" w16cid:durableId="443623288">
    <w:abstractNumId w:val="23"/>
  </w:num>
  <w:num w:numId="17" w16cid:durableId="1958560054">
    <w:abstractNumId w:val="1"/>
  </w:num>
  <w:num w:numId="18" w16cid:durableId="1826507644">
    <w:abstractNumId w:val="21"/>
  </w:num>
  <w:num w:numId="19" w16cid:durableId="1000084717">
    <w:abstractNumId w:val="26"/>
  </w:num>
  <w:num w:numId="20" w16cid:durableId="1881743657">
    <w:abstractNumId w:val="33"/>
  </w:num>
  <w:num w:numId="21" w16cid:durableId="1086027685">
    <w:abstractNumId w:val="37"/>
  </w:num>
  <w:num w:numId="22" w16cid:durableId="1495024277">
    <w:abstractNumId w:val="5"/>
  </w:num>
  <w:num w:numId="23" w16cid:durableId="1004893802">
    <w:abstractNumId w:val="13"/>
  </w:num>
  <w:num w:numId="24" w16cid:durableId="2093314615">
    <w:abstractNumId w:val="28"/>
  </w:num>
  <w:num w:numId="25" w16cid:durableId="2061443347">
    <w:abstractNumId w:val="7"/>
  </w:num>
  <w:num w:numId="26" w16cid:durableId="615912939">
    <w:abstractNumId w:val="27"/>
  </w:num>
  <w:num w:numId="27" w16cid:durableId="116336904">
    <w:abstractNumId w:val="0"/>
  </w:num>
  <w:num w:numId="28" w16cid:durableId="1790126119">
    <w:abstractNumId w:val="20"/>
  </w:num>
  <w:num w:numId="29" w16cid:durableId="2096172467">
    <w:abstractNumId w:val="6"/>
  </w:num>
  <w:num w:numId="30" w16cid:durableId="513425096">
    <w:abstractNumId w:val="11"/>
  </w:num>
  <w:num w:numId="31" w16cid:durableId="1733311814">
    <w:abstractNumId w:val="24"/>
  </w:num>
  <w:num w:numId="32" w16cid:durableId="1792362062">
    <w:abstractNumId w:val="35"/>
  </w:num>
  <w:num w:numId="33" w16cid:durableId="257954137">
    <w:abstractNumId w:val="14"/>
  </w:num>
  <w:num w:numId="34" w16cid:durableId="394938225">
    <w:abstractNumId w:val="17"/>
  </w:num>
  <w:num w:numId="35" w16cid:durableId="1167212603">
    <w:abstractNumId w:val="8"/>
  </w:num>
  <w:num w:numId="36" w16cid:durableId="653216016">
    <w:abstractNumId w:val="18"/>
  </w:num>
  <w:num w:numId="37" w16cid:durableId="413403540">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985859694">
    <w:abstractNumId w:val="7"/>
    <w:lvlOverride w:ilvl="0">
      <w:startOverride w:val="1"/>
    </w:lvlOverride>
  </w:num>
  <w:num w:numId="41" w16cid:durableId="279843551">
    <w:abstractNumId w:val="7"/>
    <w:lvlOverride w:ilvl="0">
      <w:startOverride w:val="1"/>
    </w:lvlOverride>
  </w:num>
  <w:num w:numId="42" w16cid:durableId="133447825">
    <w:abstractNumId w:val="7"/>
    <w:lvlOverride w:ilvl="0">
      <w:startOverride w:val="1"/>
    </w:lvlOverride>
  </w:num>
  <w:num w:numId="43" w16cid:durableId="1215194047">
    <w:abstractNumId w:val="7"/>
    <w:lvlOverride w:ilvl="0">
      <w:startOverride w:val="1"/>
    </w:lvlOverride>
  </w:num>
  <w:num w:numId="44" w16cid:durableId="85734055">
    <w:abstractNumId w:val="7"/>
    <w:lvlOverride w:ilvl="0">
      <w:startOverride w:val="1"/>
    </w:lvlOverride>
  </w:num>
  <w:num w:numId="45" w16cid:durableId="356006975">
    <w:abstractNumId w:val="7"/>
    <w:lvlOverride w:ilvl="0">
      <w:startOverride w:val="1"/>
    </w:lvlOverride>
  </w:num>
  <w:num w:numId="46" w16cid:durableId="1805662517">
    <w:abstractNumId w:val="7"/>
    <w:lvlOverride w:ilvl="0">
      <w:startOverride w:val="1"/>
    </w:lvlOverride>
  </w:num>
  <w:num w:numId="47" w16cid:durableId="664552110">
    <w:abstractNumId w:val="11"/>
    <w:lvlOverride w:ilvl="0">
      <w:startOverride w:val="1"/>
    </w:lvlOverride>
  </w:num>
  <w:num w:numId="48" w16cid:durableId="1518585">
    <w:abstractNumId w:val="7"/>
    <w:lvlOverride w:ilvl="0">
      <w:startOverride w:val="1"/>
    </w:lvlOverride>
  </w:num>
  <w:num w:numId="49" w16cid:durableId="66520885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4307832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2423613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4846564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96006238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402459077">
    <w:abstractNumId w:val="7"/>
    <w:lvlOverride w:ilvl="0">
      <w:startOverride w:val="1"/>
    </w:lvlOverride>
  </w:num>
  <w:num w:numId="55" w16cid:durableId="7467108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681056282">
    <w:abstractNumId w:val="19"/>
  </w:num>
  <w:num w:numId="57" w16cid:durableId="1071731859">
    <w:abstractNumId w:val="29"/>
  </w:num>
  <w:num w:numId="58"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436489836">
    <w:abstractNumId w:val="7"/>
    <w:lvlOverride w:ilvl="0">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DFD\Publikasjoner\D-2009 B Nasjonal kontroll med kritisk digital kommunikasjons infrastruktur\05_SLUTTFORMATER\KJERNE-r.no\Forside.jpg"/>
    <w:docVar w:name="W2KpdfPath" w:val="X:\FILLAGER\DFD\Publikasjoner\D-2009 B Nasjonal kontroll med kritisk digital kommunikasjons infrastruktur\05_SLUTTFORMATER\PDF-TS\260179-Ekomsikkerhet-Web.pdf"/>
  </w:docVars>
  <w:rsids>
    <w:rsidRoot w:val="003C0E05"/>
    <w:rsid w:val="000068F4"/>
    <w:rsid w:val="00007D65"/>
    <w:rsid w:val="00015951"/>
    <w:rsid w:val="000312A6"/>
    <w:rsid w:val="000336F0"/>
    <w:rsid w:val="00035C4E"/>
    <w:rsid w:val="0003695A"/>
    <w:rsid w:val="000B057A"/>
    <w:rsid w:val="000D1FB3"/>
    <w:rsid w:val="000D289B"/>
    <w:rsid w:val="001276DC"/>
    <w:rsid w:val="0016021B"/>
    <w:rsid w:val="00171C15"/>
    <w:rsid w:val="00172A10"/>
    <w:rsid w:val="0019382E"/>
    <w:rsid w:val="00227F91"/>
    <w:rsid w:val="0025773E"/>
    <w:rsid w:val="002E2C6A"/>
    <w:rsid w:val="00347456"/>
    <w:rsid w:val="0034774B"/>
    <w:rsid w:val="003621FB"/>
    <w:rsid w:val="00371DDF"/>
    <w:rsid w:val="00372969"/>
    <w:rsid w:val="003A6AF0"/>
    <w:rsid w:val="003C00D6"/>
    <w:rsid w:val="003C04CB"/>
    <w:rsid w:val="003C0E05"/>
    <w:rsid w:val="003D2D3B"/>
    <w:rsid w:val="004045C7"/>
    <w:rsid w:val="00431D59"/>
    <w:rsid w:val="00466718"/>
    <w:rsid w:val="004B1A63"/>
    <w:rsid w:val="004B4E04"/>
    <w:rsid w:val="00511740"/>
    <w:rsid w:val="005342B1"/>
    <w:rsid w:val="005744AF"/>
    <w:rsid w:val="00587E47"/>
    <w:rsid w:val="00596BCD"/>
    <w:rsid w:val="005A6D61"/>
    <w:rsid w:val="005F024C"/>
    <w:rsid w:val="005F432B"/>
    <w:rsid w:val="006022C5"/>
    <w:rsid w:val="006F4031"/>
    <w:rsid w:val="00702AE0"/>
    <w:rsid w:val="00767EFD"/>
    <w:rsid w:val="0079268E"/>
    <w:rsid w:val="007B4A5F"/>
    <w:rsid w:val="008C76FB"/>
    <w:rsid w:val="008D2BE4"/>
    <w:rsid w:val="0095372D"/>
    <w:rsid w:val="009663A3"/>
    <w:rsid w:val="0098608D"/>
    <w:rsid w:val="009A50E9"/>
    <w:rsid w:val="009D64E3"/>
    <w:rsid w:val="009E110A"/>
    <w:rsid w:val="00A16B61"/>
    <w:rsid w:val="00A244E6"/>
    <w:rsid w:val="00A36E7D"/>
    <w:rsid w:val="00A717A1"/>
    <w:rsid w:val="00A94CC6"/>
    <w:rsid w:val="00AB49CD"/>
    <w:rsid w:val="00AF134A"/>
    <w:rsid w:val="00B334C6"/>
    <w:rsid w:val="00B46B24"/>
    <w:rsid w:val="00B51BAF"/>
    <w:rsid w:val="00BA4E46"/>
    <w:rsid w:val="00C26A9D"/>
    <w:rsid w:val="00C44C45"/>
    <w:rsid w:val="00CA2A5A"/>
    <w:rsid w:val="00CF5F01"/>
    <w:rsid w:val="00D5652D"/>
    <w:rsid w:val="00D8323C"/>
    <w:rsid w:val="00DC7C89"/>
    <w:rsid w:val="00DF7988"/>
    <w:rsid w:val="00E439D2"/>
    <w:rsid w:val="00E47CAB"/>
    <w:rsid w:val="00E5635F"/>
    <w:rsid w:val="00F25864"/>
    <w:rsid w:val="00F4523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EB1ED6B"/>
  <w14:defaultImageDpi w14:val="96"/>
  <w15:docId w15:val="{5EB8139B-7321-439C-92A6-E8D9FDC81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42B1"/>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5342B1"/>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5342B1"/>
    <w:pPr>
      <w:numPr>
        <w:ilvl w:val="1"/>
      </w:numPr>
      <w:spacing w:before="240"/>
      <w:outlineLvl w:val="1"/>
    </w:pPr>
    <w:rPr>
      <w:spacing w:val="4"/>
      <w:sz w:val="28"/>
    </w:rPr>
  </w:style>
  <w:style w:type="paragraph" w:styleId="Overskrift3">
    <w:name w:val="heading 3"/>
    <w:basedOn w:val="Normal"/>
    <w:next w:val="Normal"/>
    <w:link w:val="Overskrift3Tegn"/>
    <w:qFormat/>
    <w:rsid w:val="005342B1"/>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5342B1"/>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5342B1"/>
    <w:pPr>
      <w:numPr>
        <w:ilvl w:val="4"/>
      </w:numPr>
      <w:spacing w:before="200"/>
      <w:outlineLvl w:val="4"/>
    </w:pPr>
    <w:rPr>
      <w:b w:val="0"/>
      <w:sz w:val="22"/>
    </w:rPr>
  </w:style>
  <w:style w:type="paragraph" w:styleId="Overskrift6">
    <w:name w:val="heading 6"/>
    <w:basedOn w:val="Normal"/>
    <w:next w:val="Normal"/>
    <w:link w:val="Overskrift6Tegn"/>
    <w:qFormat/>
    <w:rsid w:val="005342B1"/>
    <w:pPr>
      <w:numPr>
        <w:ilvl w:val="5"/>
        <w:numId w:val="1"/>
      </w:numPr>
      <w:spacing w:before="240" w:after="60"/>
      <w:outlineLvl w:val="5"/>
    </w:pPr>
    <w:rPr>
      <w:i/>
    </w:rPr>
  </w:style>
  <w:style w:type="paragraph" w:styleId="Overskrift7">
    <w:name w:val="heading 7"/>
    <w:basedOn w:val="Normal"/>
    <w:next w:val="Normal"/>
    <w:link w:val="Overskrift7Tegn"/>
    <w:qFormat/>
    <w:rsid w:val="005342B1"/>
    <w:pPr>
      <w:numPr>
        <w:ilvl w:val="6"/>
        <w:numId w:val="1"/>
      </w:numPr>
      <w:spacing w:before="240" w:after="60"/>
      <w:outlineLvl w:val="6"/>
    </w:pPr>
  </w:style>
  <w:style w:type="paragraph" w:styleId="Overskrift8">
    <w:name w:val="heading 8"/>
    <w:basedOn w:val="Normal"/>
    <w:next w:val="Normal"/>
    <w:link w:val="Overskrift8Tegn"/>
    <w:qFormat/>
    <w:rsid w:val="005342B1"/>
    <w:pPr>
      <w:numPr>
        <w:ilvl w:val="7"/>
        <w:numId w:val="1"/>
      </w:numPr>
      <w:spacing w:before="240" w:after="60"/>
      <w:outlineLvl w:val="7"/>
    </w:pPr>
    <w:rPr>
      <w:i/>
    </w:rPr>
  </w:style>
  <w:style w:type="paragraph" w:styleId="Overskrift9">
    <w:name w:val="heading 9"/>
    <w:basedOn w:val="Normal"/>
    <w:next w:val="Normal"/>
    <w:link w:val="Overskrift9Tegn"/>
    <w:qFormat/>
    <w:rsid w:val="005342B1"/>
    <w:pPr>
      <w:numPr>
        <w:ilvl w:val="8"/>
        <w:numId w:val="1"/>
      </w:numPr>
      <w:spacing w:before="240" w:after="60"/>
      <w:outlineLvl w:val="8"/>
    </w:pPr>
    <w:rPr>
      <w:b/>
      <w:i/>
      <w:sz w:val="18"/>
    </w:rPr>
  </w:style>
  <w:style w:type="character" w:default="1" w:styleId="Standardskriftforavsnitt">
    <w:name w:val="Default Paragraph Font"/>
    <w:uiPriority w:val="1"/>
    <w:unhideWhenUsed/>
    <w:rsid w:val="005342B1"/>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5342B1"/>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Deltittel">
    <w:name w:val="Deltittel"/>
    <w:basedOn w:val="NoParagraphStyle"/>
    <w:uiPriority w:val="99"/>
    <w:pPr>
      <w:suppressAutoHyphens/>
      <w:spacing w:after="200" w:line="580" w:lineRule="atLeast"/>
      <w:jc w:val="center"/>
    </w:pPr>
    <w:rPr>
      <w:rFonts w:ascii="OpenSans" w:hAnsi="OpenSans" w:cs="OpenSans"/>
      <w:sz w:val="46"/>
      <w:szCs w:val="46"/>
      <w:lang w:val="nb-NO"/>
    </w:rPr>
  </w:style>
  <w:style w:type="paragraph" w:customStyle="1" w:styleId="BasicParagraph">
    <w:name w:val="[Basic Paragraph]"/>
    <w:basedOn w:val="NoParagraphStyle"/>
    <w:uiPriority w:val="99"/>
    <w:rPr>
      <w:rFonts w:ascii="OpenSans" w:hAnsi="OpenSans" w:cs="OpenSans"/>
      <w:lang w:val="nb-NO"/>
    </w:rPr>
  </w:style>
  <w:style w:type="character" w:customStyle="1" w:styleId="Overskrift1Tegn">
    <w:name w:val="Overskrift 1 Tegn"/>
    <w:basedOn w:val="Standardskriftforavsnitt"/>
    <w:link w:val="Overskrift1"/>
    <w:rsid w:val="005342B1"/>
    <w:rPr>
      <w:rFonts w:ascii="Open Sans" w:eastAsia="Times New Roman" w:hAnsi="Open Sans"/>
      <w:b/>
      <w:kern w:val="28"/>
      <w:sz w:val="32"/>
      <w:szCs w:val="22"/>
      <w14:ligatures w14:val="none"/>
    </w:rPr>
  </w:style>
  <w:style w:type="paragraph" w:styleId="Nummerertliste">
    <w:name w:val="List Number"/>
    <w:qFormat/>
    <w:rsid w:val="005342B1"/>
    <w:pPr>
      <w:keepLines/>
      <w:numPr>
        <w:numId w:val="25"/>
      </w:numPr>
      <w:tabs>
        <w:tab w:val="num" w:pos="397"/>
      </w:tabs>
      <w:spacing w:after="0" w:line="288" w:lineRule="auto"/>
      <w:ind w:left="397" w:hanging="397"/>
    </w:pPr>
    <w:rPr>
      <w:rFonts w:ascii="Open Sans" w:eastAsia="Batang" w:hAnsi="Open Sans"/>
      <w:kern w:val="0"/>
      <w:sz w:val="22"/>
      <w:szCs w:val="20"/>
      <w14:ligatures w14:val="none"/>
    </w:rPr>
  </w:style>
  <w:style w:type="character" w:customStyle="1" w:styleId="Overskrift2Tegn">
    <w:name w:val="Overskrift 2 Tegn"/>
    <w:basedOn w:val="Standardskriftforavsnitt"/>
    <w:link w:val="Overskrift2"/>
    <w:rsid w:val="005342B1"/>
    <w:rPr>
      <w:rFonts w:ascii="Open Sans" w:eastAsia="Times New Roman" w:hAnsi="Open Sans"/>
      <w:b/>
      <w:spacing w:val="4"/>
      <w:kern w:val="28"/>
      <w:sz w:val="28"/>
      <w:szCs w:val="22"/>
      <w14:ligatures w14:val="none"/>
    </w:rPr>
  </w:style>
  <w:style w:type="paragraph" w:customStyle="1" w:styleId="Normal--start">
    <w:name w:val="Normal--start"/>
    <w:basedOn w:val="Normal"/>
    <w:next w:val="Normal"/>
    <w:uiPriority w:val="99"/>
    <w:pPr>
      <w:spacing w:before="0"/>
    </w:pPr>
  </w:style>
  <w:style w:type="paragraph" w:styleId="Liste">
    <w:name w:val="List"/>
    <w:basedOn w:val="Nummerertliste"/>
    <w:qFormat/>
    <w:rsid w:val="005342B1"/>
    <w:pPr>
      <w:numPr>
        <w:numId w:val="19"/>
      </w:numPr>
      <w:ind w:left="397" w:hanging="397"/>
      <w:contextualSpacing/>
    </w:pPr>
    <w:rPr>
      <w:spacing w:val="4"/>
    </w:rPr>
  </w:style>
  <w:style w:type="paragraph" w:customStyle="1" w:styleId="UnOverskrift3">
    <w:name w:val="UnOverskrift 3"/>
    <w:basedOn w:val="Overskrift3"/>
    <w:next w:val="Normal"/>
    <w:qFormat/>
    <w:rsid w:val="005342B1"/>
    <w:pPr>
      <w:numPr>
        <w:ilvl w:val="0"/>
        <w:numId w:val="0"/>
      </w:numPr>
    </w:pPr>
  </w:style>
  <w:style w:type="character" w:customStyle="1" w:styleId="Overskrift4Tegn">
    <w:name w:val="Overskrift 4 Tegn"/>
    <w:basedOn w:val="Standardskriftforavsnitt"/>
    <w:link w:val="Overskrift4"/>
    <w:rsid w:val="005342B1"/>
    <w:rPr>
      <w:rFonts w:ascii="Open Sans" w:eastAsia="Times New Roman" w:hAnsi="Open Sans"/>
      <w:i/>
      <w:spacing w:val="4"/>
      <w:kern w:val="28"/>
      <w:sz w:val="22"/>
      <w:szCs w:val="22"/>
      <w14:ligatures w14:val="none"/>
    </w:rPr>
  </w:style>
  <w:style w:type="paragraph" w:customStyle="1" w:styleId="UnOverskrift4">
    <w:name w:val="UnOverskrift 4"/>
    <w:basedOn w:val="Overskrift4"/>
    <w:next w:val="Normal"/>
    <w:qFormat/>
    <w:rsid w:val="005342B1"/>
    <w:pPr>
      <w:numPr>
        <w:ilvl w:val="0"/>
        <w:numId w:val="0"/>
      </w:numPr>
    </w:pPr>
  </w:style>
  <w:style w:type="character" w:customStyle="1" w:styleId="Overskrift3Tegn">
    <w:name w:val="Overskrift 3 Tegn"/>
    <w:basedOn w:val="Standardskriftforavsnitt"/>
    <w:link w:val="Overskrift3"/>
    <w:rsid w:val="005342B1"/>
    <w:rPr>
      <w:rFonts w:ascii="Open Sans" w:eastAsia="Times New Roman" w:hAnsi="Open Sans"/>
      <w:b/>
      <w:kern w:val="0"/>
      <w:sz w:val="22"/>
      <w:szCs w:val="22"/>
      <w14:ligatures w14:val="none"/>
    </w:rPr>
  </w:style>
  <w:style w:type="paragraph" w:customStyle="1" w:styleId="blokksit">
    <w:name w:val="blokksit"/>
    <w:basedOn w:val="Normal"/>
    <w:autoRedefine/>
    <w:qFormat/>
    <w:rsid w:val="005342B1"/>
    <w:pPr>
      <w:spacing w:line="240" w:lineRule="auto"/>
      <w:ind w:left="397"/>
    </w:pPr>
    <w:rPr>
      <w:spacing w:val="-2"/>
    </w:rPr>
  </w:style>
  <w:style w:type="paragraph" w:customStyle="1" w:styleId="figur-tittel">
    <w:name w:val="figur-tittel"/>
    <w:basedOn w:val="Normal"/>
    <w:next w:val="Normal"/>
    <w:rsid w:val="005342B1"/>
    <w:pPr>
      <w:numPr>
        <w:ilvl w:val="5"/>
        <w:numId w:val="18"/>
      </w:numPr>
    </w:pPr>
    <w:rPr>
      <w:spacing w:val="4"/>
      <w:sz w:val="28"/>
    </w:rPr>
  </w:style>
  <w:style w:type="paragraph" w:customStyle="1" w:styleId="Listebombe">
    <w:name w:val="Liste bombe"/>
    <w:basedOn w:val="Liste"/>
    <w:qFormat/>
    <w:rsid w:val="005342B1"/>
    <w:pPr>
      <w:numPr>
        <w:numId w:val="12"/>
      </w:numPr>
      <w:ind w:left="397" w:hanging="397"/>
    </w:pPr>
  </w:style>
  <w:style w:type="paragraph" w:customStyle="1" w:styleId="tabell-tittel">
    <w:name w:val="tabell-tittel"/>
    <w:basedOn w:val="Normal"/>
    <w:next w:val="Normal"/>
    <w:rsid w:val="005342B1"/>
    <w:pPr>
      <w:keepNext/>
      <w:keepLines/>
      <w:numPr>
        <w:ilvl w:val="6"/>
        <w:numId w:val="18"/>
      </w:numPr>
      <w:spacing w:before="240"/>
    </w:pPr>
    <w:rPr>
      <w:spacing w:val="4"/>
      <w:sz w:val="28"/>
    </w:rPr>
  </w:style>
  <w:style w:type="paragraph" w:customStyle="1" w:styleId="Kilde">
    <w:name w:val="Kilde"/>
    <w:basedOn w:val="Normal"/>
    <w:next w:val="Normal"/>
    <w:rsid w:val="005342B1"/>
    <w:pPr>
      <w:spacing w:after="240"/>
    </w:pPr>
    <w:rPr>
      <w:spacing w:val="4"/>
    </w:rPr>
  </w:style>
  <w:style w:type="paragraph" w:styleId="Undertittel">
    <w:name w:val="Subtitle"/>
    <w:basedOn w:val="Overskrift1"/>
    <w:next w:val="Normal"/>
    <w:link w:val="UndertittelTegn"/>
    <w:qFormat/>
    <w:rsid w:val="005342B1"/>
    <w:pPr>
      <w:numPr>
        <w:numId w:val="0"/>
      </w:numPr>
      <w:spacing w:before="240"/>
      <w:outlineLvl w:val="9"/>
    </w:pPr>
    <w:rPr>
      <w:spacing w:val="4"/>
      <w:sz w:val="28"/>
    </w:rPr>
  </w:style>
  <w:style w:type="character" w:customStyle="1" w:styleId="UndertittelTegn">
    <w:name w:val="Undertittel Tegn"/>
    <w:basedOn w:val="Standardskriftforavsnitt"/>
    <w:link w:val="Undertittel"/>
    <w:rsid w:val="005342B1"/>
    <w:rPr>
      <w:rFonts w:ascii="Open Sans" w:eastAsia="Times New Roman" w:hAnsi="Open Sans"/>
      <w:b/>
      <w:spacing w:val="4"/>
      <w:kern w:val="28"/>
      <w:sz w:val="28"/>
      <w:szCs w:val="22"/>
      <w14:ligatures w14:val="none"/>
    </w:rPr>
  </w:style>
  <w:style w:type="paragraph" w:customStyle="1" w:styleId="alfaliste">
    <w:name w:val="alfaliste"/>
    <w:basedOn w:val="Nummerertliste"/>
    <w:rsid w:val="005342B1"/>
    <w:pPr>
      <w:numPr>
        <w:numId w:val="39"/>
      </w:numPr>
    </w:pPr>
    <w:rPr>
      <w:spacing w:val="4"/>
    </w:rPr>
  </w:style>
  <w:style w:type="paragraph" w:customStyle="1" w:styleId="alfaliste2">
    <w:name w:val="alfaliste 2"/>
    <w:basedOn w:val="alfaliste"/>
    <w:next w:val="alfaliste"/>
    <w:rsid w:val="005342B1"/>
    <w:pPr>
      <w:numPr>
        <w:numId w:val="24"/>
      </w:numPr>
    </w:pPr>
  </w:style>
  <w:style w:type="paragraph" w:customStyle="1" w:styleId="Listebombe2">
    <w:name w:val="Liste bombe 2"/>
    <w:basedOn w:val="Liste2"/>
    <w:qFormat/>
    <w:rsid w:val="005342B1"/>
    <w:pPr>
      <w:numPr>
        <w:numId w:val="13"/>
      </w:numPr>
      <w:ind w:left="794" w:hanging="397"/>
    </w:pPr>
  </w:style>
  <w:style w:type="paragraph" w:customStyle="1" w:styleId="Note">
    <w:name w:val="Note"/>
    <w:basedOn w:val="Normal"/>
    <w:qFormat/>
    <w:rsid w:val="005342B1"/>
  </w:style>
  <w:style w:type="paragraph" w:styleId="Fotnotetekst">
    <w:name w:val="footnote text"/>
    <w:basedOn w:val="Normal"/>
    <w:link w:val="FotnotetekstTegn"/>
    <w:rsid w:val="005342B1"/>
    <w:rPr>
      <w:spacing w:val="4"/>
    </w:rPr>
  </w:style>
  <w:style w:type="character" w:customStyle="1" w:styleId="FotnotetekstTegn">
    <w:name w:val="Fotnotetekst Tegn"/>
    <w:basedOn w:val="Standardskriftforavsnitt"/>
    <w:link w:val="Fotnotetekst"/>
    <w:rsid w:val="005342B1"/>
    <w:rPr>
      <w:rFonts w:ascii="Open Sans" w:eastAsia="Times New Roman" w:hAnsi="Open Sans"/>
      <w:spacing w:val="4"/>
      <w:kern w:val="0"/>
      <w:sz w:val="22"/>
      <w:szCs w:val="22"/>
      <w14:ligatures w14:val="none"/>
    </w:rPr>
  </w:style>
  <w:style w:type="paragraph" w:customStyle="1" w:styleId="Boks-Overskrift">
    <w:name w:val="Boks - Overskrift"/>
    <w:basedOn w:val="NoParagraphStyle"/>
    <w:uiPriority w:val="99"/>
    <w:pPr>
      <w:suppressAutoHyphens/>
      <w:spacing w:before="240" w:line="270" w:lineRule="atLeast"/>
    </w:pPr>
    <w:rPr>
      <w:rFonts w:ascii="OpenSans-Bold" w:hAnsi="OpenSans-Bold" w:cs="OpenSans-Bold"/>
      <w:b/>
      <w:bCs/>
      <w:sz w:val="19"/>
      <w:szCs w:val="19"/>
      <w:lang w:val="nb-NO"/>
    </w:rPr>
  </w:style>
  <w:style w:type="paragraph" w:customStyle="1" w:styleId="BoksBrdtekst">
    <w:name w:val="Boks – Brødtekst"/>
    <w:basedOn w:val="NoParagraphStyle"/>
    <w:uiPriority w:val="99"/>
    <w:pPr>
      <w:suppressAutoHyphens/>
      <w:spacing w:before="240" w:line="270" w:lineRule="atLeast"/>
    </w:pPr>
    <w:rPr>
      <w:rFonts w:ascii="OpenSans" w:hAnsi="OpenSans" w:cs="OpenSans"/>
      <w:sz w:val="19"/>
      <w:szCs w:val="19"/>
      <w:lang w:val="nb-NO"/>
    </w:rPr>
  </w:style>
  <w:style w:type="paragraph" w:customStyle="1" w:styleId="Tabell-Overskrift">
    <w:name w:val="Tabell - Overskrift"/>
    <w:basedOn w:val="NoParagraphStyle"/>
    <w:uiPriority w:val="99"/>
    <w:pPr>
      <w:suppressAutoHyphens/>
      <w:spacing w:before="240" w:line="240" w:lineRule="atLeast"/>
    </w:pPr>
    <w:rPr>
      <w:rFonts w:ascii="OpenSans-Bold" w:hAnsi="OpenSans-Bold" w:cs="OpenSans-Bold"/>
      <w:b/>
      <w:bCs/>
      <w:sz w:val="18"/>
      <w:szCs w:val="18"/>
      <w:lang w:val="nb-NO"/>
    </w:rPr>
  </w:style>
  <w:style w:type="paragraph" w:customStyle="1" w:styleId="TabellBrdtekst">
    <w:name w:val="Tabell – Brødtekst"/>
    <w:basedOn w:val="NoParagraphStyle"/>
    <w:uiPriority w:val="99"/>
    <w:pPr>
      <w:suppressAutoHyphens/>
      <w:spacing w:before="240" w:line="240" w:lineRule="atLeast"/>
    </w:pPr>
    <w:rPr>
      <w:rFonts w:ascii="OpenSans" w:hAnsi="OpenSans" w:cs="OpenSans"/>
      <w:sz w:val="18"/>
      <w:szCs w:val="18"/>
      <w:lang w:val="nb-NO"/>
    </w:rPr>
  </w:style>
  <w:style w:type="character" w:styleId="Hyperkobling">
    <w:name w:val="Hyperlink"/>
    <w:basedOn w:val="Standardskriftforavsnitt"/>
    <w:uiPriority w:val="99"/>
    <w:unhideWhenUsed/>
    <w:rsid w:val="005342B1"/>
    <w:rPr>
      <w:color w:val="467886" w:themeColor="hyperlink"/>
      <w:u w:val="single"/>
    </w:rPr>
  </w:style>
  <w:style w:type="character" w:customStyle="1" w:styleId="skrift-hevet">
    <w:name w:val="skrift-hevet"/>
    <w:basedOn w:val="Standardskriftforavsnitt"/>
    <w:rsid w:val="005342B1"/>
    <w:rPr>
      <w:sz w:val="20"/>
      <w:vertAlign w:val="superscript"/>
    </w:rPr>
  </w:style>
  <w:style w:type="character" w:customStyle="1" w:styleId="halvfet">
    <w:name w:val="halvfet"/>
    <w:basedOn w:val="Standardskriftforavsnitt"/>
    <w:rsid w:val="005342B1"/>
    <w:rPr>
      <w:b/>
    </w:rPr>
  </w:style>
  <w:style w:type="character" w:styleId="Merknadsreferanse">
    <w:name w:val="annotation reference"/>
    <w:basedOn w:val="Standardskriftforavsnitt"/>
    <w:rsid w:val="005342B1"/>
    <w:rPr>
      <w:sz w:val="16"/>
    </w:rPr>
  </w:style>
  <w:style w:type="character" w:customStyle="1" w:styleId="kursiv">
    <w:name w:val="kursiv"/>
    <w:basedOn w:val="Standardskriftforavsnitt"/>
    <w:rsid w:val="005342B1"/>
    <w:rPr>
      <w:i/>
    </w:rPr>
  </w:style>
  <w:style w:type="character" w:customStyle="1" w:styleId="cf01">
    <w:name w:val="cf01"/>
    <w:uiPriority w:val="99"/>
    <w:rPr>
      <w:rFonts w:ascii="Segoe UI" w:hAnsi="Segoe UI" w:cs="Segoe UI"/>
      <w:w w:val="100"/>
      <w:sz w:val="26"/>
      <w:szCs w:val="26"/>
    </w:rPr>
  </w:style>
  <w:style w:type="character" w:customStyle="1" w:styleId="Overskrift5Tegn">
    <w:name w:val="Overskrift 5 Tegn"/>
    <w:basedOn w:val="Standardskriftforavsnitt"/>
    <w:link w:val="Overskrift5"/>
    <w:rsid w:val="005342B1"/>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5342B1"/>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5342B1"/>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5342B1"/>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5342B1"/>
    <w:rPr>
      <w:rFonts w:ascii="Open Sans" w:eastAsia="Times New Roman" w:hAnsi="Open Sans"/>
      <w:b/>
      <w:i/>
      <w:kern w:val="0"/>
      <w:sz w:val="18"/>
      <w:szCs w:val="22"/>
      <w14:ligatures w14:val="none"/>
    </w:rPr>
  </w:style>
  <w:style w:type="paragraph" w:customStyle="1" w:styleId="alfaliste3">
    <w:name w:val="alfaliste 3"/>
    <w:basedOn w:val="alfaliste"/>
    <w:autoRedefine/>
    <w:qFormat/>
    <w:rsid w:val="005342B1"/>
    <w:pPr>
      <w:numPr>
        <w:numId w:val="30"/>
      </w:numPr>
    </w:pPr>
  </w:style>
  <w:style w:type="paragraph" w:customStyle="1" w:styleId="alfaliste4">
    <w:name w:val="alfaliste 4"/>
    <w:basedOn w:val="alfaliste"/>
    <w:qFormat/>
    <w:rsid w:val="005342B1"/>
    <w:pPr>
      <w:numPr>
        <w:numId w:val="31"/>
      </w:numPr>
      <w:ind w:left="1588" w:hanging="397"/>
    </w:pPr>
  </w:style>
  <w:style w:type="paragraph" w:customStyle="1" w:styleId="alfaliste5">
    <w:name w:val="alfaliste 5"/>
    <w:basedOn w:val="alfaliste"/>
    <w:qFormat/>
    <w:rsid w:val="005342B1"/>
    <w:pPr>
      <w:numPr>
        <w:numId w:val="32"/>
      </w:numPr>
      <w:ind w:left="1985" w:hanging="397"/>
    </w:pPr>
  </w:style>
  <w:style w:type="paragraph" w:customStyle="1" w:styleId="avsnitt-tittel">
    <w:name w:val="avsnitt-tittel"/>
    <w:basedOn w:val="Undertittel"/>
    <w:next w:val="Normal"/>
    <w:rsid w:val="005342B1"/>
    <w:rPr>
      <w:b w:val="0"/>
    </w:rPr>
  </w:style>
  <w:style w:type="paragraph" w:customStyle="1" w:styleId="avsnitt-undertittel">
    <w:name w:val="avsnitt-undertittel"/>
    <w:basedOn w:val="Undertittel"/>
    <w:next w:val="Normal"/>
    <w:rsid w:val="005342B1"/>
    <w:pPr>
      <w:spacing w:line="240" w:lineRule="auto"/>
    </w:pPr>
    <w:rPr>
      <w:rFonts w:eastAsia="Batang"/>
      <w:b w:val="0"/>
      <w:i/>
      <w:sz w:val="24"/>
      <w:szCs w:val="20"/>
    </w:rPr>
  </w:style>
  <w:style w:type="paragraph" w:customStyle="1" w:styleId="avsnitt-under-undertittel">
    <w:name w:val="avsnitt-under-undertittel"/>
    <w:basedOn w:val="Undertittel"/>
    <w:next w:val="Normal"/>
    <w:rsid w:val="005342B1"/>
    <w:pPr>
      <w:spacing w:line="240" w:lineRule="auto"/>
    </w:pPr>
    <w:rPr>
      <w:rFonts w:eastAsia="Batang"/>
      <w:b w:val="0"/>
      <w:i/>
      <w:sz w:val="22"/>
      <w:szCs w:val="20"/>
    </w:rPr>
  </w:style>
  <w:style w:type="paragraph" w:customStyle="1" w:styleId="Def">
    <w:name w:val="Def"/>
    <w:basedOn w:val="Normal"/>
    <w:qFormat/>
    <w:rsid w:val="005342B1"/>
  </w:style>
  <w:style w:type="paragraph" w:customStyle="1" w:styleId="figur-beskr">
    <w:name w:val="figur-beskr"/>
    <w:basedOn w:val="Normal"/>
    <w:next w:val="Normal"/>
    <w:rsid w:val="005342B1"/>
    <w:rPr>
      <w:spacing w:val="4"/>
    </w:rPr>
  </w:style>
  <w:style w:type="paragraph" w:customStyle="1" w:styleId="hengende-innrykk">
    <w:name w:val="hengende-innrykk"/>
    <w:basedOn w:val="Normal"/>
    <w:next w:val="Normal"/>
    <w:rsid w:val="005342B1"/>
    <w:pPr>
      <w:ind w:left="1418" w:hanging="1418"/>
    </w:pPr>
    <w:rPr>
      <w:spacing w:val="4"/>
    </w:rPr>
  </w:style>
  <w:style w:type="character" w:customStyle="1" w:styleId="l-endring">
    <w:name w:val="l-endring"/>
    <w:basedOn w:val="Standardskriftforavsnitt"/>
    <w:rsid w:val="005342B1"/>
    <w:rPr>
      <w:i/>
    </w:rPr>
  </w:style>
  <w:style w:type="paragraph" w:customStyle="1" w:styleId="l-lovdeltit">
    <w:name w:val="l-lovdeltit"/>
    <w:basedOn w:val="Normal"/>
    <w:next w:val="Normal"/>
    <w:rsid w:val="005342B1"/>
    <w:pPr>
      <w:keepNext/>
      <w:spacing w:before="120" w:after="60"/>
    </w:pPr>
    <w:rPr>
      <w:b/>
    </w:rPr>
  </w:style>
  <w:style w:type="paragraph" w:customStyle="1" w:styleId="l-lovkap">
    <w:name w:val="l-lovkap"/>
    <w:basedOn w:val="Normal"/>
    <w:next w:val="Normal"/>
    <w:rsid w:val="005342B1"/>
    <w:pPr>
      <w:keepNext/>
      <w:spacing w:before="240" w:after="40"/>
    </w:pPr>
    <w:rPr>
      <w:b/>
      <w:spacing w:val="4"/>
    </w:rPr>
  </w:style>
  <w:style w:type="paragraph" w:customStyle="1" w:styleId="l-lovtit">
    <w:name w:val="l-lovtit"/>
    <w:basedOn w:val="Normal"/>
    <w:next w:val="Normal"/>
    <w:rsid w:val="005342B1"/>
    <w:pPr>
      <w:keepNext/>
      <w:spacing w:before="120" w:after="60"/>
    </w:pPr>
    <w:rPr>
      <w:b/>
      <w:spacing w:val="4"/>
    </w:rPr>
  </w:style>
  <w:style w:type="paragraph" w:customStyle="1" w:styleId="l-paragraf">
    <w:name w:val="l-paragraf"/>
    <w:basedOn w:val="Normal"/>
    <w:next w:val="Normal"/>
    <w:rsid w:val="005342B1"/>
    <w:pPr>
      <w:spacing w:before="180" w:after="0"/>
    </w:pPr>
    <w:rPr>
      <w:rFonts w:ascii="Times" w:hAnsi="Times"/>
      <w:i/>
      <w:spacing w:val="4"/>
    </w:rPr>
  </w:style>
  <w:style w:type="paragraph" w:customStyle="1" w:styleId="opplisting">
    <w:name w:val="opplisting"/>
    <w:basedOn w:val="Liste"/>
    <w:qFormat/>
    <w:rsid w:val="005342B1"/>
    <w:pPr>
      <w:numPr>
        <w:numId w:val="0"/>
      </w:numPr>
      <w:tabs>
        <w:tab w:val="left" w:pos="397"/>
      </w:tabs>
    </w:pPr>
    <w:rPr>
      <w:rFonts w:cs="Times New Roman"/>
    </w:rPr>
  </w:style>
  <w:style w:type="paragraph" w:customStyle="1" w:styleId="Ramme-slutt">
    <w:name w:val="Ramme-slutt"/>
    <w:basedOn w:val="Normal"/>
    <w:qFormat/>
    <w:rsid w:val="005342B1"/>
    <w:rPr>
      <w:b/>
      <w:color w:val="C00000"/>
    </w:rPr>
  </w:style>
  <w:style w:type="paragraph" w:customStyle="1" w:styleId="romertallliste">
    <w:name w:val="romertall liste"/>
    <w:basedOn w:val="Nummerertliste"/>
    <w:qFormat/>
    <w:rsid w:val="005342B1"/>
    <w:pPr>
      <w:numPr>
        <w:numId w:val="33"/>
      </w:numPr>
      <w:ind w:left="397" w:hanging="397"/>
    </w:pPr>
  </w:style>
  <w:style w:type="paragraph" w:customStyle="1" w:styleId="romertallliste2">
    <w:name w:val="romertall liste 2"/>
    <w:basedOn w:val="romertallliste"/>
    <w:qFormat/>
    <w:rsid w:val="005342B1"/>
    <w:pPr>
      <w:numPr>
        <w:numId w:val="34"/>
      </w:numPr>
      <w:ind w:left="794" w:hanging="397"/>
    </w:pPr>
  </w:style>
  <w:style w:type="paragraph" w:customStyle="1" w:styleId="romertallliste3">
    <w:name w:val="romertall liste 3"/>
    <w:basedOn w:val="romertallliste"/>
    <w:qFormat/>
    <w:rsid w:val="005342B1"/>
    <w:pPr>
      <w:numPr>
        <w:numId w:val="35"/>
      </w:numPr>
      <w:ind w:left="1191" w:hanging="397"/>
    </w:pPr>
  </w:style>
  <w:style w:type="paragraph" w:customStyle="1" w:styleId="romertallliste4">
    <w:name w:val="romertall liste 4"/>
    <w:basedOn w:val="romertallliste"/>
    <w:qFormat/>
    <w:rsid w:val="005342B1"/>
    <w:pPr>
      <w:numPr>
        <w:numId w:val="36"/>
      </w:numPr>
      <w:ind w:left="1588" w:hanging="397"/>
    </w:pPr>
  </w:style>
  <w:style w:type="character" w:customStyle="1" w:styleId="skrift-senket">
    <w:name w:val="skrift-senket"/>
    <w:basedOn w:val="Standardskriftforavsnitt"/>
    <w:rsid w:val="005342B1"/>
    <w:rPr>
      <w:sz w:val="20"/>
      <w:vertAlign w:val="subscript"/>
    </w:rPr>
  </w:style>
  <w:style w:type="character" w:customStyle="1" w:styleId="sperret">
    <w:name w:val="sperret"/>
    <w:basedOn w:val="Standardskriftforavsnitt"/>
    <w:rsid w:val="005342B1"/>
    <w:rPr>
      <w:spacing w:val="30"/>
    </w:rPr>
  </w:style>
  <w:style w:type="character" w:customStyle="1" w:styleId="Stikkord">
    <w:name w:val="Stikkord"/>
    <w:basedOn w:val="Standardskriftforavsnitt"/>
    <w:rsid w:val="005342B1"/>
  </w:style>
  <w:style w:type="paragraph" w:customStyle="1" w:styleId="Tabellnavn">
    <w:name w:val="Tabellnavn"/>
    <w:basedOn w:val="Normal"/>
    <w:qFormat/>
    <w:rsid w:val="005342B1"/>
    <w:rPr>
      <w:rFonts w:ascii="Times" w:hAnsi="Times"/>
      <w:vanish/>
      <w:color w:val="00B050"/>
    </w:rPr>
  </w:style>
  <w:style w:type="paragraph" w:customStyle="1" w:styleId="Term">
    <w:name w:val="Term"/>
    <w:basedOn w:val="Normal"/>
    <w:qFormat/>
    <w:rsid w:val="005342B1"/>
  </w:style>
  <w:style w:type="paragraph" w:customStyle="1" w:styleId="tittel-ramme">
    <w:name w:val="tittel-ramme"/>
    <w:basedOn w:val="Normal"/>
    <w:next w:val="Normal"/>
    <w:rsid w:val="005342B1"/>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5342B1"/>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5342B1"/>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5342B1"/>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5342B1"/>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5342B1"/>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5342B1"/>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5342B1"/>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5342B1"/>
    <w:pPr>
      <w:numPr>
        <w:numId w:val="17"/>
      </w:numPr>
    </w:pPr>
  </w:style>
  <w:style w:type="paragraph" w:customStyle="1" w:styleId="Figur">
    <w:name w:val="Figur"/>
    <w:basedOn w:val="Normal"/>
    <w:rsid w:val="005342B1"/>
    <w:pPr>
      <w:suppressAutoHyphens/>
      <w:spacing w:before="400" w:line="240" w:lineRule="auto"/>
      <w:jc w:val="center"/>
    </w:pPr>
    <w:rPr>
      <w:b/>
      <w:color w:val="FF0000"/>
    </w:rPr>
  </w:style>
  <w:style w:type="paragraph" w:customStyle="1" w:styleId="l-ledd">
    <w:name w:val="l-ledd"/>
    <w:basedOn w:val="Normal"/>
    <w:qFormat/>
    <w:rsid w:val="005342B1"/>
    <w:pPr>
      <w:spacing w:after="0"/>
      <w:ind w:firstLine="397"/>
    </w:pPr>
    <w:rPr>
      <w:rFonts w:ascii="Times" w:hAnsi="Times"/>
      <w:spacing w:val="4"/>
    </w:rPr>
  </w:style>
  <w:style w:type="paragraph" w:customStyle="1" w:styleId="l-punktum">
    <w:name w:val="l-punktum"/>
    <w:basedOn w:val="Normal"/>
    <w:qFormat/>
    <w:rsid w:val="005342B1"/>
    <w:pPr>
      <w:spacing w:after="0"/>
    </w:pPr>
    <w:rPr>
      <w:spacing w:val="4"/>
    </w:rPr>
  </w:style>
  <w:style w:type="paragraph" w:customStyle="1" w:styleId="l-tit-endr-lovkap">
    <w:name w:val="l-tit-endr-lovkap"/>
    <w:basedOn w:val="Normal"/>
    <w:qFormat/>
    <w:rsid w:val="005342B1"/>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5342B1"/>
    <w:pPr>
      <w:keepNext/>
      <w:spacing w:before="240" w:after="0" w:line="240" w:lineRule="auto"/>
    </w:pPr>
    <w:rPr>
      <w:rFonts w:ascii="Times" w:hAnsi="Times"/>
      <w:noProof/>
      <w:spacing w:val="4"/>
      <w:lang w:val="nn-NO"/>
    </w:rPr>
  </w:style>
  <w:style w:type="paragraph" w:customStyle="1" w:styleId="l-tit-endr-lov">
    <w:name w:val="l-tit-endr-lov"/>
    <w:basedOn w:val="Normal"/>
    <w:qFormat/>
    <w:rsid w:val="005342B1"/>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5342B1"/>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5342B1"/>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5342B1"/>
  </w:style>
  <w:style w:type="paragraph" w:customStyle="1" w:styleId="l-alfaliste">
    <w:name w:val="l-alfaliste"/>
    <w:basedOn w:val="alfaliste"/>
    <w:qFormat/>
    <w:rsid w:val="005342B1"/>
    <w:pPr>
      <w:numPr>
        <w:numId w:val="0"/>
      </w:numPr>
    </w:pPr>
    <w:rPr>
      <w:rFonts w:eastAsiaTheme="minorEastAsia"/>
    </w:rPr>
  </w:style>
  <w:style w:type="numbering" w:customStyle="1" w:styleId="AlfaListeStil">
    <w:name w:val="AlfaListeStil"/>
    <w:uiPriority w:val="99"/>
    <w:rsid w:val="005342B1"/>
    <w:pPr>
      <w:numPr>
        <w:numId w:val="39"/>
      </w:numPr>
    </w:pPr>
  </w:style>
  <w:style w:type="paragraph" w:customStyle="1" w:styleId="l-alfaliste2">
    <w:name w:val="l-alfaliste 2"/>
    <w:basedOn w:val="alfaliste2"/>
    <w:qFormat/>
    <w:rsid w:val="005342B1"/>
    <w:pPr>
      <w:numPr>
        <w:numId w:val="0"/>
      </w:numPr>
    </w:pPr>
  </w:style>
  <w:style w:type="paragraph" w:customStyle="1" w:styleId="l-alfaliste3">
    <w:name w:val="l-alfaliste 3"/>
    <w:basedOn w:val="alfaliste3"/>
    <w:qFormat/>
    <w:rsid w:val="005342B1"/>
    <w:pPr>
      <w:numPr>
        <w:numId w:val="0"/>
      </w:numPr>
    </w:pPr>
  </w:style>
  <w:style w:type="paragraph" w:customStyle="1" w:styleId="l-alfaliste4">
    <w:name w:val="l-alfaliste 4"/>
    <w:basedOn w:val="alfaliste4"/>
    <w:qFormat/>
    <w:rsid w:val="005342B1"/>
    <w:pPr>
      <w:numPr>
        <w:numId w:val="0"/>
      </w:numPr>
    </w:pPr>
  </w:style>
  <w:style w:type="paragraph" w:customStyle="1" w:styleId="l-alfaliste5">
    <w:name w:val="l-alfaliste 5"/>
    <w:basedOn w:val="alfaliste5"/>
    <w:qFormat/>
    <w:rsid w:val="005342B1"/>
    <w:pPr>
      <w:numPr>
        <w:numId w:val="0"/>
      </w:numPr>
    </w:pPr>
  </w:style>
  <w:style w:type="numbering" w:customStyle="1" w:styleId="l-AlfaListeStil">
    <w:name w:val="l-AlfaListeStil"/>
    <w:uiPriority w:val="99"/>
    <w:rsid w:val="005342B1"/>
  </w:style>
  <w:style w:type="numbering" w:customStyle="1" w:styleId="l-NummerertListeStil">
    <w:name w:val="l-NummerertListeStil"/>
    <w:uiPriority w:val="99"/>
    <w:rsid w:val="005342B1"/>
    <w:pPr>
      <w:numPr>
        <w:numId w:val="7"/>
      </w:numPr>
    </w:pPr>
  </w:style>
  <w:style w:type="numbering" w:customStyle="1" w:styleId="NrListeStil">
    <w:name w:val="NrListeStil"/>
    <w:uiPriority w:val="99"/>
    <w:rsid w:val="005342B1"/>
    <w:pPr>
      <w:numPr>
        <w:numId w:val="8"/>
      </w:numPr>
    </w:pPr>
  </w:style>
  <w:style w:type="numbering" w:customStyle="1" w:styleId="OpplistingListeStil">
    <w:name w:val="OpplistingListeStil"/>
    <w:uiPriority w:val="99"/>
    <w:rsid w:val="005342B1"/>
    <w:pPr>
      <w:numPr>
        <w:numId w:val="38"/>
      </w:numPr>
    </w:pPr>
  </w:style>
  <w:style w:type="numbering" w:customStyle="1" w:styleId="OverskrifterListeStil">
    <w:name w:val="OverskrifterListeStil"/>
    <w:uiPriority w:val="99"/>
    <w:rsid w:val="005342B1"/>
    <w:pPr>
      <w:numPr>
        <w:numId w:val="9"/>
      </w:numPr>
    </w:pPr>
  </w:style>
  <w:style w:type="numbering" w:customStyle="1" w:styleId="RomListeStil">
    <w:name w:val="RomListeStil"/>
    <w:uiPriority w:val="99"/>
    <w:rsid w:val="005342B1"/>
    <w:pPr>
      <w:numPr>
        <w:numId w:val="10"/>
      </w:numPr>
    </w:pPr>
  </w:style>
  <w:style w:type="numbering" w:customStyle="1" w:styleId="StrekListeStil">
    <w:name w:val="StrekListeStil"/>
    <w:uiPriority w:val="99"/>
    <w:rsid w:val="005342B1"/>
    <w:pPr>
      <w:numPr>
        <w:numId w:val="11"/>
      </w:numPr>
    </w:pPr>
  </w:style>
  <w:style w:type="paragraph" w:customStyle="1" w:styleId="romertallliste5">
    <w:name w:val="romertall liste 5"/>
    <w:basedOn w:val="romertallliste"/>
    <w:qFormat/>
    <w:rsid w:val="005342B1"/>
    <w:pPr>
      <w:numPr>
        <w:numId w:val="37"/>
      </w:numPr>
      <w:ind w:left="1985" w:hanging="397"/>
    </w:pPr>
    <w:rPr>
      <w:spacing w:val="4"/>
    </w:rPr>
  </w:style>
  <w:style w:type="paragraph" w:customStyle="1" w:styleId="opplisting2">
    <w:name w:val="opplisting 2"/>
    <w:basedOn w:val="opplisting"/>
    <w:qFormat/>
    <w:rsid w:val="005342B1"/>
    <w:pPr>
      <w:ind w:left="397"/>
    </w:pPr>
    <w:rPr>
      <w:lang w:val="en-US"/>
    </w:rPr>
  </w:style>
  <w:style w:type="paragraph" w:customStyle="1" w:styleId="opplisting3">
    <w:name w:val="opplisting 3"/>
    <w:basedOn w:val="opplisting"/>
    <w:qFormat/>
    <w:rsid w:val="005342B1"/>
    <w:pPr>
      <w:ind w:left="794"/>
    </w:pPr>
  </w:style>
  <w:style w:type="paragraph" w:customStyle="1" w:styleId="opplisting4">
    <w:name w:val="opplisting 4"/>
    <w:basedOn w:val="opplisting"/>
    <w:qFormat/>
    <w:rsid w:val="005342B1"/>
    <w:pPr>
      <w:ind w:left="1191"/>
    </w:pPr>
  </w:style>
  <w:style w:type="paragraph" w:customStyle="1" w:styleId="opplisting5">
    <w:name w:val="opplisting 5"/>
    <w:basedOn w:val="opplisting"/>
    <w:qFormat/>
    <w:rsid w:val="005342B1"/>
    <w:pPr>
      <w:ind w:left="1588"/>
    </w:pPr>
  </w:style>
  <w:style w:type="paragraph" w:customStyle="1" w:styleId="friliste">
    <w:name w:val="friliste"/>
    <w:basedOn w:val="Normal"/>
    <w:qFormat/>
    <w:rsid w:val="005342B1"/>
    <w:pPr>
      <w:tabs>
        <w:tab w:val="left" w:pos="397"/>
      </w:tabs>
      <w:spacing w:after="0"/>
      <w:ind w:left="397" w:hanging="397"/>
    </w:pPr>
  </w:style>
  <w:style w:type="paragraph" w:customStyle="1" w:styleId="friliste2">
    <w:name w:val="friliste 2"/>
    <w:basedOn w:val="friliste"/>
    <w:qFormat/>
    <w:rsid w:val="005342B1"/>
    <w:pPr>
      <w:tabs>
        <w:tab w:val="left" w:pos="794"/>
      </w:tabs>
      <w:spacing w:before="0"/>
      <w:ind w:left="794"/>
    </w:pPr>
  </w:style>
  <w:style w:type="paragraph" w:customStyle="1" w:styleId="friliste3">
    <w:name w:val="friliste 3"/>
    <w:basedOn w:val="friliste"/>
    <w:qFormat/>
    <w:rsid w:val="005342B1"/>
    <w:pPr>
      <w:tabs>
        <w:tab w:val="left" w:pos="1191"/>
      </w:tabs>
      <w:spacing w:before="0"/>
      <w:ind w:left="1191"/>
    </w:pPr>
  </w:style>
  <w:style w:type="paragraph" w:customStyle="1" w:styleId="friliste4">
    <w:name w:val="friliste 4"/>
    <w:basedOn w:val="friliste"/>
    <w:qFormat/>
    <w:rsid w:val="005342B1"/>
    <w:pPr>
      <w:tabs>
        <w:tab w:val="left" w:pos="1588"/>
      </w:tabs>
      <w:spacing w:before="0"/>
      <w:ind w:left="1588"/>
    </w:pPr>
  </w:style>
  <w:style w:type="paragraph" w:customStyle="1" w:styleId="friliste5">
    <w:name w:val="friliste 5"/>
    <w:basedOn w:val="friliste"/>
    <w:qFormat/>
    <w:rsid w:val="005342B1"/>
    <w:pPr>
      <w:tabs>
        <w:tab w:val="left" w:pos="1985"/>
      </w:tabs>
      <w:spacing w:before="0"/>
      <w:ind w:left="1985"/>
    </w:pPr>
  </w:style>
  <w:style w:type="character" w:customStyle="1" w:styleId="regular">
    <w:name w:val="regular"/>
    <w:basedOn w:val="Standardskriftforavsnitt"/>
    <w:uiPriority w:val="1"/>
    <w:qFormat/>
    <w:rsid w:val="005342B1"/>
    <w:rPr>
      <w:i/>
    </w:rPr>
  </w:style>
  <w:style w:type="character" w:customStyle="1" w:styleId="gjennomstreket">
    <w:name w:val="gjennomstreket"/>
    <w:uiPriority w:val="1"/>
    <w:rsid w:val="005342B1"/>
    <w:rPr>
      <w:strike/>
      <w:dstrike w:val="0"/>
    </w:rPr>
  </w:style>
  <w:style w:type="paragraph" w:customStyle="1" w:styleId="l-avsnitt">
    <w:name w:val="l-avsnitt"/>
    <w:basedOn w:val="l-lovkap"/>
    <w:qFormat/>
    <w:rsid w:val="005342B1"/>
    <w:rPr>
      <w:lang w:val="nn-NO"/>
    </w:rPr>
  </w:style>
  <w:style w:type="paragraph" w:customStyle="1" w:styleId="l-tit-endr-avsnitt">
    <w:name w:val="l-tit-endr-avsnitt"/>
    <w:basedOn w:val="l-tit-endr-lovkap"/>
    <w:qFormat/>
    <w:rsid w:val="005342B1"/>
  </w:style>
  <w:style w:type="paragraph" w:styleId="Liste2">
    <w:name w:val="List 2"/>
    <w:basedOn w:val="Liste"/>
    <w:qFormat/>
    <w:rsid w:val="005342B1"/>
    <w:pPr>
      <w:numPr>
        <w:numId w:val="20"/>
      </w:numPr>
      <w:ind w:left="794" w:hanging="397"/>
    </w:pPr>
  </w:style>
  <w:style w:type="paragraph" w:customStyle="1" w:styleId="Listebombe3">
    <w:name w:val="Liste bombe 3"/>
    <w:basedOn w:val="Liste3"/>
    <w:qFormat/>
    <w:rsid w:val="005342B1"/>
    <w:pPr>
      <w:numPr>
        <w:numId w:val="14"/>
      </w:numPr>
      <w:ind w:left="1191" w:hanging="397"/>
    </w:pPr>
  </w:style>
  <w:style w:type="paragraph" w:styleId="Liste3">
    <w:name w:val="List 3"/>
    <w:basedOn w:val="Liste"/>
    <w:qFormat/>
    <w:rsid w:val="005342B1"/>
    <w:pPr>
      <w:numPr>
        <w:numId w:val="21"/>
      </w:numPr>
      <w:ind w:left="1191" w:hanging="397"/>
    </w:pPr>
  </w:style>
  <w:style w:type="paragraph" w:customStyle="1" w:styleId="Listebombe4">
    <w:name w:val="Liste bombe 4"/>
    <w:basedOn w:val="Liste4"/>
    <w:qFormat/>
    <w:rsid w:val="005342B1"/>
    <w:pPr>
      <w:numPr>
        <w:numId w:val="15"/>
      </w:numPr>
      <w:ind w:left="1588" w:hanging="397"/>
    </w:pPr>
  </w:style>
  <w:style w:type="paragraph" w:styleId="Liste4">
    <w:name w:val="List 4"/>
    <w:basedOn w:val="Liste"/>
    <w:qFormat/>
    <w:rsid w:val="005342B1"/>
    <w:pPr>
      <w:numPr>
        <w:numId w:val="22"/>
      </w:numPr>
      <w:ind w:left="1588" w:hanging="397"/>
    </w:pPr>
  </w:style>
  <w:style w:type="paragraph" w:customStyle="1" w:styleId="Listebombe5">
    <w:name w:val="Liste bombe 5"/>
    <w:basedOn w:val="Liste5"/>
    <w:qFormat/>
    <w:rsid w:val="005342B1"/>
    <w:pPr>
      <w:numPr>
        <w:numId w:val="16"/>
      </w:numPr>
      <w:ind w:left="1985" w:hanging="397"/>
    </w:pPr>
  </w:style>
  <w:style w:type="paragraph" w:styleId="Liste5">
    <w:name w:val="List 5"/>
    <w:basedOn w:val="Liste"/>
    <w:qFormat/>
    <w:rsid w:val="005342B1"/>
    <w:pPr>
      <w:numPr>
        <w:numId w:val="23"/>
      </w:numPr>
      <w:ind w:left="1985" w:hanging="397"/>
    </w:pPr>
  </w:style>
  <w:style w:type="paragraph" w:customStyle="1" w:styleId="Listeavsnitt2">
    <w:name w:val="Listeavsnitt 2"/>
    <w:basedOn w:val="Listeavsnitt"/>
    <w:qFormat/>
    <w:rsid w:val="005342B1"/>
    <w:pPr>
      <w:ind w:left="794"/>
    </w:pPr>
  </w:style>
  <w:style w:type="paragraph" w:customStyle="1" w:styleId="Listeavsnitt3">
    <w:name w:val="Listeavsnitt 3"/>
    <w:basedOn w:val="Listeavsnitt"/>
    <w:qFormat/>
    <w:rsid w:val="005342B1"/>
    <w:pPr>
      <w:ind w:left="1191"/>
    </w:pPr>
  </w:style>
  <w:style w:type="paragraph" w:customStyle="1" w:styleId="Listeavsnitt4">
    <w:name w:val="Listeavsnitt 4"/>
    <w:basedOn w:val="Listeavsnitt"/>
    <w:qFormat/>
    <w:rsid w:val="005342B1"/>
    <w:pPr>
      <w:ind w:left="1588"/>
    </w:pPr>
  </w:style>
  <w:style w:type="paragraph" w:customStyle="1" w:styleId="Listeavsnitt5">
    <w:name w:val="Listeavsnitt 5"/>
    <w:basedOn w:val="Listeavsnitt"/>
    <w:qFormat/>
    <w:rsid w:val="005342B1"/>
    <w:pPr>
      <w:ind w:left="1985"/>
    </w:pPr>
  </w:style>
  <w:style w:type="paragraph" w:customStyle="1" w:styleId="Petit">
    <w:name w:val="Petit"/>
    <w:basedOn w:val="Normal"/>
    <w:next w:val="Normal"/>
    <w:qFormat/>
    <w:rsid w:val="005342B1"/>
    <w:rPr>
      <w:spacing w:val="6"/>
      <w:sz w:val="19"/>
    </w:rPr>
  </w:style>
  <w:style w:type="paragraph" w:customStyle="1" w:styleId="TrykkeriMerknad">
    <w:name w:val="TrykkeriMerknad"/>
    <w:basedOn w:val="Normal"/>
    <w:qFormat/>
    <w:rsid w:val="005342B1"/>
    <w:pPr>
      <w:spacing w:before="60"/>
    </w:pPr>
    <w:rPr>
      <w:color w:val="BF4E14" w:themeColor="accent2" w:themeShade="BF"/>
      <w:spacing w:val="4"/>
      <w:sz w:val="26"/>
    </w:rPr>
  </w:style>
  <w:style w:type="paragraph" w:customStyle="1" w:styleId="ForfatterMerknad">
    <w:name w:val="ForfatterMerknad"/>
    <w:basedOn w:val="TrykkeriMerknad"/>
    <w:qFormat/>
    <w:rsid w:val="005342B1"/>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5342B1"/>
    <w:pPr>
      <w:numPr>
        <w:numId w:val="0"/>
      </w:numPr>
    </w:pPr>
  </w:style>
  <w:style w:type="paragraph" w:customStyle="1" w:styleId="UnOverskrift2">
    <w:name w:val="UnOverskrift 2"/>
    <w:basedOn w:val="Overskrift2"/>
    <w:next w:val="Normal"/>
    <w:qFormat/>
    <w:rsid w:val="005342B1"/>
    <w:pPr>
      <w:numPr>
        <w:ilvl w:val="0"/>
        <w:numId w:val="0"/>
      </w:numPr>
    </w:pPr>
  </w:style>
  <w:style w:type="paragraph" w:customStyle="1" w:styleId="UnOverskrift5">
    <w:name w:val="UnOverskrift 5"/>
    <w:basedOn w:val="Overskrift5"/>
    <w:next w:val="Normal"/>
    <w:qFormat/>
    <w:rsid w:val="005342B1"/>
    <w:pPr>
      <w:numPr>
        <w:ilvl w:val="0"/>
        <w:numId w:val="0"/>
      </w:numPr>
    </w:pPr>
  </w:style>
  <w:style w:type="paragraph" w:customStyle="1" w:styleId="PublTittel">
    <w:name w:val="PublTittel"/>
    <w:basedOn w:val="Normal"/>
    <w:qFormat/>
    <w:rsid w:val="005342B1"/>
    <w:pPr>
      <w:spacing w:before="80"/>
    </w:pPr>
    <w:rPr>
      <w:sz w:val="48"/>
      <w:szCs w:val="48"/>
    </w:rPr>
  </w:style>
  <w:style w:type="paragraph" w:customStyle="1" w:styleId="Ingress">
    <w:name w:val="Ingress"/>
    <w:basedOn w:val="Normal"/>
    <w:qFormat/>
    <w:rsid w:val="005342B1"/>
    <w:rPr>
      <w:i/>
    </w:rPr>
  </w:style>
  <w:style w:type="paragraph" w:customStyle="1" w:styleId="FigurAltTekst">
    <w:name w:val="FigurAltTekst"/>
    <w:basedOn w:val="Note"/>
    <w:qFormat/>
    <w:rsid w:val="005342B1"/>
    <w:rPr>
      <w:color w:val="7030A0"/>
    </w:rPr>
  </w:style>
  <w:style w:type="paragraph" w:customStyle="1" w:styleId="meta-dep">
    <w:name w:val="meta-dep"/>
    <w:basedOn w:val="Normal"/>
    <w:next w:val="Normal"/>
    <w:qFormat/>
    <w:rsid w:val="005342B1"/>
    <w:rPr>
      <w:rFonts w:ascii="Courier New" w:hAnsi="Courier New"/>
      <w:vanish/>
      <w:color w:val="C00000"/>
      <w:sz w:val="28"/>
    </w:rPr>
  </w:style>
  <w:style w:type="paragraph" w:customStyle="1" w:styleId="meta-depavd">
    <w:name w:val="meta-depavd"/>
    <w:basedOn w:val="meta-dep"/>
    <w:next w:val="Normal"/>
    <w:qFormat/>
    <w:rsid w:val="005342B1"/>
  </w:style>
  <w:style w:type="paragraph" w:customStyle="1" w:styleId="meta-forf">
    <w:name w:val="meta-forf"/>
    <w:basedOn w:val="meta-dep"/>
    <w:next w:val="Normal"/>
    <w:qFormat/>
    <w:rsid w:val="005342B1"/>
  </w:style>
  <w:style w:type="paragraph" w:customStyle="1" w:styleId="meta-spr">
    <w:name w:val="meta-spr"/>
    <w:basedOn w:val="meta-dep"/>
    <w:next w:val="Normal"/>
    <w:qFormat/>
    <w:rsid w:val="005342B1"/>
  </w:style>
  <w:style w:type="paragraph" w:customStyle="1" w:styleId="meta-ingress">
    <w:name w:val="meta-ingress"/>
    <w:basedOn w:val="meta-dep"/>
    <w:next w:val="Normal"/>
    <w:qFormat/>
    <w:rsid w:val="005342B1"/>
    <w:rPr>
      <w:color w:val="0A2F41" w:themeColor="accent1" w:themeShade="80"/>
      <w:sz w:val="24"/>
    </w:rPr>
  </w:style>
  <w:style w:type="paragraph" w:customStyle="1" w:styleId="meta-sperrefrist">
    <w:name w:val="meta-sperrefrist"/>
    <w:basedOn w:val="meta-dep"/>
    <w:next w:val="Normal"/>
    <w:qFormat/>
    <w:rsid w:val="005342B1"/>
  </w:style>
  <w:style w:type="paragraph" w:customStyle="1" w:styleId="meta-objUrl">
    <w:name w:val="meta-objUrl"/>
    <w:basedOn w:val="meta-dep"/>
    <w:next w:val="Normal"/>
    <w:qFormat/>
    <w:rsid w:val="005342B1"/>
    <w:rPr>
      <w:color w:val="7030A0"/>
    </w:rPr>
  </w:style>
  <w:style w:type="paragraph" w:customStyle="1" w:styleId="meta-dokFormat">
    <w:name w:val="meta-dokFormat"/>
    <w:basedOn w:val="meta-dep"/>
    <w:next w:val="Normal"/>
    <w:qFormat/>
    <w:rsid w:val="005342B1"/>
    <w:rPr>
      <w:color w:val="7030A0"/>
    </w:rPr>
  </w:style>
  <w:style w:type="paragraph" w:customStyle="1" w:styleId="TabellHode-rad">
    <w:name w:val="TabellHode-rad"/>
    <w:basedOn w:val="Normal"/>
    <w:qFormat/>
    <w:rsid w:val="005342B1"/>
    <w:pPr>
      <w:shd w:val="clear" w:color="auto" w:fill="D9F2D0" w:themeFill="accent6" w:themeFillTint="33"/>
    </w:pPr>
  </w:style>
  <w:style w:type="paragraph" w:customStyle="1" w:styleId="TabellHode-kolonne">
    <w:name w:val="TabellHode-kolonne"/>
    <w:basedOn w:val="TabellHode-rad"/>
    <w:qFormat/>
    <w:rsid w:val="005342B1"/>
    <w:pPr>
      <w:shd w:val="clear" w:color="auto" w:fill="C1E4F5" w:themeFill="accent1" w:themeFillTint="33"/>
    </w:pPr>
  </w:style>
  <w:style w:type="paragraph" w:styleId="Indeks1">
    <w:name w:val="index 1"/>
    <w:basedOn w:val="Normal"/>
    <w:next w:val="Normal"/>
    <w:autoRedefine/>
    <w:uiPriority w:val="99"/>
    <w:semiHidden/>
    <w:unhideWhenUsed/>
    <w:rsid w:val="005342B1"/>
    <w:pPr>
      <w:spacing w:after="0" w:line="240" w:lineRule="auto"/>
      <w:ind w:left="240" w:hanging="240"/>
    </w:pPr>
  </w:style>
  <w:style w:type="paragraph" w:styleId="Indeks2">
    <w:name w:val="index 2"/>
    <w:basedOn w:val="Normal"/>
    <w:next w:val="Normal"/>
    <w:autoRedefine/>
    <w:uiPriority w:val="99"/>
    <w:semiHidden/>
    <w:unhideWhenUsed/>
    <w:rsid w:val="005342B1"/>
    <w:pPr>
      <w:spacing w:after="0" w:line="240" w:lineRule="auto"/>
      <w:ind w:left="480" w:hanging="240"/>
    </w:pPr>
  </w:style>
  <w:style w:type="paragraph" w:styleId="Indeks3">
    <w:name w:val="index 3"/>
    <w:basedOn w:val="Normal"/>
    <w:next w:val="Normal"/>
    <w:autoRedefine/>
    <w:uiPriority w:val="99"/>
    <w:semiHidden/>
    <w:unhideWhenUsed/>
    <w:rsid w:val="005342B1"/>
    <w:pPr>
      <w:spacing w:after="0" w:line="240" w:lineRule="auto"/>
      <w:ind w:left="720" w:hanging="240"/>
    </w:pPr>
  </w:style>
  <w:style w:type="paragraph" w:styleId="Indeks4">
    <w:name w:val="index 4"/>
    <w:basedOn w:val="Normal"/>
    <w:next w:val="Normal"/>
    <w:autoRedefine/>
    <w:uiPriority w:val="99"/>
    <w:semiHidden/>
    <w:unhideWhenUsed/>
    <w:rsid w:val="005342B1"/>
    <w:pPr>
      <w:spacing w:after="0" w:line="240" w:lineRule="auto"/>
      <w:ind w:left="960" w:hanging="240"/>
    </w:pPr>
  </w:style>
  <w:style w:type="paragraph" w:styleId="Indeks5">
    <w:name w:val="index 5"/>
    <w:basedOn w:val="Normal"/>
    <w:next w:val="Normal"/>
    <w:autoRedefine/>
    <w:uiPriority w:val="99"/>
    <w:semiHidden/>
    <w:unhideWhenUsed/>
    <w:rsid w:val="005342B1"/>
    <w:pPr>
      <w:spacing w:after="0" w:line="240" w:lineRule="auto"/>
      <w:ind w:left="1200" w:hanging="240"/>
    </w:pPr>
  </w:style>
  <w:style w:type="paragraph" w:styleId="Indeks6">
    <w:name w:val="index 6"/>
    <w:basedOn w:val="Normal"/>
    <w:next w:val="Normal"/>
    <w:autoRedefine/>
    <w:uiPriority w:val="99"/>
    <w:semiHidden/>
    <w:unhideWhenUsed/>
    <w:rsid w:val="005342B1"/>
    <w:pPr>
      <w:spacing w:after="0" w:line="240" w:lineRule="auto"/>
      <w:ind w:left="1440" w:hanging="240"/>
    </w:pPr>
  </w:style>
  <w:style w:type="paragraph" w:styleId="Indeks7">
    <w:name w:val="index 7"/>
    <w:basedOn w:val="Normal"/>
    <w:next w:val="Normal"/>
    <w:autoRedefine/>
    <w:uiPriority w:val="99"/>
    <w:semiHidden/>
    <w:unhideWhenUsed/>
    <w:rsid w:val="005342B1"/>
    <w:pPr>
      <w:spacing w:after="0" w:line="240" w:lineRule="auto"/>
      <w:ind w:left="1680" w:hanging="240"/>
    </w:pPr>
  </w:style>
  <w:style w:type="paragraph" w:styleId="Indeks8">
    <w:name w:val="index 8"/>
    <w:basedOn w:val="Normal"/>
    <w:next w:val="Normal"/>
    <w:autoRedefine/>
    <w:uiPriority w:val="99"/>
    <w:semiHidden/>
    <w:unhideWhenUsed/>
    <w:rsid w:val="005342B1"/>
    <w:pPr>
      <w:spacing w:after="0" w:line="240" w:lineRule="auto"/>
      <w:ind w:left="1920" w:hanging="240"/>
    </w:pPr>
  </w:style>
  <w:style w:type="paragraph" w:styleId="Indeks9">
    <w:name w:val="index 9"/>
    <w:basedOn w:val="Normal"/>
    <w:next w:val="Normal"/>
    <w:autoRedefine/>
    <w:uiPriority w:val="99"/>
    <w:semiHidden/>
    <w:unhideWhenUsed/>
    <w:rsid w:val="005342B1"/>
    <w:pPr>
      <w:spacing w:after="0" w:line="240" w:lineRule="auto"/>
      <w:ind w:left="2160" w:hanging="240"/>
    </w:pPr>
  </w:style>
  <w:style w:type="paragraph" w:styleId="INNH1">
    <w:name w:val="toc 1"/>
    <w:basedOn w:val="Normal"/>
    <w:next w:val="Normal"/>
    <w:uiPriority w:val="39"/>
    <w:rsid w:val="005342B1"/>
    <w:pPr>
      <w:tabs>
        <w:tab w:val="right" w:leader="dot" w:pos="8306"/>
      </w:tabs>
      <w:ind w:right="1134"/>
    </w:pPr>
  </w:style>
  <w:style w:type="paragraph" w:styleId="INNH2">
    <w:name w:val="toc 2"/>
    <w:basedOn w:val="Normal"/>
    <w:next w:val="Normal"/>
    <w:uiPriority w:val="39"/>
    <w:rsid w:val="005342B1"/>
    <w:pPr>
      <w:tabs>
        <w:tab w:val="right" w:leader="dot" w:pos="8306"/>
      </w:tabs>
      <w:ind w:left="199" w:right="1134"/>
    </w:pPr>
  </w:style>
  <w:style w:type="paragraph" w:styleId="INNH3">
    <w:name w:val="toc 3"/>
    <w:basedOn w:val="Normal"/>
    <w:next w:val="Normal"/>
    <w:uiPriority w:val="39"/>
    <w:rsid w:val="005342B1"/>
    <w:pPr>
      <w:tabs>
        <w:tab w:val="right" w:leader="dot" w:pos="8306"/>
      </w:tabs>
      <w:ind w:left="403" w:right="1134"/>
    </w:pPr>
  </w:style>
  <w:style w:type="paragraph" w:styleId="INNH4">
    <w:name w:val="toc 4"/>
    <w:basedOn w:val="Normal"/>
    <w:next w:val="Normal"/>
    <w:semiHidden/>
    <w:rsid w:val="005342B1"/>
    <w:pPr>
      <w:tabs>
        <w:tab w:val="right" w:leader="dot" w:pos="8306"/>
      </w:tabs>
      <w:ind w:left="600"/>
    </w:pPr>
  </w:style>
  <w:style w:type="paragraph" w:styleId="INNH5">
    <w:name w:val="toc 5"/>
    <w:basedOn w:val="Normal"/>
    <w:next w:val="Normal"/>
    <w:semiHidden/>
    <w:rsid w:val="005342B1"/>
    <w:pPr>
      <w:tabs>
        <w:tab w:val="right" w:leader="dot" w:pos="8306"/>
      </w:tabs>
      <w:ind w:left="800"/>
    </w:pPr>
  </w:style>
  <w:style w:type="paragraph" w:styleId="INNH6">
    <w:name w:val="toc 6"/>
    <w:basedOn w:val="Normal"/>
    <w:next w:val="Normal"/>
    <w:autoRedefine/>
    <w:uiPriority w:val="39"/>
    <w:semiHidden/>
    <w:unhideWhenUsed/>
    <w:rsid w:val="005342B1"/>
    <w:pPr>
      <w:spacing w:after="100"/>
      <w:ind w:left="1200"/>
    </w:pPr>
  </w:style>
  <w:style w:type="paragraph" w:styleId="INNH7">
    <w:name w:val="toc 7"/>
    <w:basedOn w:val="Normal"/>
    <w:next w:val="Normal"/>
    <w:autoRedefine/>
    <w:uiPriority w:val="39"/>
    <w:semiHidden/>
    <w:unhideWhenUsed/>
    <w:rsid w:val="005342B1"/>
    <w:pPr>
      <w:spacing w:after="100"/>
      <w:ind w:left="1440"/>
    </w:pPr>
  </w:style>
  <w:style w:type="paragraph" w:styleId="INNH8">
    <w:name w:val="toc 8"/>
    <w:basedOn w:val="Normal"/>
    <w:next w:val="Normal"/>
    <w:autoRedefine/>
    <w:uiPriority w:val="39"/>
    <w:semiHidden/>
    <w:unhideWhenUsed/>
    <w:rsid w:val="005342B1"/>
    <w:pPr>
      <w:spacing w:after="100"/>
      <w:ind w:left="1680"/>
    </w:pPr>
  </w:style>
  <w:style w:type="paragraph" w:styleId="INNH9">
    <w:name w:val="toc 9"/>
    <w:basedOn w:val="Normal"/>
    <w:next w:val="Normal"/>
    <w:autoRedefine/>
    <w:uiPriority w:val="39"/>
    <w:semiHidden/>
    <w:unhideWhenUsed/>
    <w:rsid w:val="005342B1"/>
    <w:pPr>
      <w:spacing w:after="100"/>
      <w:ind w:left="1920"/>
    </w:pPr>
  </w:style>
  <w:style w:type="paragraph" w:styleId="Vanliginnrykk">
    <w:name w:val="Normal Indent"/>
    <w:basedOn w:val="Normal"/>
    <w:uiPriority w:val="99"/>
    <w:semiHidden/>
    <w:unhideWhenUsed/>
    <w:rsid w:val="005342B1"/>
    <w:pPr>
      <w:ind w:left="708"/>
    </w:pPr>
  </w:style>
  <w:style w:type="paragraph" w:styleId="Merknadstekst">
    <w:name w:val="annotation text"/>
    <w:basedOn w:val="Normal"/>
    <w:link w:val="MerknadstekstTegn"/>
    <w:semiHidden/>
    <w:rsid w:val="005342B1"/>
  </w:style>
  <w:style w:type="character" w:customStyle="1" w:styleId="MerknadstekstTegn">
    <w:name w:val="Merknadstekst Tegn"/>
    <w:basedOn w:val="Standardskriftforavsnitt"/>
    <w:link w:val="Merknadstekst"/>
    <w:semiHidden/>
    <w:rsid w:val="005342B1"/>
    <w:rPr>
      <w:rFonts w:ascii="Open Sans" w:eastAsia="Times New Roman" w:hAnsi="Open Sans"/>
      <w:kern w:val="0"/>
      <w:sz w:val="22"/>
      <w:szCs w:val="22"/>
      <w14:ligatures w14:val="none"/>
    </w:rPr>
  </w:style>
  <w:style w:type="paragraph" w:styleId="Topptekst">
    <w:name w:val="header"/>
    <w:basedOn w:val="Normal"/>
    <w:link w:val="TopptekstTegn"/>
    <w:rsid w:val="005342B1"/>
    <w:pPr>
      <w:tabs>
        <w:tab w:val="center" w:pos="4536"/>
        <w:tab w:val="right" w:pos="9072"/>
      </w:tabs>
    </w:pPr>
  </w:style>
  <w:style w:type="character" w:customStyle="1" w:styleId="TopptekstTegn">
    <w:name w:val="Topptekst Tegn"/>
    <w:basedOn w:val="Standardskriftforavsnitt"/>
    <w:link w:val="Topptekst"/>
    <w:rsid w:val="005342B1"/>
    <w:rPr>
      <w:rFonts w:ascii="Open Sans" w:eastAsia="Times New Roman" w:hAnsi="Open Sans"/>
      <w:kern w:val="0"/>
      <w:sz w:val="22"/>
      <w:szCs w:val="22"/>
      <w14:ligatures w14:val="none"/>
    </w:rPr>
  </w:style>
  <w:style w:type="paragraph" w:styleId="Bunntekst">
    <w:name w:val="footer"/>
    <w:basedOn w:val="Normal"/>
    <w:link w:val="BunntekstTegn"/>
    <w:uiPriority w:val="99"/>
    <w:rsid w:val="005342B1"/>
    <w:pPr>
      <w:tabs>
        <w:tab w:val="center" w:pos="4153"/>
        <w:tab w:val="right" w:pos="8306"/>
      </w:tabs>
    </w:pPr>
    <w:rPr>
      <w:spacing w:val="4"/>
    </w:rPr>
  </w:style>
  <w:style w:type="character" w:customStyle="1" w:styleId="BunntekstTegn">
    <w:name w:val="Bunntekst Tegn"/>
    <w:basedOn w:val="Standardskriftforavsnitt"/>
    <w:link w:val="Bunntekst"/>
    <w:uiPriority w:val="99"/>
    <w:rsid w:val="005342B1"/>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5342B1"/>
    <w:rPr>
      <w:rFonts w:asciiTheme="majorHAnsi" w:eastAsiaTheme="majorEastAsia" w:hAnsiTheme="majorHAnsi" w:cstheme="majorBidi"/>
      <w:b/>
      <w:bCs/>
    </w:rPr>
  </w:style>
  <w:style w:type="paragraph" w:styleId="Bildetekst">
    <w:name w:val="caption"/>
    <w:basedOn w:val="Normal"/>
    <w:next w:val="Normal"/>
    <w:uiPriority w:val="35"/>
    <w:unhideWhenUsed/>
    <w:qFormat/>
    <w:rsid w:val="005342B1"/>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5342B1"/>
    <w:pPr>
      <w:spacing w:after="0"/>
    </w:pPr>
  </w:style>
  <w:style w:type="paragraph" w:styleId="Konvoluttadresse">
    <w:name w:val="envelope address"/>
    <w:basedOn w:val="Normal"/>
    <w:uiPriority w:val="99"/>
    <w:semiHidden/>
    <w:unhideWhenUsed/>
    <w:rsid w:val="005342B1"/>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5342B1"/>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5342B1"/>
    <w:rPr>
      <w:vertAlign w:val="superscript"/>
    </w:rPr>
  </w:style>
  <w:style w:type="character" w:styleId="Linjenummer">
    <w:name w:val="line number"/>
    <w:basedOn w:val="Standardskriftforavsnitt"/>
    <w:uiPriority w:val="99"/>
    <w:semiHidden/>
    <w:unhideWhenUsed/>
    <w:rsid w:val="005342B1"/>
  </w:style>
  <w:style w:type="character" w:styleId="Sidetall">
    <w:name w:val="page number"/>
    <w:basedOn w:val="Standardskriftforavsnitt"/>
    <w:rsid w:val="005342B1"/>
  </w:style>
  <w:style w:type="character" w:styleId="Sluttnotereferanse">
    <w:name w:val="endnote reference"/>
    <w:basedOn w:val="Standardskriftforavsnitt"/>
    <w:uiPriority w:val="99"/>
    <w:semiHidden/>
    <w:unhideWhenUsed/>
    <w:rsid w:val="005342B1"/>
    <w:rPr>
      <w:vertAlign w:val="superscript"/>
    </w:rPr>
  </w:style>
  <w:style w:type="paragraph" w:styleId="Sluttnotetekst">
    <w:name w:val="endnote text"/>
    <w:basedOn w:val="Normal"/>
    <w:link w:val="SluttnotetekstTegn"/>
    <w:uiPriority w:val="99"/>
    <w:semiHidden/>
    <w:unhideWhenUsed/>
    <w:rsid w:val="005342B1"/>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5342B1"/>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5342B1"/>
    <w:pPr>
      <w:spacing w:after="0"/>
      <w:ind w:left="240" w:hanging="240"/>
    </w:pPr>
  </w:style>
  <w:style w:type="paragraph" w:styleId="Makrotekst">
    <w:name w:val="macro"/>
    <w:link w:val="MakrotekstTegn"/>
    <w:uiPriority w:val="99"/>
    <w:semiHidden/>
    <w:unhideWhenUsed/>
    <w:rsid w:val="005342B1"/>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5342B1"/>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5342B1"/>
    <w:pPr>
      <w:spacing w:before="120"/>
    </w:pPr>
    <w:rPr>
      <w:rFonts w:asciiTheme="majorHAnsi" w:eastAsiaTheme="majorEastAsia" w:hAnsiTheme="majorHAnsi" w:cstheme="majorBidi"/>
      <w:b/>
      <w:bCs/>
      <w:szCs w:val="24"/>
    </w:rPr>
  </w:style>
  <w:style w:type="paragraph" w:styleId="Punktliste">
    <w:name w:val="List Bullet"/>
    <w:basedOn w:val="Normal"/>
    <w:rsid w:val="005342B1"/>
    <w:pPr>
      <w:numPr>
        <w:numId w:val="2"/>
      </w:numPr>
      <w:spacing w:after="0"/>
    </w:pPr>
    <w:rPr>
      <w:spacing w:val="4"/>
    </w:rPr>
  </w:style>
  <w:style w:type="paragraph" w:styleId="Punktliste2">
    <w:name w:val="List Bullet 2"/>
    <w:basedOn w:val="Normal"/>
    <w:rsid w:val="005342B1"/>
    <w:pPr>
      <w:numPr>
        <w:numId w:val="3"/>
      </w:numPr>
      <w:spacing w:after="0"/>
    </w:pPr>
    <w:rPr>
      <w:spacing w:val="4"/>
    </w:rPr>
  </w:style>
  <w:style w:type="paragraph" w:styleId="Punktliste3">
    <w:name w:val="List Bullet 3"/>
    <w:basedOn w:val="Normal"/>
    <w:rsid w:val="005342B1"/>
    <w:pPr>
      <w:numPr>
        <w:numId w:val="4"/>
      </w:numPr>
      <w:spacing w:after="0"/>
    </w:pPr>
    <w:rPr>
      <w:spacing w:val="4"/>
    </w:rPr>
  </w:style>
  <w:style w:type="paragraph" w:styleId="Punktliste4">
    <w:name w:val="List Bullet 4"/>
    <w:basedOn w:val="Normal"/>
    <w:rsid w:val="005342B1"/>
    <w:pPr>
      <w:numPr>
        <w:numId w:val="5"/>
      </w:numPr>
      <w:spacing w:after="0"/>
    </w:pPr>
  </w:style>
  <w:style w:type="paragraph" w:styleId="Punktliste5">
    <w:name w:val="List Bullet 5"/>
    <w:basedOn w:val="Normal"/>
    <w:rsid w:val="005342B1"/>
    <w:pPr>
      <w:numPr>
        <w:numId w:val="6"/>
      </w:numPr>
      <w:spacing w:after="0"/>
    </w:pPr>
  </w:style>
  <w:style w:type="paragraph" w:styleId="Nummerertliste2">
    <w:name w:val="List Number 2"/>
    <w:basedOn w:val="Nummerertliste"/>
    <w:qFormat/>
    <w:rsid w:val="005342B1"/>
    <w:pPr>
      <w:numPr>
        <w:numId w:val="26"/>
      </w:numPr>
      <w:ind w:left="794" w:hanging="397"/>
    </w:pPr>
  </w:style>
  <w:style w:type="paragraph" w:styleId="Nummerertliste3">
    <w:name w:val="List Number 3"/>
    <w:basedOn w:val="Nummerertliste"/>
    <w:qFormat/>
    <w:rsid w:val="005342B1"/>
    <w:pPr>
      <w:numPr>
        <w:numId w:val="27"/>
      </w:numPr>
      <w:tabs>
        <w:tab w:val="num" w:pos="397"/>
      </w:tabs>
      <w:ind w:left="1191" w:hanging="397"/>
    </w:pPr>
  </w:style>
  <w:style w:type="paragraph" w:styleId="Nummerertliste4">
    <w:name w:val="List Number 4"/>
    <w:basedOn w:val="Nummerertliste"/>
    <w:rsid w:val="005342B1"/>
    <w:pPr>
      <w:numPr>
        <w:numId w:val="28"/>
      </w:numPr>
      <w:tabs>
        <w:tab w:val="num" w:pos="397"/>
      </w:tabs>
      <w:ind w:left="1588" w:hanging="397"/>
    </w:pPr>
  </w:style>
  <w:style w:type="paragraph" w:styleId="Nummerertliste5">
    <w:name w:val="List Number 5"/>
    <w:basedOn w:val="Nummerertliste"/>
    <w:qFormat/>
    <w:rsid w:val="005342B1"/>
    <w:pPr>
      <w:numPr>
        <w:numId w:val="29"/>
      </w:numPr>
      <w:tabs>
        <w:tab w:val="num" w:pos="397"/>
      </w:tabs>
      <w:ind w:left="1985" w:hanging="397"/>
    </w:pPr>
  </w:style>
  <w:style w:type="paragraph" w:styleId="Tittel">
    <w:name w:val="Title"/>
    <w:basedOn w:val="Normal"/>
    <w:next w:val="Normal"/>
    <w:link w:val="TittelTegn"/>
    <w:uiPriority w:val="10"/>
    <w:qFormat/>
    <w:rsid w:val="005342B1"/>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5342B1"/>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5342B1"/>
    <w:pPr>
      <w:spacing w:after="0" w:line="240" w:lineRule="auto"/>
      <w:ind w:left="4252"/>
    </w:pPr>
  </w:style>
  <w:style w:type="character" w:customStyle="1" w:styleId="HilsenTegn">
    <w:name w:val="Hilsen Tegn"/>
    <w:basedOn w:val="Standardskriftforavsnitt"/>
    <w:link w:val="Hilsen"/>
    <w:uiPriority w:val="99"/>
    <w:semiHidden/>
    <w:rsid w:val="005342B1"/>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5342B1"/>
    <w:pPr>
      <w:spacing w:after="0" w:line="240" w:lineRule="auto"/>
      <w:ind w:left="4252"/>
    </w:pPr>
  </w:style>
  <w:style w:type="character" w:customStyle="1" w:styleId="UnderskriftTegn">
    <w:name w:val="Underskrift Tegn"/>
    <w:basedOn w:val="Standardskriftforavsnitt"/>
    <w:link w:val="Underskrift"/>
    <w:uiPriority w:val="99"/>
    <w:semiHidden/>
    <w:rsid w:val="005342B1"/>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5342B1"/>
  </w:style>
  <w:style w:type="character" w:customStyle="1" w:styleId="BrdtekstTegn">
    <w:name w:val="Brødtekst Tegn"/>
    <w:basedOn w:val="Standardskriftforavsnitt"/>
    <w:link w:val="Brdtekst"/>
    <w:uiPriority w:val="99"/>
    <w:semiHidden/>
    <w:rsid w:val="005342B1"/>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5342B1"/>
    <w:pPr>
      <w:ind w:left="283"/>
    </w:pPr>
  </w:style>
  <w:style w:type="character" w:customStyle="1" w:styleId="BrdtekstinnrykkTegn">
    <w:name w:val="Brødtekstinnrykk Tegn"/>
    <w:basedOn w:val="Standardskriftforavsnitt"/>
    <w:link w:val="Brdtekstinnrykk"/>
    <w:uiPriority w:val="99"/>
    <w:semiHidden/>
    <w:rsid w:val="005342B1"/>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5342B1"/>
    <w:pPr>
      <w:ind w:left="283"/>
      <w:contextualSpacing/>
    </w:pPr>
  </w:style>
  <w:style w:type="paragraph" w:styleId="Liste-forts2">
    <w:name w:val="List Continue 2"/>
    <w:basedOn w:val="Normal"/>
    <w:uiPriority w:val="99"/>
    <w:semiHidden/>
    <w:unhideWhenUsed/>
    <w:rsid w:val="005342B1"/>
    <w:pPr>
      <w:ind w:left="566"/>
      <w:contextualSpacing/>
    </w:pPr>
  </w:style>
  <w:style w:type="paragraph" w:styleId="Liste-forts3">
    <w:name w:val="List Continue 3"/>
    <w:basedOn w:val="Normal"/>
    <w:uiPriority w:val="99"/>
    <w:semiHidden/>
    <w:unhideWhenUsed/>
    <w:rsid w:val="005342B1"/>
    <w:pPr>
      <w:ind w:left="849"/>
      <w:contextualSpacing/>
    </w:pPr>
  </w:style>
  <w:style w:type="paragraph" w:styleId="Liste-forts4">
    <w:name w:val="List Continue 4"/>
    <w:basedOn w:val="Normal"/>
    <w:uiPriority w:val="99"/>
    <w:semiHidden/>
    <w:unhideWhenUsed/>
    <w:rsid w:val="005342B1"/>
    <w:pPr>
      <w:ind w:left="1132"/>
      <w:contextualSpacing/>
    </w:pPr>
  </w:style>
  <w:style w:type="paragraph" w:styleId="Liste-forts5">
    <w:name w:val="List Continue 5"/>
    <w:basedOn w:val="Normal"/>
    <w:uiPriority w:val="99"/>
    <w:semiHidden/>
    <w:unhideWhenUsed/>
    <w:rsid w:val="005342B1"/>
    <w:pPr>
      <w:ind w:left="1415"/>
      <w:contextualSpacing/>
    </w:pPr>
  </w:style>
  <w:style w:type="paragraph" w:styleId="Meldingshode">
    <w:name w:val="Message Header"/>
    <w:basedOn w:val="Normal"/>
    <w:link w:val="MeldingshodeTegn"/>
    <w:uiPriority w:val="99"/>
    <w:semiHidden/>
    <w:unhideWhenUsed/>
    <w:rsid w:val="005342B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5342B1"/>
    <w:rPr>
      <w:rFonts w:asciiTheme="majorHAnsi" w:eastAsiaTheme="majorEastAsia" w:hAnsiTheme="majorHAnsi" w:cstheme="majorBidi"/>
      <w:kern w:val="0"/>
      <w:sz w:val="22"/>
      <w:shd w:val="pct20" w:color="auto" w:fill="auto"/>
      <w14:ligatures w14:val="none"/>
    </w:rPr>
  </w:style>
  <w:style w:type="paragraph" w:styleId="Innledendehilsen">
    <w:name w:val="Salutation"/>
    <w:basedOn w:val="Normal"/>
    <w:next w:val="Normal"/>
    <w:link w:val="InnledendehilsenTegn"/>
    <w:uiPriority w:val="99"/>
    <w:semiHidden/>
    <w:unhideWhenUsed/>
    <w:rsid w:val="005342B1"/>
  </w:style>
  <w:style w:type="character" w:customStyle="1" w:styleId="InnledendehilsenTegn">
    <w:name w:val="Innledende hilsen Tegn"/>
    <w:basedOn w:val="Standardskriftforavsnitt"/>
    <w:link w:val="Innledendehilsen"/>
    <w:uiPriority w:val="99"/>
    <w:semiHidden/>
    <w:rsid w:val="005342B1"/>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5342B1"/>
    <w:pPr>
      <w:ind w:firstLine="360"/>
    </w:pPr>
  </w:style>
  <w:style w:type="character" w:customStyle="1" w:styleId="Brdtekst-frsteinnrykkTegn">
    <w:name w:val="Brødtekst - første innrykk Tegn"/>
    <w:basedOn w:val="BrdtekstTegn"/>
    <w:link w:val="Brdtekst-frsteinnrykk"/>
    <w:uiPriority w:val="99"/>
    <w:semiHidden/>
    <w:rsid w:val="005342B1"/>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5342B1"/>
    <w:pPr>
      <w:ind w:left="360" w:firstLine="360"/>
    </w:pPr>
  </w:style>
  <w:style w:type="character" w:customStyle="1" w:styleId="Brdtekst-frsteinnrykk2Tegn">
    <w:name w:val="Brødtekst - første innrykk 2 Tegn"/>
    <w:basedOn w:val="BrdtekstinnrykkTegn"/>
    <w:link w:val="Brdtekst-frsteinnrykk2"/>
    <w:uiPriority w:val="99"/>
    <w:semiHidden/>
    <w:rsid w:val="005342B1"/>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5342B1"/>
    <w:pPr>
      <w:spacing w:after="0" w:line="240" w:lineRule="auto"/>
    </w:pPr>
  </w:style>
  <w:style w:type="character" w:customStyle="1" w:styleId="NotatoverskriftTegn">
    <w:name w:val="Notatoverskrift Tegn"/>
    <w:basedOn w:val="Standardskriftforavsnitt"/>
    <w:link w:val="Notatoverskrift"/>
    <w:uiPriority w:val="99"/>
    <w:semiHidden/>
    <w:rsid w:val="005342B1"/>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5342B1"/>
    <w:pPr>
      <w:spacing w:line="480" w:lineRule="auto"/>
    </w:pPr>
  </w:style>
  <w:style w:type="character" w:customStyle="1" w:styleId="Brdtekst2Tegn">
    <w:name w:val="Brødtekst 2 Tegn"/>
    <w:basedOn w:val="Standardskriftforavsnitt"/>
    <w:link w:val="Brdtekst2"/>
    <w:uiPriority w:val="99"/>
    <w:semiHidden/>
    <w:rsid w:val="005342B1"/>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5342B1"/>
    <w:rPr>
      <w:sz w:val="16"/>
      <w:szCs w:val="16"/>
    </w:rPr>
  </w:style>
  <w:style w:type="character" w:customStyle="1" w:styleId="Brdtekst3Tegn">
    <w:name w:val="Brødtekst 3 Tegn"/>
    <w:basedOn w:val="Standardskriftforavsnitt"/>
    <w:link w:val="Brdtekst3"/>
    <w:uiPriority w:val="99"/>
    <w:semiHidden/>
    <w:rsid w:val="005342B1"/>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5342B1"/>
    <w:pPr>
      <w:spacing w:line="480" w:lineRule="auto"/>
      <w:ind w:left="283"/>
    </w:pPr>
  </w:style>
  <w:style w:type="character" w:customStyle="1" w:styleId="Brdtekstinnrykk2Tegn">
    <w:name w:val="Brødtekstinnrykk 2 Tegn"/>
    <w:basedOn w:val="Standardskriftforavsnitt"/>
    <w:link w:val="Brdtekstinnrykk2"/>
    <w:uiPriority w:val="99"/>
    <w:semiHidden/>
    <w:rsid w:val="005342B1"/>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5342B1"/>
    <w:pPr>
      <w:ind w:left="283"/>
    </w:pPr>
    <w:rPr>
      <w:sz w:val="16"/>
      <w:szCs w:val="16"/>
    </w:rPr>
  </w:style>
  <w:style w:type="character" w:customStyle="1" w:styleId="Brdtekstinnrykk3Tegn">
    <w:name w:val="Brødtekstinnrykk 3 Tegn"/>
    <w:basedOn w:val="Standardskriftforavsnitt"/>
    <w:link w:val="Brdtekstinnrykk3"/>
    <w:uiPriority w:val="99"/>
    <w:semiHidden/>
    <w:rsid w:val="005342B1"/>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5342B1"/>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5342B1"/>
    <w:rPr>
      <w:color w:val="96607D" w:themeColor="followedHyperlink"/>
      <w:u w:val="single"/>
    </w:rPr>
  </w:style>
  <w:style w:type="character" w:styleId="Sterk">
    <w:name w:val="Strong"/>
    <w:basedOn w:val="Standardskriftforavsnitt"/>
    <w:uiPriority w:val="22"/>
    <w:qFormat/>
    <w:rsid w:val="005342B1"/>
    <w:rPr>
      <w:b/>
      <w:bCs/>
    </w:rPr>
  </w:style>
  <w:style w:type="character" w:styleId="Utheving">
    <w:name w:val="Emphasis"/>
    <w:basedOn w:val="Standardskriftforavsnitt"/>
    <w:uiPriority w:val="20"/>
    <w:qFormat/>
    <w:rsid w:val="005342B1"/>
    <w:rPr>
      <w:i/>
      <w:iCs/>
    </w:rPr>
  </w:style>
  <w:style w:type="paragraph" w:styleId="Dokumentkart">
    <w:name w:val="Document Map"/>
    <w:basedOn w:val="Normal"/>
    <w:link w:val="DokumentkartTegn"/>
    <w:uiPriority w:val="99"/>
    <w:semiHidden/>
    <w:unhideWhenUsed/>
    <w:rsid w:val="005342B1"/>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5342B1"/>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5342B1"/>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5342B1"/>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5342B1"/>
    <w:pPr>
      <w:spacing w:after="0" w:line="240" w:lineRule="auto"/>
    </w:pPr>
  </w:style>
  <w:style w:type="character" w:customStyle="1" w:styleId="E-postsignaturTegn">
    <w:name w:val="E-postsignatur Tegn"/>
    <w:basedOn w:val="Standardskriftforavsnitt"/>
    <w:link w:val="E-postsignatur"/>
    <w:uiPriority w:val="99"/>
    <w:semiHidden/>
    <w:rsid w:val="005342B1"/>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5342B1"/>
    <w:rPr>
      <w:rFonts w:cs="Times New Roman"/>
      <w:szCs w:val="24"/>
    </w:rPr>
  </w:style>
  <w:style w:type="character" w:styleId="HTML-akronym">
    <w:name w:val="HTML Acronym"/>
    <w:basedOn w:val="Standardskriftforavsnitt"/>
    <w:uiPriority w:val="99"/>
    <w:semiHidden/>
    <w:unhideWhenUsed/>
    <w:rsid w:val="005342B1"/>
  </w:style>
  <w:style w:type="paragraph" w:styleId="HTML-adresse">
    <w:name w:val="HTML Address"/>
    <w:basedOn w:val="Normal"/>
    <w:link w:val="HTML-adresseTegn"/>
    <w:uiPriority w:val="99"/>
    <w:semiHidden/>
    <w:unhideWhenUsed/>
    <w:rsid w:val="005342B1"/>
    <w:pPr>
      <w:spacing w:after="0" w:line="240" w:lineRule="auto"/>
    </w:pPr>
    <w:rPr>
      <w:i/>
      <w:iCs/>
    </w:rPr>
  </w:style>
  <w:style w:type="character" w:customStyle="1" w:styleId="HTML-adresseTegn">
    <w:name w:val="HTML-adresse Tegn"/>
    <w:basedOn w:val="Standardskriftforavsnitt"/>
    <w:link w:val="HTML-adresse"/>
    <w:uiPriority w:val="99"/>
    <w:semiHidden/>
    <w:rsid w:val="005342B1"/>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5342B1"/>
    <w:rPr>
      <w:i/>
      <w:iCs/>
    </w:rPr>
  </w:style>
  <w:style w:type="character" w:styleId="HTML-kode">
    <w:name w:val="HTML Code"/>
    <w:basedOn w:val="Standardskriftforavsnitt"/>
    <w:uiPriority w:val="99"/>
    <w:semiHidden/>
    <w:unhideWhenUsed/>
    <w:rsid w:val="005342B1"/>
    <w:rPr>
      <w:rFonts w:ascii="Consolas" w:hAnsi="Consolas"/>
      <w:sz w:val="20"/>
      <w:szCs w:val="20"/>
    </w:rPr>
  </w:style>
  <w:style w:type="character" w:styleId="HTML-definisjon">
    <w:name w:val="HTML Definition"/>
    <w:basedOn w:val="Standardskriftforavsnitt"/>
    <w:uiPriority w:val="99"/>
    <w:semiHidden/>
    <w:unhideWhenUsed/>
    <w:rsid w:val="005342B1"/>
    <w:rPr>
      <w:i/>
      <w:iCs/>
    </w:rPr>
  </w:style>
  <w:style w:type="character" w:styleId="HTML-tastatur">
    <w:name w:val="HTML Keyboard"/>
    <w:basedOn w:val="Standardskriftforavsnitt"/>
    <w:uiPriority w:val="99"/>
    <w:semiHidden/>
    <w:unhideWhenUsed/>
    <w:rsid w:val="005342B1"/>
    <w:rPr>
      <w:rFonts w:ascii="Consolas" w:hAnsi="Consolas"/>
      <w:sz w:val="20"/>
      <w:szCs w:val="20"/>
    </w:rPr>
  </w:style>
  <w:style w:type="paragraph" w:styleId="HTML-forhndsformatert">
    <w:name w:val="HTML Preformatted"/>
    <w:basedOn w:val="Normal"/>
    <w:link w:val="HTML-forhndsformatertTegn"/>
    <w:uiPriority w:val="99"/>
    <w:semiHidden/>
    <w:unhideWhenUsed/>
    <w:rsid w:val="005342B1"/>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5342B1"/>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5342B1"/>
    <w:rPr>
      <w:rFonts w:ascii="Consolas" w:hAnsi="Consolas"/>
      <w:sz w:val="24"/>
      <w:szCs w:val="24"/>
    </w:rPr>
  </w:style>
  <w:style w:type="character" w:styleId="HTML-skrivemaskin">
    <w:name w:val="HTML Typewriter"/>
    <w:basedOn w:val="Standardskriftforavsnitt"/>
    <w:uiPriority w:val="99"/>
    <w:semiHidden/>
    <w:unhideWhenUsed/>
    <w:rsid w:val="005342B1"/>
    <w:rPr>
      <w:rFonts w:ascii="Consolas" w:hAnsi="Consolas"/>
      <w:sz w:val="20"/>
      <w:szCs w:val="20"/>
    </w:rPr>
  </w:style>
  <w:style w:type="character" w:styleId="HTML-variabel">
    <w:name w:val="HTML Variable"/>
    <w:basedOn w:val="Standardskriftforavsnitt"/>
    <w:uiPriority w:val="99"/>
    <w:semiHidden/>
    <w:unhideWhenUsed/>
    <w:rsid w:val="005342B1"/>
    <w:rPr>
      <w:i/>
      <w:iCs/>
    </w:rPr>
  </w:style>
  <w:style w:type="paragraph" w:styleId="Kommentaremne">
    <w:name w:val="annotation subject"/>
    <w:basedOn w:val="Merknadstekst"/>
    <w:next w:val="Merknadstekst"/>
    <w:link w:val="KommentaremneTegn"/>
    <w:uiPriority w:val="99"/>
    <w:semiHidden/>
    <w:unhideWhenUsed/>
    <w:rsid w:val="005342B1"/>
    <w:pPr>
      <w:spacing w:line="240" w:lineRule="auto"/>
    </w:pPr>
    <w:rPr>
      <w:b/>
      <w:bCs/>
      <w:szCs w:val="20"/>
    </w:rPr>
  </w:style>
  <w:style w:type="character" w:customStyle="1" w:styleId="KommentaremneTegn">
    <w:name w:val="Kommentaremne Tegn"/>
    <w:basedOn w:val="MerknadstekstTegn"/>
    <w:link w:val="Kommentaremne"/>
    <w:uiPriority w:val="99"/>
    <w:semiHidden/>
    <w:rsid w:val="005342B1"/>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5342B1"/>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5342B1"/>
    <w:rPr>
      <w:rFonts w:ascii="Tahoma" w:eastAsia="Times New Roman" w:hAnsi="Tahoma" w:cs="Tahoma"/>
      <w:kern w:val="0"/>
      <w:sz w:val="16"/>
      <w:szCs w:val="16"/>
      <w14:ligatures w14:val="none"/>
    </w:rPr>
  </w:style>
  <w:style w:type="table" w:styleId="Tabellrutenett">
    <w:name w:val="Table Grid"/>
    <w:basedOn w:val="Vanligtabell"/>
    <w:uiPriority w:val="59"/>
    <w:rsid w:val="005342B1"/>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5342B1"/>
    <w:rPr>
      <w:color w:val="808080"/>
    </w:rPr>
  </w:style>
  <w:style w:type="paragraph" w:styleId="Ingenmellomrom">
    <w:name w:val="No Spacing"/>
    <w:uiPriority w:val="1"/>
    <w:qFormat/>
    <w:rsid w:val="005342B1"/>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5342B1"/>
    <w:pPr>
      <w:spacing w:before="0"/>
      <w:ind w:firstLine="0"/>
    </w:pPr>
  </w:style>
  <w:style w:type="paragraph" w:styleId="Sitat">
    <w:name w:val="Quote"/>
    <w:basedOn w:val="Normal"/>
    <w:next w:val="Normal"/>
    <w:link w:val="SitatTegn"/>
    <w:uiPriority w:val="29"/>
    <w:qFormat/>
    <w:rsid w:val="005342B1"/>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5342B1"/>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5342B1"/>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5342B1"/>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5342B1"/>
    <w:rPr>
      <w:i/>
      <w:iCs/>
      <w:color w:val="808080" w:themeColor="text1" w:themeTint="7F"/>
    </w:rPr>
  </w:style>
  <w:style w:type="character" w:styleId="Sterkutheving">
    <w:name w:val="Intense Emphasis"/>
    <w:basedOn w:val="Standardskriftforavsnitt"/>
    <w:uiPriority w:val="21"/>
    <w:qFormat/>
    <w:rsid w:val="005342B1"/>
    <w:rPr>
      <w:b/>
      <w:bCs/>
      <w:i/>
      <w:iCs/>
      <w:color w:val="156082" w:themeColor="accent1"/>
    </w:rPr>
  </w:style>
  <w:style w:type="character" w:styleId="Svakreferanse">
    <w:name w:val="Subtle Reference"/>
    <w:basedOn w:val="Standardskriftforavsnitt"/>
    <w:uiPriority w:val="31"/>
    <w:qFormat/>
    <w:rsid w:val="005342B1"/>
    <w:rPr>
      <w:smallCaps/>
      <w:color w:val="E97132" w:themeColor="accent2"/>
      <w:u w:val="single"/>
    </w:rPr>
  </w:style>
  <w:style w:type="character" w:styleId="Sterkreferanse">
    <w:name w:val="Intense Reference"/>
    <w:basedOn w:val="Standardskriftforavsnitt"/>
    <w:uiPriority w:val="32"/>
    <w:qFormat/>
    <w:rsid w:val="005342B1"/>
    <w:rPr>
      <w:b/>
      <w:bCs/>
      <w:smallCaps/>
      <w:color w:val="E97132" w:themeColor="accent2"/>
      <w:spacing w:val="5"/>
      <w:u w:val="single"/>
    </w:rPr>
  </w:style>
  <w:style w:type="character" w:styleId="Boktittel">
    <w:name w:val="Book Title"/>
    <w:basedOn w:val="Standardskriftforavsnitt"/>
    <w:uiPriority w:val="33"/>
    <w:qFormat/>
    <w:rsid w:val="005342B1"/>
    <w:rPr>
      <w:b/>
      <w:bCs/>
      <w:smallCaps/>
      <w:spacing w:val="5"/>
    </w:rPr>
  </w:style>
  <w:style w:type="paragraph" w:styleId="Bibliografi">
    <w:name w:val="Bibliography"/>
    <w:basedOn w:val="Normal"/>
    <w:next w:val="Normal"/>
    <w:uiPriority w:val="37"/>
    <w:semiHidden/>
    <w:unhideWhenUsed/>
    <w:rsid w:val="005342B1"/>
  </w:style>
  <w:style w:type="paragraph" w:styleId="Overskriftforinnholdsfortegnelse">
    <w:name w:val="TOC Heading"/>
    <w:basedOn w:val="Overskrift1"/>
    <w:next w:val="Normal"/>
    <w:uiPriority w:val="39"/>
    <w:unhideWhenUsed/>
    <w:qFormat/>
    <w:rsid w:val="005342B1"/>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5342B1"/>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5342B1"/>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5342B1"/>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5342B1"/>
    <w:tblPr/>
    <w:tcPr>
      <w:shd w:val="clear" w:color="auto" w:fill="83CAEB" w:themeFill="accent1" w:themeFillTint="66"/>
    </w:tcPr>
  </w:style>
  <w:style w:type="table" w:customStyle="1" w:styleId="GronnBoks">
    <w:name w:val="GronnBoks"/>
    <w:basedOn w:val="StandardBoks"/>
    <w:uiPriority w:val="99"/>
    <w:rsid w:val="005342B1"/>
    <w:tblPr/>
    <w:tcPr>
      <w:shd w:val="clear" w:color="auto" w:fill="B3E5A1" w:themeFill="accent6" w:themeFillTint="66"/>
    </w:tcPr>
  </w:style>
  <w:style w:type="table" w:customStyle="1" w:styleId="RodBoks">
    <w:name w:val="RodBoks"/>
    <w:basedOn w:val="StandardBoks"/>
    <w:uiPriority w:val="99"/>
    <w:rsid w:val="005342B1"/>
    <w:tblPr/>
    <w:tcPr>
      <w:shd w:val="clear" w:color="auto" w:fill="FFB3B3"/>
    </w:tcPr>
  </w:style>
  <w:style w:type="paragraph" w:customStyle="1" w:styleId="BoksGraaTittel">
    <w:name w:val="BoksGraaTittel"/>
    <w:basedOn w:val="Normal"/>
    <w:next w:val="Normal"/>
    <w:qFormat/>
    <w:rsid w:val="005342B1"/>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5342B1"/>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5342B1"/>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5342B1"/>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5342B1"/>
    <w:rPr>
      <w:u w:val="single"/>
    </w:rPr>
  </w:style>
  <w:style w:type="paragraph" w:customStyle="1" w:styleId="del-nr">
    <w:name w:val="del-nr"/>
    <w:basedOn w:val="Normal"/>
    <w:qFormat/>
    <w:rsid w:val="005342B1"/>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5342B1"/>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5342B1"/>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5342B1"/>
  </w:style>
  <w:style w:type="paragraph" w:customStyle="1" w:styleId="tbl2LinjeSumBold">
    <w:name w:val="tbl2LinjeSumBold"/>
    <w:basedOn w:val="tblRad"/>
    <w:rsid w:val="005342B1"/>
    <w:rPr>
      <w:b/>
    </w:rPr>
  </w:style>
  <w:style w:type="paragraph" w:customStyle="1" w:styleId="tblDelsum1">
    <w:name w:val="tblDelsum1"/>
    <w:basedOn w:val="tblRad"/>
    <w:rsid w:val="005342B1"/>
    <w:rPr>
      <w:i/>
    </w:rPr>
  </w:style>
  <w:style w:type="paragraph" w:customStyle="1" w:styleId="tblDelsum1-Kapittel">
    <w:name w:val="tblDelsum1 - Kapittel"/>
    <w:basedOn w:val="tblDelsum1"/>
    <w:rsid w:val="005342B1"/>
    <w:pPr>
      <w:keepNext w:val="0"/>
    </w:pPr>
  </w:style>
  <w:style w:type="paragraph" w:customStyle="1" w:styleId="tblDelsum2">
    <w:name w:val="tblDelsum2"/>
    <w:basedOn w:val="tblRad"/>
    <w:rsid w:val="005342B1"/>
    <w:rPr>
      <w:b/>
      <w:i/>
    </w:rPr>
  </w:style>
  <w:style w:type="paragraph" w:customStyle="1" w:styleId="tblDelsum2-Kapittel">
    <w:name w:val="tblDelsum2 - Kapittel"/>
    <w:basedOn w:val="tblDelsum2"/>
    <w:rsid w:val="005342B1"/>
    <w:pPr>
      <w:keepNext w:val="0"/>
    </w:pPr>
  </w:style>
  <w:style w:type="paragraph" w:customStyle="1" w:styleId="tblTabelloverskrift">
    <w:name w:val="tblTabelloverskrift"/>
    <w:rsid w:val="005342B1"/>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5342B1"/>
    <w:pPr>
      <w:spacing w:after="0"/>
      <w:jc w:val="right"/>
    </w:pPr>
    <w:rPr>
      <w:b w:val="0"/>
      <w:caps w:val="0"/>
      <w:sz w:val="16"/>
    </w:rPr>
  </w:style>
  <w:style w:type="paragraph" w:customStyle="1" w:styleId="tblKategoriOverskrift">
    <w:name w:val="tblKategoriOverskrift"/>
    <w:basedOn w:val="tblRad"/>
    <w:rsid w:val="005342B1"/>
    <w:pPr>
      <w:spacing w:before="120"/>
    </w:pPr>
    <w:rPr>
      <w:b/>
    </w:rPr>
  </w:style>
  <w:style w:type="paragraph" w:customStyle="1" w:styleId="tblKolonneoverskrift">
    <w:name w:val="tblKolonneoverskrift"/>
    <w:basedOn w:val="Normal"/>
    <w:rsid w:val="005342B1"/>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5342B1"/>
    <w:pPr>
      <w:spacing w:after="360"/>
      <w:jc w:val="center"/>
    </w:pPr>
    <w:rPr>
      <w:b w:val="0"/>
      <w:caps w:val="0"/>
    </w:rPr>
  </w:style>
  <w:style w:type="paragraph" w:customStyle="1" w:styleId="tblKolonneoverskrift-Vedtak">
    <w:name w:val="tblKolonneoverskrift - Vedtak"/>
    <w:basedOn w:val="tblTabelloverskrift-Vedtak"/>
    <w:rsid w:val="005342B1"/>
    <w:pPr>
      <w:spacing w:after="0"/>
    </w:pPr>
  </w:style>
  <w:style w:type="paragraph" w:customStyle="1" w:styleId="tblOverskrift-Vedtak">
    <w:name w:val="tblOverskrift - Vedtak"/>
    <w:basedOn w:val="tblRad"/>
    <w:rsid w:val="005342B1"/>
    <w:pPr>
      <w:spacing w:before="360"/>
      <w:jc w:val="center"/>
    </w:pPr>
  </w:style>
  <w:style w:type="paragraph" w:customStyle="1" w:styleId="tblRadBold">
    <w:name w:val="tblRadBold"/>
    <w:basedOn w:val="tblRad"/>
    <w:rsid w:val="005342B1"/>
    <w:rPr>
      <w:b/>
    </w:rPr>
  </w:style>
  <w:style w:type="paragraph" w:customStyle="1" w:styleId="tblRadItalic">
    <w:name w:val="tblRadItalic"/>
    <w:basedOn w:val="tblRad"/>
    <w:rsid w:val="005342B1"/>
    <w:rPr>
      <w:i/>
    </w:rPr>
  </w:style>
  <w:style w:type="paragraph" w:customStyle="1" w:styleId="tblRadItalicSiste">
    <w:name w:val="tblRadItalicSiste"/>
    <w:basedOn w:val="tblRadItalic"/>
    <w:rsid w:val="005342B1"/>
  </w:style>
  <w:style w:type="paragraph" w:customStyle="1" w:styleId="tblRadMedLuft">
    <w:name w:val="tblRadMedLuft"/>
    <w:basedOn w:val="tblRad"/>
    <w:rsid w:val="005342B1"/>
    <w:pPr>
      <w:spacing w:before="120"/>
    </w:pPr>
  </w:style>
  <w:style w:type="paragraph" w:customStyle="1" w:styleId="tblRadMedLuftSiste">
    <w:name w:val="tblRadMedLuftSiste"/>
    <w:basedOn w:val="tblRadMedLuft"/>
    <w:rsid w:val="005342B1"/>
    <w:pPr>
      <w:spacing w:after="120"/>
    </w:pPr>
  </w:style>
  <w:style w:type="paragraph" w:customStyle="1" w:styleId="tblRadMedLuftSiste-Vedtak">
    <w:name w:val="tblRadMedLuftSiste - Vedtak"/>
    <w:basedOn w:val="tblRadMedLuftSiste"/>
    <w:rsid w:val="005342B1"/>
    <w:pPr>
      <w:keepNext w:val="0"/>
    </w:pPr>
  </w:style>
  <w:style w:type="paragraph" w:customStyle="1" w:styleId="tblRadSiste">
    <w:name w:val="tblRadSiste"/>
    <w:basedOn w:val="tblRad"/>
    <w:rsid w:val="005342B1"/>
  </w:style>
  <w:style w:type="paragraph" w:customStyle="1" w:styleId="tblSluttsum">
    <w:name w:val="tblSluttsum"/>
    <w:basedOn w:val="tblRad"/>
    <w:rsid w:val="005342B1"/>
    <w:pPr>
      <w:spacing w:before="120"/>
    </w:pPr>
    <w:rPr>
      <w:b/>
      <w:i/>
    </w:rPr>
  </w:style>
  <w:style w:type="paragraph" w:customStyle="1" w:styleId="Stil1">
    <w:name w:val="Stil1"/>
    <w:basedOn w:val="Normal"/>
    <w:qFormat/>
    <w:rsid w:val="005342B1"/>
    <w:pPr>
      <w:spacing w:after="100"/>
    </w:pPr>
  </w:style>
  <w:style w:type="paragraph" w:customStyle="1" w:styleId="Stil2">
    <w:name w:val="Stil2"/>
    <w:basedOn w:val="Normal"/>
    <w:autoRedefine/>
    <w:qFormat/>
    <w:rsid w:val="005342B1"/>
    <w:pPr>
      <w:spacing w:after="100"/>
    </w:pPr>
  </w:style>
  <w:style w:type="paragraph" w:customStyle="1" w:styleId="Forside-departement">
    <w:name w:val="Forside-departement"/>
    <w:qFormat/>
    <w:rsid w:val="005342B1"/>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5342B1"/>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5342B1"/>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5744AF"/>
    <w:rPr>
      <w:color w:val="2B579A"/>
      <w:shd w:val="clear" w:color="auto" w:fill="E1DFDD"/>
    </w:rPr>
  </w:style>
  <w:style w:type="character" w:styleId="Omtale">
    <w:name w:val="Mention"/>
    <w:basedOn w:val="Standardskriftforavsnitt"/>
    <w:uiPriority w:val="99"/>
    <w:semiHidden/>
    <w:unhideWhenUsed/>
    <w:rsid w:val="005744AF"/>
    <w:rPr>
      <w:color w:val="2B579A"/>
      <w:shd w:val="clear" w:color="auto" w:fill="E1DFDD"/>
    </w:rPr>
  </w:style>
  <w:style w:type="character" w:styleId="Smarthyperkobling">
    <w:name w:val="Smart Hyperlink"/>
    <w:basedOn w:val="Standardskriftforavsnitt"/>
    <w:uiPriority w:val="99"/>
    <w:semiHidden/>
    <w:unhideWhenUsed/>
    <w:rsid w:val="005744AF"/>
    <w:rPr>
      <w:u w:val="dotted"/>
    </w:rPr>
  </w:style>
  <w:style w:type="character" w:styleId="Smartkobling">
    <w:name w:val="Smart Link"/>
    <w:basedOn w:val="Standardskriftforavsnitt"/>
    <w:uiPriority w:val="99"/>
    <w:semiHidden/>
    <w:unhideWhenUsed/>
    <w:rsid w:val="005744AF"/>
    <w:rPr>
      <w:color w:val="0000FF"/>
      <w:u w:val="single"/>
      <w:shd w:val="clear" w:color="auto" w:fill="F3F2F1"/>
    </w:rPr>
  </w:style>
  <w:style w:type="character" w:styleId="Ulstomtale">
    <w:name w:val="Unresolved Mention"/>
    <w:basedOn w:val="Standardskriftforavsnitt"/>
    <w:uiPriority w:val="99"/>
    <w:semiHidden/>
    <w:unhideWhenUsed/>
    <w:rsid w:val="005744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estonia.com/data-embassy-the-digital-continuity-of-a-state/" TargetMode="External"/><Relationship Id="rId21" Type="http://schemas.openxmlformats.org/officeDocument/2006/relationships/hyperlink" Target="https://www.dsb.no/globalassets/dokumenter/rapporter/kiks-2_januar.pdf" TargetMode="External"/><Relationship Id="rId42" Type="http://schemas.openxmlformats.org/officeDocument/2006/relationships/hyperlink" Target="https://www.lysekonsern.no/om-oss/vare-selskaper/tele/lyse-tele-as/" TargetMode="External"/><Relationship Id="rId63" Type="http://schemas.openxmlformats.org/officeDocument/2006/relationships/hyperlink" Target="https://www.caverion.no/om-caverion/" TargetMode="External"/><Relationship Id="rId84" Type="http://schemas.openxmlformats.org/officeDocument/2006/relationships/image" Target="media/image18.png"/><Relationship Id="rId138" Type="http://schemas.openxmlformats.org/officeDocument/2006/relationships/hyperlink" Target="https://www.etterretningstjenesten.no/publikasjoner/fokus/Fokus24_innhold" TargetMode="External"/><Relationship Id="rId159" Type="http://schemas.openxmlformats.org/officeDocument/2006/relationships/hyperlink" Target="https://lovdata.no/dokument/LTI/lov/2023-12-20-108" TargetMode="External"/><Relationship Id="rId170" Type="http://schemas.openxmlformats.org/officeDocument/2006/relationships/hyperlink" Target="https://www.regjeringen.no/contentassets/c24e6978185f4a49a7d2689a4741a9b1/no/pdfs/stm202420250009000dddpdfs.pdf" TargetMode="External"/><Relationship Id="rId191" Type="http://schemas.openxmlformats.org/officeDocument/2006/relationships/hyperlink" Target="https://www.regjeringen.no/contentassets/15ef86ab491f4856b8d431f5fa32de98/no/pdfs/nou202420240007000dddpdfs.pdf" TargetMode="External"/><Relationship Id="rId205" Type="http://schemas.openxmlformats.org/officeDocument/2006/relationships/hyperlink" Target="https://www.regjeringen.no/contentassets/096a9d827c8f48c3ae8b7817fe463a25/no/pdfs/prp202320240093000dddpdfs.pdf" TargetMode="External"/><Relationship Id="rId226" Type="http://schemas.openxmlformats.org/officeDocument/2006/relationships/hyperlink" Target="https://eur-lex.europa.eu/legal-content/EN/TXT/PDF/?uri=CELEX:62014CJ0362" TargetMode="External"/><Relationship Id="rId107" Type="http://schemas.openxmlformats.org/officeDocument/2006/relationships/hyperlink" Target="https://www.aftenposten.no/verden/i/zE3RRq/starlink-systemet-gir-elon-musk-stor-makt-det-skaper-bekymring" TargetMode="External"/><Relationship Id="rId11" Type="http://schemas.openxmlformats.org/officeDocument/2006/relationships/image" Target="media/image4.png"/><Relationship Id="rId32" Type="http://schemas.openxmlformats.org/officeDocument/2006/relationships/hyperlink" Target="https://bedrift.globalconnect.no/om-oss" TargetMode="External"/><Relationship Id="rId53" Type="http://schemas.openxmlformats.org/officeDocument/2006/relationships/hyperlink" Target="https://w2.brreg.no/enhet/sok/detalj.jsp?orgnr=983991742" TargetMode="External"/><Relationship Id="rId74" Type="http://schemas.openxmlformats.org/officeDocument/2006/relationships/hyperlink" Target="https://www.paloaltonetworks.com/" TargetMode="External"/><Relationship Id="rId128" Type="http://schemas.openxmlformats.org/officeDocument/2006/relationships/hyperlink" Target="https://eur-lex.europa.eu/legal-content/EN/TXT/PDF/?uri=CELEX:32021R0694" TargetMode="External"/><Relationship Id="rId149" Type="http://schemas.openxmlformats.org/officeDocument/2006/relationships/hyperlink" Target="https://www.norden.org/en/declaration/joint-statement-nordic-and-baltic-ministers-digitalisation" TargetMode="External"/><Relationship Id="rId5" Type="http://schemas.openxmlformats.org/officeDocument/2006/relationships/webSettings" Target="webSettings.xml"/><Relationship Id="rId95" Type="http://schemas.openxmlformats.org/officeDocument/2006/relationships/image" Target="media/image29.png"/><Relationship Id="rId160" Type="http://schemas.openxmlformats.org/officeDocument/2006/relationships/hyperlink" Target="https://lovdata.no/dokument/NL/lov/1951-06-29-19" TargetMode="External"/><Relationship Id="rId181" Type="http://schemas.openxmlformats.org/officeDocument/2006/relationships/hyperlink" Target="file:///C:/Users/DFD1112/Downloads/Nkom%20%C3%85rsrapport_2023.pdf" TargetMode="External"/><Relationship Id="rId216" Type="http://schemas.openxmlformats.org/officeDocument/2006/relationships/hyperlink" Target="https://www.regjeringen.no/no/aktuelt/okt-sikkerhet-for-kritisk-infrastruktur-pa-norsk-sokkel/id3023761/" TargetMode="External"/><Relationship Id="rId237" Type="http://schemas.openxmlformats.org/officeDocument/2006/relationships/theme" Target="theme/theme1.xml"/><Relationship Id="rId22" Type="http://schemas.openxmlformats.org/officeDocument/2006/relationships/image" Target="media/image11.png"/><Relationship Id="rId43" Type="http://schemas.openxmlformats.org/officeDocument/2006/relationships/hyperlink" Target="https://w2.brreg.no/enhet/sok/detalj.jsp?orgnr=919865334" TargetMode="External"/><Relationship Id="rId64" Type="http://schemas.openxmlformats.org/officeDocument/2006/relationships/hyperlink" Target="https://w2.brreg.no/enhet/sok/detalj.jsp?orgnr=979322437" TargetMode="External"/><Relationship Id="rId118" Type="http://schemas.openxmlformats.org/officeDocument/2006/relationships/hyperlink" Target="file:///C:/Users/DFD1112/Downloads/Risiko%20og%20s%C3%A5rbarhetsanalyse%20for%20Nordland%20-%20Offentlig%20rapport.pdf" TargetMode="External"/><Relationship Id="rId139" Type="http://schemas.openxmlformats.org/officeDocument/2006/relationships/hyperlink" Target="https://www.regjeringen.no/contentassets/c499c3b6c93740bd989c43d886f65924/no/pdfs/nasjonal-digitaliseringsstrategi_ny.pdf" TargetMode="External"/><Relationship Id="rId80" Type="http://schemas.openxmlformats.org/officeDocument/2006/relationships/image" Target="media/image14.png"/><Relationship Id="rId85" Type="http://schemas.openxmlformats.org/officeDocument/2006/relationships/image" Target="media/image19.png"/><Relationship Id="rId150" Type="http://schemas.openxmlformats.org/officeDocument/2006/relationships/hyperlink" Target="https://legilux.public.lu/eli/etat/leg/loi/2017/12/01/a1029/jo" TargetMode="External"/><Relationship Id="rId155" Type="http://schemas.openxmlformats.org/officeDocument/2006/relationships/hyperlink" Target="https://www.riksdagen.se/sv/dokument-och-lagar/dokument/svensk-forfattningssamling/lag-2023560-om-granskning-av-utlandska_sfs-2023-560/" TargetMode="External"/><Relationship Id="rId171" Type="http://schemas.openxmlformats.org/officeDocument/2006/relationships/hyperlink" Target="https://www.regjeringen.no/contentassets/e8441e5b035a4e18bbebf74737530c2f/no/pdfs/stm202020210028000dddpdfs.pdf" TargetMode="External"/><Relationship Id="rId176" Type="http://schemas.openxmlformats.org/officeDocument/2006/relationships/hyperlink" Target="https://nsm.no/getfile.php/1313327-1696336231/NSM/Filer/Dokumenter/Rapporter/Nasjonal%20kontroll%20av%20IKT-tjenester.pdf" TargetMode="External"/><Relationship Id="rId192" Type="http://schemas.openxmlformats.org/officeDocument/2006/relationships/hyperlink" Target="https://www.nrk.no/tromsogfinnmark/rodt-krever-svar-etter-at-bredbandsfylket-avtalte-samarbeid-med-russiske-megafon-1.16183441" TargetMode="External"/><Relationship Id="rId197" Type="http://schemas.openxmlformats.org/officeDocument/2006/relationships/hyperlink" Target="https://kommunikasjon.ntb.no/pressemelding/18052346/telenor-group-announces-collaboration-with-nvidia-to-support-its-ai-first-ambition?publisherId=4954260" TargetMode="External"/><Relationship Id="rId206" Type="http://schemas.openxmlformats.org/officeDocument/2006/relationships/hyperlink" Target="https://www.regjeringen.no/contentassets/69a229ce36cd40beb7cfba3f1f2af6e8/no/pdfs/prp201520160097000dddpdfs.pdf" TargetMode="External"/><Relationship Id="rId227" Type="http://schemas.openxmlformats.org/officeDocument/2006/relationships/hyperlink" Target="https://nsm.no/getfile.php/1312994-1683615611/NSM/Filer/Dokumenter/Rapporter/Sikkerhetsfaglig%20r%C3%A5d%20-%20Et%20motstandsdyktig%20Norge.pdf" TargetMode="External"/><Relationship Id="rId201" Type="http://schemas.openxmlformats.org/officeDocument/2006/relationships/hyperlink" Target="https://menon.no/prosjekter/privat-eierskap-i-norge-2021" TargetMode="External"/><Relationship Id="rId222" Type="http://schemas.openxmlformats.org/officeDocument/2006/relationships/hyperlink" Target="https://nsm.no/getfile.php/1313477-1719434219/NSM/Filer/Dokumenter/Rapporter/Risiko%202024.pdf" TargetMode="External"/><Relationship Id="rId12" Type="http://schemas.openxmlformats.org/officeDocument/2006/relationships/image" Target="media/image5.png"/><Relationship Id="rId17" Type="http://schemas.openxmlformats.org/officeDocument/2006/relationships/image" Target="media/image7.png"/><Relationship Id="rId33" Type="http://schemas.openxmlformats.org/officeDocument/2006/relationships/hyperlink" Target="https://w2.brreg.no/enhet/sok/detalj.jsp?orgnr=994989391" TargetMode="External"/><Relationship Id="rId38" Type="http://schemas.openxmlformats.org/officeDocument/2006/relationships/hyperlink" Target="https://www.ksat.no/about-us/" TargetMode="External"/><Relationship Id="rId59" Type="http://schemas.openxmlformats.org/officeDocument/2006/relationships/hyperlink" Target="https://w2.brreg.no/enhet/sok/detalj.jsp?orgnr=921589298" TargetMode="External"/><Relationship Id="rId103" Type="http://schemas.openxmlformats.org/officeDocument/2006/relationships/image" Target="media/image37.png"/><Relationship Id="rId108" Type="http://schemas.openxmlformats.org/officeDocument/2006/relationships/hyperlink" Target="https://www.kommerskollegium.se/globalassets/publikationer/rapporter/2022/perspectives-on-the-economic-effects-of-fdi-and-investment-screening.pdf" TargetMode="External"/><Relationship Id="rId124" Type="http://schemas.openxmlformats.org/officeDocument/2006/relationships/hyperlink" Target="https://eur-lex.europa.eu/legal-content/EN/TXT/PDF/?uri=CELEX:32018R0151" TargetMode="External"/><Relationship Id="rId129" Type="http://schemas.openxmlformats.org/officeDocument/2006/relationships/hyperlink" Target="https://europalov.no/node/6118" TargetMode="External"/><Relationship Id="rId54" Type="http://schemas.openxmlformats.org/officeDocument/2006/relationships/hyperlink" Target="https://w2.brreg.no/enhet/sok/detalj.jsp?orgnr=982463718" TargetMode="External"/><Relationship Id="rId70" Type="http://schemas.openxmlformats.org/officeDocument/2006/relationships/hyperlink" Target="https://www.nexans.no/no/" TargetMode="External"/><Relationship Id="rId75" Type="http://schemas.openxmlformats.org/officeDocument/2006/relationships/hyperlink" Target="https://no.prysmian.com/" TargetMode="External"/><Relationship Id="rId91" Type="http://schemas.openxmlformats.org/officeDocument/2006/relationships/image" Target="media/image25.png"/><Relationship Id="rId96" Type="http://schemas.openxmlformats.org/officeDocument/2006/relationships/image" Target="media/image30.png"/><Relationship Id="rId140" Type="http://schemas.openxmlformats.org/officeDocument/2006/relationships/hyperlink" Target="https://www.ehelse.no/velferdsteknologi-og-digital-hjemmeoppfolging" TargetMode="External"/><Relationship Id="rId145" Type="http://schemas.openxmlformats.org/officeDocument/2006/relationships/hyperlink" Target="https://www.stortinget.no/globalassets/pdf/innstillinger/stortinget/2015-2016/inns-201516-182.pdf" TargetMode="External"/><Relationship Id="rId161" Type="http://schemas.openxmlformats.org/officeDocument/2006/relationships/hyperlink" Target="https://lovdata.no/dokument/NL/lov/2018-06-01-24" TargetMode="External"/><Relationship Id="rId166" Type="http://schemas.openxmlformats.org/officeDocument/2006/relationships/hyperlink" Target="https://www.lysekonsern.no/om-oss/eierskap-og-historie/" TargetMode="External"/><Relationship Id="rId182" Type="http://schemas.openxmlformats.org/officeDocument/2006/relationships/hyperlink" Target="https://www.norges-bank.no/aktuelt/nyheter-og-hendelser/Publikasjoner/Norges-Bank-Memo-/2023/memo-12023-betalingsformidling/nettrapport-memo-12023-betalingsformidling/" TargetMode="External"/><Relationship Id="rId187" Type="http://schemas.openxmlformats.org/officeDocument/2006/relationships/hyperlink" Target="https://www.regjeringen.no/contentassets/8b8a7fc642f44ef5b27a1465301492ff/no/pdfs/nou202320230014000dddpdfs.pdf" TargetMode="External"/><Relationship Id="rId217" Type="http://schemas.openxmlformats.org/officeDocument/2006/relationships/hyperlink" Target="https://www.regjeringen.no/no/aktuelt/nytt-norsk-tysk-initiativ-skal-styrke-kritisk-undersjoisk-infrastruktur-i-europa/id3061340/"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regjeringen.no/contentassets/a6636bfa850f4add822ba8ac7ecb2014/regjeringens-arbeidsprogram-for-eu-saker.pdf" TargetMode="External"/><Relationship Id="rId233" Type="http://schemas.openxmlformats.org/officeDocument/2006/relationships/hyperlink" Target="https://www.telenor.no/om/presse-og-media/pressemeldinger/telenor-styrker-beredskapen-langs-finnmarkskysten.page" TargetMode="External"/><Relationship Id="rId23" Type="http://schemas.openxmlformats.org/officeDocument/2006/relationships/image" Target="media/image12.png"/><Relationship Id="rId28" Type="http://schemas.openxmlformats.org/officeDocument/2006/relationships/hyperlink" Target="https://www.eidsiva.no/om-eidsiva/bredband/" TargetMode="External"/><Relationship Id="rId49" Type="http://schemas.openxmlformats.org/officeDocument/2006/relationships/hyperlink" Target="https://w2.brreg.no/enhet/sok/detalj.jsp?orgnr=975963233" TargetMode="External"/><Relationship Id="rId114" Type="http://schemas.openxmlformats.org/officeDocument/2006/relationships/hyperlink" Target="https://www.ffi.no/publikasjoner/arkiv/erfaringer-fra-krigen-i-ukraina-laeringspunkter-etter-tusen-dager-med-krig" TargetMode="External"/><Relationship Id="rId119" Type="http://schemas.openxmlformats.org/officeDocument/2006/relationships/hyperlink" Target="https://www.regjeringen.no/contentassets/4b9d05c6dd134d8aa67dfbe576605a45/off_rapport_sarbarhetsanalyse_for_trondelag_2024-02-05.pdf" TargetMode="External"/><Relationship Id="rId44" Type="http://schemas.openxmlformats.org/officeDocument/2006/relationships/hyperlink" Target="https://w2.brreg.no/enhet/sok/detalj.jsp?orgnr=983195156" TargetMode="External"/><Relationship Id="rId60" Type="http://schemas.openxmlformats.org/officeDocument/2006/relationships/hyperlink" Target="https://www.teliatowers.com/no" TargetMode="External"/><Relationship Id="rId65" Type="http://schemas.openxmlformats.org/officeDocument/2006/relationships/hyperlink" Target="https://www.eltelnetworks.no/om-oss/" TargetMode="External"/><Relationship Id="rId81" Type="http://schemas.openxmlformats.org/officeDocument/2006/relationships/image" Target="media/image15.png"/><Relationship Id="rId86" Type="http://schemas.openxmlformats.org/officeDocument/2006/relationships/image" Target="media/image20.png"/><Relationship Id="rId130" Type="http://schemas.openxmlformats.org/officeDocument/2006/relationships/hyperlink" Target="https://eur-lex.europa.eu/legal-content/EN/TXT/PDF/?uri=CELEX:32022L2555" TargetMode="External"/><Relationship Id="rId135" Type="http://schemas.openxmlformats.org/officeDocument/2006/relationships/hyperlink" Target="https://www.regjeringen.no/contentassets/abc084fe921e403791ddb505622ba365/eu-norway-security-and-defence-partnership.pdf" TargetMode="External"/><Relationship Id="rId151" Type="http://schemas.openxmlformats.org/officeDocument/2006/relationships/hyperlink" Target="https://www.regjeringen.no/globalassets/departementene/fin/2024/kartlegging-eierskapsopplysninger-v-1.0.pdf" TargetMode="External"/><Relationship Id="rId156" Type="http://schemas.openxmlformats.org/officeDocument/2006/relationships/hyperlink" Target="https://lovdata.no/dokument/NL/lov/1967-02-10" TargetMode="External"/><Relationship Id="rId177" Type="http://schemas.openxmlformats.org/officeDocument/2006/relationships/hyperlink" Target="https://www.pst.no/alle-artikler/trusselvurderinger/ntv-2024/" TargetMode="External"/><Relationship Id="rId198" Type="http://schemas.openxmlformats.org/officeDocument/2006/relationships/hyperlink" Target="https://kommunikasjon.ntb.no/pressemelding/18037732/eidsiva-kjoper-etablert-datasenter-vi-skal-tilby-trygg-lagring-med-100-percent-nasjonalt-offentlig-eierskap?publisherId=17848064&amp;lang=no" TargetMode="External"/><Relationship Id="rId172" Type="http://schemas.openxmlformats.org/officeDocument/2006/relationships/hyperlink" Target="https://blogs.microsoft.com/on-the-issues/2022/06/22/defending-ukraine-early-lessons-from-the-cyber-war/" TargetMode="External"/><Relationship Id="rId193" Type="http://schemas.openxmlformats.org/officeDocument/2006/relationships/hyperlink" Target="https://www.nrk.no/vestfoldogtelemark/google-bygger-enormt-datasenter-i-skien-1.16749861" TargetMode="External"/><Relationship Id="rId202" Type="http://schemas.openxmlformats.org/officeDocument/2006/relationships/hyperlink" Target="https://www.regjeringen.no/contentassets/5512d3505ad240e08bd772795b0f8370/no/pdfs/prp202420250011000dddpdfs.pdf" TargetMode="External"/><Relationship Id="rId207" Type="http://schemas.openxmlformats.org/officeDocument/2006/relationships/hyperlink" Target="https://www.regjeringen.no/no/dokumenter/prop.-153-l-2016-2017/id2556988/" TargetMode="External"/><Relationship Id="rId223" Type="http://schemas.openxmlformats.org/officeDocument/2006/relationships/hyperlink" Target="file:///C:/Users/DFD1112/Downloads/EkomROS%202024%20-%20offentlig%20versjon.pdf" TargetMode="External"/><Relationship Id="rId228" Type="http://schemas.openxmlformats.org/officeDocument/2006/relationships/hyperlink" Target="https://www.stortinget.no/no/Saker-og-publikasjoner/Sporsmal/Skriftlige-sporsmal-og-svar/Skriftlig-sporsmal/?qnid=67684" TargetMode="External"/><Relationship Id="rId13" Type="http://schemas.openxmlformats.org/officeDocument/2006/relationships/hyperlink" Target="https://www.regjeringen.no/no/dokumenter/utredningsinstruksen/id3060944/" TargetMode="External"/><Relationship Id="rId18" Type="http://schemas.openxmlformats.org/officeDocument/2006/relationships/image" Target="media/image8.png"/><Relationship Id="rId39" Type="http://schemas.openxmlformats.org/officeDocument/2006/relationships/hyperlink" Target="https://www.kysttele.no/" TargetMode="External"/><Relationship Id="rId109" Type="http://schemas.openxmlformats.org/officeDocument/2006/relationships/hyperlink" Target="https://www.crowell.com/en/insights/client-alerts/a-new-european-commission-proposal-on-foreign-direct-investment-screening-towards-greater-harmonization" TargetMode="External"/><Relationship Id="rId34" Type="http://schemas.openxmlformats.org/officeDocument/2006/relationships/hyperlink" Target="https://www.proff.no/aksjon%C3%A6rer/bedrift/infrastructure-nordics-4-as/922393265" TargetMode="External"/><Relationship Id="rId50" Type="http://schemas.openxmlformats.org/officeDocument/2006/relationships/hyperlink" Target="https://w2.brreg.no/enhet/sok/detalj.jsp?orgnr=974529068" TargetMode="External"/><Relationship Id="rId55" Type="http://schemas.openxmlformats.org/officeDocument/2006/relationships/hyperlink" Target="https://www.telenor.no/om/" TargetMode="External"/><Relationship Id="rId76" Type="http://schemas.openxmlformats.org/officeDocument/2006/relationships/hyperlink" Target="https://seaworks.no/" TargetMode="External"/><Relationship Id="rId97" Type="http://schemas.openxmlformats.org/officeDocument/2006/relationships/image" Target="media/image31.png"/><Relationship Id="rId104" Type="http://schemas.openxmlformats.org/officeDocument/2006/relationships/hyperlink" Target="http://root-servers.org" TargetMode="External"/><Relationship Id="rId120" Type="http://schemas.openxmlformats.org/officeDocument/2006/relationships/hyperlink" Target="https://www.eidsiva.no/om-eidsiva/eiere/" TargetMode="External"/><Relationship Id="rId125" Type="http://schemas.openxmlformats.org/officeDocument/2006/relationships/hyperlink" Target="https://eur-lex.europa.eu/legal-content/EN/TXT/PDF/?uri=CELEX:32019R0881" TargetMode="External"/><Relationship Id="rId141" Type="http://schemas.openxmlformats.org/officeDocument/2006/relationships/hyperlink" Target="file:///C:/Users/DFD1112/Downloads/Internett%20i%20Norge%20-%20%C3%85rsrapport%202023.pdf" TargetMode="External"/><Relationship Id="rId146" Type="http://schemas.openxmlformats.org/officeDocument/2006/relationships/hyperlink" Target="https://www.stortinget.no/globalassets/pdf/innstillinger/stortinget/2022-2023/inns-202223-247s.pdf" TargetMode="External"/><Relationship Id="rId167" Type="http://schemas.openxmlformats.org/officeDocument/2006/relationships/hyperlink" Target="https://www.regjeringen.no/contentassets/b45b4a63e301435293bd1b10d1ede45b/no/pdfs/stm202220230006000dddpdfs.pdf" TargetMode="External"/><Relationship Id="rId188" Type="http://schemas.openxmlformats.org/officeDocument/2006/relationships/hyperlink" Target="https://www.regjeringen.no/contentassets/4b9ba57bebae44d2bebfc845ff6cd5f5/no/pdfs/nou202320230017000dddpdfs.pdf" TargetMode="External"/><Relationship Id="rId7" Type="http://schemas.openxmlformats.org/officeDocument/2006/relationships/endnotes" Target="endnotes.xml"/><Relationship Id="rId71" Type="http://schemas.openxmlformats.org/officeDocument/2006/relationships/hyperlink" Target="https://w2.brreg.no/enhet/sok/detalj.jsp?orgnr=990618976" TargetMode="External"/><Relationship Id="rId92" Type="http://schemas.openxmlformats.org/officeDocument/2006/relationships/image" Target="media/image26.png"/><Relationship Id="rId162" Type="http://schemas.openxmlformats.org/officeDocument/2006/relationships/hyperlink" Target="https://lovdata.no/dokument/NL/lov/2011-12-16-65" TargetMode="External"/><Relationship Id="rId183" Type="http://schemas.openxmlformats.org/officeDocument/2006/relationships/hyperlink" Target="https://www.regjeringen.no/globalassets/departementene/nfd/dokumenter/strategier/strategi-nfd-nett-uu.pdf" TargetMode="External"/><Relationship Id="rId213" Type="http://schemas.openxmlformats.org/officeDocument/2006/relationships/hyperlink" Target="https://www.regjeringen.no/no/aktuelt/space-norway-med-avtale-om-kjop-av-telenor-satellite/id3014624/" TargetMode="External"/><Relationship Id="rId218" Type="http://schemas.openxmlformats.org/officeDocument/2006/relationships/hyperlink" Target="https://www.regjeringen.no/no/aktuelt/samarbeid-for-a-sikre-kritisk-undersjoisk-infrastruktur/id3033122/" TargetMode="External"/><Relationship Id="rId234" Type="http://schemas.openxmlformats.org/officeDocument/2006/relationships/hyperlink" Target="https://presse.telia.no/pressreleases/telia-tar-sitt-nordiske-partnerskap-med-microsoft-til-det-norske-markedet-forenkler-hverdagen-for-bedriftskundene-3357446" TargetMode="External"/><Relationship Id="rId2" Type="http://schemas.openxmlformats.org/officeDocument/2006/relationships/numbering" Target="numbering.xml"/><Relationship Id="rId29" Type="http://schemas.openxmlformats.org/officeDocument/2006/relationships/hyperlink" Target="https://w2.brreg.no/enhet/sok/detalj.jsp?orgnr=982770297" TargetMode="External"/><Relationship Id="rId24" Type="http://schemas.openxmlformats.org/officeDocument/2006/relationships/hyperlink" Target="https://w2.brreg.no/enhet/sok/detalj.jsp?orgnr=981946685" TargetMode="External"/><Relationship Id="rId40" Type="http://schemas.openxmlformats.org/officeDocument/2006/relationships/hyperlink" Target="https://www.lefdalmine.com/" TargetMode="External"/><Relationship Id="rId45" Type="http://schemas.openxmlformats.org/officeDocument/2006/relationships/hyperlink" Target="https://www.norid.no/no/omnorid/" TargetMode="External"/><Relationship Id="rId66" Type="http://schemas.openxmlformats.org/officeDocument/2006/relationships/hyperlink" Target="https://www.ericsson.com/en/about-us/company-facts/ericsson-worldwide/norway" TargetMode="External"/><Relationship Id="rId87" Type="http://schemas.openxmlformats.org/officeDocument/2006/relationships/image" Target="media/image21.png"/><Relationship Id="rId110" Type="http://schemas.openxmlformats.org/officeDocument/2006/relationships/hyperlink" Target="https://www.acma2017.com/" TargetMode="External"/><Relationship Id="rId115" Type="http://schemas.openxmlformats.org/officeDocument/2006/relationships/hyperlink" Target="https://www.digi.no/artikler/starlink-vil-levere-1-gbit-s-fra-satellittene/551895" TargetMode="External"/><Relationship Id="rId131" Type="http://schemas.openxmlformats.org/officeDocument/2006/relationships/hyperlink" Target="https://digital-strategy.ec.europa.eu/en/activities/digital-programme" TargetMode="External"/><Relationship Id="rId136" Type="http://schemas.openxmlformats.org/officeDocument/2006/relationships/hyperlink" Target="https://www.regjeringen.no/contentassets/17dba73e91354368aad3d53d600a18b0/tilsyn-med-nodnett---felles-redegjorelse-nsm-nkom.pdf" TargetMode="External"/><Relationship Id="rId157" Type="http://schemas.openxmlformats.org/officeDocument/2006/relationships/hyperlink" Target="https://lovdata.no/dokument/NL/lov/2024-12-13-76" TargetMode="External"/><Relationship Id="rId178" Type="http://schemas.openxmlformats.org/officeDocument/2006/relationships/hyperlink" Target="https://mc.nato.int/media-centre/news/2024/nato-officially-launches-new-nmcscui" TargetMode="External"/><Relationship Id="rId61" Type="http://schemas.openxmlformats.org/officeDocument/2006/relationships/hyperlink" Target="https://www.lysekonsern.no/om-oss/vare-selskaper/tele/lyse-fiberinvest-as/tarnselskapet/" TargetMode="External"/><Relationship Id="rId82" Type="http://schemas.openxmlformats.org/officeDocument/2006/relationships/image" Target="media/image16.png"/><Relationship Id="rId152" Type="http://schemas.openxmlformats.org/officeDocument/2006/relationships/hyperlink" Target="https://www.regjeringen.no/contentassets/d28f4297bf6c4fd89c5b099d7a89f79c/kommunale-inntekter-fra-kraftsektoren-thema.pdf" TargetMode="External"/><Relationship Id="rId173" Type="http://schemas.openxmlformats.org/officeDocument/2006/relationships/hyperlink" Target="https://tem.fi/en/acquisitions" TargetMode="External"/><Relationship Id="rId194" Type="http://schemas.openxmlformats.org/officeDocument/2006/relationships/hyperlink" Target="https://nsm.no/regelverk-og-hjelp/rad-og-anbefalinger/handtering-av-sikkerhetstruende-okonomisk-virksomhet/hva-er-sikkerhetstruende-okonomisk-virksomhet/" TargetMode="External"/><Relationship Id="rId199" Type="http://schemas.openxmlformats.org/officeDocument/2006/relationships/hyperlink" Target="https://www.oecd.org/en/publications/shaping-norway-s-digital-future_d3af799c-en/full-report.html" TargetMode="External"/><Relationship Id="rId203" Type="http://schemas.openxmlformats.org/officeDocument/2006/relationships/hyperlink" Target="https://www.regjeringen.no/contentassets/f8065596bce74356b5249bd67d716ee4/nn-no/pdfs/prp202320240025000dddpdfs.pdf" TargetMode="External"/><Relationship Id="rId208" Type="http://schemas.openxmlformats.org/officeDocument/2006/relationships/hyperlink" Target="https://www.regjeringen.no/contentassets/94770ac58f8e4975beb27f031f5e3402/nn-no/pdfs/prp201620170143000dddpdfs.pdf" TargetMode="External"/><Relationship Id="rId229" Type="http://schemas.openxmlformats.org/officeDocument/2006/relationships/hyperlink" Target="https://www.starlink.com/" TargetMode="External"/><Relationship Id="rId19" Type="http://schemas.openxmlformats.org/officeDocument/2006/relationships/image" Target="media/image9.png"/><Relationship Id="rId224" Type="http://schemas.openxmlformats.org/officeDocument/2006/relationships/hyperlink" Target="file:///C:/Users/DFD1112/Downloads/Nkomrapport%2001.2022%20-%20Robuste%20transmisjonsnett%20for%20Norge%20mot%202030-ENKLE%20SIDER.pdf" TargetMode="External"/><Relationship Id="rId14" Type="http://schemas.openxmlformats.org/officeDocument/2006/relationships/hyperlink" Target="https://www.regjeringen.no/no/dokumenter/meld.-st.-6-20222023/id2937164/" TargetMode="External"/><Relationship Id="rId30" Type="http://schemas.openxmlformats.org/officeDocument/2006/relationships/hyperlink" Target="https://exainfra.net/about-us/" TargetMode="External"/><Relationship Id="rId35" Type="http://schemas.openxmlformats.org/officeDocument/2006/relationships/hyperlink" Target="https://w2.brreg.no/enhet/sok/detalj.jsp?orgnr=964823138" TargetMode="External"/><Relationship Id="rId56" Type="http://schemas.openxmlformats.org/officeDocument/2006/relationships/hyperlink" Target="https://w2.brreg.no/enhet/sok/detalj.jsp?orgnr=929340272" TargetMode="External"/><Relationship Id="rId77" Type="http://schemas.openxmlformats.org/officeDocument/2006/relationships/hyperlink" Target="https://seaworks.no/" TargetMode="External"/><Relationship Id="rId100" Type="http://schemas.openxmlformats.org/officeDocument/2006/relationships/image" Target="media/image34.png"/><Relationship Id="rId105" Type="http://schemas.openxmlformats.org/officeDocument/2006/relationships/image" Target="media/image38.png"/><Relationship Id="rId126" Type="http://schemas.openxmlformats.org/officeDocument/2006/relationships/hyperlink" Target="https://eur-lex.europa.eu/legal-content/EN/TXT/PDF/?uri=CELEX:32019R0452" TargetMode="External"/><Relationship Id="rId147" Type="http://schemas.openxmlformats.org/officeDocument/2006/relationships/hyperlink" Target="https://www.isp.se/utlandska-direktinvesteringar" TargetMode="External"/><Relationship Id="rId168" Type="http://schemas.openxmlformats.org/officeDocument/2006/relationships/hyperlink" Target="https://www.regjeringen.no/contentassets/44ee372146f44a3eb70fc0872a5e395c/no/pdfs/stm201920200008000dddpdfs.pdf" TargetMode="External"/><Relationship Id="rId8" Type="http://schemas.openxmlformats.org/officeDocument/2006/relationships/image" Target="media/image1.png"/><Relationship Id="rId51" Type="http://schemas.openxmlformats.org/officeDocument/2006/relationships/hyperlink" Target="https://w2.brreg.no/enhet/sok/detalj.jsp?orgnr=999104770" TargetMode="External"/><Relationship Id="rId72" Type="http://schemas.openxmlformats.org/officeDocument/2006/relationships/hyperlink" Target="https://w2.brreg.no/enhet/sok/detalj.jsp?orgnr=987210001" TargetMode="External"/><Relationship Id="rId93" Type="http://schemas.openxmlformats.org/officeDocument/2006/relationships/image" Target="media/image27.png"/><Relationship Id="rId98" Type="http://schemas.openxmlformats.org/officeDocument/2006/relationships/image" Target="media/image32.png"/><Relationship Id="rId121" Type="http://schemas.openxmlformats.org/officeDocument/2006/relationships/hyperlink" Target="https://erhvervsstyrelsen.dk/vejledning-aktiviteter-omfattet-af-investeringsscreeningsloven" TargetMode="External"/><Relationship Id="rId142" Type="http://schemas.openxmlformats.org/officeDocument/2006/relationships/hyperlink" Target="file:///C:/Users/DFD1112/Downloads/Internett%20i%20Norge%20-%20%C3%85rsrapport%202024.pdf" TargetMode="External"/><Relationship Id="rId163" Type="http://schemas.openxmlformats.org/officeDocument/2006/relationships/hyperlink" Target="https://lovdata.no/dokument/NL/lov/2019-03-01-2" TargetMode="External"/><Relationship Id="rId184" Type="http://schemas.openxmlformats.org/officeDocument/2006/relationships/hyperlink" Target="https://www.regjeringen.no/contentassets/0eabdbcbfb2540699466a4a1a801d737/nn-no/pdfs/norske-datasenter.pdf" TargetMode="External"/><Relationship Id="rId189" Type="http://schemas.openxmlformats.org/officeDocument/2006/relationships/hyperlink" Target="https://www.regjeringen.no/contentassets/d48b7fedaa21484cb1f33e118bcd1162/no/pdfs/nou202320230028000dddpdfs.pdf" TargetMode="External"/><Relationship Id="rId219" Type="http://schemas.openxmlformats.org/officeDocument/2006/relationships/hyperlink" Target="https://www.regjeringen.no/no/aktuelt/norge-slutter-seg-til-internasjonalt-initiativ-om-undersjoiske-kabler/id3075280/" TargetMode="External"/><Relationship Id="rId3" Type="http://schemas.openxmlformats.org/officeDocument/2006/relationships/styles" Target="styles.xml"/><Relationship Id="rId214" Type="http://schemas.openxmlformats.org/officeDocument/2006/relationships/hyperlink" Target="https://www.regjeringen.no/no/aktuelt/green-mountain-vert-underlagt-sikkerheitslova-og-far-etablere-datasenter-i-innlandet/id2989926/" TargetMode="External"/><Relationship Id="rId230" Type="http://schemas.openxmlformats.org/officeDocument/2006/relationships/hyperlink" Target="https://www.regjeringen.no/contentassets/1a9b9fca3f5542c08bd576c844f6034b/no/pdfs/statens-eierrapport-2023.pdf" TargetMode="External"/><Relationship Id="rId235" Type="http://schemas.openxmlformats.org/officeDocument/2006/relationships/hyperlink" Target="http://18.195.19.6/handle/20.500.12242/2832" TargetMode="External"/><Relationship Id="rId25" Type="http://schemas.openxmlformats.org/officeDocument/2006/relationships/hyperlink" Target="https://bbft.no/" TargetMode="External"/><Relationship Id="rId46" Type="http://schemas.openxmlformats.org/officeDocument/2006/relationships/hyperlink" Target="https://nte.no/om-nte/organisasjon-og-eiere/telekom/" TargetMode="External"/><Relationship Id="rId67" Type="http://schemas.openxmlformats.org/officeDocument/2006/relationships/hyperlink" Target="https://w2.brreg.no/enhet/sok/detalj.jsp?orgnr=991137092" TargetMode="External"/><Relationship Id="rId116" Type="http://schemas.openxmlformats.org/officeDocument/2006/relationships/hyperlink" Target="https://www.digi.no/artikler/nsm-etter-crowdstrike-still-kritiske-sporsmal-om-programvareutviklingen/549154" TargetMode="External"/><Relationship Id="rId137" Type="http://schemas.openxmlformats.org/officeDocument/2006/relationships/hyperlink" Target="https://valtioneuvosto.fi/en/government-ownership-steering/breakdown" TargetMode="External"/><Relationship Id="rId158" Type="http://schemas.openxmlformats.org/officeDocument/2006/relationships/hyperlink" Target="https://lovdata.no/dokument/NL/lov/2023-06-20-77" TargetMode="External"/><Relationship Id="rId20" Type="http://schemas.openxmlformats.org/officeDocument/2006/relationships/image" Target="media/image10.png"/><Relationship Id="rId41" Type="http://schemas.openxmlformats.org/officeDocument/2006/relationships/hyperlink" Target="https://w2.brreg.no/enhet/sok/detalj.jsp?orgnr=981195361" TargetMode="External"/><Relationship Id="rId62" Type="http://schemas.openxmlformats.org/officeDocument/2006/relationships/hyperlink" Target="https://vikenfiber.no/om-viken-fiber/" TargetMode="External"/><Relationship Id="rId83" Type="http://schemas.openxmlformats.org/officeDocument/2006/relationships/image" Target="media/image17.png"/><Relationship Id="rId88" Type="http://schemas.openxmlformats.org/officeDocument/2006/relationships/image" Target="media/image22.png"/><Relationship Id="rId111" Type="http://schemas.openxmlformats.org/officeDocument/2006/relationships/hyperlink" Target="https://www.berec.europa.eu/en/document-categories/berec/reports/berec-report-on-the-impact-of-artificial-intelligence-ai-solutions-in-the-telecommunications-sector-on-regulation" TargetMode="External"/><Relationship Id="rId132" Type="http://schemas.openxmlformats.org/officeDocument/2006/relationships/hyperlink" Target="https://defence-industry-space.ec.europa.eu/eu-space/iris2-secure-connectivity_en" TargetMode="External"/><Relationship Id="rId153" Type="http://schemas.openxmlformats.org/officeDocument/2006/relationships/hyperlink" Target="https://www.regjeringen.no/contentassets/e775dc91a33e4713a090da7398e6f3f5/endelig-godkjent-kgl.res.-stans-av-salget-av-bergen-engines-as.pdf" TargetMode="External"/><Relationship Id="rId174" Type="http://schemas.openxmlformats.org/officeDocument/2006/relationships/hyperlink" Target="https://www.usitc.gov/research_and_analysis/documents/Moran_OECD_Analysis_5b_0.pdf" TargetMode="External"/><Relationship Id="rId179" Type="http://schemas.openxmlformats.org/officeDocument/2006/relationships/hyperlink" Target="https://www.nato.int/cps/en/natohq/news_225582.htm" TargetMode="External"/><Relationship Id="rId195" Type="http://schemas.openxmlformats.org/officeDocument/2006/relationships/hyperlink" Target="https://kommunikasjon.ntb.no/pressemelding/17920407/telenor-og-google-cloud-inngar-strategisk-partnerskap?publisherId=4954260" TargetMode="External"/><Relationship Id="rId209" Type="http://schemas.openxmlformats.org/officeDocument/2006/relationships/hyperlink" Target="https://www.regjeringen.no/contentassets/e628c0d8c3a44971bb48bd5a487cb52d/nn-no/pdfs/prp202420250001dfddddpdfs.pdf" TargetMode="External"/><Relationship Id="rId190" Type="http://schemas.openxmlformats.org/officeDocument/2006/relationships/hyperlink" Target="https://www.regjeringen.no/contentassets/337fef958f2148bebd326f0749a1213d/no/pdfs/nou202320230004000dddpdfs.pdf" TargetMode="External"/><Relationship Id="rId204" Type="http://schemas.openxmlformats.org/officeDocument/2006/relationships/hyperlink" Target="https://www.regjeringen.no/contentassets/27e00e5acc014c5ba741aacfff235d99/no/pdfs/prp202320240087000dddpdfs.pdf" TargetMode="External"/><Relationship Id="rId220" Type="http://schemas.openxmlformats.org/officeDocument/2006/relationships/hyperlink" Target="https://www.regjeringen.no/no/aktuelt/skal-sikre-tryggere-havbunn/id3083648/" TargetMode="External"/><Relationship Id="rId225" Type="http://schemas.openxmlformats.org/officeDocument/2006/relationships/hyperlink" Target="https://www.dsb.no/globalassets/dokumenter/rapporter/kiks-2_januar.pdf" TargetMode="External"/><Relationship Id="rId15" Type="http://schemas.openxmlformats.org/officeDocument/2006/relationships/hyperlink" Target="https://www.regjeringen.no/no/dokumenter/meld.-st.-9-20222023/id2950130/" TargetMode="External"/><Relationship Id="rId36" Type="http://schemas.openxmlformats.org/officeDocument/2006/relationships/hyperlink" Target="https://w2.brreg.no/enhet/sok/detalj.jsp?orgnr=986908455" TargetMode="External"/><Relationship Id="rId57" Type="http://schemas.openxmlformats.org/officeDocument/2006/relationships/hyperlink" Target="https://www.telenortowers.com/services/" TargetMode="External"/><Relationship Id="rId106" Type="http://schemas.openxmlformats.org/officeDocument/2006/relationships/image" Target="media/image39.png"/><Relationship Id="rId127" Type="http://schemas.openxmlformats.org/officeDocument/2006/relationships/hyperlink" Target="https://europalov.no/node/7661" TargetMode="External"/><Relationship Id="rId10" Type="http://schemas.openxmlformats.org/officeDocument/2006/relationships/image" Target="media/image3.png"/><Relationship Id="rId31" Type="http://schemas.openxmlformats.org/officeDocument/2006/relationships/hyperlink" Target="https://www.de-cix.net/en/locations/oslo" TargetMode="External"/><Relationship Id="rId52" Type="http://schemas.openxmlformats.org/officeDocument/2006/relationships/hyperlink" Target="https://w2.brreg.no/enhet/sok/detalj.jsp?orgnr=913636619" TargetMode="External"/><Relationship Id="rId73" Type="http://schemas.openxmlformats.org/officeDocument/2006/relationships/hyperlink" Target="https://w2.brreg.no/enhet/sok/detalj.jsp?orgnr=987210001" TargetMode="External"/><Relationship Id="rId78" Type="http://schemas.openxmlformats.org/officeDocument/2006/relationships/hyperlink" Target="https://siteservice.no/" TargetMode="External"/><Relationship Id="rId94" Type="http://schemas.openxmlformats.org/officeDocument/2006/relationships/image" Target="media/image28.png"/><Relationship Id="rId99" Type="http://schemas.openxmlformats.org/officeDocument/2006/relationships/image" Target="media/image33.png"/><Relationship Id="rId101" Type="http://schemas.openxmlformats.org/officeDocument/2006/relationships/image" Target="media/image35.png"/><Relationship Id="rId122" Type="http://schemas.openxmlformats.org/officeDocument/2006/relationships/hyperlink" Target="https://eur-lex.europa.eu/legal-content/EN/TXT/PDF/?uri=CELEX:32016L1148" TargetMode="External"/><Relationship Id="rId143" Type="http://schemas.openxmlformats.org/officeDocument/2006/relationships/hyperlink" Target="https://www.stortinget.no/no/Saker-og-publikasjoner/Publikasjoner/Innstillinger/Stortinget/2023-2024/inns-202324-008s/?all=true" TargetMode="External"/><Relationship Id="rId148" Type="http://schemas.openxmlformats.org/officeDocument/2006/relationships/hyperlink" Target="https://www.fafo.no/images/pub/2022/20825.pdf" TargetMode="External"/><Relationship Id="rId164" Type="http://schemas.openxmlformats.org/officeDocument/2006/relationships/hyperlink" Target="https://www.retsinformation.dk/eli/lta/2021/842" TargetMode="External"/><Relationship Id="rId169" Type="http://schemas.openxmlformats.org/officeDocument/2006/relationships/hyperlink" Target="https://www.regjeringen.no/contentassets/d256b455415c4cae8a710f62cc97d4f9/no/pdfs/stm202220230009000dddpdfs.pdf" TargetMode="External"/><Relationship Id="rId185" Type="http://schemas.openxmlformats.org/officeDocument/2006/relationships/hyperlink" Target="https://www.eu.dk/samling/20231/kommissionsforslag/KOM(2024)0023/bilag/2/2871851.pdf"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nato.int/cps/en/natohq/news_225582.htm" TargetMode="External"/><Relationship Id="rId210" Type="http://schemas.openxmlformats.org/officeDocument/2006/relationships/hyperlink" Target="file:///C:\Users\DFD1112\Downloads\Proposal%20for%20a%20new%20regulation%20on%20the%20screening%20of%20foreign%20investments%20(10).pdf" TargetMode="External"/><Relationship Id="rId215" Type="http://schemas.openxmlformats.org/officeDocument/2006/relationships/hyperlink" Target="https://www.regjeringen.no/no/aktuelt/nytt-system-for-nodvarsel-til-befolkningen-er-etablert/id2958586/" TargetMode="External"/><Relationship Id="rId236" Type="http://schemas.openxmlformats.org/officeDocument/2006/relationships/fontTable" Target="fontTable.xml"/><Relationship Id="rId26" Type="http://schemas.openxmlformats.org/officeDocument/2006/relationships/hyperlink" Target="https://bulkinfrastructure.com/" TargetMode="External"/><Relationship Id="rId231" Type="http://schemas.openxmlformats.org/officeDocument/2006/relationships/hyperlink" Target="https://www.stortinget.no/no/Saker-og-publikasjoner/Publikasjoner/Referater/Stortinget/2023-2024/refs-202324-04-18?m=3" TargetMode="External"/><Relationship Id="rId47" Type="http://schemas.openxmlformats.org/officeDocument/2006/relationships/hyperlink" Target="https://oneweb.net/about-us" TargetMode="External"/><Relationship Id="rId68" Type="http://schemas.openxmlformats.org/officeDocument/2006/relationships/hyperlink" Target="https://w2.brreg.no/enhet/sok/detalj.jsp?orgnr=987656328" TargetMode="External"/><Relationship Id="rId89" Type="http://schemas.openxmlformats.org/officeDocument/2006/relationships/image" Target="media/image23.png"/><Relationship Id="rId112" Type="http://schemas.openxmlformats.org/officeDocument/2006/relationships/hyperlink" Target="https://www.berec.europa.eu/en/all-documents/berec/reports/berec-report-on-cloud-and-edge-computing-services" TargetMode="External"/><Relationship Id="rId133" Type="http://schemas.openxmlformats.org/officeDocument/2006/relationships/hyperlink" Target="file:///C:\Users\DFD1112\Downloads\White_Paper__Ho_to_master_Europes_digital_infrastructure_needs_CkoePennGJi1hpdkuARxMGuH5s_102533.pdf" TargetMode="External"/><Relationship Id="rId154" Type="http://schemas.openxmlformats.org/officeDocument/2006/relationships/hyperlink" Target="https://nsm.no/getfile.php/1313330-1696430485/NSM/Filer/Dokumenter/Rapporter/Nasjonal%20skytjeneste%20-%20konseptvalgutredning%20-%20KVU%202023.pdf" TargetMode="External"/><Relationship Id="rId175" Type="http://schemas.openxmlformats.org/officeDocument/2006/relationships/hyperlink" Target="https://www.consilium.europa.eu/media/ny3j24sm/much-more-than-a-market-report-by-enrico-letta.pdf" TargetMode="External"/><Relationship Id="rId196" Type="http://schemas.openxmlformats.org/officeDocument/2006/relationships/hyperlink" Target="https://kommunikasjon.ntb.no/pressemelding/17942689/telenor-etablerer-fiberselskap-i-norge?publisherId=4954260" TargetMode="External"/><Relationship Id="rId200" Type="http://schemas.openxmlformats.org/officeDocument/2006/relationships/hyperlink" Target="https://oneweb.net/about-us" TargetMode="External"/><Relationship Id="rId16" Type="http://schemas.openxmlformats.org/officeDocument/2006/relationships/image" Target="media/image6.png"/><Relationship Id="rId221" Type="http://schemas.openxmlformats.org/officeDocument/2006/relationships/hyperlink" Target="https://nsm.no/getfile.php/1312547-1676548301/NSM/Filer/Dokumenter/Rapporter/Risiko%202023%20-%20Nasjonal%20sikkerhetsmyndighet.pdf" TargetMode="External"/><Relationship Id="rId37" Type="http://schemas.openxmlformats.org/officeDocument/2006/relationships/hyperlink" Target="http://ishavslink.no/" TargetMode="External"/><Relationship Id="rId58" Type="http://schemas.openxmlformats.org/officeDocument/2006/relationships/hyperlink" Target="https://w2.brreg.no/enhet/sok/detalj.jsp?orgnr=981929055" TargetMode="External"/><Relationship Id="rId79" Type="http://schemas.openxmlformats.org/officeDocument/2006/relationships/image" Target="media/image13.png"/><Relationship Id="rId102" Type="http://schemas.openxmlformats.org/officeDocument/2006/relationships/image" Target="media/image36.png"/><Relationship Id="rId123" Type="http://schemas.openxmlformats.org/officeDocument/2006/relationships/hyperlink" Target="https://europalov.no/node/6118" TargetMode="External"/><Relationship Id="rId144" Type="http://schemas.openxmlformats.org/officeDocument/2006/relationships/hyperlink" Target="https://www.stortinget.no/globalassets/pdf/innstillinger/stortinget/2023-2024/inns-202324-123s.pdf" TargetMode="External"/><Relationship Id="rId90" Type="http://schemas.openxmlformats.org/officeDocument/2006/relationships/image" Target="media/image24.png"/><Relationship Id="rId165" Type="http://schemas.openxmlformats.org/officeDocument/2006/relationships/hyperlink" Target="https://lovdata.no/dokument/NL/lov/1950-12-15-7" TargetMode="External"/><Relationship Id="rId186" Type="http://schemas.openxmlformats.org/officeDocument/2006/relationships/hyperlink" Target="https://www.regjeringen.no/contentassets/62f6dd4e0274432da6475e53f4b14d44/no/pdfs/nou201820180005000dddpdfs.pdf" TargetMode="External"/><Relationship Id="rId211" Type="http://schemas.openxmlformats.org/officeDocument/2006/relationships/hyperlink" Target="https://www.regjeringen.no/contentassets/abd1dec7647a4c22aaef7d93046e3f2b/pa-rett-sted-til-rett-tid.pdf" TargetMode="External"/><Relationship Id="rId232" Type="http://schemas.openxmlformats.org/officeDocument/2006/relationships/hyperlink" Target="https://www.tampnet.com/press/tampnet-and-oneweb-sign-agreement-to-further-develop-the-next-generation-of-offshore-connectivity-capabilities" TargetMode="External"/><Relationship Id="rId27" Type="http://schemas.openxmlformats.org/officeDocument/2006/relationships/hyperlink" Target="https://www.de-cix.net/en/about-de-cix" TargetMode="External"/><Relationship Id="rId48" Type="http://schemas.openxmlformats.org/officeDocument/2006/relationships/hyperlink" Target="https://digital.orange-business.com/no-no" TargetMode="External"/><Relationship Id="rId69" Type="http://schemas.openxmlformats.org/officeDocument/2006/relationships/hyperlink" Target="https://netel.no/" TargetMode="External"/><Relationship Id="rId113" Type="http://schemas.openxmlformats.org/officeDocument/2006/relationships/hyperlink" Target="https://static1.squarespace.com/static/6129463e215bea534c574c7f/t/65a92c45d4a60f02b227271f/1705585734796/Datasenterindustrien+i+Norge+2023-2024.pdf" TargetMode="External"/><Relationship Id="rId134" Type="http://schemas.openxmlformats.org/officeDocument/2006/relationships/hyperlink" Target="https://commission.europa.eu/document/download/97e481fd-2dc3-412d-be4c-f152a8232961_en?filename=The%20future%20of%20European%20competitiveness%20_%20A%20competitiveness%20strategy%20for%20Europe.pdf"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file:///C:/Users/DFD1112/Downloads/EkomROS%202024%20-%20offentlig%20versjon%20(1).pdf" TargetMode="External"/><Relationship Id="rId18" Type="http://schemas.openxmlformats.org/officeDocument/2006/relationships/hyperlink" Target="https://www.nrk.no/vestfoldogtelemark/google-bygger-enormt-datasenter-i-skien-1.16749861" TargetMode="External"/><Relationship Id="rId26" Type="http://schemas.openxmlformats.org/officeDocument/2006/relationships/hyperlink" Target="https://www.stortinget.no/no/Saker-og-publikasjoner/Sporsmal/Skriftlige-sporsmal-og-svar/Skriftlig-sporsmal/?qnid=67684" TargetMode="External"/><Relationship Id="rId39" Type="http://schemas.openxmlformats.org/officeDocument/2006/relationships/hyperlink" Target="https://www.regjeringen.no/no/aktuelt/green-mountain-vert-underlagt-sikkerheitslova-og-far-etablere-datasenter-i-innlandet/id2989926/" TargetMode="External"/><Relationship Id="rId21" Type="http://schemas.openxmlformats.org/officeDocument/2006/relationships/hyperlink" Target="https://kommunikasjon.ntb.no/pressemelding/18052346/telenor-group-announces-collaboration-with-nvidia-to-support-its-ai-first-ambition?publisherId=4954260" TargetMode="External"/><Relationship Id="rId34" Type="http://schemas.openxmlformats.org/officeDocument/2006/relationships/hyperlink" Target="https://spacenorway.com/news/space-norway-delivery-enhances-the-armed-forces-operational-capability-in-the-high-north/" TargetMode="External"/><Relationship Id="rId42" Type="http://schemas.openxmlformats.org/officeDocument/2006/relationships/hyperlink" Target="https://www.ehelse.no/velferdsteknologi-og-digital-hjemmeoppfolging" TargetMode="External"/><Relationship Id="rId47" Type="http://schemas.openxmlformats.org/officeDocument/2006/relationships/hyperlink" Target="https://www.regjeringen.no/globalassets/departementene/fin/2024/kartlegging-eierskapsopplysninger-v-1.0.pdf" TargetMode="External"/><Relationship Id="rId50" Type="http://schemas.openxmlformats.org/officeDocument/2006/relationships/hyperlink" Target="https://www.regjeringen.no/contentassets/b45b4a63e301435293bd1b10d1ede45b/no/pdfs/stm202220230006000dddpdfs.pdf" TargetMode="External"/><Relationship Id="rId55" Type="http://schemas.openxmlformats.org/officeDocument/2006/relationships/hyperlink" Target="https://www.lysekonsern.no/om-oss/eierskap-og-historie/" TargetMode="External"/><Relationship Id="rId63" Type="http://schemas.openxmlformats.org/officeDocument/2006/relationships/hyperlink" Target="https://www.regjeringen.no/no/dokumenter/prop.-1-s-20242025/id3057309/?ch=2" TargetMode="External"/><Relationship Id="rId68" Type="http://schemas.openxmlformats.org/officeDocument/2006/relationships/hyperlink" Target="https://www.regjeringen.no/contentassets/abc084fe921e403791ddb505622ba365/eu-norway-security-and-defence-partnership.pdf" TargetMode="External"/><Relationship Id="rId76" Type="http://schemas.openxmlformats.org/officeDocument/2006/relationships/hyperlink" Target="https://www.crowell.com/en/insights/client-alerts/a-new-european-commission-proposal-on-foreign-direct-investment-screening-towards-greater-harmonization" TargetMode="External"/><Relationship Id="rId84" Type="http://schemas.openxmlformats.org/officeDocument/2006/relationships/hyperlink" Target="https://www.regjeringen.no/contentassets/abd1dec7647a4c22aaef7d93046e3f2b/pa-rett-sted-til-rett-tid.pdf" TargetMode="External"/><Relationship Id="rId89" Type="http://schemas.openxmlformats.org/officeDocument/2006/relationships/hyperlink" Target="https://www.regjeringen.no/no/aktuelt/nytt-system-for-nodvarsel-til-befolkningen-er-etablert/id2958586/" TargetMode="External"/><Relationship Id="rId7" Type="http://schemas.openxmlformats.org/officeDocument/2006/relationships/hyperlink" Target="https://e-estonia.com/data-embassy-the-digital-continuity-of-a-state/" TargetMode="External"/><Relationship Id="rId71" Type="http://schemas.openxmlformats.org/officeDocument/2006/relationships/hyperlink" Target="https://www.isp.se/utlandska-direktinvesteringar" TargetMode="External"/><Relationship Id="rId2" Type="http://schemas.openxmlformats.org/officeDocument/2006/relationships/hyperlink" Target="https://www.regjeringen.no/contentassets/0eabdbcbfb2540699466a4a1a801d737/nn-no/pdfs/norske-datasenter.pdf" TargetMode="External"/><Relationship Id="rId16" Type="http://schemas.openxmlformats.org/officeDocument/2006/relationships/hyperlink" Target="https://ffi-publikasjoner.archive.knowledgearc.net/bitstream/handle/20.500.12242/3313/24-01299.pdf" TargetMode="External"/><Relationship Id="rId29" Type="http://schemas.openxmlformats.org/officeDocument/2006/relationships/hyperlink" Target="https://www.regjeringen.no/contentassets/c499c3b6c93740bd989c43d886f65924/no/pdfs/nasjonal-digitaliseringsstrategi_ny.pdf" TargetMode="External"/><Relationship Id="rId11" Type="http://schemas.openxmlformats.org/officeDocument/2006/relationships/hyperlink" Target="https://www.pst.no/alle-artikler/trusselvurderinger/ntv-2024/" TargetMode="External"/><Relationship Id="rId24" Type="http://schemas.openxmlformats.org/officeDocument/2006/relationships/hyperlink" Target="https://www.nrk.no/tromsogfinnmark/rodt-krever-svar-etter-at-bredbandsfylket-avtalte-samarbeid-med-russiske-megafon-1.16183441" TargetMode="External"/><Relationship Id="rId32" Type="http://schemas.openxmlformats.org/officeDocument/2006/relationships/hyperlink" Target="https://www.regjeringen.no/contentassets/c24e6978185f4a49a7d2689a4741a9b1/no/pdfs/stm202420250009000dddpdfs.pdf" TargetMode="External"/><Relationship Id="rId37" Type="http://schemas.openxmlformats.org/officeDocument/2006/relationships/hyperlink" Target="https://www.stortinget.no/no/Saker-og-publikasjoner/Publikasjoner/Innstillinger/Stortinget/2023-2024/inns-202324-008s/?m=1&amp;s=Telenor+Fiber" TargetMode="External"/><Relationship Id="rId40" Type="http://schemas.openxmlformats.org/officeDocument/2006/relationships/hyperlink" Target="https://www.dsb.no/globalassets/dokumenter/rapporter/kiks-2_januar.pdf" TargetMode="External"/><Relationship Id="rId45" Type="http://schemas.openxmlformats.org/officeDocument/2006/relationships/hyperlink" Target="https://www.berec.europa.eu/en/document-categories/berec/reports/berec-report-on-the-impact-of-artificial-intelligence-ai-solutions-in-the-telecommunications-sector-on-regulation" TargetMode="External"/><Relationship Id="rId53" Type="http://schemas.openxmlformats.org/officeDocument/2006/relationships/hyperlink" Target="https://www.kkr.com/" TargetMode="External"/><Relationship Id="rId58" Type="http://schemas.openxmlformats.org/officeDocument/2006/relationships/hyperlink" Target="https://kommunikasjon.ntb.no/pressemelding/18037732/eidsiva-kjoper-etablert-datasenter-vi-skal-tilby-trygg-lagring-med-100-percent-nasjonalt-offentlig-eierskap?publisherId=17848064&amp;lang=no" TargetMode="External"/><Relationship Id="rId66" Type="http://schemas.openxmlformats.org/officeDocument/2006/relationships/hyperlink" Target="https://www.regjeringen.no/no/aktuelt/nytt-norsk-tysk-initiativ-skal-styrke-kritisk-undersjoisk-infrastruktur-i-europa/id3061340/" TargetMode="External"/><Relationship Id="rId74" Type="http://schemas.openxmlformats.org/officeDocument/2006/relationships/hyperlink" Target="https://erhvervsstyrelsen.dk/vejledning-aktiviteter-omfattet-af-investeringsscreeningsloven" TargetMode="External"/><Relationship Id="rId79" Type="http://schemas.openxmlformats.org/officeDocument/2006/relationships/hyperlink" Target="https://www.eu.dk/samling/20231/kommissionsforslag/KOM(2024)0023/bilag/2/2871851.pdf" TargetMode="External"/><Relationship Id="rId87" Type="http://schemas.openxmlformats.org/officeDocument/2006/relationships/hyperlink" Target="https://eur-lex.europa.eu/legal-content/EN/TXT/?uri=CELEX:62014CJ0362" TargetMode="External"/><Relationship Id="rId5" Type="http://schemas.openxmlformats.org/officeDocument/2006/relationships/hyperlink" Target="https://blogs.microsoft.com/on-the-issues/2022/06/22/defending-ukraine-early-lessons-from-the-cyber-war/" TargetMode="External"/><Relationship Id="rId61" Type="http://schemas.openxmlformats.org/officeDocument/2006/relationships/hyperlink" Target="https://eur-lex.europa.eu/legal-content/EN/TXT/PDF/?uri=CELEX:32018R0151" TargetMode="External"/><Relationship Id="rId82" Type="http://schemas.openxmlformats.org/officeDocument/2006/relationships/hyperlink" Target="https://www.regjeringen.no/no/aktuelt/samarbeid-for-a-sikre-kritisk-undersjoisk-infrastruktur/id3033122/" TargetMode="External"/><Relationship Id="rId90" Type="http://schemas.openxmlformats.org/officeDocument/2006/relationships/hyperlink" Target="https://www.starlink.com" TargetMode="External"/><Relationship Id="rId19" Type="http://schemas.openxmlformats.org/officeDocument/2006/relationships/hyperlink" Target="https://www.regjeringen.no/no/aktuelt/green-mountain-vert-underlagt-sikkerheitslova-og-far-etablere-datasenter-i-innlandet/id2989926/" TargetMode="External"/><Relationship Id="rId14" Type="http://schemas.openxmlformats.org/officeDocument/2006/relationships/hyperlink" Target="https://ffi-publikasjoner.archive.knowledgearc.net/bitstream/handle/20.500.12242/2832/03149.pdf" TargetMode="External"/><Relationship Id="rId22" Type="http://schemas.openxmlformats.org/officeDocument/2006/relationships/hyperlink" Target="https://presse.telia.no/pressreleases/telia-tar-sitt-nordiske-partnerskap-med-microsoft-til-det-norske-markedet-forenkler-hverdagen-for-bedriftskundene-3357446" TargetMode="External"/><Relationship Id="rId27" Type="http://schemas.openxmlformats.org/officeDocument/2006/relationships/hyperlink" Target="https://www.digi.no/artikler/nsm-etter-crowdstrike-still-kritiske-sporsmal-om-programvareutviklingen/549154" TargetMode="External"/><Relationship Id="rId30" Type="http://schemas.openxmlformats.org/officeDocument/2006/relationships/hyperlink" Target="https://nsm.no/getfile.php/1313330-1696430485/NSM/Filer/Dokumenter/Rapporter/Nasjonal%20skytjeneste%20-%20konseptvalgutredning%20-%20KVU%202023.pdf" TargetMode="External"/><Relationship Id="rId35" Type="http://schemas.openxmlformats.org/officeDocument/2006/relationships/hyperlink" Target="https://www.regjeringen.no/no/aktuelt/space-norway-med-avtale-om-kjop-av-telenor-satellite/id3014624/?expand=factbox3014627" TargetMode="External"/><Relationship Id="rId43" Type="http://schemas.openxmlformats.org/officeDocument/2006/relationships/hyperlink" Target="https://www.regjeringen.no/contentassets/337fef958f2148bebd326f0749a1213d/no/pdfs/nou202320230004000dddpdfs.pdf" TargetMode="External"/><Relationship Id="rId48" Type="http://schemas.openxmlformats.org/officeDocument/2006/relationships/hyperlink" Target="https://www.brreg.no/reelle-rettighetshavere/" TargetMode="External"/><Relationship Id="rId56" Type="http://schemas.openxmlformats.org/officeDocument/2006/relationships/hyperlink" Target="https://www.eidsiva.no/om-eidsiva/eiere/" TargetMode="External"/><Relationship Id="rId64" Type="http://schemas.openxmlformats.org/officeDocument/2006/relationships/hyperlink" Target="https://www.regjeringen.no/contentassets/0fcee45affd24280896b88b5413a00aa/no/pdfs/prp201620170153000dddpdfs.pdf" TargetMode="External"/><Relationship Id="rId69" Type="http://schemas.openxmlformats.org/officeDocument/2006/relationships/hyperlink" Target="https://www.norden.org/en/declaration/joint-statement-nordic-and-baltic-ministers-digitalisation" TargetMode="External"/><Relationship Id="rId77" Type="http://schemas.openxmlformats.org/officeDocument/2006/relationships/hyperlink" Target="file:///C:\Users\DFD1112\Downloads\Proposal%20for%20a%20new%20regulation%20on%20the%20screening%20of%20foreign%20investments%20(10).pdf" TargetMode="External"/><Relationship Id="rId8" Type="http://schemas.openxmlformats.org/officeDocument/2006/relationships/hyperlink" Target="https://digital-strategy.ec.europa.eu/en/activities/digital-programme" TargetMode="External"/><Relationship Id="rId51" Type="http://schemas.openxmlformats.org/officeDocument/2006/relationships/hyperlink" Target="https://www.regjeringen.no/contentassets/44ee372146f44a3eb70fc0872a5e395c/no/pdfs/stm201920200008000dddpdfs.pdf" TargetMode="External"/><Relationship Id="rId72" Type="http://schemas.openxmlformats.org/officeDocument/2006/relationships/hyperlink" Target="https://www.kommerskollegium.se/globalassets/publikationer/rapporter/2022/perspectives-on-the-economic-effects-of-fdi-and-investment-screening.pdf" TargetMode="External"/><Relationship Id="rId80" Type="http://schemas.openxmlformats.org/officeDocument/2006/relationships/hyperlink" Target="file:///C:\Users\DFD1112\Downloads\Proposal%20for%20a%20new%20regulation%20on%20the%20screening%20of%20foreign%20investments%20(10).pdf" TargetMode="External"/><Relationship Id="rId85" Type="http://schemas.openxmlformats.org/officeDocument/2006/relationships/hyperlink" Target="https://nsm.no/regelverk-og-hjelp/rapporter/sikkerhetsfaglig-rad-et-motstandsdyktig-norge" TargetMode="External"/><Relationship Id="rId3" Type="http://schemas.openxmlformats.org/officeDocument/2006/relationships/hyperlink" Target="https://www.digi.no/artikler/starlink-vil-levere-1-gbit-s-fra-satellittene/551895" TargetMode="External"/><Relationship Id="rId12" Type="http://schemas.openxmlformats.org/officeDocument/2006/relationships/hyperlink" Target="https://nsm.no/getfile.php/1313477-1719434219/NSM/Filer/Dokumenter/Rapporter/Risiko%202024.pdf" TargetMode="External"/><Relationship Id="rId17" Type="http://schemas.openxmlformats.org/officeDocument/2006/relationships/hyperlink" Target="https://www.regjeringen.no/contentassets/c499c3b6c93740bd989c43d886f65924/no/pdfs/nasjonal-digitaliseringsstrategi_ny.pdf" TargetMode="External"/><Relationship Id="rId25" Type="http://schemas.openxmlformats.org/officeDocument/2006/relationships/hyperlink" Target="https://kommunikasjon.ntb.no/pressemelding/17942689/telenor-etablerer-fiberselskap-i-norge?publisherId=4954260" TargetMode="External"/><Relationship Id="rId33" Type="http://schemas.openxmlformats.org/officeDocument/2006/relationships/hyperlink" Target="https://www.regjeringen.no/no/aktuelt/okt-sikkerhet-for-kritisk-infrastruktur-pa-norsk-sokkel/id3023761/" TargetMode="External"/><Relationship Id="rId38" Type="http://schemas.openxmlformats.org/officeDocument/2006/relationships/hyperlink" Target="https://www.regjeringen.no/no/aktuelt/regjeringen-setter-vilkar-knyttet-til-kjop-av-eierandel-i-globalconnect/id2970605/" TargetMode="External"/><Relationship Id="rId46" Type="http://schemas.openxmlformats.org/officeDocument/2006/relationships/hyperlink" Target="https://www.berec.europa.eu/en/all-documents/berec/reports/berec-report-on-cloud-and-edge-computing-services" TargetMode="External"/><Relationship Id="rId59" Type="http://schemas.openxmlformats.org/officeDocument/2006/relationships/hyperlink" Target="https://www.stortinget.no/no/Saker-og-publikasjoner/Publikasjoner/Innstillinger/Stortinget/2022-2023/inns-202223-247s/?all=true" TargetMode="External"/><Relationship Id="rId67" Type="http://schemas.openxmlformats.org/officeDocument/2006/relationships/hyperlink" Target="https://www.regjeringen.no/no/aktuelt/skal-sikre-tryggere-havbunn/id3083648/" TargetMode="External"/><Relationship Id="rId20" Type="http://schemas.openxmlformats.org/officeDocument/2006/relationships/hyperlink" Target="https://kommunikasjon.ntb.no/pressemelding/17920407/telenor-og-google-cloud-inngar-strategisk-partnerskap?publisherId=4954260" TargetMode="External"/><Relationship Id="rId41" Type="http://schemas.openxmlformats.org/officeDocument/2006/relationships/hyperlink" Target="https://www.norges-bank.no/aktuelt/nyheter-og-hendelser/Publikasjoner/Norges-Bank-Memo-/2023/memo-12023-betalingsformidling/nettrapport-memo-12023-betalingsformidling/" TargetMode="External"/><Relationship Id="rId54" Type="http://schemas.openxmlformats.org/officeDocument/2006/relationships/hyperlink" Target="https://www.regjeringen.no/no/aktuelt/space-norway-med-avtale-om-kjop-av-telenor-satellite/id3014624/" TargetMode="External"/><Relationship Id="rId62" Type="http://schemas.openxmlformats.org/officeDocument/2006/relationships/hyperlink" Target="https://eur-lex.europa.eu/legal-content/EN/TXT/PDF/?uri=CELEX:32019R0881" TargetMode="External"/><Relationship Id="rId70" Type="http://schemas.openxmlformats.org/officeDocument/2006/relationships/hyperlink" Target="https://www.state.gov/joint-statement-on-the-security-and-resilience-of-undersea-cables-in-a-globally-digitalized-world/" TargetMode="External"/><Relationship Id="rId75" Type="http://schemas.openxmlformats.org/officeDocument/2006/relationships/hyperlink" Target="https://tem.fi/en/acquisitions" TargetMode="External"/><Relationship Id="rId83" Type="http://schemas.openxmlformats.org/officeDocument/2006/relationships/hyperlink" Target="https://www.regjeringen.no/contentassets/4b9d05c6dd134d8aa67dfbe576605a45/off_rapport_sarbarhetsanalyse_for_trondelag_2024-02-05.pdf" TargetMode="External"/><Relationship Id="rId88" Type="http://schemas.openxmlformats.org/officeDocument/2006/relationships/hyperlink" Target="https://eur-lex.europa.eu/legal-content/EN/TXT/?uri=CELEX%3A62018CJ0311&amp;qid=1738086589197" TargetMode="External"/><Relationship Id="rId91" Type="http://schemas.openxmlformats.org/officeDocument/2006/relationships/hyperlink" Target="https://oneweb.net/about-us" TargetMode="External"/><Relationship Id="rId1" Type="http://schemas.openxmlformats.org/officeDocument/2006/relationships/hyperlink" Target="https://www.regjeringen.no/globalassets/departementene/nfd/dokumenter/strategier/strategi-nfd-nett-uu.pdf" TargetMode="External"/><Relationship Id="rId6" Type="http://schemas.openxmlformats.org/officeDocument/2006/relationships/hyperlink" Target="https://legilux.public.lu/eli/etat/leg/loi/2017/12/01/a1029/jo" TargetMode="External"/><Relationship Id="rId15" Type="http://schemas.openxmlformats.org/officeDocument/2006/relationships/hyperlink" Target="https://nsm.no/regelverk-og-hjelp/rad-og-anbefalinger/handtering-av-sikkerhetstruende-okonomisk-virksomhet/hva-er-sikkerhetstruende-okonomisk-virksomhet/" TargetMode="External"/><Relationship Id="rId23" Type="http://schemas.openxmlformats.org/officeDocument/2006/relationships/hyperlink" Target="https://www.tampnet.com/press/tampnet-and-oneweb-sign-agreement-to-further-develop-the-next-generation-of-offshore-connectivity-capabilities" TargetMode="External"/><Relationship Id="rId28" Type="http://schemas.openxmlformats.org/officeDocument/2006/relationships/hyperlink" Target="https://www.regjeringen.no/contentassets/17dba73e91354368aad3d53d600a18b0/tilsyn-med-nodnett---felles-redegjorelse-nsm-nkom.pdf" TargetMode="External"/><Relationship Id="rId36" Type="http://schemas.openxmlformats.org/officeDocument/2006/relationships/hyperlink" Target="https://www.stortinget.no/no/Saker-og-publikasjoner/Sporsmal/Skriftlige-sporsmal-og-svar/Skriftlig-sporsmal/?qnid=67684" TargetMode="External"/><Relationship Id="rId49" Type="http://schemas.openxmlformats.org/officeDocument/2006/relationships/hyperlink" Target="https://www.regjeringen.no/contentassets/e775dc91a33e4713a090da7398e6f3f5/endelig-godkjent-kgl.res.-stans-av-salget-av-bergen-engines-as.pdf" TargetMode="External"/><Relationship Id="rId57" Type="http://schemas.openxmlformats.org/officeDocument/2006/relationships/hyperlink" Target="https://www.regjeringen.no/contentassets/d28f4297bf6c4fd89c5b099d7a89f79c/kommunale-inntekter-fra-kraftsektoren-thema.pdf" TargetMode="External"/><Relationship Id="rId10" Type="http://schemas.openxmlformats.org/officeDocument/2006/relationships/hyperlink" Target="https://www.etterretningstjenesten.no/publikasjoner/fokus/Fokus24_innhold" TargetMode="External"/><Relationship Id="rId31" Type="http://schemas.openxmlformats.org/officeDocument/2006/relationships/hyperlink" Target="https://www.stortinget.no/no/Saker-og-publikasjoner/Publikasjoner/Referater/Stortinget/2023-2024/refs-202324-04-18?m=3" TargetMode="External"/><Relationship Id="rId44" Type="http://schemas.openxmlformats.org/officeDocument/2006/relationships/hyperlink" Target="https://www.oecd.org/en/publications/shaping-norway-s-digital-future_d3af799c-en/full-report.html" TargetMode="External"/><Relationship Id="rId52" Type="http://schemas.openxmlformats.org/officeDocument/2006/relationships/hyperlink" Target="https://www.regjeringen.no/no/tema/naringsliv/statlig-eierskap/eierstyring-og-ledelse/id613433/" TargetMode="External"/><Relationship Id="rId60" Type="http://schemas.openxmlformats.org/officeDocument/2006/relationships/hyperlink" Target="https://lovdata.no/dokument/LTI/lov/2023-06-20-77" TargetMode="External"/><Relationship Id="rId65" Type="http://schemas.openxmlformats.org/officeDocument/2006/relationships/hyperlink" Target="https://mc.nato.int/media-centre/news/2024/nato-officially-launches-new-nmcscui" TargetMode="External"/><Relationship Id="rId73" Type="http://schemas.openxmlformats.org/officeDocument/2006/relationships/hyperlink" Target="https://www.isp.se/utlandska-direktinvesteringar" TargetMode="External"/><Relationship Id="rId78" Type="http://schemas.openxmlformats.org/officeDocument/2006/relationships/hyperlink" Target="https://www.crowell.com/en/insights/client-alerts/a-new-european-commission-proposal-on-foreign-direct-investment-screening-towards-greater-harmonization" TargetMode="External"/><Relationship Id="rId81" Type="http://schemas.openxmlformats.org/officeDocument/2006/relationships/hyperlink" Target="https://www.acma2017.com/" TargetMode="External"/><Relationship Id="rId86" Type="http://schemas.openxmlformats.org/officeDocument/2006/relationships/hyperlink" Target="https://www.regjeringen.no/no/aktuelt/regjeringen-setter-vilkar-knyttet-til-kjop-av-eierandel-i-globalconnect/id2970605/" TargetMode="External"/><Relationship Id="rId4" Type="http://schemas.openxmlformats.org/officeDocument/2006/relationships/hyperlink" Target="https://www.aftenposten.no/verden/i/zE3RRq/starlink-systemet-gir-elon-musk-stor-makt-det-skaper-bekymring" TargetMode="External"/><Relationship Id="rId9" Type="http://schemas.openxmlformats.org/officeDocument/2006/relationships/hyperlink" Target="https://eur-lex.europa.eu/legal-content/EN/TXT/?uri=CELEX%3A02021R0694-2023092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FB7466-06AA-4466-8878-1B80B42B5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83</TotalTime>
  <Pages>195</Pages>
  <Words>69421</Words>
  <Characters>456972</Characters>
  <Application>Microsoft Office Word</Application>
  <DocSecurity>0</DocSecurity>
  <Lines>3808</Lines>
  <Paragraphs>1050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525343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Caroline Aasan</cp:lastModifiedBy>
  <cp:revision>3</cp:revision>
  <dcterms:created xsi:type="dcterms:W3CDTF">2025-02-26T09:43:00Z</dcterms:created>
  <dcterms:modified xsi:type="dcterms:W3CDTF">2025-02-26T11:00:00Z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2025-02-26T09:43:16Z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87f0564d-a2ff-4936-84e3-0d8f0e7ddddf</vt:lpwstr>
  </property>
  <property fmtid="{D5CDD505-2E9C-101B-9397-08002B2CF9AE}" pid="8" name="MSIP_Label_b22f7043-6caf-4431-9109-8eff758a1d8b_ContentBits">
    <vt:lpwstr>0</vt:lpwstr>
  </property>
</Properties>
</file>