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449"/>
        <w:gridCol w:w="2324"/>
        <w:gridCol w:w="282"/>
        <w:gridCol w:w="2133"/>
      </w:tblGrid>
      <w:tr w:rsidR="002952CA" w:rsidRPr="00BC6FA7" w14:paraId="45199B51" w14:textId="77777777" w:rsidTr="00272963">
        <w:tc>
          <w:tcPr>
            <w:tcW w:w="7333" w:type="dxa"/>
            <w:gridSpan w:val="3"/>
          </w:tcPr>
          <w:p w14:paraId="23C29092" w14:textId="77777777" w:rsidR="002952CA" w:rsidRPr="0069429E" w:rsidRDefault="002952CA" w:rsidP="00272963">
            <w:pPr>
              <w:pStyle w:val="Brdtekst1"/>
              <w:rPr>
                <w:sz w:val="21"/>
                <w:szCs w:val="21"/>
              </w:rPr>
            </w:pPr>
          </w:p>
        </w:tc>
        <w:tc>
          <w:tcPr>
            <w:tcW w:w="2445" w:type="dxa"/>
            <w:gridSpan w:val="2"/>
          </w:tcPr>
          <w:p w14:paraId="7A3101A9" w14:textId="77777777" w:rsidR="002952CA" w:rsidRPr="00BC6FA7" w:rsidRDefault="002952CA" w:rsidP="00272963">
            <w:pPr>
              <w:spacing w:line="240" w:lineRule="auto"/>
              <w:rPr>
                <w:rFonts w:cstheme="majorHAnsi"/>
                <w:sz w:val="21"/>
                <w:szCs w:val="21"/>
                <w:lang w:val="nn-NO"/>
              </w:rPr>
            </w:pPr>
          </w:p>
        </w:tc>
      </w:tr>
      <w:tr w:rsidR="002952CA" w14:paraId="0A65F9A7" w14:textId="77777777" w:rsidTr="00272963">
        <w:tc>
          <w:tcPr>
            <w:tcW w:w="7333" w:type="dxa"/>
            <w:gridSpan w:val="3"/>
          </w:tcPr>
          <w:p w14:paraId="02685410" w14:textId="77777777" w:rsidR="002952CA" w:rsidRPr="00E11860" w:rsidRDefault="00774F2B" w:rsidP="00272963">
            <w:pPr>
              <w:rPr>
                <w:sz w:val="21"/>
                <w:szCs w:val="21"/>
              </w:rPr>
            </w:pPr>
            <w:sdt>
              <w:sdtPr>
                <w:rPr>
                  <w:noProof/>
                  <w:sz w:val="21"/>
                  <w:szCs w:val="21"/>
                </w:rPr>
                <w:alias w:val="Sdm_AMNavn"/>
                <w:tag w:val="Sdm_AMNavn"/>
                <w:id w:val="94775166"/>
                <w:dataBinding w:xpath="/document/body/Sdm_AMNavn" w:storeItemID="{521292EA-7470-4CC1-BE77-507AB39D7E9F}"/>
                <w:text/>
              </w:sdtPr>
              <w:sdtEndPr/>
              <w:sdtContent>
                <w:bookmarkStart w:id="0" w:name="Sdm_AMNavn"/>
                <w:r w:rsidR="002952CA" w:rsidRPr="00E11860">
                  <w:rPr>
                    <w:noProof/>
                    <w:sz w:val="21"/>
                    <w:szCs w:val="21"/>
                  </w:rPr>
                  <w:t>Finansdepartementet</w:t>
                </w:r>
              </w:sdtContent>
            </w:sdt>
          </w:p>
          <w:bookmarkEnd w:id="0"/>
          <w:p w14:paraId="776D90EC" w14:textId="77777777" w:rsidR="002952CA" w:rsidRPr="00E11860" w:rsidRDefault="00774F2B" w:rsidP="00272963">
            <w:pPr>
              <w:rPr>
                <w:vanish/>
                <w:sz w:val="21"/>
                <w:szCs w:val="21"/>
              </w:rPr>
            </w:pPr>
            <w:sdt>
              <w:sdtPr>
                <w:rPr>
                  <w:noProof/>
                  <w:vanish/>
                  <w:sz w:val="21"/>
                  <w:szCs w:val="21"/>
                </w:rPr>
                <w:alias w:val="Sdm_att"/>
                <w:tag w:val="Sdm_att"/>
                <w:id w:val="94123671"/>
                <w:dataBinding w:xpath="/document/body/Sdm_att" w:storeItemID="{521292EA-7470-4CC1-BE77-507AB39D7E9F}"/>
                <w:text/>
              </w:sdtPr>
              <w:sdtEndPr/>
              <w:sdtContent>
                <w:bookmarkStart w:id="1" w:name="Sdm_att"/>
                <w:r w:rsidR="002952CA" w:rsidRPr="00E11860">
                  <w:rPr>
                    <w:noProof/>
                    <w:vanish/>
                    <w:sz w:val="21"/>
                    <w:szCs w:val="21"/>
                  </w:rPr>
                  <w:t xml:space="preserve"> </w:t>
                </w:r>
              </w:sdtContent>
            </w:sdt>
          </w:p>
          <w:bookmarkEnd w:id="1"/>
          <w:p w14:paraId="415DA6E5" w14:textId="77777777" w:rsidR="002952CA" w:rsidRPr="00E11860" w:rsidRDefault="00774F2B" w:rsidP="00272963">
            <w:pPr>
              <w:rPr>
                <w:noProof/>
                <w:sz w:val="21"/>
                <w:szCs w:val="21"/>
              </w:rPr>
            </w:pPr>
            <w:sdt>
              <w:sdtPr>
                <w:rPr>
                  <w:noProof/>
                  <w:sz w:val="21"/>
                  <w:szCs w:val="21"/>
                </w:rPr>
                <w:alias w:val="Sdm_AMAdr"/>
                <w:tag w:val="Sdm_AMAdr"/>
                <w:id w:val="93760081"/>
                <w:dataBinding w:xpath="/document/body/Sdm_AMAdr" w:storeItemID="{521292EA-7470-4CC1-BE77-507AB39D7E9F}"/>
                <w:text/>
              </w:sdtPr>
              <w:sdtEndPr/>
              <w:sdtContent>
                <w:bookmarkStart w:id="2" w:name="Sdm_AMAdr"/>
                <w:r w:rsidR="002952CA" w:rsidRPr="00E11860">
                  <w:rPr>
                    <w:noProof/>
                    <w:sz w:val="21"/>
                    <w:szCs w:val="21"/>
                  </w:rPr>
                  <w:t>Postboks 8008 Dep</w:t>
                </w:r>
              </w:sdtContent>
            </w:sdt>
          </w:p>
          <w:bookmarkEnd w:id="2"/>
          <w:p w14:paraId="40D88505" w14:textId="77777777" w:rsidR="002952CA" w:rsidRPr="00E11860" w:rsidRDefault="00774F2B" w:rsidP="00272963">
            <w:pPr>
              <w:rPr>
                <w:noProof/>
                <w:vanish/>
                <w:sz w:val="21"/>
                <w:szCs w:val="21"/>
              </w:rPr>
            </w:pPr>
            <w:sdt>
              <w:sdtPr>
                <w:rPr>
                  <w:noProof/>
                  <w:vanish/>
                  <w:sz w:val="21"/>
                  <w:szCs w:val="21"/>
                </w:rPr>
                <w:alias w:val="Sdm_AMAdr2"/>
                <w:tag w:val="Sdm_AMAdr2"/>
                <w:id w:val="-1525785509"/>
                <w:dataBinding w:xpath="/document/body/Sdm_AMAdr2" w:storeItemID="{521292EA-7470-4CC1-BE77-507AB39D7E9F}"/>
                <w:text/>
              </w:sdtPr>
              <w:sdtEndPr/>
              <w:sdtContent>
                <w:bookmarkStart w:id="3" w:name="Sdm_AMAdr2"/>
                <w:r w:rsidR="002952CA" w:rsidRPr="00E11860">
                  <w:rPr>
                    <w:noProof/>
                    <w:vanish/>
                    <w:sz w:val="21"/>
                    <w:szCs w:val="21"/>
                  </w:rPr>
                  <w:t xml:space="preserve"> </w:t>
                </w:r>
              </w:sdtContent>
            </w:sdt>
            <w:bookmarkEnd w:id="3"/>
          </w:p>
          <w:p w14:paraId="4D73E4E3" w14:textId="44D5D285" w:rsidR="002952CA" w:rsidRPr="00E11860" w:rsidRDefault="00774F2B" w:rsidP="00272963">
            <w:pPr>
              <w:rPr>
                <w:noProof/>
                <w:vanish/>
                <w:sz w:val="21"/>
                <w:szCs w:val="21"/>
              </w:rPr>
            </w:pPr>
            <w:sdt>
              <w:sdtPr>
                <w:rPr>
                  <w:vanish/>
                  <w:sz w:val="21"/>
                  <w:szCs w:val="21"/>
                  <w:lang w:val="nn-NO"/>
                </w:rPr>
                <w:alias w:val="Sdm_Adr3"/>
                <w:tag w:val="Sdm_Adr3"/>
                <w:id w:val="2063049895"/>
                <w:dataBinding w:xpath="/document/body/Sdm_Adr3" w:storeItemID="{521292EA-7470-4CC1-BE77-507AB39D7E9F}"/>
                <w:text/>
              </w:sdtPr>
              <w:sdtEndPr/>
              <w:sdtContent>
                <w:bookmarkStart w:id="4" w:name="Sdm_Adr3"/>
                <w:r>
                  <w:rPr>
                    <w:vanish/>
                    <w:sz w:val="21"/>
                    <w:szCs w:val="21"/>
                    <w:lang w:val="nn-NO"/>
                  </w:rPr>
                  <w:t xml:space="preserve"> </w:t>
                </w:r>
              </w:sdtContent>
            </w:sdt>
            <w:bookmarkEnd w:id="4"/>
          </w:p>
          <w:p w14:paraId="7220AAA9" w14:textId="77777777" w:rsidR="002952CA" w:rsidRPr="00E11860" w:rsidRDefault="00774F2B" w:rsidP="00272963">
            <w:pPr>
              <w:rPr>
                <w:sz w:val="21"/>
                <w:szCs w:val="21"/>
              </w:rPr>
            </w:pPr>
            <w:sdt>
              <w:sdtPr>
                <w:rPr>
                  <w:sz w:val="21"/>
                  <w:szCs w:val="21"/>
                </w:rPr>
                <w:alias w:val="Sdm_AMPostNr"/>
                <w:tag w:val="Sdm_AMPostNr"/>
                <w:id w:val="81037801"/>
                <w:dataBinding w:xpath="/document/body/Sdm_AMPostNr" w:storeItemID="{521292EA-7470-4CC1-BE77-507AB39D7E9F}"/>
                <w:text/>
              </w:sdtPr>
              <w:sdtEndPr/>
              <w:sdtContent>
                <w:bookmarkStart w:id="5" w:name="Sdm_AMPostNr"/>
                <w:bookmarkStart w:id="6" w:name="Sdm_AMPoststed"/>
                <w:r w:rsidR="002952CA">
                  <w:rPr>
                    <w:sz w:val="21"/>
                    <w:szCs w:val="21"/>
                  </w:rPr>
                  <w:t>0030</w:t>
                </w:r>
              </w:sdtContent>
            </w:sdt>
            <w:bookmarkEnd w:id="5"/>
            <w:bookmarkEnd w:id="6"/>
            <w:r w:rsidR="002952CA" w:rsidRPr="00E11860">
              <w:rPr>
                <w:sz w:val="21"/>
                <w:szCs w:val="21"/>
              </w:rPr>
              <w:t xml:space="preserve"> </w:t>
            </w:r>
            <w:sdt>
              <w:sdtPr>
                <w:rPr>
                  <w:sz w:val="21"/>
                  <w:szCs w:val="21"/>
                </w:rPr>
                <w:alias w:val="Sdm_AMPoststed"/>
                <w:tag w:val="Sdm_AMPoststed"/>
                <w:id w:val="-814409115"/>
                <w:dataBinding w:xpath="/document/body/Sdm_AMPoststed" w:storeItemID="{521292EA-7470-4CC1-BE77-507AB39D7E9F}"/>
                <w:text/>
              </w:sdtPr>
              <w:sdtEndPr/>
              <w:sdtContent>
                <w:r w:rsidR="002952CA" w:rsidRPr="00E11860">
                  <w:rPr>
                    <w:sz w:val="21"/>
                    <w:szCs w:val="21"/>
                  </w:rPr>
                  <w:t>OSLO</w:t>
                </w:r>
              </w:sdtContent>
            </w:sdt>
          </w:p>
          <w:p w14:paraId="6A3FF932" w14:textId="77777777" w:rsidR="002952CA" w:rsidRPr="00E11860" w:rsidRDefault="00774F2B" w:rsidP="00272963">
            <w:pPr>
              <w:spacing w:line="240" w:lineRule="auto"/>
              <w:rPr>
                <w:vanish/>
                <w:sz w:val="21"/>
                <w:szCs w:val="21"/>
                <w:lang w:val="nn-NO"/>
              </w:rPr>
            </w:pPr>
            <w:sdt>
              <w:sdtPr>
                <w:rPr>
                  <w:noProof/>
                  <w:vanish/>
                  <w:sz w:val="21"/>
                  <w:szCs w:val="21"/>
                </w:rPr>
                <w:alias w:val="Sdm_Land"/>
                <w:tag w:val="Sdm_Land"/>
                <w:id w:val="62027656"/>
                <w:dataBinding w:xpath="/document/body/Sdm_Land" w:storeItemID="{521292EA-7470-4CC1-BE77-507AB39D7E9F}"/>
                <w:text/>
              </w:sdtPr>
              <w:sdtEndPr/>
              <w:sdtContent>
                <w:bookmarkStart w:id="7" w:name="Sdm_Land"/>
                <w:r w:rsidR="002952CA" w:rsidRPr="00E11860">
                  <w:rPr>
                    <w:noProof/>
                    <w:vanish/>
                    <w:sz w:val="21"/>
                    <w:szCs w:val="21"/>
                  </w:rPr>
                  <w:t xml:space="preserve"> </w:t>
                </w:r>
              </w:sdtContent>
            </w:sdt>
            <w:bookmarkEnd w:id="7"/>
          </w:p>
          <w:p w14:paraId="3347F145" w14:textId="77777777" w:rsidR="002952CA" w:rsidRPr="00D93F81" w:rsidRDefault="002952CA" w:rsidP="00272963">
            <w:pPr>
              <w:spacing w:line="240" w:lineRule="auto"/>
              <w:rPr>
                <w:sz w:val="21"/>
                <w:szCs w:val="21"/>
              </w:rPr>
            </w:pPr>
          </w:p>
          <w:p w14:paraId="69FFB270" w14:textId="77777777" w:rsidR="002952CA" w:rsidRPr="00D93F81" w:rsidRDefault="002952CA" w:rsidP="00272963">
            <w:pPr>
              <w:spacing w:line="240" w:lineRule="auto"/>
              <w:rPr>
                <w:sz w:val="21"/>
                <w:szCs w:val="21"/>
              </w:rPr>
            </w:pPr>
          </w:p>
          <w:p w14:paraId="116D72BE" w14:textId="77777777" w:rsidR="002952CA" w:rsidRPr="00D93F81" w:rsidRDefault="002952CA" w:rsidP="00272963">
            <w:pPr>
              <w:spacing w:line="240" w:lineRule="auto"/>
              <w:rPr>
                <w:sz w:val="21"/>
                <w:szCs w:val="21"/>
              </w:rPr>
            </w:pPr>
          </w:p>
          <w:p w14:paraId="2ED7A6C3" w14:textId="77777777" w:rsidR="002952CA" w:rsidRPr="002952CA" w:rsidRDefault="002952CA" w:rsidP="00272963">
            <w:pPr>
              <w:spacing w:line="240" w:lineRule="auto"/>
              <w:rPr>
                <w:sz w:val="20"/>
                <w:szCs w:val="20"/>
                <w:lang w:val="nn-NO"/>
              </w:rPr>
            </w:pPr>
          </w:p>
        </w:tc>
        <w:tc>
          <w:tcPr>
            <w:tcW w:w="2445" w:type="dxa"/>
            <w:gridSpan w:val="2"/>
          </w:tcPr>
          <w:p w14:paraId="2225421C" w14:textId="77777777" w:rsidR="002952CA" w:rsidRDefault="002952CA" w:rsidP="00272963">
            <w:pPr>
              <w:spacing w:line="240" w:lineRule="auto"/>
              <w:rPr>
                <w:rFonts w:cstheme="majorHAnsi"/>
                <w:sz w:val="21"/>
                <w:szCs w:val="21"/>
                <w:lang w:val="nn-NO"/>
              </w:rPr>
            </w:pPr>
          </w:p>
        </w:tc>
      </w:tr>
      <w:tr w:rsidR="002952CA" w:rsidRPr="00B64BD1" w14:paraId="195A9A39" w14:textId="77777777" w:rsidTr="00272963">
        <w:tc>
          <w:tcPr>
            <w:tcW w:w="2480" w:type="dxa"/>
            <w:tcBorders>
              <w:top w:val="nil"/>
              <w:left w:val="single" w:sz="4" w:space="0" w:color="000000" w:themeColor="text1"/>
              <w:bottom w:val="nil"/>
              <w:right w:val="single" w:sz="4" w:space="0" w:color="000000" w:themeColor="text1"/>
            </w:tcBorders>
            <w:hideMark/>
          </w:tcPr>
          <w:p w14:paraId="0527281B" w14:textId="77777777" w:rsidR="002952CA" w:rsidRPr="00B64BD1" w:rsidRDefault="001865C9" w:rsidP="00272963">
            <w:pPr>
              <w:pStyle w:val="Overskrifttabell"/>
              <w:spacing w:line="240" w:lineRule="auto"/>
            </w:pPr>
            <w:r>
              <w:t>vår</w:t>
            </w:r>
            <w:r w:rsidR="002952CA" w:rsidRPr="00B64BD1">
              <w:t xml:space="preserve"> referanse</w:t>
            </w:r>
          </w:p>
        </w:tc>
        <w:tc>
          <w:tcPr>
            <w:tcW w:w="2479" w:type="dxa"/>
            <w:tcBorders>
              <w:top w:val="nil"/>
              <w:left w:val="single" w:sz="4" w:space="0" w:color="000000" w:themeColor="text1"/>
              <w:bottom w:val="nil"/>
              <w:right w:val="single" w:sz="4" w:space="0" w:color="000000" w:themeColor="text1"/>
            </w:tcBorders>
            <w:hideMark/>
          </w:tcPr>
          <w:p w14:paraId="4A3A3C45" w14:textId="77777777" w:rsidR="002952CA" w:rsidRPr="00B64BD1" w:rsidRDefault="00452CB6" w:rsidP="00272963">
            <w:pPr>
              <w:pStyle w:val="Overskrifttabell"/>
              <w:spacing w:line="240" w:lineRule="auto"/>
            </w:pPr>
            <w:r>
              <w:t>deres</w:t>
            </w:r>
            <w:r w:rsidR="002952CA" w:rsidRPr="00B64BD1">
              <w:t xml:space="preserve"> referanse</w:t>
            </w:r>
          </w:p>
        </w:tc>
        <w:tc>
          <w:tcPr>
            <w:tcW w:w="2662" w:type="dxa"/>
            <w:gridSpan w:val="2"/>
            <w:tcBorders>
              <w:top w:val="nil"/>
              <w:left w:val="single" w:sz="4" w:space="0" w:color="000000" w:themeColor="text1"/>
              <w:bottom w:val="nil"/>
              <w:right w:val="single" w:sz="4" w:space="0" w:color="000000" w:themeColor="text1"/>
            </w:tcBorders>
            <w:hideMark/>
          </w:tcPr>
          <w:p w14:paraId="37270034" w14:textId="77777777" w:rsidR="002952CA" w:rsidRPr="001111E4" w:rsidRDefault="00774F2B" w:rsidP="00272963">
            <w:pPr>
              <w:pStyle w:val="Overskrifttabell"/>
              <w:rPr>
                <w:vanish/>
              </w:rPr>
            </w:pPr>
            <w:sdt>
              <w:sdtPr>
                <w:rPr>
                  <w:vanish/>
                </w:rPr>
                <w:alias w:val="Sgr_Beskrivelse"/>
                <w:tag w:val="Sgr_Beskrivelse"/>
                <w:id w:val="46119581"/>
                <w:dataBinding w:xpath="/document/body/Sgr_Beskrivelse" w:storeItemID="{521292EA-7470-4CC1-BE77-507AB39D7E9F}"/>
                <w:text/>
              </w:sdtPr>
              <w:sdtEndPr/>
              <w:sdtContent>
                <w:bookmarkStart w:id="8" w:name="Sgr_Beskrivelse"/>
                <w:r w:rsidR="002952CA" w:rsidRPr="001111E4">
                  <w:rPr>
                    <w:vanish/>
                  </w:rPr>
                  <w:t xml:space="preserve"> </w:t>
                </w:r>
              </w:sdtContent>
            </w:sdt>
            <w:bookmarkEnd w:id="8"/>
          </w:p>
        </w:tc>
        <w:tc>
          <w:tcPr>
            <w:tcW w:w="2157" w:type="dxa"/>
            <w:tcBorders>
              <w:top w:val="nil"/>
              <w:left w:val="single" w:sz="4" w:space="0" w:color="000000" w:themeColor="text1"/>
              <w:bottom w:val="nil"/>
              <w:right w:val="nil"/>
            </w:tcBorders>
            <w:hideMark/>
          </w:tcPr>
          <w:p w14:paraId="6E3F9C43" w14:textId="77777777" w:rsidR="002952CA" w:rsidRPr="00B64BD1" w:rsidRDefault="002952CA" w:rsidP="00272963">
            <w:pPr>
              <w:pStyle w:val="Overskrifttabell"/>
              <w:spacing w:line="240" w:lineRule="auto"/>
            </w:pPr>
            <w:r w:rsidRPr="00B64BD1">
              <w:t>Dato</w:t>
            </w:r>
          </w:p>
        </w:tc>
      </w:tr>
      <w:tr w:rsidR="002952CA" w:rsidRPr="001111E4" w14:paraId="7181146C" w14:textId="77777777" w:rsidTr="00272963">
        <w:tc>
          <w:tcPr>
            <w:tcW w:w="2480" w:type="dxa"/>
            <w:tcBorders>
              <w:top w:val="nil"/>
              <w:left w:val="single" w:sz="4" w:space="0" w:color="000000" w:themeColor="text1"/>
              <w:bottom w:val="nil"/>
              <w:right w:val="single" w:sz="4" w:space="0" w:color="000000" w:themeColor="text1"/>
            </w:tcBorders>
            <w:hideMark/>
          </w:tcPr>
          <w:p w14:paraId="43DB3521" w14:textId="77777777" w:rsidR="002952CA" w:rsidRPr="001111E4" w:rsidRDefault="00774F2B" w:rsidP="00272963">
            <w:pPr>
              <w:rPr>
                <w:rFonts w:cstheme="majorHAnsi"/>
                <w:b/>
                <w:caps/>
                <w:sz w:val="18"/>
                <w:szCs w:val="18"/>
              </w:rPr>
            </w:pPr>
            <w:sdt>
              <w:sdtPr>
                <w:rPr>
                  <w:sz w:val="18"/>
                  <w:szCs w:val="18"/>
                </w:rPr>
                <w:alias w:val="sas_arkivsakID"/>
                <w:tag w:val="sas_arkivsakID"/>
                <w:id w:val="42635811"/>
                <w:dataBinding w:xpath="/document/body/sas_arkivsakID" w:storeItemID="{521292EA-7470-4CC1-BE77-507AB39D7E9F}"/>
                <w:text/>
              </w:sdtPr>
              <w:sdtEndPr/>
              <w:sdtContent>
                <w:bookmarkStart w:id="9" w:name="sas_arkivsakID"/>
                <w:r w:rsidR="002952CA" w:rsidRPr="001111E4">
                  <w:rPr>
                    <w:sz w:val="18"/>
                    <w:szCs w:val="18"/>
                  </w:rPr>
                  <w:t>23/14350</w:t>
                </w:r>
              </w:sdtContent>
            </w:sdt>
            <w:bookmarkEnd w:id="9"/>
          </w:p>
        </w:tc>
        <w:tc>
          <w:tcPr>
            <w:tcW w:w="2479" w:type="dxa"/>
            <w:tcBorders>
              <w:top w:val="nil"/>
              <w:left w:val="single" w:sz="4" w:space="0" w:color="000000" w:themeColor="text1"/>
              <w:bottom w:val="nil"/>
              <w:right w:val="single" w:sz="4" w:space="0" w:color="000000" w:themeColor="text1"/>
            </w:tcBorders>
            <w:hideMark/>
          </w:tcPr>
          <w:p w14:paraId="4B920436" w14:textId="77777777" w:rsidR="002952CA" w:rsidRPr="001111E4" w:rsidRDefault="00774F2B" w:rsidP="00272963">
            <w:pPr>
              <w:rPr>
                <w:rFonts w:cstheme="majorHAnsi"/>
                <w:b/>
                <w:caps/>
                <w:vanish/>
                <w:sz w:val="18"/>
                <w:szCs w:val="18"/>
              </w:rPr>
            </w:pPr>
            <w:sdt>
              <w:sdtPr>
                <w:rPr>
                  <w:noProof/>
                  <w:vanish/>
                  <w:sz w:val="18"/>
                  <w:szCs w:val="18"/>
                </w:rPr>
                <w:alias w:val="Sdm_AMReferanse"/>
                <w:tag w:val="Sdm_AMReferanse"/>
                <w:id w:val="18102145"/>
                <w:dataBinding w:xpath="/document/body/Sdm_AMReferanse" w:storeItemID="{521292EA-7470-4CC1-BE77-507AB39D7E9F}"/>
                <w:text/>
              </w:sdtPr>
              <w:sdtEndPr/>
              <w:sdtContent>
                <w:bookmarkStart w:id="10" w:name="Sdm_AMReferanse"/>
                <w:r w:rsidR="002952CA" w:rsidRPr="001111E4">
                  <w:rPr>
                    <w:noProof/>
                    <w:vanish/>
                    <w:sz w:val="18"/>
                    <w:szCs w:val="18"/>
                  </w:rPr>
                  <w:t xml:space="preserve"> </w:t>
                </w:r>
              </w:sdtContent>
            </w:sdt>
            <w:bookmarkEnd w:id="10"/>
          </w:p>
        </w:tc>
        <w:tc>
          <w:tcPr>
            <w:tcW w:w="2662" w:type="dxa"/>
            <w:gridSpan w:val="2"/>
            <w:tcBorders>
              <w:top w:val="nil"/>
              <w:left w:val="single" w:sz="4" w:space="0" w:color="000000" w:themeColor="text1"/>
              <w:bottom w:val="nil"/>
              <w:right w:val="single" w:sz="4" w:space="0" w:color="000000" w:themeColor="text1"/>
            </w:tcBorders>
            <w:hideMark/>
          </w:tcPr>
          <w:p w14:paraId="3BB8618F" w14:textId="77777777" w:rsidR="002952CA" w:rsidRPr="001111E4" w:rsidRDefault="00774F2B" w:rsidP="00272963">
            <w:pPr>
              <w:rPr>
                <w:vanish/>
                <w:sz w:val="18"/>
                <w:szCs w:val="18"/>
              </w:rPr>
            </w:pPr>
            <w:sdt>
              <w:sdtPr>
                <w:rPr>
                  <w:vanish/>
                  <w:sz w:val="18"/>
                  <w:szCs w:val="18"/>
                  <w:lang w:val="en-GB"/>
                </w:rPr>
                <w:alias w:val="Spg_Beskrivelse"/>
                <w:tag w:val="Spg_Beskrivelse"/>
                <w:id w:val="476198104"/>
                <w:dataBinding w:xpath="/document/body/Spg_Beskrivelse" w:storeItemID="{521292EA-7470-4CC1-BE77-507AB39D7E9F}"/>
                <w:text/>
              </w:sdtPr>
              <w:sdtEndPr/>
              <w:sdtContent>
                <w:bookmarkStart w:id="11" w:name="Spg_Beskrivelse"/>
                <w:r w:rsidR="002952CA" w:rsidRPr="001111E4">
                  <w:rPr>
                    <w:vanish/>
                    <w:sz w:val="18"/>
                    <w:szCs w:val="18"/>
                  </w:rPr>
                  <w:t xml:space="preserve"> </w:t>
                </w:r>
              </w:sdtContent>
            </w:sdt>
            <w:bookmarkEnd w:id="11"/>
          </w:p>
        </w:tc>
        <w:tc>
          <w:tcPr>
            <w:tcW w:w="2157" w:type="dxa"/>
            <w:tcBorders>
              <w:top w:val="nil"/>
              <w:left w:val="single" w:sz="4" w:space="0" w:color="000000" w:themeColor="text1"/>
              <w:bottom w:val="nil"/>
              <w:right w:val="nil"/>
            </w:tcBorders>
            <w:hideMark/>
          </w:tcPr>
          <w:p w14:paraId="2B8391E7" w14:textId="77777777" w:rsidR="002952CA" w:rsidRPr="001111E4" w:rsidRDefault="00774F2B" w:rsidP="00272963">
            <w:pPr>
              <w:rPr>
                <w:rStyle w:val="StilLatinOverskrifterArial9pkt"/>
                <w:szCs w:val="18"/>
              </w:rPr>
            </w:pPr>
            <w:sdt>
              <w:sdtPr>
                <w:rPr>
                  <w:noProof/>
                  <w:sz w:val="18"/>
                  <w:szCs w:val="18"/>
                  <w:lang w:val="en-GB"/>
                </w:rPr>
                <w:alias w:val="Sdo_DokDato"/>
                <w:tag w:val="Sdo_DokDato"/>
                <w:id w:val="92772572"/>
                <w:dataBinding w:xpath="/document/body/Sdo_DokDato" w:storeItemID="{521292EA-7470-4CC1-BE77-507AB39D7E9F}"/>
                <w:text/>
              </w:sdtPr>
              <w:sdtEndPr/>
              <w:sdtContent>
                <w:bookmarkStart w:id="12" w:name="Sdo_DokDato"/>
                <w:r w:rsidR="002952CA" w:rsidRPr="001111E4">
                  <w:rPr>
                    <w:noProof/>
                    <w:sz w:val="18"/>
                    <w:szCs w:val="18"/>
                    <w:lang w:val="en-GB"/>
                  </w:rPr>
                  <w:t>29.02.2024</w:t>
                </w:r>
              </w:sdtContent>
            </w:sdt>
            <w:bookmarkEnd w:id="12"/>
          </w:p>
        </w:tc>
      </w:tr>
    </w:tbl>
    <w:p w14:paraId="7FF95456" w14:textId="77777777" w:rsidR="00277816" w:rsidRPr="002952CA" w:rsidRDefault="00277816" w:rsidP="00C756EE">
      <w:pPr>
        <w:spacing w:line="240" w:lineRule="auto"/>
        <w:rPr>
          <w:rFonts w:asciiTheme="majorHAnsi" w:hAnsiTheme="majorHAnsi" w:cstheme="majorHAnsi"/>
          <w:sz w:val="16"/>
          <w:szCs w:val="16"/>
          <w:lang w:val="nn-NO"/>
        </w:rPr>
      </w:pPr>
    </w:p>
    <w:p w14:paraId="1B257708" w14:textId="77777777" w:rsidR="000A6916" w:rsidRDefault="000A6916" w:rsidP="00C756EE">
      <w:pPr>
        <w:spacing w:line="240" w:lineRule="auto"/>
        <w:rPr>
          <w:rFonts w:asciiTheme="majorHAnsi" w:hAnsiTheme="majorHAnsi" w:cstheme="majorHAnsi"/>
          <w:sz w:val="16"/>
          <w:szCs w:val="16"/>
          <w:lang w:val="nn-NO"/>
        </w:rPr>
        <w:sectPr w:rsidR="000A6916" w:rsidSect="00E275B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588" w:right="1134" w:bottom="1361" w:left="1134" w:header="57" w:footer="142" w:gutter="0"/>
          <w:cols w:space="708"/>
          <w:titlePg/>
          <w:docGrid w:linePitch="360"/>
        </w:sectPr>
      </w:pPr>
    </w:p>
    <w:p w14:paraId="07543744" w14:textId="77777777" w:rsidR="00C756EE" w:rsidRPr="000414CF" w:rsidRDefault="00C756EE" w:rsidP="00C756EE">
      <w:pPr>
        <w:spacing w:line="240" w:lineRule="auto"/>
        <w:rPr>
          <w:rFonts w:asciiTheme="majorHAnsi" w:hAnsiTheme="majorHAnsi" w:cstheme="majorHAnsi"/>
          <w:sz w:val="16"/>
          <w:szCs w:val="16"/>
        </w:rPr>
      </w:pPr>
    </w:p>
    <w:p w14:paraId="44D8D883" w14:textId="77777777" w:rsidR="00C756EE" w:rsidRPr="008B0B81" w:rsidRDefault="00C756EE" w:rsidP="00C756EE">
      <w:pPr>
        <w:spacing w:line="240" w:lineRule="auto"/>
        <w:rPr>
          <w:rFonts w:asciiTheme="majorHAnsi" w:hAnsiTheme="majorHAnsi" w:cstheme="majorHAnsi"/>
          <w:sz w:val="16"/>
          <w:szCs w:val="16"/>
        </w:rPr>
      </w:pPr>
    </w:p>
    <w:p w14:paraId="4DF6E4E4" w14:textId="3620711A" w:rsidR="002952CA" w:rsidRPr="008B0B81" w:rsidRDefault="00774F2B" w:rsidP="002952CA">
      <w:pPr>
        <w:pStyle w:val="Overskrift1"/>
      </w:pPr>
      <w:sdt>
        <w:sdtPr>
          <w:alias w:val="Sdo_Tittel"/>
          <w:tag w:val="Sdo_Tittel"/>
          <w:id w:val="649176789"/>
          <w:placeholder>
            <w:docPart w:val="11C6A74BC067424598104CC753F80345"/>
          </w:placeholder>
          <w:dataBinding w:xpath="/document/body/Sdo_Tittel" w:storeItemID="{521292EA-7470-4CC1-BE77-507AB39D7E9F}"/>
          <w:text/>
        </w:sdtPr>
        <w:sdtEndPr/>
        <w:sdtContent>
          <w:bookmarkStart w:id="15" w:name="Sdo_Tittel"/>
          <w:r w:rsidR="00E644F8">
            <w:t>Kapitalkrav for landbrukseiendomslån</w:t>
          </w:r>
        </w:sdtContent>
      </w:sdt>
      <w:bookmarkEnd w:id="15"/>
    </w:p>
    <w:p w14:paraId="26DCCDA0" w14:textId="77777777" w:rsidR="00E644F8" w:rsidRDefault="00E644F8" w:rsidP="00E644F8">
      <w:r w:rsidRPr="00453C86">
        <w:t xml:space="preserve">Finanstilsynet viser til Finansdepartementets brev datert 13. desember 2023. I brevet blir Finanstilsynet bedt om å utarbeide den nødvendige dokumentasjonen for å vurdere om lån med sikkerhet i landbrukseiendom kvalifiserer til en lavere risikovekt i henhold til kapitalkravsforordningen (CRR) artikkel 126 nummer 3. I tillegg til det som kreves av CRR-bestemmelsen, blir Finanstilsynet bedt om å se hen til framtidsutsiktene og forventede tap for landbrukseiendom. Videre, dersom det er grunnlag for det, bes Finanstilsynet om å skrive utkast til forskriftsendringer som innfører en lavere risikovekt for lån sikret i landbrukseiendom, samt utkast til notifisering i tråd med CRR artikkel 124. </w:t>
      </w:r>
    </w:p>
    <w:p w14:paraId="7FC94CBC" w14:textId="77777777" w:rsidR="00E644F8" w:rsidRPr="00773CA9" w:rsidRDefault="00E644F8" w:rsidP="00E644F8">
      <w:pPr>
        <w:rPr>
          <w:b/>
          <w:bCs/>
        </w:rPr>
      </w:pPr>
    </w:p>
    <w:p w14:paraId="6891D1CA" w14:textId="77777777" w:rsidR="00E644F8" w:rsidRDefault="00E644F8" w:rsidP="00E644F8">
      <w:r w:rsidRPr="00453C86">
        <w:t xml:space="preserve">Oppdraget må ses i sammenheng med at Finansdepartementet 2. november 2023 ba Finanstilsynet vurdere om EU/EØS-regelverket åpner for at nasjonale myndigheter kan differensiere risikovektingen for ulike eiendomslånssegmenter, f.eks. ved å sette en annen risikovekt for landbrukseiendomslån enn andre typer næringseiendomslån, og om risikoen ved landbrukseiendomslån tilsier at risikovektingen burde settes lavere for dette segmentet. </w:t>
      </w:r>
    </w:p>
    <w:p w14:paraId="3D2A1836" w14:textId="77777777" w:rsidR="00E644F8" w:rsidRPr="00773CA9" w:rsidRDefault="00E644F8" w:rsidP="00E644F8">
      <w:pPr>
        <w:rPr>
          <w:b/>
          <w:bCs/>
        </w:rPr>
      </w:pPr>
    </w:p>
    <w:p w14:paraId="12EFA3B1" w14:textId="77777777" w:rsidR="00E644F8" w:rsidRDefault="00E644F8" w:rsidP="00E644F8">
      <w:pPr>
        <w:rPr>
          <w:rFonts w:eastAsiaTheme="minorEastAsia"/>
        </w:rPr>
      </w:pPr>
      <w:r w:rsidRPr="6F6CEACE">
        <w:rPr>
          <w:rFonts w:eastAsiaTheme="minorEastAsia"/>
        </w:rPr>
        <w:t xml:space="preserve">Finanstilsynet svarte på oppdraget 30. november 2023. Etter Finanstilsynets vurdering er det rom i regelverket for å differensiere risikovektene for ulike eiendomssegmenter. Finanstilsynet vurderte imidlertid at landbrukssektoren ikke skiller seg ut på en slik måte at det gir grunnlag for en særskilt risikovekt til dette segmentet. </w:t>
      </w:r>
    </w:p>
    <w:p w14:paraId="0E676923" w14:textId="77777777" w:rsidR="00E644F8" w:rsidRPr="00773CA9" w:rsidRDefault="00E644F8" w:rsidP="00E644F8"/>
    <w:p w14:paraId="30392128" w14:textId="77777777" w:rsidR="00E644F8" w:rsidRPr="00773CA9" w:rsidRDefault="00E644F8" w:rsidP="00E644F8">
      <w:pPr>
        <w:rPr>
          <w:rFonts w:eastAsiaTheme="minorEastAsia"/>
          <w:b/>
          <w:bCs/>
        </w:rPr>
      </w:pPr>
      <w:r w:rsidRPr="6F6CEACE">
        <w:rPr>
          <w:rFonts w:eastAsiaTheme="minorEastAsia"/>
        </w:rPr>
        <w:t>I dette brevet gis det en kort redegjørelse for det aktuelle regelverket, jf. punkt 2. Under punkt 3 presenteres dokumentasjonen som er påkrevet etter CRR artikkel 126 nummer 3 for landbrukseiendom, herunder hvorvidt markedet for slik eiendom er "velutviklet og veletablert" og Finanstilsynets vurderinger av forventede tap for landbrukseiendom. For en bredere gjennomgang av det rettslige utgangspunktet og vurdering av landbrukseiendom opp mot andre sektorer, vises det til Finanstilsynets brev av 30. november 2023. Samlet vurdering følger under punkt 4. Utkast til forskriftsendring og notifisering etter CRR artikkel 124 følger i vedlegg.</w:t>
      </w:r>
    </w:p>
    <w:p w14:paraId="1AB9D346" w14:textId="77777777" w:rsidR="00E644F8" w:rsidRDefault="00E644F8" w:rsidP="00E644F8">
      <w:pPr>
        <w:pStyle w:val="Overskrift2"/>
        <w:rPr>
          <w:rFonts w:eastAsiaTheme="minorHAnsi"/>
        </w:rPr>
      </w:pPr>
      <w:r w:rsidRPr="00453C86">
        <w:rPr>
          <w:rFonts w:eastAsiaTheme="minorHAnsi"/>
        </w:rPr>
        <w:t>2. Aktuelt regelverk</w:t>
      </w:r>
    </w:p>
    <w:p w14:paraId="65EAF2CD" w14:textId="442D0A6F" w:rsidR="00E644F8" w:rsidRPr="00773CA9" w:rsidRDefault="00E644F8" w:rsidP="00E644F8">
      <w:pPr>
        <w:rPr>
          <w:rFonts w:eastAsiaTheme="minorEastAsia"/>
        </w:rPr>
      </w:pPr>
      <w:r w:rsidRPr="6F6CEACE">
        <w:rPr>
          <w:rFonts w:eastAsiaTheme="minorEastAsia"/>
        </w:rPr>
        <w:t xml:space="preserve">I Norge er det ikke anledning til å ta hensyn til pantesikkerhet i næringseiendom ved fastsettelse av risikovekt, jf. CRR/CRD IV-forskriften § 6. Dette er et nasjonalt valg etter CRR artikkel 124, og </w:t>
      </w:r>
      <w:r w:rsidRPr="6F6CEACE">
        <w:rPr>
          <w:rFonts w:eastAsiaTheme="minorEastAsia"/>
        </w:rPr>
        <w:lastRenderedPageBreak/>
        <w:t xml:space="preserve">innebærer i praksis en risikovekt på </w:t>
      </w:r>
      <w:r w:rsidR="00BC54FE">
        <w:rPr>
          <w:rFonts w:eastAsiaTheme="minorEastAsia"/>
        </w:rPr>
        <w:t>75</w:t>
      </w:r>
      <w:r w:rsidRPr="6F6CEACE">
        <w:rPr>
          <w:rFonts w:eastAsiaTheme="minorEastAsia"/>
        </w:rPr>
        <w:t xml:space="preserve"> eller </w:t>
      </w:r>
      <w:r w:rsidR="00BC54FE">
        <w:rPr>
          <w:rFonts w:eastAsiaTheme="minorEastAsia"/>
        </w:rPr>
        <w:t>100</w:t>
      </w:r>
      <w:r w:rsidRPr="6F6CEACE">
        <w:rPr>
          <w:rFonts w:eastAsiaTheme="minorEastAsia"/>
        </w:rPr>
        <w:t xml:space="preserve"> prosent for slike lån, avhengig av om utlån tilfredsstiller kravene til massemarkedskategorisering eller ikke. Landbrukseiendom sidestilles med annen næringseiendom dersom landbruksaktiviteten er det dominerende formålet med eiendommen. I hovedsak gjelder dette landbrukseiendom med konsesjonsplikt. </w:t>
      </w:r>
    </w:p>
    <w:p w14:paraId="0171A287" w14:textId="77777777" w:rsidR="00E644F8" w:rsidRPr="00773CA9" w:rsidRDefault="00E644F8" w:rsidP="00E644F8"/>
    <w:p w14:paraId="7F74D8C6" w14:textId="4619DF19" w:rsidR="00E644F8" w:rsidRDefault="00E644F8" w:rsidP="00E644F8">
      <w:r>
        <w:t>Etter</w:t>
      </w:r>
      <w:r w:rsidRPr="00453C86">
        <w:t xml:space="preserve"> CRR er det anledning til å hensynta pantesikkerhet i næringseiendom, og risikovekten for slike lån er derfor lavere. Det følger av CRR artikkel 126 at risikovekten i utgangspunktet </w:t>
      </w:r>
      <w:r w:rsidR="0051549F">
        <w:t>er</w:t>
      </w:r>
      <w:r>
        <w:br/>
      </w:r>
      <w:r w:rsidRPr="00453C86">
        <w:t xml:space="preserve">50 prosent for en eksponering, eller del av en eksponering, som er fullt ut sikret med pant i næringseiendom. Risikovekten tilordnes bare den delen av lånet som ikke overstiger 50 prosent av markedsverdien til eiendommen som er pantsatt, eller 60 prosent av pantelånsverdien, jf. artikkel 126 punkt 2 bokstav d. </w:t>
      </w:r>
    </w:p>
    <w:p w14:paraId="40AD2BED" w14:textId="77777777" w:rsidR="00E644F8" w:rsidRDefault="00E644F8" w:rsidP="00E644F8">
      <w:pPr>
        <w:rPr>
          <w:b/>
          <w:bCs/>
        </w:rPr>
      </w:pPr>
    </w:p>
    <w:p w14:paraId="4E7AFC30" w14:textId="77777777" w:rsidR="00E644F8" w:rsidRDefault="00E644F8" w:rsidP="00E644F8">
      <w:r w:rsidRPr="00453C86">
        <w:t>Risikovekten kan imidlertid bare anvendes dersom enkelte vilkår er oppfylt. Det følger blant annet av artikkel 126 punkt 2 bokstav b at risikovekten ikke gjelder for utlån der betalingsevnen til låntaker er avhengig av en eventuell kontantstrøm fra eiendommen som er stilt som sikkerhet. Dette innebærer at spesialiserte foretak med virksomhet tett knyttet til eiendomsmassen ikke vil kvalifisere,</w:t>
      </w:r>
      <w:r>
        <w:t xml:space="preserve"> og</w:t>
      </w:r>
      <w:r w:rsidRPr="00453C86">
        <w:t xml:space="preserve"> som trolig </w:t>
      </w:r>
      <w:r>
        <w:t>vil gjelde for</w:t>
      </w:r>
      <w:r w:rsidRPr="00453C86">
        <w:t xml:space="preserve"> mange landbrukseiendommer. </w:t>
      </w:r>
    </w:p>
    <w:p w14:paraId="5F299627" w14:textId="77777777" w:rsidR="00E644F8" w:rsidRDefault="00E644F8" w:rsidP="00E644F8">
      <w:pPr>
        <w:rPr>
          <w:b/>
          <w:bCs/>
        </w:rPr>
      </w:pPr>
    </w:p>
    <w:p w14:paraId="59723267" w14:textId="561AC500" w:rsidR="00E644F8" w:rsidRDefault="00E644F8" w:rsidP="00E644F8">
      <w:r w:rsidRPr="00453C86">
        <w:t xml:space="preserve">I artikkel 126 punkt 3 er det gitt mulighet til å se bort fra </w:t>
      </w:r>
      <w:r w:rsidR="00F34DDD">
        <w:t>vilkåret</w:t>
      </w:r>
      <w:r w:rsidR="00B141ED" w:rsidRPr="00B141ED">
        <w:t xml:space="preserve"> </w:t>
      </w:r>
      <w:r w:rsidR="00B141ED">
        <w:t xml:space="preserve">i </w:t>
      </w:r>
      <w:r w:rsidR="00B141ED" w:rsidRPr="00453C86">
        <w:t>artikkel 126 punkt 2 bokstav b</w:t>
      </w:r>
      <w:r w:rsidRPr="00453C86">
        <w:t xml:space="preserve">, dersom det aktuelle landets myndigheter har offentliggjort dokumentasjon som viser at det finnes et "velutviklet og veletablert marked" for næringseiendom med tapsprosenter som ikke overskrider følgende grenser: </w:t>
      </w:r>
    </w:p>
    <w:p w14:paraId="0D048A43" w14:textId="77777777" w:rsidR="00E644F8" w:rsidRDefault="00E644F8" w:rsidP="00E644F8">
      <w:pPr>
        <w:rPr>
          <w:b/>
          <w:bCs/>
        </w:rPr>
      </w:pPr>
    </w:p>
    <w:p w14:paraId="0238F4F3" w14:textId="77777777" w:rsidR="00E644F8" w:rsidRPr="00BD686B" w:rsidRDefault="00E644F8" w:rsidP="00E644F8">
      <w:pPr>
        <w:pStyle w:val="Listeavsnitt"/>
        <w:numPr>
          <w:ilvl w:val="0"/>
          <w:numId w:val="1"/>
        </w:numPr>
      </w:pPr>
      <w:r w:rsidRPr="00BD686B">
        <w:t xml:space="preserve">Tap på utlån med sikkerhet i næringseiendom på opptil 50 prosent av markedsverdien eller </w:t>
      </w:r>
      <w:r w:rsidRPr="00BD686B">
        <w:br/>
        <w:t xml:space="preserve">60 prosent av pantelånsverdien skal, med mindre noe annet er fastsatt i artikkel 124 nr. 2, ikke overstige 0,3 prosent av utestående lån med sikkerhet i næringseiendom. </w:t>
      </w:r>
    </w:p>
    <w:p w14:paraId="5E19C220" w14:textId="77777777" w:rsidR="00E644F8" w:rsidRPr="00BD686B" w:rsidRDefault="00E644F8" w:rsidP="00E644F8">
      <w:pPr>
        <w:pStyle w:val="Listeavsnitt"/>
        <w:numPr>
          <w:ilvl w:val="0"/>
          <w:numId w:val="1"/>
        </w:numPr>
      </w:pPr>
      <w:r w:rsidRPr="00BD686B">
        <w:t xml:space="preserve">Samlede tap på utlån med sikkerhet i næringseiendom skal i et gitt år ikke overstige </w:t>
      </w:r>
      <w:r>
        <w:br/>
      </w:r>
      <w:r w:rsidRPr="00BD686B">
        <w:t>0,5 prosent av utestående lån med sikkerhet i næringseiendom.</w:t>
      </w:r>
    </w:p>
    <w:p w14:paraId="1D393A25" w14:textId="77777777" w:rsidR="00E644F8" w:rsidRPr="005D4499" w:rsidRDefault="00E644F8" w:rsidP="00E644F8"/>
    <w:p w14:paraId="377852DE" w14:textId="77777777" w:rsidR="00E644F8" w:rsidRDefault="00E644F8" w:rsidP="00E644F8">
      <w:r>
        <w:t xml:space="preserve">Reglene for risikovekting av næringseiendom blir endret med ny standardmetode i revidert kapitalkravsforordning (CRR3). Endringene innebærer at risikovekten som hovedregel vil være </w:t>
      </w:r>
      <w:r>
        <w:br/>
        <w:t xml:space="preserve">60 prosent for lån innenfor 55 prosent av verdien på panteobjektet. </w:t>
      </w:r>
    </w:p>
    <w:p w14:paraId="1E0FD5AF" w14:textId="77777777" w:rsidR="00E644F8" w:rsidRDefault="00E644F8" w:rsidP="00E644F8">
      <w:pPr>
        <w:pStyle w:val="Brdtekst1"/>
      </w:pPr>
    </w:p>
    <w:p w14:paraId="6085558B" w14:textId="77777777" w:rsidR="00E644F8" w:rsidRDefault="00E644F8" w:rsidP="00E644F8">
      <w:r>
        <w:t>CRR3 trer i kraft i EU 1. januar 2025, og Finansd</w:t>
      </w:r>
      <w:r w:rsidRPr="00285384">
        <w:t xml:space="preserve">epartementet </w:t>
      </w:r>
      <w:r>
        <w:t xml:space="preserve">har uttalt at det tas sikte på </w:t>
      </w:r>
      <w:r w:rsidRPr="00285384">
        <w:t xml:space="preserve">at tilsvarende EØS-regler kan tre i kraft i Norge samtidig. </w:t>
      </w:r>
      <w:r>
        <w:t xml:space="preserve">Finanstilsynet fikk 13. desember 2023 oppdrag om å utarbeide høringsnotat for innføringen av CRR3, med frist ved utgangen av mai 2024. Finanstilsynets foreløpige gjennomgang viser at unntaket i nåværende artikkel 126 punkt 3 videreføres i ny artikkel 126 punkt 2 med de samme terskelverdiene som i dag. Artikkelen for øvrig er betydelig revidert og Finanstilsynet vil komme tilbake med en bredere vurdering av det nye regelverket i forslag til </w:t>
      </w:r>
      <w:r w:rsidRPr="00530D4A">
        <w:t>høringsnotat for innføring av CRR3</w:t>
      </w:r>
      <w:r>
        <w:t>.</w:t>
      </w:r>
    </w:p>
    <w:p w14:paraId="762F8D75" w14:textId="77777777" w:rsidR="00E644F8" w:rsidRDefault="00E644F8" w:rsidP="00E644F8">
      <w:pPr>
        <w:pStyle w:val="Overskrift2"/>
        <w:rPr>
          <w:rFonts w:eastAsiaTheme="minorHAnsi"/>
        </w:rPr>
      </w:pPr>
      <w:r w:rsidRPr="00453C86">
        <w:rPr>
          <w:rFonts w:eastAsiaTheme="minorHAnsi"/>
        </w:rPr>
        <w:t>3. Dokumentasjon</w:t>
      </w:r>
    </w:p>
    <w:p w14:paraId="1952CB26" w14:textId="77777777" w:rsidR="00E644F8" w:rsidRPr="00773CA9" w:rsidRDefault="00E644F8" w:rsidP="00E644F8">
      <w:pPr>
        <w:pStyle w:val="Overskrift3"/>
        <w:rPr>
          <w:rFonts w:eastAsiaTheme="minorHAnsi"/>
          <w:sz w:val="22"/>
        </w:rPr>
      </w:pPr>
      <w:r w:rsidRPr="00773CA9">
        <w:rPr>
          <w:rFonts w:eastAsiaTheme="minorHAnsi"/>
          <w:sz w:val="22"/>
        </w:rPr>
        <w:t>3.1. Norske bankers tap på utlån sikret i landbrukseiendom</w:t>
      </w:r>
    </w:p>
    <w:p w14:paraId="18483E35" w14:textId="77777777" w:rsidR="00E644F8" w:rsidRDefault="00E644F8" w:rsidP="00E644F8">
      <w:r w:rsidRPr="00453C86">
        <w:t xml:space="preserve">Tapsandelene beskrevet i CRR artikkel 126 nummer 3, er ikke mulig å beregne ut fra foretakenes faste innrapporteringer til Finanstilsynet. Det </w:t>
      </w:r>
      <w:r>
        <w:t>er</w:t>
      </w:r>
      <w:r w:rsidRPr="00453C86">
        <w:t xml:space="preserve"> derfor innhente</w:t>
      </w:r>
      <w:r>
        <w:t>t</w:t>
      </w:r>
      <w:r w:rsidRPr="00453C86">
        <w:t xml:space="preserve"> </w:t>
      </w:r>
      <w:r>
        <w:t>særskilt rapportering</w:t>
      </w:r>
      <w:r w:rsidRPr="00453C86">
        <w:t xml:space="preserve"> for å kunne </w:t>
      </w:r>
      <w:r>
        <w:t>avgjøre</w:t>
      </w:r>
      <w:r w:rsidRPr="00453C86">
        <w:t xml:space="preserve"> om tap på landbrukseiendomslån er innenfor grenseverdiene. Finanstilsynet har bedt et </w:t>
      </w:r>
      <w:r>
        <w:t xml:space="preserve">bredt </w:t>
      </w:r>
      <w:r w:rsidRPr="00453C86">
        <w:t xml:space="preserve">utvalg banker innrapportere bokførte tap og totale utlån innen kategoriene "utlån med </w:t>
      </w:r>
      <w:r w:rsidRPr="00453C86">
        <w:lastRenderedPageBreak/>
        <w:t xml:space="preserve">sikkerhet i landbrukseiendom på opptil 50 </w:t>
      </w:r>
      <w:r>
        <w:t>prosent</w:t>
      </w:r>
      <w:r w:rsidRPr="00453C86">
        <w:t xml:space="preserve"> av markedsverdien eller 60</w:t>
      </w:r>
      <w:r>
        <w:t> prosent</w:t>
      </w:r>
      <w:r w:rsidRPr="00453C86">
        <w:t xml:space="preserve"> av pantelånsverdien" og "samlede utlån med sikkerhet i landbrukseiendom". </w:t>
      </w:r>
      <w:r>
        <w:t>Utvalget utgjorde b</w:t>
      </w:r>
      <w:r w:rsidRPr="00453C86">
        <w:t>anker med relativt høy eksponering til landbruk og som til sammen utgjorde en betydelig del av dette markedet</w:t>
      </w:r>
      <w:r>
        <w:t>.</w:t>
      </w:r>
    </w:p>
    <w:p w14:paraId="26874315" w14:textId="77777777" w:rsidR="00E644F8" w:rsidRDefault="00E644F8" w:rsidP="00E644F8">
      <w:pPr>
        <w:rPr>
          <w:b/>
          <w:bCs/>
        </w:rPr>
      </w:pPr>
    </w:p>
    <w:p w14:paraId="2E254F93" w14:textId="77777777" w:rsidR="00E644F8" w:rsidRDefault="00E644F8" w:rsidP="00E644F8">
      <w:r w:rsidRPr="00453C86">
        <w:t xml:space="preserve">De innrapporterte tallene er gjengitt på aggregert nivå i tabell 1. Etter enkelte justeringer grunnet feilrapportering, representerer bankene som har bidratt til tallene noe over </w:t>
      </w:r>
      <w:r>
        <w:t>9</w:t>
      </w:r>
      <w:r w:rsidRPr="00453C86">
        <w:t>0 prosent av norske bankers totale utlån til landbruk. Tapsandelene de siste ti årene er</w:t>
      </w:r>
      <w:r>
        <w:t>,</w:t>
      </w:r>
      <w:r w:rsidRPr="00453C86">
        <w:t xml:space="preserve"> </w:t>
      </w:r>
      <w:r>
        <w:t>som det framgår av tabellen,</w:t>
      </w:r>
      <w:r w:rsidRPr="00453C86">
        <w:t xml:space="preserve"> under terskelverdiene i CRR på henholdsvis 0,3 og 0,5 prosent.</w:t>
      </w:r>
    </w:p>
    <w:p w14:paraId="686A9729" w14:textId="77777777" w:rsidR="00E644F8" w:rsidRPr="00773CA9" w:rsidRDefault="00E644F8" w:rsidP="00E644F8">
      <w:pPr>
        <w:rPr>
          <w:b/>
          <w:bCs/>
        </w:rPr>
      </w:pPr>
    </w:p>
    <w:p w14:paraId="5C35FB26" w14:textId="77777777" w:rsidR="00E644F8" w:rsidRPr="00453C86" w:rsidRDefault="00E644F8" w:rsidP="00E644F8">
      <w:pPr>
        <w:pStyle w:val="Overskrift1"/>
        <w:rPr>
          <w:rFonts w:asciiTheme="minorHAnsi" w:eastAsiaTheme="minorHAnsi" w:hAnsiTheme="minorHAnsi" w:cstheme="minorBidi"/>
          <w:b w:val="0"/>
          <w:bCs w:val="0"/>
          <w:i/>
          <w:iCs/>
          <w:sz w:val="20"/>
          <w:szCs w:val="20"/>
        </w:rPr>
      </w:pPr>
      <w:r w:rsidRPr="00453C86">
        <w:rPr>
          <w:rFonts w:asciiTheme="minorHAnsi" w:eastAsiaTheme="minorHAnsi" w:hAnsiTheme="minorHAnsi" w:cstheme="minorBidi"/>
          <w:b w:val="0"/>
          <w:bCs w:val="0"/>
          <w:i/>
          <w:iCs/>
          <w:sz w:val="20"/>
          <w:szCs w:val="20"/>
        </w:rPr>
        <w:t>Tabell 1: Norske bankers tap på utlån med sikkerhet i landbrukseiendom 2014</w:t>
      </w:r>
      <w:r>
        <w:rPr>
          <w:rFonts w:asciiTheme="minorHAnsi" w:eastAsiaTheme="minorHAnsi" w:hAnsiTheme="minorHAnsi" w:cstheme="minorBidi"/>
          <w:b w:val="0"/>
          <w:bCs w:val="0"/>
          <w:i/>
          <w:iCs/>
          <w:sz w:val="20"/>
          <w:szCs w:val="20"/>
        </w:rPr>
        <w:t>–</w:t>
      </w:r>
      <w:r w:rsidRPr="00453C86">
        <w:rPr>
          <w:rFonts w:asciiTheme="minorHAnsi" w:eastAsiaTheme="minorHAnsi" w:hAnsiTheme="minorHAnsi" w:cstheme="minorBidi"/>
          <w:b w:val="0"/>
          <w:bCs w:val="0"/>
          <w:i/>
          <w:iCs/>
          <w:sz w:val="20"/>
          <w:szCs w:val="20"/>
        </w:rPr>
        <w:t>2023 (vektet gjennomsnitt)</w:t>
      </w:r>
    </w:p>
    <w:tbl>
      <w:tblPr>
        <w:tblStyle w:val="Vanligtabell1"/>
        <w:tblW w:w="8647" w:type="dxa"/>
        <w:tblLook w:val="04A0" w:firstRow="1" w:lastRow="0" w:firstColumn="1" w:lastColumn="0" w:noHBand="0" w:noVBand="1"/>
      </w:tblPr>
      <w:tblGrid>
        <w:gridCol w:w="846"/>
        <w:gridCol w:w="4799"/>
        <w:gridCol w:w="3002"/>
      </w:tblGrid>
      <w:tr w:rsidR="00E644F8" w:rsidRPr="00A16CEE" w14:paraId="549CEBC1" w14:textId="77777777" w:rsidTr="004A6DCA">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46" w:type="dxa"/>
            <w:noWrap/>
            <w:hideMark/>
          </w:tcPr>
          <w:p w14:paraId="1DF0D94B" w14:textId="77777777" w:rsidR="00E644F8" w:rsidRPr="00A16CEE" w:rsidRDefault="00E644F8" w:rsidP="004A6DCA">
            <w:pPr>
              <w:rPr>
                <w:rFonts w:ascii="Times New Roman" w:eastAsia="Times New Roman" w:hAnsi="Times New Roman" w:cs="Times New Roman"/>
                <w:szCs w:val="24"/>
                <w:lang w:eastAsia="nb-NO"/>
              </w:rPr>
            </w:pPr>
          </w:p>
        </w:tc>
        <w:tc>
          <w:tcPr>
            <w:tcW w:w="4799" w:type="dxa"/>
            <w:noWrap/>
            <w:hideMark/>
          </w:tcPr>
          <w:p w14:paraId="3BCCC8B8" w14:textId="77777777" w:rsidR="00E644F8" w:rsidRPr="00A16CEE" w:rsidRDefault="00E644F8" w:rsidP="004A6D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lang w:eastAsia="nb-NO"/>
              </w:rPr>
            </w:pPr>
            <w:r w:rsidRPr="00A12EE8">
              <w:rPr>
                <w:rFonts w:ascii="Arial" w:eastAsia="Times New Roman" w:hAnsi="Arial" w:cs="Arial"/>
                <w:i/>
                <w:iCs/>
                <w:color w:val="000000"/>
                <w:sz w:val="18"/>
                <w:szCs w:val="18"/>
                <w:lang w:eastAsia="nb-NO"/>
              </w:rPr>
              <w:t xml:space="preserve">Utlån med sikkerhet i landbrukseiendom på opptil 50 </w:t>
            </w:r>
            <w:r>
              <w:rPr>
                <w:rFonts w:ascii="Arial" w:eastAsia="Times New Roman" w:hAnsi="Arial" w:cs="Arial"/>
                <w:i/>
                <w:iCs/>
                <w:color w:val="000000"/>
                <w:sz w:val="18"/>
                <w:szCs w:val="18"/>
                <w:lang w:eastAsia="nb-NO"/>
              </w:rPr>
              <w:t>prosent</w:t>
            </w:r>
            <w:r w:rsidRPr="00A12EE8">
              <w:rPr>
                <w:rFonts w:ascii="Arial" w:eastAsia="Times New Roman" w:hAnsi="Arial" w:cs="Arial"/>
                <w:i/>
                <w:iCs/>
                <w:color w:val="000000"/>
                <w:sz w:val="18"/>
                <w:szCs w:val="18"/>
                <w:lang w:eastAsia="nb-NO"/>
              </w:rPr>
              <w:t xml:space="preserve"> av markedsverdien eller 60 </w:t>
            </w:r>
            <w:r>
              <w:rPr>
                <w:rFonts w:ascii="Arial" w:eastAsia="Times New Roman" w:hAnsi="Arial" w:cs="Arial"/>
                <w:i/>
                <w:iCs/>
                <w:color w:val="000000"/>
                <w:sz w:val="18"/>
                <w:szCs w:val="18"/>
                <w:lang w:eastAsia="nb-NO"/>
              </w:rPr>
              <w:t>prosent</w:t>
            </w:r>
            <w:r w:rsidRPr="00A12EE8">
              <w:rPr>
                <w:rFonts w:ascii="Arial" w:eastAsia="Times New Roman" w:hAnsi="Arial" w:cs="Arial"/>
                <w:i/>
                <w:iCs/>
                <w:color w:val="000000"/>
                <w:sz w:val="18"/>
                <w:szCs w:val="18"/>
                <w:lang w:eastAsia="nb-NO"/>
              </w:rPr>
              <w:t xml:space="preserve"> av pantelånsverdien</w:t>
            </w:r>
          </w:p>
        </w:tc>
        <w:tc>
          <w:tcPr>
            <w:tcW w:w="3002" w:type="dxa"/>
            <w:noWrap/>
            <w:hideMark/>
          </w:tcPr>
          <w:p w14:paraId="3A3D16B5" w14:textId="77777777" w:rsidR="00E644F8" w:rsidRPr="00A16CEE" w:rsidRDefault="00E644F8" w:rsidP="004A6D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lang w:eastAsia="nb-NO"/>
              </w:rPr>
            </w:pPr>
            <w:r w:rsidRPr="00A12EE8">
              <w:rPr>
                <w:rFonts w:ascii="Arial" w:eastAsia="Times New Roman" w:hAnsi="Arial" w:cs="Arial"/>
                <w:i/>
                <w:iCs/>
                <w:color w:val="000000"/>
                <w:sz w:val="18"/>
                <w:szCs w:val="18"/>
                <w:lang w:eastAsia="nb-NO"/>
              </w:rPr>
              <w:t>Samlede utlån med sikkerhet i landbrukseiendom</w:t>
            </w:r>
          </w:p>
        </w:tc>
      </w:tr>
      <w:tr w:rsidR="00E644F8" w:rsidRPr="00A16CEE" w14:paraId="43D3AD7E" w14:textId="77777777" w:rsidTr="004A6D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230D2853" w14:textId="77777777" w:rsidR="00E644F8" w:rsidRPr="00A16CEE" w:rsidRDefault="00E644F8" w:rsidP="004A6DCA">
            <w:pPr>
              <w:jc w:val="right"/>
              <w:rPr>
                <w:rFonts w:ascii="Arial" w:eastAsia="Times New Roman" w:hAnsi="Arial" w:cs="Arial"/>
                <w:i/>
                <w:iCs/>
                <w:color w:val="000000"/>
                <w:sz w:val="18"/>
                <w:szCs w:val="18"/>
                <w:lang w:eastAsia="nb-NO"/>
              </w:rPr>
            </w:pPr>
            <w:r w:rsidRPr="00A41A53">
              <w:rPr>
                <w:rFonts w:ascii="Arial" w:eastAsia="Times New Roman" w:hAnsi="Arial" w:cs="Arial"/>
                <w:i/>
                <w:iCs/>
                <w:color w:val="000000"/>
                <w:sz w:val="18"/>
                <w:szCs w:val="18"/>
                <w:lang w:eastAsia="nb-NO"/>
              </w:rPr>
              <w:t>År</w:t>
            </w:r>
          </w:p>
        </w:tc>
        <w:tc>
          <w:tcPr>
            <w:tcW w:w="4799" w:type="dxa"/>
            <w:noWrap/>
            <w:hideMark/>
          </w:tcPr>
          <w:p w14:paraId="4AD0D07E"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Tap i prosent av utlån</w:t>
            </w:r>
          </w:p>
        </w:tc>
        <w:tc>
          <w:tcPr>
            <w:tcW w:w="3002" w:type="dxa"/>
            <w:noWrap/>
            <w:hideMark/>
          </w:tcPr>
          <w:p w14:paraId="47DB5188"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Tap i prosent av utlån</w:t>
            </w:r>
          </w:p>
        </w:tc>
      </w:tr>
      <w:tr w:rsidR="00E644F8" w:rsidRPr="00A16CEE" w14:paraId="082CE6F7" w14:textId="77777777" w:rsidTr="004A6DCA">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AB38182"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2023</w:t>
            </w:r>
          </w:p>
        </w:tc>
        <w:tc>
          <w:tcPr>
            <w:tcW w:w="4799" w:type="dxa"/>
            <w:noWrap/>
            <w:hideMark/>
          </w:tcPr>
          <w:p w14:paraId="437C1DAF"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4</w:t>
            </w:r>
            <w:r w:rsidRPr="00A16CEE">
              <w:rPr>
                <w:rFonts w:ascii="Arial" w:eastAsia="Times New Roman" w:hAnsi="Arial" w:cs="Arial"/>
                <w:color w:val="000000"/>
                <w:sz w:val="20"/>
                <w:szCs w:val="20"/>
                <w:lang w:eastAsia="nb-NO"/>
              </w:rPr>
              <w:t xml:space="preserve"> %</w:t>
            </w:r>
          </w:p>
        </w:tc>
        <w:tc>
          <w:tcPr>
            <w:tcW w:w="3002" w:type="dxa"/>
            <w:noWrap/>
            <w:hideMark/>
          </w:tcPr>
          <w:p w14:paraId="0B8BAB07"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9</w:t>
            </w:r>
            <w:r w:rsidRPr="00A16CEE">
              <w:rPr>
                <w:rFonts w:ascii="Arial" w:eastAsia="Times New Roman" w:hAnsi="Arial" w:cs="Arial"/>
                <w:color w:val="000000"/>
                <w:sz w:val="20"/>
                <w:szCs w:val="20"/>
                <w:lang w:eastAsia="nb-NO"/>
              </w:rPr>
              <w:t xml:space="preserve"> %</w:t>
            </w:r>
          </w:p>
        </w:tc>
      </w:tr>
      <w:tr w:rsidR="00E644F8" w:rsidRPr="00A16CEE" w14:paraId="746A91E4" w14:textId="77777777" w:rsidTr="004A6D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3DA546C8"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2022</w:t>
            </w:r>
          </w:p>
        </w:tc>
        <w:tc>
          <w:tcPr>
            <w:tcW w:w="4799" w:type="dxa"/>
            <w:noWrap/>
            <w:hideMark/>
          </w:tcPr>
          <w:p w14:paraId="08993137"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3</w:t>
            </w:r>
            <w:r w:rsidRPr="00A16CEE">
              <w:rPr>
                <w:rFonts w:ascii="Arial" w:eastAsia="Times New Roman" w:hAnsi="Arial" w:cs="Arial"/>
                <w:color w:val="000000"/>
                <w:sz w:val="20"/>
                <w:szCs w:val="20"/>
                <w:lang w:eastAsia="nb-NO"/>
              </w:rPr>
              <w:t xml:space="preserve"> %</w:t>
            </w:r>
          </w:p>
        </w:tc>
        <w:tc>
          <w:tcPr>
            <w:tcW w:w="3002" w:type="dxa"/>
            <w:noWrap/>
            <w:hideMark/>
          </w:tcPr>
          <w:p w14:paraId="7801B430"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8</w:t>
            </w:r>
            <w:r w:rsidRPr="00A16CEE">
              <w:rPr>
                <w:rFonts w:ascii="Arial" w:eastAsia="Times New Roman" w:hAnsi="Arial" w:cs="Arial"/>
                <w:color w:val="000000"/>
                <w:sz w:val="20"/>
                <w:szCs w:val="20"/>
                <w:lang w:eastAsia="nb-NO"/>
              </w:rPr>
              <w:t xml:space="preserve"> %</w:t>
            </w:r>
          </w:p>
        </w:tc>
      </w:tr>
      <w:tr w:rsidR="00E644F8" w:rsidRPr="00A16CEE" w14:paraId="1A361F3C" w14:textId="77777777" w:rsidTr="004A6DCA">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376BCCCB"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2021</w:t>
            </w:r>
          </w:p>
        </w:tc>
        <w:tc>
          <w:tcPr>
            <w:tcW w:w="4799" w:type="dxa"/>
            <w:noWrap/>
            <w:hideMark/>
          </w:tcPr>
          <w:p w14:paraId="3D9C500D"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0,00 %</w:t>
            </w:r>
          </w:p>
        </w:tc>
        <w:tc>
          <w:tcPr>
            <w:tcW w:w="3002" w:type="dxa"/>
            <w:noWrap/>
            <w:hideMark/>
          </w:tcPr>
          <w:p w14:paraId="30B7E76D"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3</w:t>
            </w:r>
            <w:r w:rsidRPr="00A16CEE">
              <w:rPr>
                <w:rFonts w:ascii="Arial" w:eastAsia="Times New Roman" w:hAnsi="Arial" w:cs="Arial"/>
                <w:color w:val="000000"/>
                <w:sz w:val="20"/>
                <w:szCs w:val="20"/>
                <w:lang w:eastAsia="nb-NO"/>
              </w:rPr>
              <w:t xml:space="preserve"> %</w:t>
            </w:r>
          </w:p>
        </w:tc>
      </w:tr>
      <w:tr w:rsidR="00E644F8" w:rsidRPr="00A16CEE" w14:paraId="7958CBBF" w14:textId="77777777" w:rsidTr="004A6D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9590416"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2020</w:t>
            </w:r>
          </w:p>
        </w:tc>
        <w:tc>
          <w:tcPr>
            <w:tcW w:w="4799" w:type="dxa"/>
            <w:noWrap/>
            <w:hideMark/>
          </w:tcPr>
          <w:p w14:paraId="56FE77D0"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3</w:t>
            </w:r>
            <w:r w:rsidRPr="00A16CEE">
              <w:rPr>
                <w:rFonts w:ascii="Arial" w:eastAsia="Times New Roman" w:hAnsi="Arial" w:cs="Arial"/>
                <w:color w:val="000000"/>
                <w:sz w:val="20"/>
                <w:szCs w:val="20"/>
                <w:lang w:eastAsia="nb-NO"/>
              </w:rPr>
              <w:t xml:space="preserve"> %</w:t>
            </w:r>
          </w:p>
        </w:tc>
        <w:tc>
          <w:tcPr>
            <w:tcW w:w="3002" w:type="dxa"/>
            <w:noWrap/>
            <w:hideMark/>
          </w:tcPr>
          <w:p w14:paraId="7B474CC3"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9</w:t>
            </w:r>
            <w:r w:rsidRPr="00A16CEE">
              <w:rPr>
                <w:rFonts w:ascii="Arial" w:eastAsia="Times New Roman" w:hAnsi="Arial" w:cs="Arial"/>
                <w:color w:val="000000"/>
                <w:sz w:val="20"/>
                <w:szCs w:val="20"/>
                <w:lang w:eastAsia="nb-NO"/>
              </w:rPr>
              <w:t xml:space="preserve"> %</w:t>
            </w:r>
          </w:p>
        </w:tc>
      </w:tr>
      <w:tr w:rsidR="00E644F8" w:rsidRPr="00A16CEE" w14:paraId="5A1C122A" w14:textId="77777777" w:rsidTr="004A6DCA">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5E8D68C7"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2019</w:t>
            </w:r>
          </w:p>
        </w:tc>
        <w:tc>
          <w:tcPr>
            <w:tcW w:w="4799" w:type="dxa"/>
            <w:noWrap/>
            <w:hideMark/>
          </w:tcPr>
          <w:p w14:paraId="71F98703"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1</w:t>
            </w:r>
            <w:r w:rsidRPr="00A16CEE">
              <w:rPr>
                <w:rFonts w:ascii="Arial" w:eastAsia="Times New Roman" w:hAnsi="Arial" w:cs="Arial"/>
                <w:color w:val="000000"/>
                <w:sz w:val="20"/>
                <w:szCs w:val="20"/>
                <w:lang w:eastAsia="nb-NO"/>
              </w:rPr>
              <w:t xml:space="preserve"> %</w:t>
            </w:r>
          </w:p>
        </w:tc>
        <w:tc>
          <w:tcPr>
            <w:tcW w:w="3002" w:type="dxa"/>
            <w:noWrap/>
            <w:hideMark/>
          </w:tcPr>
          <w:p w14:paraId="0CBD6D70"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7</w:t>
            </w:r>
            <w:r w:rsidRPr="00A16CEE">
              <w:rPr>
                <w:rFonts w:ascii="Arial" w:eastAsia="Times New Roman" w:hAnsi="Arial" w:cs="Arial"/>
                <w:color w:val="000000"/>
                <w:sz w:val="20"/>
                <w:szCs w:val="20"/>
                <w:lang w:eastAsia="nb-NO"/>
              </w:rPr>
              <w:t xml:space="preserve"> %</w:t>
            </w:r>
          </w:p>
        </w:tc>
      </w:tr>
      <w:tr w:rsidR="00E644F8" w:rsidRPr="00A16CEE" w14:paraId="1EE3EC3B" w14:textId="77777777" w:rsidTr="004A6D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01F1C31B"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2018</w:t>
            </w:r>
          </w:p>
        </w:tc>
        <w:tc>
          <w:tcPr>
            <w:tcW w:w="4799" w:type="dxa"/>
            <w:noWrap/>
            <w:hideMark/>
          </w:tcPr>
          <w:p w14:paraId="32D6A13A"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0,00 %</w:t>
            </w:r>
          </w:p>
        </w:tc>
        <w:tc>
          <w:tcPr>
            <w:tcW w:w="3002" w:type="dxa"/>
            <w:noWrap/>
            <w:hideMark/>
          </w:tcPr>
          <w:p w14:paraId="6EF3ED4F"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w:t>
            </w:r>
            <w:r>
              <w:rPr>
                <w:rFonts w:ascii="Arial" w:eastAsia="Times New Roman" w:hAnsi="Arial" w:cs="Arial"/>
                <w:color w:val="000000"/>
                <w:sz w:val="20"/>
                <w:szCs w:val="20"/>
                <w:lang w:eastAsia="nb-NO"/>
              </w:rPr>
              <w:t>14</w:t>
            </w:r>
            <w:r w:rsidRPr="00A16CEE">
              <w:rPr>
                <w:rFonts w:ascii="Arial" w:eastAsia="Times New Roman" w:hAnsi="Arial" w:cs="Arial"/>
                <w:color w:val="000000"/>
                <w:sz w:val="20"/>
                <w:szCs w:val="20"/>
                <w:lang w:eastAsia="nb-NO"/>
              </w:rPr>
              <w:t xml:space="preserve"> %</w:t>
            </w:r>
          </w:p>
        </w:tc>
      </w:tr>
      <w:tr w:rsidR="00E644F8" w:rsidRPr="00A16CEE" w14:paraId="6820829C" w14:textId="77777777" w:rsidTr="004A6DCA">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8EA6914"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2017</w:t>
            </w:r>
          </w:p>
        </w:tc>
        <w:tc>
          <w:tcPr>
            <w:tcW w:w="4799" w:type="dxa"/>
            <w:noWrap/>
            <w:hideMark/>
          </w:tcPr>
          <w:p w14:paraId="43CDEF58"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0</w:t>
            </w:r>
            <w:r w:rsidRPr="00A16CEE">
              <w:rPr>
                <w:rFonts w:ascii="Arial" w:eastAsia="Times New Roman" w:hAnsi="Arial" w:cs="Arial"/>
                <w:color w:val="000000"/>
                <w:sz w:val="20"/>
                <w:szCs w:val="20"/>
                <w:lang w:eastAsia="nb-NO"/>
              </w:rPr>
              <w:t xml:space="preserve"> %</w:t>
            </w:r>
          </w:p>
        </w:tc>
        <w:tc>
          <w:tcPr>
            <w:tcW w:w="3002" w:type="dxa"/>
            <w:noWrap/>
            <w:hideMark/>
          </w:tcPr>
          <w:p w14:paraId="4E63DCF5"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4</w:t>
            </w:r>
            <w:r w:rsidRPr="00A16CEE">
              <w:rPr>
                <w:rFonts w:ascii="Arial" w:eastAsia="Times New Roman" w:hAnsi="Arial" w:cs="Arial"/>
                <w:color w:val="000000"/>
                <w:sz w:val="20"/>
                <w:szCs w:val="20"/>
                <w:lang w:eastAsia="nb-NO"/>
              </w:rPr>
              <w:t xml:space="preserve"> %</w:t>
            </w:r>
          </w:p>
        </w:tc>
      </w:tr>
      <w:tr w:rsidR="00E644F8" w:rsidRPr="00A16CEE" w14:paraId="7A75EA73" w14:textId="77777777" w:rsidTr="004A6D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423F922F"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2016</w:t>
            </w:r>
          </w:p>
        </w:tc>
        <w:tc>
          <w:tcPr>
            <w:tcW w:w="4799" w:type="dxa"/>
            <w:noWrap/>
            <w:hideMark/>
          </w:tcPr>
          <w:p w14:paraId="1BD7E40D"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1</w:t>
            </w:r>
            <w:r w:rsidRPr="00A16CEE">
              <w:rPr>
                <w:rFonts w:ascii="Arial" w:eastAsia="Times New Roman" w:hAnsi="Arial" w:cs="Arial"/>
                <w:color w:val="000000"/>
                <w:sz w:val="20"/>
                <w:szCs w:val="20"/>
                <w:lang w:eastAsia="nb-NO"/>
              </w:rPr>
              <w:t xml:space="preserve"> %</w:t>
            </w:r>
          </w:p>
        </w:tc>
        <w:tc>
          <w:tcPr>
            <w:tcW w:w="3002" w:type="dxa"/>
            <w:noWrap/>
            <w:hideMark/>
          </w:tcPr>
          <w:p w14:paraId="44548B6F"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0,09 %</w:t>
            </w:r>
          </w:p>
        </w:tc>
      </w:tr>
      <w:tr w:rsidR="00E644F8" w:rsidRPr="00A16CEE" w14:paraId="251F1098" w14:textId="77777777" w:rsidTr="004A6DCA">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18B048C6"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2015</w:t>
            </w:r>
          </w:p>
        </w:tc>
        <w:tc>
          <w:tcPr>
            <w:tcW w:w="4799" w:type="dxa"/>
            <w:noWrap/>
            <w:hideMark/>
          </w:tcPr>
          <w:p w14:paraId="3DE4854F"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0,00 %</w:t>
            </w:r>
          </w:p>
        </w:tc>
        <w:tc>
          <w:tcPr>
            <w:tcW w:w="3002" w:type="dxa"/>
            <w:noWrap/>
            <w:hideMark/>
          </w:tcPr>
          <w:p w14:paraId="02DAF614" w14:textId="77777777" w:rsidR="00E644F8" w:rsidRPr="00A16CEE" w:rsidRDefault="00E644F8" w:rsidP="004A6D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5</w:t>
            </w:r>
            <w:r w:rsidRPr="00A16CEE">
              <w:rPr>
                <w:rFonts w:ascii="Arial" w:eastAsia="Times New Roman" w:hAnsi="Arial" w:cs="Arial"/>
                <w:color w:val="000000"/>
                <w:sz w:val="20"/>
                <w:szCs w:val="20"/>
                <w:lang w:eastAsia="nb-NO"/>
              </w:rPr>
              <w:t xml:space="preserve"> %</w:t>
            </w:r>
          </w:p>
        </w:tc>
      </w:tr>
      <w:tr w:rsidR="00E644F8" w:rsidRPr="00A16CEE" w14:paraId="665CB982" w14:textId="77777777" w:rsidTr="004A6D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33CC5AF5" w14:textId="77777777" w:rsidR="00E644F8" w:rsidRPr="00A16CEE" w:rsidRDefault="00E644F8" w:rsidP="004A6DCA">
            <w:pPr>
              <w:jc w:val="right"/>
              <w:rPr>
                <w:rFonts w:ascii="Arial" w:eastAsia="Times New Roman" w:hAnsi="Arial" w:cs="Arial"/>
                <w:color w:val="1F2937"/>
                <w:sz w:val="18"/>
                <w:szCs w:val="18"/>
                <w:lang w:eastAsia="nb-NO"/>
              </w:rPr>
            </w:pPr>
            <w:r w:rsidRPr="00A16CEE">
              <w:rPr>
                <w:rFonts w:ascii="Arial" w:eastAsia="Times New Roman" w:hAnsi="Arial" w:cs="Arial"/>
                <w:color w:val="1F2937"/>
                <w:sz w:val="18"/>
                <w:szCs w:val="18"/>
                <w:lang w:eastAsia="nb-NO"/>
              </w:rPr>
              <w:t>2014</w:t>
            </w:r>
          </w:p>
        </w:tc>
        <w:tc>
          <w:tcPr>
            <w:tcW w:w="4799" w:type="dxa"/>
            <w:noWrap/>
            <w:hideMark/>
          </w:tcPr>
          <w:p w14:paraId="41CA3B46"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5</w:t>
            </w:r>
            <w:r w:rsidRPr="00A16CEE">
              <w:rPr>
                <w:rFonts w:ascii="Arial" w:eastAsia="Times New Roman" w:hAnsi="Arial" w:cs="Arial"/>
                <w:color w:val="000000"/>
                <w:sz w:val="20"/>
                <w:szCs w:val="20"/>
                <w:lang w:eastAsia="nb-NO"/>
              </w:rPr>
              <w:t xml:space="preserve"> %</w:t>
            </w:r>
          </w:p>
        </w:tc>
        <w:tc>
          <w:tcPr>
            <w:tcW w:w="3002" w:type="dxa"/>
            <w:noWrap/>
            <w:hideMark/>
          </w:tcPr>
          <w:p w14:paraId="0650D735" w14:textId="77777777" w:rsidR="00E644F8" w:rsidRPr="00A16CEE" w:rsidRDefault="00E644F8" w:rsidP="004A6D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nb-NO"/>
              </w:rPr>
            </w:pPr>
            <w:r w:rsidRPr="00A16CEE">
              <w:rPr>
                <w:rFonts w:ascii="Arial" w:eastAsia="Times New Roman" w:hAnsi="Arial" w:cs="Arial"/>
                <w:color w:val="000000"/>
                <w:sz w:val="20"/>
                <w:szCs w:val="20"/>
                <w:lang w:eastAsia="nb-NO"/>
              </w:rPr>
              <w:t>0,0</w:t>
            </w:r>
            <w:r>
              <w:rPr>
                <w:rFonts w:ascii="Arial" w:eastAsia="Times New Roman" w:hAnsi="Arial" w:cs="Arial"/>
                <w:color w:val="000000"/>
                <w:sz w:val="20"/>
                <w:szCs w:val="20"/>
                <w:lang w:eastAsia="nb-NO"/>
              </w:rPr>
              <w:t>9</w:t>
            </w:r>
            <w:r w:rsidRPr="00A16CEE">
              <w:rPr>
                <w:rFonts w:ascii="Arial" w:eastAsia="Times New Roman" w:hAnsi="Arial" w:cs="Arial"/>
                <w:color w:val="000000"/>
                <w:sz w:val="20"/>
                <w:szCs w:val="20"/>
                <w:lang w:eastAsia="nb-NO"/>
              </w:rPr>
              <w:t xml:space="preserve"> %</w:t>
            </w:r>
          </w:p>
        </w:tc>
      </w:tr>
    </w:tbl>
    <w:p w14:paraId="0E45A558" w14:textId="77777777" w:rsidR="00E644F8" w:rsidRDefault="00E644F8" w:rsidP="00E644F8">
      <w:pPr>
        <w:pStyle w:val="Overskrift3"/>
        <w:rPr>
          <w:rFonts w:eastAsiaTheme="minorHAnsi"/>
          <w:sz w:val="22"/>
        </w:rPr>
      </w:pPr>
    </w:p>
    <w:p w14:paraId="20E4D0C6" w14:textId="77777777" w:rsidR="00E644F8" w:rsidRPr="00773CA9" w:rsidRDefault="00E644F8" w:rsidP="00E644F8">
      <w:pPr>
        <w:pStyle w:val="Overskrift3"/>
        <w:rPr>
          <w:rFonts w:eastAsiaTheme="minorHAnsi"/>
          <w:sz w:val="22"/>
        </w:rPr>
      </w:pPr>
      <w:r w:rsidRPr="00773CA9">
        <w:rPr>
          <w:rFonts w:eastAsiaTheme="minorHAnsi"/>
          <w:sz w:val="22"/>
        </w:rPr>
        <w:t>3.2. Markedet for landbrukseiendom</w:t>
      </w:r>
    </w:p>
    <w:p w14:paraId="052A116D" w14:textId="77777777" w:rsidR="00E644F8" w:rsidRDefault="00E644F8" w:rsidP="00E644F8">
      <w:r w:rsidRPr="00453C86">
        <w:t xml:space="preserve">Finanstilsynet har i utgangspunktet ikke data som kan belyse hvorvidt markedet for </w:t>
      </w:r>
      <w:r>
        <w:t xml:space="preserve">omsetning av </w:t>
      </w:r>
      <w:r w:rsidRPr="00453C86">
        <w:t xml:space="preserve">landbrukseiendom i Norge er veletablert og velutviklet. Tall fra Statistisk </w:t>
      </w:r>
      <w:r>
        <w:t>s</w:t>
      </w:r>
      <w:r w:rsidRPr="00453C86">
        <w:t>entralbyrå</w:t>
      </w:r>
      <w:r>
        <w:rPr>
          <w:rStyle w:val="Fotnotereferanse"/>
          <w:sz w:val="22"/>
        </w:rPr>
        <w:footnoteReference w:id="1"/>
      </w:r>
      <w:r w:rsidRPr="00453C86">
        <w:t xml:space="preserve"> viser at gjennomsnittlig kjøpesum for omsatte landbrukseiendommer i fritt salg har vært jevnt økende siden 2006 (fram til 2022) og at antallet omsatte eiendommer i fritt salg har holdt seg nokså stabilt rundt </w:t>
      </w:r>
      <w:r>
        <w:br/>
      </w:r>
      <w:r w:rsidRPr="00453C86">
        <w:t>2</w:t>
      </w:r>
      <w:r>
        <w:t xml:space="preserve"> </w:t>
      </w:r>
      <w:r w:rsidRPr="00453C86">
        <w:t>500 per år, se figur 1.</w:t>
      </w:r>
      <w:r>
        <w:t xml:space="preserve"> Tallene inkluderer all omsetning, og hvor formålet "landbruk" i 2022 utgjorde nær 60 prosent.</w:t>
      </w:r>
      <w:r>
        <w:rPr>
          <w:rStyle w:val="Fotnotereferanse"/>
          <w:sz w:val="22"/>
        </w:rPr>
        <w:footnoteReference w:id="2"/>
      </w:r>
      <w:r w:rsidRPr="00453C86">
        <w:t xml:space="preserve"> Til sammenligning ble det omsatt omtrent 3</w:t>
      </w:r>
      <w:r>
        <w:t xml:space="preserve"> </w:t>
      </w:r>
      <w:r w:rsidRPr="00453C86">
        <w:t>100 kontor- eller forretningseiendommer og 2</w:t>
      </w:r>
      <w:r>
        <w:t xml:space="preserve"> </w:t>
      </w:r>
      <w:r w:rsidRPr="00453C86">
        <w:t>500 industrieiendommer i 2023.</w:t>
      </w:r>
      <w:r>
        <w:rPr>
          <w:rStyle w:val="Fotnotereferanse"/>
          <w:sz w:val="22"/>
        </w:rPr>
        <w:footnoteReference w:id="3"/>
      </w:r>
      <w:r w:rsidRPr="00453C86">
        <w:t xml:space="preserve"> </w:t>
      </w:r>
    </w:p>
    <w:p w14:paraId="39EB3FBD" w14:textId="77777777" w:rsidR="00E644F8" w:rsidRDefault="00E644F8" w:rsidP="00E644F8">
      <w:pPr>
        <w:rPr>
          <w:b/>
          <w:bCs/>
        </w:rPr>
      </w:pPr>
    </w:p>
    <w:p w14:paraId="10F917E5" w14:textId="77777777" w:rsidR="00E644F8" w:rsidRDefault="00E644F8" w:rsidP="00E644F8">
      <w:r w:rsidRPr="00453C86">
        <w:t xml:space="preserve">Videre ble </w:t>
      </w:r>
      <w:r>
        <w:t>kun</w:t>
      </w:r>
      <w:r w:rsidRPr="00453C86">
        <w:t xml:space="preserve"> 27 prosent av landbrukseiendommene som ble omsatt i 2022, omsatt gjennom fritt salg. De øvrige ble omsatt gjennom skifte/uskifte (33 prosent), gave (23 prosent), tvangsauksjon </w:t>
      </w:r>
      <w:r>
        <w:br/>
      </w:r>
      <w:r w:rsidRPr="00453C86">
        <w:t>(1 prosent) og annet (16 prosent), slik at det totale antallet omsatte landbrukseiendommer er høyere enn det som vises i figur 1.</w:t>
      </w:r>
      <w:r>
        <w:rPr>
          <w:rStyle w:val="Fotnotereferanse"/>
          <w:sz w:val="22"/>
        </w:rPr>
        <w:footnoteReference w:id="4"/>
      </w:r>
      <w:r w:rsidRPr="00453C86">
        <w:t xml:space="preserve">  Totalt var det 9 008 tinglyste overdragelser av landbrukseiendommer i 2022. Dette utgjør 4,9 prosent av alle landbrukseiendommer i Norge (totalt 182 391).</w:t>
      </w:r>
    </w:p>
    <w:p w14:paraId="3F1664B0" w14:textId="77777777" w:rsidR="00E644F8" w:rsidRDefault="00E644F8" w:rsidP="00E644F8">
      <w:pPr>
        <w:rPr>
          <w:b/>
          <w:bCs/>
        </w:rPr>
      </w:pPr>
    </w:p>
    <w:p w14:paraId="59218C20" w14:textId="77777777" w:rsidR="00E644F8" w:rsidRDefault="00E644F8" w:rsidP="00E644F8">
      <w:r w:rsidRPr="00453C86">
        <w:lastRenderedPageBreak/>
        <w:t xml:space="preserve">Finanstilsynet vurderer at det er vanskelig å trekke </w:t>
      </w:r>
      <w:r>
        <w:t xml:space="preserve">klare </w:t>
      </w:r>
      <w:r w:rsidRPr="00453C86">
        <w:t xml:space="preserve">konklusjoner fra prisstatistikken, ettersom dette er gjennomsnittspris per omsatte eiendom. </w:t>
      </w:r>
      <w:r>
        <w:t>Den observerte prisø</w:t>
      </w:r>
      <w:r w:rsidRPr="00453C86">
        <w:t>kningen kan derfor både skyldes økt etterspørsel og økt gjennomsnittlig størrelse og verdi på eiendommene som er omsatt. Den sterke veksten tyder likevel på at det er etterspørsel etter slike eiendommer i markedet.</w:t>
      </w:r>
    </w:p>
    <w:p w14:paraId="77099FCF" w14:textId="77777777" w:rsidR="00E644F8" w:rsidRDefault="00E644F8" w:rsidP="00E644F8">
      <w:pPr>
        <w:rPr>
          <w:b/>
          <w:bCs/>
        </w:rPr>
      </w:pPr>
    </w:p>
    <w:p w14:paraId="4744AF86" w14:textId="77777777" w:rsidR="00E644F8" w:rsidRDefault="00E644F8" w:rsidP="00E644F8">
      <w:r w:rsidRPr="00453C86">
        <w:t>Finanstilsynet har forsøkt å finne data som kan belyse omsetteligheten til norske landbrukseien</w:t>
      </w:r>
      <w:r>
        <w:softHyphen/>
      </w:r>
      <w:r w:rsidRPr="00453C86">
        <w:t>dommer, for eksempel gjennomsnittlig omsetningstid, men har ikke lyktes med dette. Basert på de tilgjengelige tallene, legger Finanstilsynet grunn til at markedet for landbrukseiendom er både velutviklet og veletablert. Eventuelle høringsinstanser oppfordres til å belyse dette spørsmålet ytterligere.</w:t>
      </w:r>
    </w:p>
    <w:p w14:paraId="310E941A" w14:textId="77777777" w:rsidR="00E644F8" w:rsidRDefault="00E644F8" w:rsidP="00E644F8"/>
    <w:p w14:paraId="17547CEB" w14:textId="77777777" w:rsidR="00E644F8" w:rsidRPr="005D4499" w:rsidRDefault="00E644F8" w:rsidP="00E644F8">
      <w:pPr>
        <w:rPr>
          <w:b/>
          <w:bCs/>
        </w:rPr>
      </w:pPr>
      <w:r w:rsidRPr="00453C86">
        <w:rPr>
          <w:i/>
          <w:iCs/>
          <w:sz w:val="20"/>
          <w:szCs w:val="20"/>
        </w:rPr>
        <w:t>Figur 1: Omsetning av landbrukseiendom i Norge 2006</w:t>
      </w:r>
      <w:r>
        <w:rPr>
          <w:i/>
          <w:iCs/>
          <w:sz w:val="20"/>
          <w:szCs w:val="20"/>
        </w:rPr>
        <w:t>–</w:t>
      </w:r>
      <w:r w:rsidRPr="00453C86">
        <w:rPr>
          <w:i/>
          <w:iCs/>
          <w:sz w:val="20"/>
          <w:szCs w:val="20"/>
        </w:rPr>
        <w:t xml:space="preserve">2022 </w:t>
      </w:r>
      <w:r>
        <w:br/>
      </w:r>
      <w:r>
        <w:rPr>
          <w:noProof/>
        </w:rPr>
        <w:drawing>
          <wp:inline distT="0" distB="0" distL="0" distR="0" wp14:anchorId="679AA956" wp14:editId="335F4812">
            <wp:extent cx="6067425" cy="3057525"/>
            <wp:effectExtent l="0" t="0" r="9525" b="9525"/>
            <wp:docPr id="1024454578" name="Diagram 1">
              <a:extLst xmlns:a="http://schemas.openxmlformats.org/drawingml/2006/main">
                <a:ext uri="{FF2B5EF4-FFF2-40B4-BE49-F238E27FC236}">
                  <a16:creationId xmlns:a16="http://schemas.microsoft.com/office/drawing/2014/main" id="{33EE3662-1AB5-3F40-50E0-614385EE4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53C86">
        <w:rPr>
          <w:i/>
          <w:iCs/>
          <w:sz w:val="22"/>
          <w:szCs w:val="20"/>
        </w:rPr>
        <w:t>Kilde: Statistisk Sentralbyrå</w:t>
      </w:r>
    </w:p>
    <w:p w14:paraId="1F490430" w14:textId="77777777" w:rsidR="00E644F8" w:rsidRPr="00453C86" w:rsidRDefault="00E644F8" w:rsidP="00E644F8"/>
    <w:p w14:paraId="4F325D7C" w14:textId="77777777" w:rsidR="00E644F8" w:rsidRPr="00773CA9" w:rsidRDefault="00E644F8" w:rsidP="00E644F8">
      <w:pPr>
        <w:pStyle w:val="Overskrift3"/>
        <w:rPr>
          <w:rFonts w:eastAsiaTheme="minorHAnsi"/>
          <w:sz w:val="22"/>
        </w:rPr>
      </w:pPr>
      <w:r w:rsidRPr="00773CA9">
        <w:rPr>
          <w:rFonts w:eastAsiaTheme="minorHAnsi"/>
          <w:sz w:val="22"/>
        </w:rPr>
        <w:t>3.3. Fr</w:t>
      </w:r>
      <w:r>
        <w:rPr>
          <w:rFonts w:eastAsiaTheme="minorHAnsi"/>
          <w:sz w:val="22"/>
        </w:rPr>
        <w:t>a</w:t>
      </w:r>
      <w:r w:rsidRPr="00773CA9">
        <w:rPr>
          <w:rFonts w:eastAsiaTheme="minorHAnsi"/>
          <w:sz w:val="22"/>
        </w:rPr>
        <w:t xml:space="preserve">mtidsutsikter og forventede tap </w:t>
      </w:r>
    </w:p>
    <w:p w14:paraId="5A3932CA" w14:textId="77777777" w:rsidR="00E644F8" w:rsidRDefault="00E644F8" w:rsidP="00E644F8">
      <w:r w:rsidRPr="00453C86">
        <w:t xml:space="preserve">Finanstilsynets årlige stresstester av norske banker anslår bankenes tap på utlån til </w:t>
      </w:r>
      <w:r>
        <w:t>henholdsvis</w:t>
      </w:r>
      <w:r w:rsidRPr="00453C86">
        <w:t xml:space="preserve"> bedriftsmarkedet (BM) og personmarkedet (PM) de neste fem årene i et basisscenario og ett eller flere stresscenarioer. Basi</w:t>
      </w:r>
      <w:r>
        <w:t>s</w:t>
      </w:r>
      <w:r w:rsidRPr="00453C86">
        <w:t xml:space="preserve">scenarioet baseres på makroøkonomiske prognoser fra blant andre Statistisk sentralbyrå og Norges Bank. Utlånstapet i dette scenarioet er ikke Finanstilsynets forventning til bankenes utlånstap, men en teknisk framskrivning av utviklingen. Videre er det bare bankenes tap på utlån til </w:t>
      </w:r>
      <w:r>
        <w:t>henholdsvis</w:t>
      </w:r>
      <w:r w:rsidRPr="00453C86">
        <w:t xml:space="preserve"> BM og PM totalt som framskrives, ikke næringsfordelte utlånstap. Utlånstapet kan fordeles mellom ulike næringer med bakgrunn i misligholdsann</w:t>
      </w:r>
      <w:r>
        <w:softHyphen/>
      </w:r>
      <w:r w:rsidRPr="00453C86">
        <w:t>synligheter fra Finanstilsynets</w:t>
      </w:r>
      <w:r>
        <w:t xml:space="preserve"> modell for foretak</w:t>
      </w:r>
      <w:r w:rsidRPr="00453C86">
        <w:t xml:space="preserve"> </w:t>
      </w:r>
      <w:r>
        <w:t>(</w:t>
      </w:r>
      <w:r w:rsidRPr="00453C86">
        <w:t>SEMKO PD</w:t>
      </w:r>
      <w:r>
        <w:t>)</w:t>
      </w:r>
      <w:r w:rsidRPr="00453C86">
        <w:t>. Det er imidlertid ikke etablert noen empiriske sammenhenger mellom SEMKO PD og utlånstap, hverken for enkeltnæringer eller totalt for BM. En ytterligere begrens</w:t>
      </w:r>
      <w:r>
        <w:t>n</w:t>
      </w:r>
      <w:r w:rsidRPr="00453C86">
        <w:t xml:space="preserve">ing er at estimering av SEMKO PD bare kan gjøres for aksjeselskap som har levert godkjent årsregnskap til Brønnøysundregistrene. Ettersom de fleste landbruksforetak ikke er organisert som aksjeselskap, men </w:t>
      </w:r>
      <w:r>
        <w:t>er</w:t>
      </w:r>
      <w:r w:rsidRPr="00453C86">
        <w:t xml:space="preserve"> selvstendig næringsdrivende e.l., er det bare en relativt liten andel av virksomheten innen landbrukseiendom som får beregnet SEMKO PD.</w:t>
      </w:r>
    </w:p>
    <w:p w14:paraId="5F5E59EE" w14:textId="77777777" w:rsidR="00E644F8" w:rsidRDefault="00E644F8" w:rsidP="00E644F8">
      <w:pPr>
        <w:rPr>
          <w:b/>
          <w:bCs/>
        </w:rPr>
      </w:pPr>
    </w:p>
    <w:p w14:paraId="41ACE48A" w14:textId="77777777" w:rsidR="00E644F8" w:rsidRDefault="00E644F8" w:rsidP="00E644F8">
      <w:r w:rsidRPr="00453C86">
        <w:lastRenderedPageBreak/>
        <w:t xml:space="preserve">I gjeldende tapsregelverk (IFRS 9) skal bankenes tapsavsetninger bygge på framoverskuende vurderinger, slik at tapsavsetningene reflekterer forventede utlånstap. I vurderingene ser bankene typisk tre til fem år fram i tid. I mangel på andre tapsvurderinger og anslag på forventede utlånstap for landbrukseiendom, er det Finanstilsynets vurdering at bankenes egne tapsvurderinger er det beste anslaget på forventet tap på utlån til landbruk med pant i næringseiendom. </w:t>
      </w:r>
    </w:p>
    <w:p w14:paraId="20C85D3F" w14:textId="77777777" w:rsidR="00E644F8" w:rsidRDefault="00E644F8" w:rsidP="00E644F8">
      <w:pPr>
        <w:rPr>
          <w:b/>
          <w:bCs/>
        </w:rPr>
      </w:pPr>
    </w:p>
    <w:p w14:paraId="41AE0EEE" w14:textId="77777777" w:rsidR="00E644F8" w:rsidRDefault="00E644F8" w:rsidP="00E644F8">
      <w:pPr>
        <w:rPr>
          <w:b/>
          <w:bCs/>
        </w:rPr>
      </w:pPr>
      <w:r w:rsidRPr="00453C86">
        <w:t>Finanstilsynet har tilgang til relativt detaljert informasjon om bankenes utlånsporteføljer, tapsavsetninger på utlån til enkeltkunder og hvilken næring kunden tilhører. Det er imidlertid ikke en egen næringskode for "utlån med pant i landbrukseiendom". Basert på stikkprøver og generell erfaring, er det Finanstilsynets inntrykk at de fleste av disse lånene er registrert under hovednæringskodene 01 "Jordbruk og tjenester tilknyttet jordbruk, jakt og viltstell" og 02 "Skogbruk og tjenester tilknyttet skogbruk". Disse to næringskodene inneholder også en ukjent andel foretak som ikke kan klassifiseres som "utlån med pant i landbrukseiendom". Ved utgangen av 2022 var det bevilget 83 milliarder kroner til "jordbruk, skogbruk og tilknyttede tjenester", 984 milliarder kroner til "omsetning og drift av fast eiendom" og 2 152 milliarder kroner til andre ikke-finansielle næringer.</w:t>
      </w:r>
    </w:p>
    <w:p w14:paraId="4D7FA085" w14:textId="77777777" w:rsidR="00E644F8" w:rsidRPr="00453C86" w:rsidRDefault="00E644F8" w:rsidP="00E644F8">
      <w:pPr>
        <w:pStyle w:val="Overskrift1"/>
        <w:rPr>
          <w:rFonts w:asciiTheme="minorHAnsi" w:eastAsiaTheme="minorHAnsi" w:hAnsiTheme="minorHAnsi" w:cstheme="minorBidi"/>
          <w:b w:val="0"/>
          <w:bCs w:val="0"/>
          <w:i/>
          <w:iCs/>
          <w:sz w:val="22"/>
          <w:szCs w:val="22"/>
        </w:rPr>
      </w:pPr>
      <w:r>
        <w:rPr>
          <w:sz w:val="22"/>
        </w:rPr>
        <w:br/>
      </w:r>
      <w:r w:rsidRPr="00453C86">
        <w:rPr>
          <w:rFonts w:asciiTheme="minorHAnsi" w:eastAsiaTheme="minorHAnsi" w:hAnsiTheme="minorHAnsi" w:cstheme="minorBidi"/>
          <w:b w:val="0"/>
          <w:bCs w:val="0"/>
          <w:i/>
          <w:iCs/>
          <w:sz w:val="20"/>
          <w:szCs w:val="20"/>
        </w:rPr>
        <w:t>Figur 2: Beholdning av tapsavsetninger (trinn 1, trinn 2 og trinn 3) i prosent av bevilgede utlån til ikke-finansielle foretak (eksklusive "utvinning av olje og gass"). Norske banker, kredittforetak og filialer av utenlandske banker</w:t>
      </w:r>
    </w:p>
    <w:p w14:paraId="343DE2E9" w14:textId="77777777" w:rsidR="00E644F8" w:rsidRDefault="00E644F8" w:rsidP="00E644F8">
      <w:pPr>
        <w:pStyle w:val="Overskrift1"/>
        <w:rPr>
          <w:rFonts w:asciiTheme="minorHAnsi" w:eastAsiaTheme="minorHAnsi" w:hAnsiTheme="minorHAnsi" w:cstheme="minorBidi"/>
          <w:b w:val="0"/>
          <w:bCs w:val="0"/>
          <w:sz w:val="22"/>
          <w:szCs w:val="22"/>
        </w:rPr>
      </w:pPr>
      <w:r>
        <w:rPr>
          <w:rFonts w:ascii="Times New Roman" w:hAnsi="Times New Roman" w:cs="Times New Roman"/>
          <w:noProof/>
        </w:rPr>
        <w:drawing>
          <wp:inline distT="0" distB="0" distL="0" distR="0" wp14:anchorId="695CAFBB" wp14:editId="23CE86EE">
            <wp:extent cx="4054396" cy="2552700"/>
            <wp:effectExtent l="0" t="0" r="3810" b="0"/>
            <wp:docPr id="491202890" name="Bilde 2" descr="Et bilde som inneholder Plottdiagram, line, diagram,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02890" name="Bilde 2" descr="Et bilde som inneholder Plottdiagram, line, diagram, tekst&#10;&#10;Automatisk generert beskrivels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8303" cy="2586641"/>
                    </a:xfrm>
                    <a:prstGeom prst="rect">
                      <a:avLst/>
                    </a:prstGeom>
                    <a:noFill/>
                  </pic:spPr>
                </pic:pic>
              </a:graphicData>
            </a:graphic>
          </wp:inline>
        </w:drawing>
      </w:r>
      <w:r>
        <w:rPr>
          <w:sz w:val="22"/>
        </w:rPr>
        <w:br/>
      </w:r>
      <w:r w:rsidRPr="00453C86">
        <w:rPr>
          <w:rFonts w:asciiTheme="minorHAnsi" w:eastAsiaTheme="minorHAnsi" w:hAnsiTheme="minorHAnsi" w:cstheme="minorBidi"/>
          <w:b w:val="0"/>
          <w:bCs w:val="0"/>
          <w:sz w:val="22"/>
          <w:szCs w:val="22"/>
        </w:rPr>
        <w:t xml:space="preserve"> </w:t>
      </w:r>
      <w:r>
        <w:rPr>
          <w:sz w:val="22"/>
        </w:rPr>
        <w:br/>
      </w:r>
      <w:r w:rsidRPr="00453C86">
        <w:rPr>
          <w:rFonts w:asciiTheme="minorHAnsi" w:eastAsiaTheme="minorHAnsi" w:hAnsiTheme="minorHAnsi" w:cstheme="minorBidi"/>
          <w:b w:val="0"/>
          <w:bCs w:val="0"/>
          <w:i/>
          <w:iCs/>
          <w:sz w:val="20"/>
          <w:szCs w:val="20"/>
        </w:rPr>
        <w:t>Kilde: Finanstilsynet</w:t>
      </w:r>
    </w:p>
    <w:p w14:paraId="4536E142" w14:textId="70216F26" w:rsidR="00E644F8" w:rsidRDefault="00E644F8" w:rsidP="00E644F8">
      <w:r w:rsidRPr="00453C86">
        <w:t xml:space="preserve">Tapsavsetningene på utlån til "jordbruk, skogbruk og tilknyttede tjenester" har de siste årene vært relativt stabile på rundt 0,5 prosent av totale bevilgede utlån til næringen, se figur </w:t>
      </w:r>
      <w:r w:rsidR="00CB2D51">
        <w:t>2</w:t>
      </w:r>
      <w:r w:rsidRPr="00453C86">
        <w:t>. Det er betydelig lavere enn for andre ikke-finansielle næringer, men høyere enn for "omsetning og drift av fast eiendom" (ofte omtalt som "næringseiendom"). Som nevnt, inneholder "jordbruk, skogbruk og tilknyttede tjenester" også en ukjent andel utlånsengasjementer som ikke er utlån med pant i landbrukseiendom. Dette kan være engasjementer hvor det ikke er etablert pant eller hvor panteverdiene er lavere og mer usikre enn for landbrukseiendom. Dersom dette er tilfellet, kan det ha bidratt til å trekke opp gjennomsnittlige tapsavsetninger for "jordbruk, skogbruk og tilknyttede tjenester". Det bør også nevnes at tapsavsetningene på utlån til "omsetning og drift av fast eiendom" var svært lave i årene 2018</w:t>
      </w:r>
      <w:r>
        <w:t>–</w:t>
      </w:r>
      <w:r w:rsidRPr="00453C86">
        <w:t xml:space="preserve">2022, </w:t>
      </w:r>
      <w:r>
        <w:t xml:space="preserve">blant annet </w:t>
      </w:r>
      <w:r w:rsidRPr="00453C86">
        <w:t>som følge av generelt gode økonomiske tider i norsk næringsliv, et svært lavt rentenivå og subsidieordningene som ble innført under pandemien i 2020</w:t>
      </w:r>
      <w:r>
        <w:t>–</w:t>
      </w:r>
      <w:r w:rsidRPr="00453C86">
        <w:t>2021.</w:t>
      </w:r>
    </w:p>
    <w:p w14:paraId="656C67EF" w14:textId="77777777" w:rsidR="00E644F8" w:rsidRPr="005D4499" w:rsidRDefault="00E644F8" w:rsidP="00E644F8"/>
    <w:p w14:paraId="0ADC1631" w14:textId="49DF7C89" w:rsidR="00E644F8" w:rsidRPr="00200F04" w:rsidRDefault="00E644F8" w:rsidP="00E644F8">
      <w:pPr>
        <w:rPr>
          <w:b/>
          <w:bCs/>
        </w:rPr>
      </w:pPr>
      <w:r w:rsidRPr="00453C86">
        <w:lastRenderedPageBreak/>
        <w:t xml:space="preserve">Norsk jord- og skogbruk </w:t>
      </w:r>
      <w:r>
        <w:t xml:space="preserve">er omfattet av statlige </w:t>
      </w:r>
      <w:r w:rsidRPr="00453C86">
        <w:t xml:space="preserve">tilskudds- og støtteordninger. Finanstilsynet har ikke </w:t>
      </w:r>
      <w:r>
        <w:t xml:space="preserve">grunnlag for </w:t>
      </w:r>
      <w:r w:rsidRPr="00453C86">
        <w:t xml:space="preserve">å vurdere mulige effekter av disse ordningene på bankenes tap på utlån til landbrukseiendom, og er heller ikke kjent med at andre har utført slike analyser. Som en generell betraktning kan det imidlertid nevnes at det er mange faktorer som kan påvirke utlånstapene i en næring, og at det er svært vanskelig eller umulig å isolere enkeltfaktorer. Eventuelle effekter av tilskudds- og støtteordninger på tapsavsetningene kan være fanget opp i de historiske tapstallene (se figur </w:t>
      </w:r>
      <w:r w:rsidR="00CB2D51">
        <w:t>2</w:t>
      </w:r>
      <w:r w:rsidRPr="00453C86">
        <w:t xml:space="preserve">). Generelt kan det antas at dersom nåværende tilskudds- og støtteordninger reduseres eller fjernes, vil dette redusere mange landbrukseiendommers inntjening og dermed øke sannsynligheten for utlånstap, i hvert fall på kort og mellomlang sikt. Det motsatte kan være tilfellet dersom tilskudds- og støtteordningene økes. </w:t>
      </w:r>
    </w:p>
    <w:p w14:paraId="384C0B86" w14:textId="77777777" w:rsidR="00E644F8" w:rsidRDefault="00E644F8" w:rsidP="00E644F8">
      <w:pPr>
        <w:pStyle w:val="Overskrift2"/>
      </w:pPr>
      <w:r w:rsidRPr="00453C86">
        <w:t>4. Samlet vurdering</w:t>
      </w:r>
    </w:p>
    <w:p w14:paraId="5862F695" w14:textId="77777777" w:rsidR="00E644F8" w:rsidRDefault="00E644F8" w:rsidP="00E644F8">
      <w:pPr>
        <w:rPr>
          <w:b/>
          <w:bCs/>
        </w:rPr>
      </w:pPr>
      <w:r w:rsidRPr="00453C86">
        <w:t xml:space="preserve">Finanstilsynet vurderer at vilkårene i CRR artikkel 126 punkt 3 er oppfylt, slik at foretak med utlån med sikkerhet i landbrukseiendom kan se bort fra vilkåret i CRR 126 punkt 2 bokstav b ved fastsettelsen av risikovekt for disse utlånene. For Finanstilsynets generelle vurderinger av risikovekt for utlån sikret </w:t>
      </w:r>
      <w:r>
        <w:t xml:space="preserve">med pant </w:t>
      </w:r>
      <w:r w:rsidRPr="00453C86">
        <w:t>i landbrukseiendom, henvises det til Finanstilsynets brev 30. november 2023.</w:t>
      </w:r>
    </w:p>
    <w:p w14:paraId="1227A575" w14:textId="77777777" w:rsidR="00A00728" w:rsidRPr="008B0B81" w:rsidRDefault="00A00728">
      <w:pPr>
        <w:pStyle w:val="Brdtekst1"/>
      </w:pPr>
    </w:p>
    <w:p w14:paraId="1603256A" w14:textId="77777777" w:rsidR="00611AD2" w:rsidRPr="008B0B81" w:rsidRDefault="00611AD2" w:rsidP="00611AD2">
      <w:pPr>
        <w:pStyle w:val="Brdtekst1"/>
      </w:pPr>
    </w:p>
    <w:p w14:paraId="11BF17EC" w14:textId="77777777" w:rsidR="00277816" w:rsidRDefault="00774F2B" w:rsidP="00DE1B55">
      <w:pPr>
        <w:pStyle w:val="Hilsen"/>
        <w:spacing w:after="120"/>
        <w:rPr>
          <w:lang w:val="nn-NO"/>
        </w:rPr>
      </w:pPr>
      <w:sdt>
        <w:sdtPr>
          <w:alias w:val="Hilsen"/>
          <w:tag w:val="Hilsen"/>
          <w:id w:val="877043790"/>
          <w:comboBox>
            <w:listItem w:displayText="For Finanstilsynet" w:value="For Finanstilsynet"/>
            <w:listItem w:displayText="Med hilsen Finanstilsynet" w:value="Med hilsen Finanstilsynet"/>
          </w:comboBox>
        </w:sdtPr>
        <w:sdtEndPr/>
        <w:sdtContent>
          <w:r w:rsidR="00D84C6C" w:rsidRPr="00D93F81">
            <w:t>For Finanstilsynet</w:t>
          </w:r>
        </w:sdtContent>
      </w:sdt>
      <w:r w:rsidR="00D84C6C">
        <w:rPr>
          <w:lang w:val="nn-NO"/>
        </w:rPr>
        <w:t xml:space="preserve"> </w:t>
      </w:r>
    </w:p>
    <w:p w14:paraId="6B0565FD" w14:textId="77777777" w:rsidR="00277816" w:rsidRDefault="00277816" w:rsidP="00DE1B55">
      <w:pPr>
        <w:pStyle w:val="Hilsen"/>
        <w:rPr>
          <w:lang w:val="nn-NO"/>
        </w:rPr>
      </w:pPr>
    </w:p>
    <w:p w14:paraId="49269006" w14:textId="646E9699" w:rsidR="00277816" w:rsidRPr="00D93F81" w:rsidRDefault="00774F2B" w:rsidP="00DE1B55">
      <w:pPr>
        <w:pStyle w:val="Hilsen"/>
      </w:pPr>
      <w:sdt>
        <w:sdtPr>
          <w:alias w:val="Navn"/>
          <w:tag w:val="Navn"/>
          <w:id w:val="-200399407"/>
          <w:text/>
        </w:sdtPr>
        <w:sdtEndPr/>
        <w:sdtContent>
          <w:r w:rsidR="00274632">
            <w:t>Anders Sanderlien Hole</w:t>
          </w:r>
        </w:sdtContent>
      </w:sdt>
      <w:r w:rsidR="00D84C6C" w:rsidRPr="00D93F81">
        <w:t xml:space="preserve"> </w:t>
      </w:r>
    </w:p>
    <w:p w14:paraId="67700C6C" w14:textId="0EE2A436" w:rsidR="00277816" w:rsidRPr="00D93F81" w:rsidRDefault="00774F2B" w:rsidP="00DE1B55">
      <w:pPr>
        <w:pStyle w:val="Hilsen"/>
      </w:pPr>
      <w:sdt>
        <w:sdtPr>
          <w:alias w:val="tittel"/>
          <w:tag w:val="tittel"/>
          <w:id w:val="-1684889947"/>
          <w:placeholder>
            <w:docPart w:val="47E07AF91D484D75BFA69542025704A3"/>
          </w:placeholder>
          <w:text/>
        </w:sdtPr>
        <w:sdtEndPr/>
        <w:sdtContent>
          <w:r w:rsidR="00524503">
            <w:t>kst. direktør for bank- og forsikringstilsyn</w:t>
          </w:r>
        </w:sdtContent>
      </w:sdt>
      <w:r w:rsidR="00D84C6C" w:rsidRPr="00D93F81">
        <w:t xml:space="preserve"> </w:t>
      </w:r>
      <w:r w:rsidR="00D84C6C" w:rsidRPr="00D93F81">
        <w:tab/>
      </w:r>
      <w:bookmarkStart w:id="16" w:name="Sbr_Navn"/>
      <w:r w:rsidR="00524503">
        <w:t>M</w:t>
      </w:r>
      <w:bookmarkEnd w:id="16"/>
      <w:r w:rsidR="00524503">
        <w:t>ay Camilla Bruun-Kallum</w:t>
      </w:r>
      <w:r w:rsidR="00524503">
        <w:tab/>
      </w:r>
    </w:p>
    <w:p w14:paraId="509967B2" w14:textId="4544AD82" w:rsidR="00277816" w:rsidRPr="00D93F81" w:rsidRDefault="00D84C6C" w:rsidP="00DE1B55">
      <w:pPr>
        <w:pStyle w:val="Hilsen"/>
      </w:pPr>
      <w:r w:rsidRPr="00D93F81">
        <w:tab/>
      </w:r>
      <w:bookmarkStart w:id="17" w:name="Sbr_Tittel"/>
      <w:r w:rsidR="00524503">
        <w:t>s</w:t>
      </w:r>
      <w:bookmarkEnd w:id="17"/>
      <w:r w:rsidR="00524503">
        <w:t>eksjonssjef</w:t>
      </w:r>
    </w:p>
    <w:p w14:paraId="282BF70D" w14:textId="77777777" w:rsidR="00452CB6" w:rsidRPr="00D93F81" w:rsidRDefault="00452CB6" w:rsidP="00DE1B55">
      <w:pPr>
        <w:keepNext/>
        <w:keepLines/>
        <w:spacing w:after="200" w:line="276" w:lineRule="auto"/>
      </w:pPr>
    </w:p>
    <w:p w14:paraId="39B169F7" w14:textId="77777777" w:rsidR="00277816" w:rsidRPr="00D93F81" w:rsidRDefault="00277816" w:rsidP="00DE1B55">
      <w:pPr>
        <w:pStyle w:val="Hilsen"/>
      </w:pPr>
    </w:p>
    <w:p w14:paraId="663B0411" w14:textId="77777777" w:rsidR="00DC5382" w:rsidRPr="00D93F81" w:rsidRDefault="00452CB6" w:rsidP="00DE1B55">
      <w:pPr>
        <w:pStyle w:val="Hilsen"/>
        <w:spacing w:after="120"/>
        <w:rPr>
          <w:rFonts w:asciiTheme="majorHAnsi" w:hAnsiTheme="majorHAnsi" w:cstheme="majorHAnsi"/>
          <w:i/>
          <w:sz w:val="18"/>
          <w:szCs w:val="18"/>
        </w:rPr>
      </w:pPr>
      <w:r w:rsidRPr="00D93F81">
        <w:rPr>
          <w:rFonts w:asciiTheme="majorHAnsi" w:hAnsiTheme="majorHAnsi" w:cstheme="majorHAnsi"/>
          <w:i/>
          <w:sz w:val="18"/>
          <w:szCs w:val="18"/>
        </w:rPr>
        <w:t>Dokumentet er godkjent elektronisk og har derfor ikke håndskrevne signaturer.</w:t>
      </w:r>
    </w:p>
    <w:p w14:paraId="0117EA21" w14:textId="77777777" w:rsidR="003E0A9A" w:rsidRDefault="003E0A9A" w:rsidP="00611AD2">
      <w:pPr>
        <w:pStyle w:val="Hilsen"/>
        <w:keepNext w:val="0"/>
        <w:spacing w:after="120"/>
      </w:pPr>
    </w:p>
    <w:p w14:paraId="283F504A" w14:textId="77777777" w:rsidR="00274632" w:rsidRDefault="00274632" w:rsidP="00611AD2">
      <w:pPr>
        <w:pStyle w:val="Hilsen"/>
        <w:keepNext w:val="0"/>
        <w:spacing w:after="120"/>
      </w:pPr>
    </w:p>
    <w:p w14:paraId="04DC71F0" w14:textId="77777777" w:rsidR="00274632" w:rsidRDefault="00274632" w:rsidP="00611AD2">
      <w:pPr>
        <w:pStyle w:val="Hilsen"/>
        <w:keepNext w:val="0"/>
        <w:spacing w:after="120"/>
      </w:pPr>
    </w:p>
    <w:p w14:paraId="170A29FB" w14:textId="77777777" w:rsidR="00274632" w:rsidRDefault="00274632" w:rsidP="00611AD2">
      <w:pPr>
        <w:pStyle w:val="Hilsen"/>
        <w:keepNext w:val="0"/>
        <w:spacing w:after="120"/>
      </w:pPr>
    </w:p>
    <w:p w14:paraId="24978E88" w14:textId="77777777" w:rsidR="00274632" w:rsidRDefault="00274632" w:rsidP="00611AD2">
      <w:pPr>
        <w:pStyle w:val="Hilsen"/>
        <w:keepNext w:val="0"/>
        <w:spacing w:after="120"/>
      </w:pPr>
    </w:p>
    <w:p w14:paraId="728354CD" w14:textId="77777777" w:rsidR="00274632" w:rsidRDefault="00274632" w:rsidP="00611AD2">
      <w:pPr>
        <w:pStyle w:val="Hilsen"/>
        <w:keepNext w:val="0"/>
        <w:spacing w:after="120"/>
      </w:pPr>
    </w:p>
    <w:p w14:paraId="010C4F83" w14:textId="77777777" w:rsidR="00274632" w:rsidRDefault="00274632" w:rsidP="00611AD2">
      <w:pPr>
        <w:pStyle w:val="Hilsen"/>
        <w:keepNext w:val="0"/>
        <w:spacing w:after="120"/>
      </w:pPr>
    </w:p>
    <w:p w14:paraId="1DDC152B" w14:textId="77777777" w:rsidR="00274632" w:rsidRDefault="00274632" w:rsidP="00611AD2">
      <w:pPr>
        <w:pStyle w:val="Hilsen"/>
        <w:keepNext w:val="0"/>
        <w:spacing w:after="120"/>
      </w:pPr>
    </w:p>
    <w:p w14:paraId="6348E24D" w14:textId="77777777" w:rsidR="00274632" w:rsidRDefault="00274632" w:rsidP="00611AD2">
      <w:pPr>
        <w:pStyle w:val="Hilsen"/>
        <w:keepNext w:val="0"/>
        <w:spacing w:after="120"/>
      </w:pPr>
    </w:p>
    <w:p w14:paraId="74D88EB2" w14:textId="77777777" w:rsidR="00274632" w:rsidRDefault="00274632" w:rsidP="00611AD2">
      <w:pPr>
        <w:pStyle w:val="Hilsen"/>
        <w:keepNext w:val="0"/>
        <w:spacing w:after="120"/>
      </w:pPr>
    </w:p>
    <w:p w14:paraId="69C135A4" w14:textId="77777777" w:rsidR="00274632" w:rsidRDefault="00274632" w:rsidP="00611AD2">
      <w:pPr>
        <w:pStyle w:val="Hilsen"/>
        <w:keepNext w:val="0"/>
        <w:spacing w:after="120"/>
      </w:pPr>
    </w:p>
    <w:p w14:paraId="3E55296E" w14:textId="77777777" w:rsidR="00274632" w:rsidRDefault="00274632" w:rsidP="00611AD2">
      <w:pPr>
        <w:pStyle w:val="Hilsen"/>
        <w:keepNext w:val="0"/>
        <w:spacing w:after="120"/>
      </w:pPr>
    </w:p>
    <w:p w14:paraId="370976D8" w14:textId="77777777" w:rsidR="00274632" w:rsidRDefault="00274632" w:rsidP="00611AD2">
      <w:pPr>
        <w:pStyle w:val="Hilsen"/>
        <w:keepNext w:val="0"/>
        <w:spacing w:after="120"/>
      </w:pPr>
    </w:p>
    <w:p w14:paraId="6AFD61EA" w14:textId="77777777" w:rsidR="00274632" w:rsidRDefault="00274632" w:rsidP="00611AD2">
      <w:pPr>
        <w:pStyle w:val="Hilsen"/>
        <w:keepNext w:val="0"/>
        <w:spacing w:after="120"/>
      </w:pPr>
    </w:p>
    <w:p w14:paraId="0757A83C" w14:textId="77777777" w:rsidR="00274632" w:rsidRPr="00496C92" w:rsidRDefault="00274632" w:rsidP="00611AD2">
      <w:pPr>
        <w:pStyle w:val="Hilsen"/>
        <w:keepNext w:val="0"/>
        <w:spacing w:after="120"/>
      </w:pPr>
    </w:p>
    <w:tbl>
      <w:tblPr>
        <w:tblW w:w="0" w:type="auto"/>
        <w:tblLayout w:type="fixed"/>
        <w:tblCellMar>
          <w:left w:w="70" w:type="dxa"/>
          <w:right w:w="70" w:type="dxa"/>
        </w:tblCellMar>
        <w:tblLook w:val="0000" w:firstRow="0" w:lastRow="0" w:firstColumn="0" w:lastColumn="0" w:noHBand="0" w:noVBand="0"/>
      </w:tblPr>
      <w:tblGrid>
        <w:gridCol w:w="3047"/>
        <w:gridCol w:w="1080"/>
      </w:tblGrid>
      <w:tr w:rsidR="00480522" w:rsidRPr="00480522" w14:paraId="045E69D0" w14:textId="77777777" w:rsidTr="00383876">
        <w:trPr>
          <w:gridAfter w:val="1"/>
          <w:wAfter w:w="1080" w:type="dxa"/>
          <w:tblHeader/>
          <w:hidden/>
        </w:trPr>
        <w:tc>
          <w:tcPr>
            <w:tcW w:w="3047" w:type="dxa"/>
          </w:tcPr>
          <w:p w14:paraId="0D7DA153" w14:textId="19C061AF" w:rsidR="00480522" w:rsidRPr="00480522" w:rsidRDefault="00480522" w:rsidP="00383876">
            <w:pPr>
              <w:rPr>
                <w:rFonts w:ascii="Times New Roman" w:hAnsi="Times New Roman" w:cs="Times New Roman"/>
                <w:vanish/>
              </w:rPr>
            </w:pPr>
          </w:p>
        </w:tc>
      </w:tr>
      <w:tr w:rsidR="00480522" w:rsidRPr="00480522" w14:paraId="76C91946" w14:textId="77777777" w:rsidTr="00274632">
        <w:trPr>
          <w:hidden/>
        </w:trPr>
        <w:tc>
          <w:tcPr>
            <w:tcW w:w="4127" w:type="dxa"/>
            <w:gridSpan w:val="2"/>
          </w:tcPr>
          <w:p w14:paraId="350E0B02" w14:textId="77777777" w:rsidR="00480522" w:rsidRPr="00480522" w:rsidRDefault="00774F2B" w:rsidP="00383876">
            <w:pPr>
              <w:rPr>
                <w:rFonts w:ascii="Times New Roman" w:hAnsi="Times New Roman" w:cs="Times New Roman"/>
                <w:vanish/>
              </w:rPr>
            </w:pPr>
            <w:sdt>
              <w:sdtPr>
                <w:rPr>
                  <w:rFonts w:ascii="Times New Roman" w:hAnsi="Times New Roman" w:cs="Times New Roman"/>
                  <w:vanish/>
                </w:rPr>
                <w:alias w:val="TblkopiTil__Sdk_Navn___1___1"/>
                <w:tag w:val="TblkopiTil__Sdk_Navn___1___1"/>
                <w:id w:val="76492943"/>
                <w:dataBinding w:xpath="/document/body/TblkopiTil/table/row[1]/cell[1]" w:storeItemID="{521292EA-7470-4CC1-BE77-507AB39D7E9F}"/>
                <w:text/>
              </w:sdtPr>
              <w:sdtEndPr/>
              <w:sdtContent>
                <w:bookmarkStart w:id="18" w:name="TblkopiTil__Sdk_Navn___1___1"/>
                <w:r w:rsidR="00480522" w:rsidRPr="00480522">
                  <w:rPr>
                    <w:rFonts w:ascii="Times New Roman" w:hAnsi="Times New Roman" w:cs="Times New Roman"/>
                    <w:vanish/>
                  </w:rPr>
                  <w:t xml:space="preserve"> </w:t>
                </w:r>
              </w:sdtContent>
            </w:sdt>
            <w:bookmarkEnd w:id="18"/>
          </w:p>
        </w:tc>
      </w:tr>
    </w:tbl>
    <w:p w14:paraId="5528A2AE" w14:textId="77777777" w:rsidR="00274632" w:rsidRPr="00453C86" w:rsidRDefault="00274632" w:rsidP="00274632">
      <w:pPr>
        <w:pStyle w:val="Overskrift2"/>
      </w:pPr>
      <w:r w:rsidRPr="00453C86">
        <w:rPr>
          <w:rFonts w:eastAsiaTheme="minorHAnsi"/>
        </w:rPr>
        <w:t>Vedlegg 1: Utkast til forskriftsendringer</w:t>
      </w:r>
    </w:p>
    <w:p w14:paraId="377AE4A0" w14:textId="34C8E32F" w:rsidR="00274632" w:rsidRDefault="00274632" w:rsidP="00774F2B">
      <w:pPr>
        <w:rPr>
          <w:b/>
          <w:bCs/>
        </w:rPr>
      </w:pPr>
      <w:r>
        <w:br/>
      </w:r>
      <w:r w:rsidR="00774F2B">
        <w:t>Se eget dokument.</w:t>
      </w:r>
      <w:r>
        <w:br/>
      </w:r>
    </w:p>
    <w:p w14:paraId="00A1A8DE" w14:textId="77777777" w:rsidR="00274632" w:rsidRDefault="00274632" w:rsidP="00274632">
      <w:pPr>
        <w:pStyle w:val="Overskrift1"/>
        <w:rPr>
          <w:rStyle w:val="Overskrift2Tegn"/>
          <w:b/>
          <w:bCs/>
        </w:rPr>
      </w:pPr>
      <w:r>
        <w:rPr>
          <w:rFonts w:asciiTheme="minorHAnsi" w:eastAsiaTheme="minorHAnsi" w:hAnsiTheme="minorHAnsi" w:cstheme="minorBidi"/>
          <w:b w:val="0"/>
          <w:bCs w:val="0"/>
          <w:sz w:val="22"/>
          <w:szCs w:val="22"/>
        </w:rPr>
        <w:br/>
      </w:r>
      <w:r w:rsidRPr="00453C86">
        <w:rPr>
          <w:rStyle w:val="Overskrift2Tegn"/>
          <w:b/>
          <w:bCs/>
        </w:rPr>
        <w:t>Vedlegg 2: Utkast til notifiseringsskjema</w:t>
      </w:r>
    </w:p>
    <w:p w14:paraId="54D7FED9" w14:textId="77777777" w:rsidR="00274632" w:rsidRPr="008B0B81" w:rsidRDefault="00274632" w:rsidP="00274632">
      <w:pPr>
        <w:pStyle w:val="Brdtekst1"/>
      </w:pPr>
      <w:r>
        <w:t>Se eget dokument.</w:t>
      </w:r>
    </w:p>
    <w:p w14:paraId="1BDB928F" w14:textId="77777777" w:rsidR="00197E9D" w:rsidRPr="00274632" w:rsidRDefault="00197E9D" w:rsidP="000A6916"/>
    <w:sectPr w:rsidR="00197E9D" w:rsidRPr="00274632" w:rsidSect="00E275B1">
      <w:type w:val="continuous"/>
      <w:pgSz w:w="11906" w:h="16838" w:code="9"/>
      <w:pgMar w:top="1588" w:right="1134" w:bottom="1361" w:left="1134" w:header="3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864B" w14:textId="77777777" w:rsidR="00C3393E" w:rsidRDefault="00C3393E">
      <w:pPr>
        <w:spacing w:line="240" w:lineRule="auto"/>
      </w:pPr>
      <w:r>
        <w:separator/>
      </w:r>
    </w:p>
  </w:endnote>
  <w:endnote w:type="continuationSeparator" w:id="0">
    <w:p w14:paraId="0085EDD6" w14:textId="77777777" w:rsidR="00C3393E" w:rsidRDefault="00C33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D2A7" w14:textId="77777777" w:rsidR="0008372E" w:rsidRDefault="0008372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B01E" w14:textId="77777777" w:rsidR="0008372E" w:rsidRDefault="0008372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639" w:type="dxa"/>
      <w:tblInd w:w="85" w:type="dxa"/>
      <w:tblBorders>
        <w:top w:val="none" w:sz="0" w:space="0" w:color="auto"/>
        <w:left w:val="single" w:sz="8" w:space="0" w:color="58585A"/>
        <w:bottom w:val="none" w:sz="0" w:space="0" w:color="auto"/>
        <w:right w:val="none" w:sz="0" w:space="0" w:color="auto"/>
        <w:insideH w:val="none" w:sz="0" w:space="0" w:color="auto"/>
        <w:insideV w:val="single" w:sz="8" w:space="0" w:color="58585A"/>
      </w:tblBorders>
      <w:tblLayout w:type="fixed"/>
      <w:tblCellMar>
        <w:left w:w="0" w:type="dxa"/>
        <w:right w:w="0" w:type="dxa"/>
      </w:tblCellMar>
      <w:tblLook w:val="04A0" w:firstRow="1" w:lastRow="0" w:firstColumn="1" w:lastColumn="0" w:noHBand="0" w:noVBand="1"/>
    </w:tblPr>
    <w:tblGrid>
      <w:gridCol w:w="2558"/>
      <w:gridCol w:w="2558"/>
      <w:gridCol w:w="2558"/>
      <w:gridCol w:w="1965"/>
    </w:tblGrid>
    <w:tr w:rsidR="00277816" w14:paraId="2530402B" w14:textId="77777777">
      <w:trPr>
        <w:trHeight w:val="1021"/>
      </w:trPr>
      <w:tc>
        <w:tcPr>
          <w:tcW w:w="2558" w:type="dxa"/>
          <w:tcMar>
            <w:left w:w="85" w:type="dxa"/>
            <w:bottom w:w="113" w:type="dxa"/>
          </w:tcMar>
          <w:vAlign w:val="bottom"/>
        </w:tcPr>
        <w:p w14:paraId="1AC2087A" w14:textId="77777777" w:rsidR="00277816" w:rsidRDefault="00D84C6C">
          <w:pPr>
            <w:pStyle w:val="Bunntekst"/>
            <w:rPr>
              <w:b/>
            </w:rPr>
          </w:pPr>
          <w:r>
            <w:rPr>
              <w:b/>
            </w:rPr>
            <w:t>FINANSTILSYNET</w:t>
          </w:r>
        </w:p>
        <w:p w14:paraId="20CBFB4A" w14:textId="77777777" w:rsidR="00277816" w:rsidRDefault="00D84C6C">
          <w:pPr>
            <w:pStyle w:val="Bunntekst"/>
          </w:pPr>
          <w:r>
            <w:t>Revierstredet 3</w:t>
          </w:r>
        </w:p>
        <w:p w14:paraId="4C74023D" w14:textId="77777777" w:rsidR="00277816" w:rsidRDefault="00D84C6C">
          <w:pPr>
            <w:pStyle w:val="Bunntekst"/>
          </w:pPr>
          <w:r>
            <w:t>Postboks 1187 Sentrum</w:t>
          </w:r>
        </w:p>
        <w:p w14:paraId="1986B0C5" w14:textId="77777777" w:rsidR="00277816" w:rsidRDefault="00D84C6C">
          <w:pPr>
            <w:pStyle w:val="Bunntekst"/>
          </w:pPr>
          <w:r>
            <w:t>0107 Oslo</w:t>
          </w:r>
        </w:p>
      </w:tc>
      <w:tc>
        <w:tcPr>
          <w:tcW w:w="2558" w:type="dxa"/>
          <w:tcMar>
            <w:left w:w="85" w:type="dxa"/>
            <w:bottom w:w="28" w:type="dxa"/>
          </w:tcMar>
          <w:vAlign w:val="bottom"/>
        </w:tcPr>
        <w:p w14:paraId="5F384630" w14:textId="77777777" w:rsidR="00277816" w:rsidRDefault="00D84C6C">
          <w:pPr>
            <w:pStyle w:val="Bunntekst"/>
            <w:tabs>
              <w:tab w:val="clear" w:pos="4536"/>
              <w:tab w:val="clear" w:pos="9072"/>
              <w:tab w:val="left" w:pos="737"/>
            </w:tabs>
          </w:pPr>
          <w:r>
            <w:t>Telefon</w:t>
          </w:r>
          <w:r>
            <w:tab/>
            <w:t>22 93 98 00</w:t>
          </w:r>
        </w:p>
      </w:tc>
      <w:tc>
        <w:tcPr>
          <w:tcW w:w="2558" w:type="dxa"/>
          <w:tcMar>
            <w:left w:w="85" w:type="dxa"/>
            <w:bottom w:w="28" w:type="dxa"/>
          </w:tcMar>
          <w:vAlign w:val="bottom"/>
        </w:tcPr>
        <w:p w14:paraId="0CE98A5D" w14:textId="77777777" w:rsidR="00277816" w:rsidRDefault="00D84C6C">
          <w:pPr>
            <w:pStyle w:val="Bunntekst"/>
          </w:pPr>
          <w:r>
            <w:t>post@finanstilsynet.no</w:t>
          </w:r>
        </w:p>
        <w:p w14:paraId="766DCCFA" w14:textId="77777777" w:rsidR="00277816" w:rsidRDefault="00D84C6C">
          <w:pPr>
            <w:pStyle w:val="Bunntekst"/>
          </w:pPr>
          <w:r>
            <w:t>www.finanstilsynet.no</w:t>
          </w:r>
        </w:p>
      </w:tc>
      <w:tc>
        <w:tcPr>
          <w:tcW w:w="1965" w:type="dxa"/>
          <w:tcMar>
            <w:left w:w="85" w:type="dxa"/>
            <w:bottom w:w="28" w:type="dxa"/>
          </w:tcMar>
          <w:vAlign w:val="bottom"/>
        </w:tcPr>
        <w:p w14:paraId="6D5D7FB0" w14:textId="77777777" w:rsidR="00277816" w:rsidRDefault="00D84C6C">
          <w:pPr>
            <w:pStyle w:val="Bunntekst"/>
            <w:rPr>
              <w:b/>
              <w:lang w:val="nn-NO"/>
            </w:rPr>
          </w:pPr>
          <w:r w:rsidRPr="0008372E">
            <w:rPr>
              <w:b/>
            </w:rPr>
            <w:t>Saksbehandl</w:t>
          </w:r>
          <w:r w:rsidR="00452CB6" w:rsidRPr="0008372E">
            <w:rPr>
              <w:b/>
            </w:rPr>
            <w:t>e</w:t>
          </w:r>
          <w:r w:rsidRPr="0008372E">
            <w:rPr>
              <w:b/>
            </w:rPr>
            <w:t>r</w:t>
          </w:r>
        </w:p>
        <w:p w14:paraId="36F8804B" w14:textId="0DB671E4" w:rsidR="00277816" w:rsidRDefault="00774F2B">
          <w:pPr>
            <w:pStyle w:val="Bunntekst"/>
            <w:rPr>
              <w:lang w:val="nn-NO"/>
            </w:rPr>
          </w:pPr>
          <w:sdt>
            <w:sdtPr>
              <w:alias w:val="Sbr_NAvn"/>
              <w:tag w:val="Sbr_NAvn"/>
              <w:id w:val="2120951478"/>
              <w:placeholder>
                <w:docPart w:val="1C7D12EF599C48A7B940600D70E39D9B"/>
              </w:placeholder>
              <w:dataBinding w:xpath="/document/body/Sbr_Navn" w:storeItemID="{521292EA-7470-4CC1-BE77-507AB39D7E9F}"/>
              <w:text w:multiLine="1"/>
            </w:sdtPr>
            <w:sdtEndPr/>
            <w:sdtContent>
              <w:bookmarkStart w:id="13" w:name="Sbr_NAvn____1"/>
              <w:r w:rsidR="00E644F8">
                <w:t>Håkon Rysst Heilmann</w:t>
              </w:r>
            </w:sdtContent>
          </w:sdt>
          <w:bookmarkEnd w:id="13"/>
        </w:p>
        <w:p w14:paraId="765E92BC" w14:textId="6AC839B5" w:rsidR="00277816" w:rsidRDefault="00D84C6C">
          <w:pPr>
            <w:pStyle w:val="Bunntekst"/>
            <w:rPr>
              <w:lang w:val="nn-NO"/>
            </w:rPr>
          </w:pPr>
          <w:r w:rsidRPr="0008372E">
            <w:t>Dir</w:t>
          </w:r>
          <w:r>
            <w:rPr>
              <w:lang w:val="nn-NO"/>
            </w:rPr>
            <w:t xml:space="preserve">. tlf. </w:t>
          </w:r>
          <w:sdt>
            <w:sdtPr>
              <w:alias w:val="Sbr_Tlf"/>
              <w:tag w:val="Sbr_Tlf"/>
              <w:id w:val="1571078132"/>
              <w:placeholder>
                <w:docPart w:val="C46A34DDDEC4402DB27F9BA6CFE7EEF7"/>
              </w:placeholder>
              <w:dataBinding w:xpath="/document/footer/Sbr_Tlf" w:storeItemID="{521292EA-7470-4CC1-BE77-507AB39D7E9F}"/>
              <w:text/>
            </w:sdtPr>
            <w:sdtEndPr/>
            <w:sdtContent>
              <w:bookmarkStart w:id="14" w:name="Sbr_Tlf"/>
              <w:r w:rsidR="00E644F8">
                <w:t>22 93 96 28</w:t>
              </w:r>
            </w:sdtContent>
          </w:sdt>
          <w:bookmarkEnd w:id="14"/>
        </w:p>
      </w:tc>
    </w:tr>
  </w:tbl>
  <w:p w14:paraId="471A6D7D" w14:textId="77777777" w:rsidR="00277816" w:rsidRDefault="00277816" w:rsidP="00197E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5F36" w14:textId="77777777" w:rsidR="00C3393E" w:rsidRDefault="00C3393E">
      <w:pPr>
        <w:spacing w:line="240" w:lineRule="auto"/>
      </w:pPr>
      <w:r>
        <w:separator/>
      </w:r>
    </w:p>
  </w:footnote>
  <w:footnote w:type="continuationSeparator" w:id="0">
    <w:p w14:paraId="517D01DA" w14:textId="77777777" w:rsidR="00C3393E" w:rsidRDefault="00C3393E">
      <w:pPr>
        <w:spacing w:line="240" w:lineRule="auto"/>
      </w:pPr>
      <w:r>
        <w:continuationSeparator/>
      </w:r>
    </w:p>
  </w:footnote>
  <w:footnote w:id="1">
    <w:p w14:paraId="451B24D0" w14:textId="77777777" w:rsidR="00E644F8" w:rsidRDefault="00E644F8" w:rsidP="00E644F8">
      <w:pPr>
        <w:pStyle w:val="Fotnotetekst"/>
      </w:pPr>
      <w:r>
        <w:rPr>
          <w:rStyle w:val="Fotnotereferanse"/>
        </w:rPr>
        <w:footnoteRef/>
      </w:r>
      <w:hyperlink r:id="rId1" w:history="1">
        <w:r w:rsidRPr="008A0BB1">
          <w:rPr>
            <w:rStyle w:val="Hyperkobling"/>
          </w:rPr>
          <w:t>https://www.ssb.no/jord-skog-jakt-og-fiskeri/landbrukseiendommer/statistikk/overdragelser-av-landbrukseiendommer</w:t>
        </w:r>
      </w:hyperlink>
    </w:p>
  </w:footnote>
  <w:footnote w:id="2">
    <w:p w14:paraId="3D601CEC" w14:textId="77777777" w:rsidR="00E644F8" w:rsidRDefault="00E644F8" w:rsidP="00E644F8">
      <w:pPr>
        <w:pStyle w:val="Fotnotetekst"/>
      </w:pPr>
      <w:r>
        <w:rPr>
          <w:rStyle w:val="Fotnotereferanse"/>
        </w:rPr>
        <w:footnoteRef/>
      </w:r>
      <w:r>
        <w:t xml:space="preserve"> De øvrige formålene er "bolig" (ca. 25 prosent), "fritid" (ca. 10 prosent) og "annet" (ca. 6 prosent).</w:t>
      </w:r>
    </w:p>
  </w:footnote>
  <w:footnote w:id="3">
    <w:p w14:paraId="2B427003" w14:textId="77777777" w:rsidR="00E644F8" w:rsidRDefault="00E644F8" w:rsidP="00E644F8">
      <w:pPr>
        <w:pStyle w:val="Fotnotetekst"/>
      </w:pPr>
      <w:r>
        <w:rPr>
          <w:rStyle w:val="Fotnotereferanse"/>
        </w:rPr>
        <w:footnoteRef/>
      </w:r>
      <w:r>
        <w:t xml:space="preserve"> </w:t>
      </w:r>
      <w:hyperlink r:id="rId2" w:history="1">
        <w:r w:rsidRPr="00796F7D">
          <w:rPr>
            <w:rStyle w:val="Hyperkobling"/>
          </w:rPr>
          <w:t>https://www.ssb.no/bygg-bolig-og-eiendom/eiendom/statistikk/eiendomsomsetning</w:t>
        </w:r>
      </w:hyperlink>
    </w:p>
  </w:footnote>
  <w:footnote w:id="4">
    <w:p w14:paraId="2ECFFA9C" w14:textId="77777777" w:rsidR="00E644F8" w:rsidRDefault="00E644F8" w:rsidP="00E644F8">
      <w:pPr>
        <w:pStyle w:val="Fotnotetekst"/>
      </w:pPr>
      <w:r>
        <w:rPr>
          <w:rStyle w:val="Fotnotereferanse"/>
        </w:rPr>
        <w:footnoteRef/>
      </w:r>
      <w:r>
        <w:t xml:space="preserve"> </w:t>
      </w:r>
      <w:hyperlink r:id="rId3" w:history="1">
        <w:r w:rsidRPr="00796F7D">
          <w:rPr>
            <w:rStyle w:val="Hyperkobling"/>
          </w:rPr>
          <w:t>https://www.ssb.no/jord-skog-jakt-og-fiskeri/landbrukseiendommer/statistikk/overdragelser-av-landbrukseiendommer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9991" w14:textId="77777777" w:rsidR="0008372E" w:rsidRDefault="0008372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8FC0" w14:textId="77777777" w:rsidR="00277816" w:rsidRDefault="00D84C6C">
    <w:pPr>
      <w:pStyle w:val="Topptekst"/>
      <w:jc w:val="right"/>
    </w:pPr>
    <w:r>
      <w:rPr>
        <w:rFonts w:ascii="Arial" w:hAnsi="Arial" w:cs="Arial"/>
        <w:b/>
        <w:bCs/>
        <w:sz w:val="14"/>
        <w:szCs w:val="14"/>
      </w:rPr>
      <w:t xml:space="preserve">FINANSTILSYNET </w:t>
    </w:r>
    <w:r>
      <w:rPr>
        <w:rFonts w:ascii="Arial" w:hAnsi="Arial" w:cs="Arial"/>
        <w:sz w:val="14"/>
        <w:szCs w:val="14"/>
      </w:rPr>
      <w:t xml:space="preserve">SIDE </w:t>
    </w:r>
    <w:r w:rsidR="00DB4B28">
      <w:rPr>
        <w:rFonts w:ascii="Arial" w:hAnsi="Arial" w:cs="Arial"/>
        <w:sz w:val="14"/>
        <w:szCs w:val="14"/>
      </w:rPr>
      <w:fldChar w:fldCharType="begin"/>
    </w:r>
    <w:r>
      <w:rPr>
        <w:rFonts w:ascii="Arial" w:hAnsi="Arial" w:cs="Arial"/>
        <w:sz w:val="14"/>
        <w:szCs w:val="14"/>
      </w:rPr>
      <w:instrText xml:space="preserve"> PAGE  \* Arabic  \* MERGEFORMAT </w:instrText>
    </w:r>
    <w:r w:rsidR="00DB4B28">
      <w:rPr>
        <w:rFonts w:ascii="Arial" w:hAnsi="Arial" w:cs="Arial"/>
        <w:sz w:val="14"/>
        <w:szCs w:val="14"/>
      </w:rPr>
      <w:fldChar w:fldCharType="separate"/>
    </w:r>
    <w:r w:rsidR="00611AD2">
      <w:rPr>
        <w:rFonts w:ascii="Arial" w:hAnsi="Arial" w:cs="Arial"/>
        <w:noProof/>
        <w:sz w:val="14"/>
        <w:szCs w:val="14"/>
      </w:rPr>
      <w:t>2</w:t>
    </w:r>
    <w:r w:rsidR="00DB4B28">
      <w:rPr>
        <w:rFonts w:ascii="Arial" w:hAnsi="Arial" w:cs="Arial"/>
        <w:sz w:val="14"/>
        <w:szCs w:val="14"/>
      </w:rPr>
      <w:fldChar w:fldCharType="end"/>
    </w:r>
    <w:r>
      <w:rPr>
        <w:rFonts w:ascii="Arial" w:hAnsi="Arial" w:cs="Arial"/>
        <w:sz w:val="14"/>
        <w:szCs w:val="14"/>
      </w:rPr>
      <w:t xml:space="preserve"> AV </w:t>
    </w:r>
    <w:r w:rsidR="00774F2B">
      <w:fldChar w:fldCharType="begin"/>
    </w:r>
    <w:r w:rsidR="00774F2B">
      <w:instrText xml:space="preserve"> NUMPAGES  \* Arabic  \* MERGEFORMAT </w:instrText>
    </w:r>
    <w:r w:rsidR="00774F2B">
      <w:fldChar w:fldCharType="separate"/>
    </w:r>
    <w:r w:rsidR="00611AD2" w:rsidRPr="00611AD2">
      <w:rPr>
        <w:rFonts w:ascii="Arial" w:hAnsi="Arial" w:cs="Arial"/>
        <w:noProof/>
        <w:sz w:val="14"/>
        <w:szCs w:val="14"/>
      </w:rPr>
      <w:t>2</w:t>
    </w:r>
    <w:r w:rsidR="00774F2B">
      <w:rPr>
        <w:rFonts w:ascii="Arial" w:hAnsi="Arial" w:cs="Arial"/>
        <w:noProof/>
        <w:sz w:val="14"/>
        <w:szCs w:val="14"/>
      </w:rPr>
      <w:fldChar w:fldCharType="end"/>
    </w:r>
    <w:r w:rsidR="00BE6391">
      <w:rPr>
        <w:noProof/>
        <w:lang w:eastAsia="nb-NO"/>
      </w:rPr>
      <mc:AlternateContent>
        <mc:Choice Requires="wps">
          <w:drawing>
            <wp:anchor distT="4294967295" distB="4294967295" distL="114300" distR="114300" simplePos="0" relativeHeight="251666432" behindDoc="0" locked="0" layoutInCell="1" allowOverlap="1" wp14:anchorId="49AAD3CC" wp14:editId="398C2070">
              <wp:simplePos x="0" y="0"/>
              <wp:positionH relativeFrom="page">
                <wp:posOffset>720090</wp:posOffset>
              </wp:positionH>
              <wp:positionV relativeFrom="page">
                <wp:posOffset>540384</wp:posOffset>
              </wp:positionV>
              <wp:extent cx="61201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EBD8E9" id="Line 3"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" strokecolor="#7f7f7f"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1110" w14:textId="77777777" w:rsidR="002952CA" w:rsidRPr="002952CA" w:rsidRDefault="002952CA">
    <w:pPr>
      <w:rPr>
        <w:rFonts w:asciiTheme="majorHAnsi" w:hAnsiTheme="majorHAnsi" w:cstheme="majorHAnsi"/>
        <w:sz w:val="16"/>
      </w:rPr>
    </w:pPr>
  </w:p>
  <w:tbl>
    <w:tblPr>
      <w:tblStyle w:val="Tabellrutenett"/>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4061"/>
    </w:tblGrid>
    <w:tr w:rsidR="00BE6391" w14:paraId="30567E56" w14:textId="77777777" w:rsidTr="000232C3">
      <w:tc>
        <w:tcPr>
          <w:tcW w:w="6663" w:type="dxa"/>
        </w:tcPr>
        <w:p w14:paraId="739C6E86" w14:textId="77777777" w:rsidR="00BE6391" w:rsidRDefault="00BE6391" w:rsidP="000232C3">
          <w:pPr>
            <w:pStyle w:val="Topptekst"/>
          </w:pPr>
          <w:r>
            <w:rPr>
              <w:noProof/>
              <w:lang w:eastAsia="nb-NO"/>
            </w:rPr>
            <w:drawing>
              <wp:inline distT="0" distB="0" distL="0" distR="0" wp14:anchorId="4FC52EAB" wp14:editId="5A9C48FC">
                <wp:extent cx="2228622" cy="936000"/>
                <wp:effectExtent l="0" t="0" r="635" b="0"/>
                <wp:docPr id="2" name="logo_hvitbg.png"/>
                <wp:cNvGraphicFramePr/>
                <a:graphic xmlns:a="http://schemas.openxmlformats.org/drawingml/2006/main">
                  <a:graphicData uri="http://schemas.openxmlformats.org/drawingml/2006/picture">
                    <pic:pic xmlns:pic="http://schemas.openxmlformats.org/drawingml/2006/picture">
                      <pic:nvPicPr>
                        <pic:cNvPr id="0" name="logo_hvitbg.png"/>
                        <pic:cNvPicPr/>
                      </pic:nvPicPr>
                      <pic:blipFill rotWithShape="1">
                        <a:blip r:embed="rId1">
                          <a:extLst>
                            <a:ext uri="{28A0092B-C50C-407E-A947-70E740481C1C}">
                              <a14:useLocalDpi xmlns:a14="http://schemas.microsoft.com/office/drawing/2010/main" val="0"/>
                            </a:ext>
                          </a:extLst>
                        </a:blip>
                        <a:srcRect t="12026"/>
                        <a:stretch/>
                      </pic:blipFill>
                      <pic:spPr bwMode="auto">
                        <a:xfrm>
                          <a:off x="0" y="0"/>
                          <a:ext cx="2228622" cy="936000"/>
                        </a:xfrm>
                        <a:prstGeom prst="rect">
                          <a:avLst/>
                        </a:prstGeom>
                        <a:ln>
                          <a:noFill/>
                        </a:ln>
                        <a:extLst>
                          <a:ext uri="{53640926-AAD7-44D8-BBD7-CCE9431645EC}">
                            <a14:shadowObscured xmlns:a14="http://schemas.microsoft.com/office/drawing/2010/main"/>
                          </a:ext>
                        </a:extLst>
                      </pic:spPr>
                    </pic:pic>
                  </a:graphicData>
                </a:graphic>
              </wp:inline>
            </w:drawing>
          </w:r>
        </w:p>
      </w:tc>
      <w:tc>
        <w:tcPr>
          <w:tcW w:w="4141" w:type="dxa"/>
        </w:tcPr>
        <w:p w14:paraId="5348F11B" w14:textId="77777777" w:rsidR="00BE6391" w:rsidRDefault="00BE6391" w:rsidP="000232C3">
          <w:pPr>
            <w:pStyle w:val="Topptekst"/>
          </w:pPr>
        </w:p>
      </w:tc>
    </w:tr>
  </w:tbl>
  <w:p w14:paraId="013987CE" w14:textId="77777777" w:rsidR="00277816" w:rsidRPr="002952CA" w:rsidRDefault="00277816">
    <w:pPr>
      <w:pStyle w:val="Topptekst"/>
      <w:rPr>
        <w:rFonts w:asciiTheme="majorHAnsi" w:hAnsiTheme="majorHAnsi" w:cstheme="majorHAns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49CC"/>
    <w:multiLevelType w:val="hybridMultilevel"/>
    <w:tmpl w:val="121070A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140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9E"/>
    <w:rsid w:val="000414CF"/>
    <w:rsid w:val="0008372E"/>
    <w:rsid w:val="00083ED2"/>
    <w:rsid w:val="000A1394"/>
    <w:rsid w:val="000A6916"/>
    <w:rsid w:val="00135977"/>
    <w:rsid w:val="001562EB"/>
    <w:rsid w:val="001865C9"/>
    <w:rsid w:val="00197E9D"/>
    <w:rsid w:val="001C4145"/>
    <w:rsid w:val="001E2B47"/>
    <w:rsid w:val="00212119"/>
    <w:rsid w:val="00212C8B"/>
    <w:rsid w:val="002612AC"/>
    <w:rsid w:val="00274632"/>
    <w:rsid w:val="00277816"/>
    <w:rsid w:val="002952CA"/>
    <w:rsid w:val="0034263E"/>
    <w:rsid w:val="003E0A9A"/>
    <w:rsid w:val="00452CB6"/>
    <w:rsid w:val="00480522"/>
    <w:rsid w:val="0048155D"/>
    <w:rsid w:val="00496C92"/>
    <w:rsid w:val="004B42D3"/>
    <w:rsid w:val="004C1A36"/>
    <w:rsid w:val="0051549F"/>
    <w:rsid w:val="00524503"/>
    <w:rsid w:val="005A5FAD"/>
    <w:rsid w:val="005C4962"/>
    <w:rsid w:val="005D2249"/>
    <w:rsid w:val="00611AD2"/>
    <w:rsid w:val="00622760"/>
    <w:rsid w:val="00630C10"/>
    <w:rsid w:val="00636941"/>
    <w:rsid w:val="00681389"/>
    <w:rsid w:val="0069429E"/>
    <w:rsid w:val="006F0405"/>
    <w:rsid w:val="006F29B5"/>
    <w:rsid w:val="00774F2B"/>
    <w:rsid w:val="00854519"/>
    <w:rsid w:val="008B0B81"/>
    <w:rsid w:val="008E0EE8"/>
    <w:rsid w:val="00912187"/>
    <w:rsid w:val="00953405"/>
    <w:rsid w:val="00962E39"/>
    <w:rsid w:val="00A00728"/>
    <w:rsid w:val="00A11364"/>
    <w:rsid w:val="00AE09E6"/>
    <w:rsid w:val="00B141ED"/>
    <w:rsid w:val="00B86A40"/>
    <w:rsid w:val="00BB315C"/>
    <w:rsid w:val="00BB780D"/>
    <w:rsid w:val="00BC54FE"/>
    <w:rsid w:val="00BC6FA7"/>
    <w:rsid w:val="00BE6391"/>
    <w:rsid w:val="00C3393E"/>
    <w:rsid w:val="00C756EE"/>
    <w:rsid w:val="00CB2D51"/>
    <w:rsid w:val="00D35113"/>
    <w:rsid w:val="00D41031"/>
    <w:rsid w:val="00D84C6C"/>
    <w:rsid w:val="00D93F81"/>
    <w:rsid w:val="00DB4B28"/>
    <w:rsid w:val="00DB5554"/>
    <w:rsid w:val="00DC5382"/>
    <w:rsid w:val="00DE1B55"/>
    <w:rsid w:val="00E275B1"/>
    <w:rsid w:val="00E644F8"/>
    <w:rsid w:val="00E97827"/>
    <w:rsid w:val="00EC3454"/>
    <w:rsid w:val="00EC7AC2"/>
    <w:rsid w:val="00ED327C"/>
    <w:rsid w:val="00F2189E"/>
    <w:rsid w:val="00F34DDD"/>
    <w:rsid w:val="00F912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FA81"/>
  <w15:docId w15:val="{3CDB3F43-04AD-4A7C-9D6A-168BB7FE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2" w:lineRule="auto"/>
    </w:pPr>
    <w:rPr>
      <w:sz w:val="24"/>
    </w:rPr>
  </w:style>
  <w:style w:type="paragraph" w:styleId="Overskrift1">
    <w:name w:val="heading 1"/>
    <w:basedOn w:val="Normal"/>
    <w:next w:val="Normal"/>
    <w:link w:val="Overskrift1Tegn"/>
    <w:uiPriority w:val="9"/>
    <w:qFormat/>
    <w:pPr>
      <w:keepNext/>
      <w:keepLines/>
      <w:spacing w:after="80"/>
      <w:outlineLvl w:val="0"/>
    </w:pPr>
    <w:rPr>
      <w:rFonts w:asciiTheme="majorHAnsi" w:eastAsiaTheme="majorEastAsia" w:hAnsiTheme="majorHAnsi" w:cstheme="majorBidi"/>
      <w:b/>
      <w:bCs/>
      <w:sz w:val="25"/>
      <w:szCs w:val="28"/>
    </w:rPr>
  </w:style>
  <w:style w:type="paragraph" w:styleId="Overskrift2">
    <w:name w:val="heading 2"/>
    <w:basedOn w:val="Normal"/>
    <w:next w:val="Normal"/>
    <w:link w:val="Overskrift2Tegn"/>
    <w:uiPriority w:val="9"/>
    <w:qFormat/>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qFormat/>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qFormat/>
    <w:pPr>
      <w:keepNext/>
      <w:keepLines/>
      <w:spacing w:before="200"/>
      <w:outlineLvl w:val="3"/>
    </w:pPr>
    <w:rPr>
      <w:rFonts w:asciiTheme="majorHAnsi" w:eastAsiaTheme="majorEastAsia" w:hAnsiTheme="majorHAnsi" w:cstheme="majorBidi"/>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Pr>
      <w:rFonts w:asciiTheme="majorHAnsi" w:hAnsiTheme="majorHAnsi"/>
    </w:rPr>
  </w:style>
  <w:style w:type="paragraph" w:styleId="Hilsen">
    <w:name w:val="Closing"/>
    <w:basedOn w:val="Konvoluttadresse"/>
    <w:link w:val="HilsenTegn"/>
    <w:uiPriority w:val="99"/>
    <w:semiHidden/>
    <w:pPr>
      <w:keepNext/>
      <w:keepLines/>
      <w:tabs>
        <w:tab w:val="left" w:pos="5086"/>
      </w:tabs>
    </w:pPr>
    <w:rPr>
      <w:rFonts w:asciiTheme="minorHAnsi" w:hAnsiTheme="minorHAnsi"/>
    </w:rPr>
  </w:style>
  <w:style w:type="character" w:customStyle="1" w:styleId="HilsenTegn">
    <w:name w:val="Hilsen Tegn"/>
    <w:basedOn w:val="Standardskriftforavsnitt"/>
    <w:link w:val="Hilsen"/>
    <w:uiPriority w:val="99"/>
    <w:semiHidden/>
    <w:rPr>
      <w:sz w:val="24"/>
    </w:rPr>
  </w:style>
  <w:style w:type="paragraph" w:styleId="Brdtekst">
    <w:name w:val="Body Text"/>
    <w:basedOn w:val="Normal"/>
    <w:link w:val="BrdtekstTegn"/>
    <w:uiPriority w:val="99"/>
    <w:semiHidden/>
  </w:style>
  <w:style w:type="character" w:customStyle="1" w:styleId="BrdtekstTegn">
    <w:name w:val="Brødtekst Tegn"/>
    <w:basedOn w:val="Standardskriftforavsnitt"/>
    <w:link w:val="Brdtekst"/>
    <w:uiPriority w:val="99"/>
    <w:semiHidden/>
    <w:rPr>
      <w:sz w:val="24"/>
    </w:rPr>
  </w:style>
  <w:style w:type="paragraph" w:styleId="Tittel">
    <w:name w:val="Title"/>
    <w:basedOn w:val="Normal"/>
    <w:next w:val="Normal"/>
    <w:link w:val="TittelTegn"/>
    <w:uiPriority w:val="10"/>
    <w:semiHidden/>
    <w:qFormat/>
    <w:pPr>
      <w:spacing w:line="240" w:lineRule="auto"/>
      <w:contextualSpacing/>
    </w:pPr>
    <w:rPr>
      <w:rFonts w:asciiTheme="majorHAnsi" w:eastAsiaTheme="majorEastAsia" w:hAnsiTheme="majorHAnsi" w:cstheme="majorBidi"/>
      <w:spacing w:val="5"/>
      <w:kern w:val="28"/>
      <w:sz w:val="52"/>
      <w:szCs w:val="52"/>
    </w:rPr>
  </w:style>
  <w:style w:type="character" w:customStyle="1" w:styleId="TittelTegn">
    <w:name w:val="Tittel Tegn"/>
    <w:basedOn w:val="Standardskriftforavsnitt"/>
    <w:link w:val="Tittel"/>
    <w:uiPriority w:val="10"/>
    <w:semiHidden/>
    <w:rPr>
      <w:rFonts w:asciiTheme="majorHAnsi" w:eastAsiaTheme="majorEastAsia" w:hAnsiTheme="majorHAnsi" w:cstheme="majorBidi"/>
      <w:spacing w:val="5"/>
      <w:kern w:val="28"/>
      <w:sz w:val="52"/>
      <w:szCs w:val="52"/>
    </w:rPr>
  </w:style>
  <w:style w:type="paragraph" w:styleId="Undertittel">
    <w:name w:val="Subtitle"/>
    <w:basedOn w:val="Normal"/>
    <w:next w:val="Normal"/>
    <w:link w:val="UndertittelTegn"/>
    <w:uiPriority w:val="11"/>
    <w:semiHidden/>
    <w:qFormat/>
    <w:pPr>
      <w:numPr>
        <w:ilvl w:val="1"/>
      </w:numPr>
    </w:pPr>
    <w:rPr>
      <w:rFonts w:asciiTheme="majorHAnsi" w:eastAsiaTheme="majorEastAsia" w:hAnsiTheme="majorHAnsi" w:cstheme="majorBidi"/>
      <w:i/>
      <w:iCs/>
      <w:spacing w:val="15"/>
      <w:szCs w:val="24"/>
    </w:rPr>
  </w:style>
  <w:style w:type="character" w:customStyle="1" w:styleId="UndertittelTegn">
    <w:name w:val="Undertittel Tegn"/>
    <w:basedOn w:val="Standardskriftforavsnitt"/>
    <w:link w:val="Undertittel"/>
    <w:uiPriority w:val="11"/>
    <w:semiHidden/>
    <w:rPr>
      <w:rFonts w:asciiTheme="majorHAnsi" w:eastAsiaTheme="majorEastAsia" w:hAnsiTheme="majorHAnsi" w:cstheme="majorBidi"/>
      <w:i/>
      <w:iCs/>
      <w:spacing w:val="15"/>
      <w:sz w:val="24"/>
      <w:szCs w:val="24"/>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sz w:val="25"/>
      <w:szCs w:val="28"/>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bCs/>
      <w:sz w:val="26"/>
      <w:szCs w:val="26"/>
    </w:rPr>
  </w:style>
  <w:style w:type="paragraph" w:styleId="Topptekst">
    <w:name w:val="header"/>
    <w:basedOn w:val="Normal"/>
    <w:link w:val="TopptekstTegn"/>
    <w:uiPriority w:val="99"/>
    <w:semiHidden/>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Pr>
      <w:sz w:val="24"/>
    </w:rPr>
  </w:style>
  <w:style w:type="paragraph" w:styleId="Bunntekst">
    <w:name w:val="footer"/>
    <w:basedOn w:val="Normal"/>
    <w:link w:val="BunntekstTegn"/>
    <w:uiPriority w:val="99"/>
    <w:semiHidden/>
    <w:pPr>
      <w:tabs>
        <w:tab w:val="center" w:pos="4536"/>
        <w:tab w:val="right" w:pos="9072"/>
      </w:tabs>
      <w:spacing w:line="300" w:lineRule="auto"/>
    </w:pPr>
    <w:rPr>
      <w:rFonts w:asciiTheme="majorHAnsi" w:hAnsiTheme="majorHAnsi"/>
      <w:sz w:val="16"/>
    </w:rPr>
  </w:style>
  <w:style w:type="character" w:customStyle="1" w:styleId="BunntekstTegn">
    <w:name w:val="Bunntekst Tegn"/>
    <w:basedOn w:val="Standardskriftforavsnitt"/>
    <w:link w:val="Bunntekst"/>
    <w:uiPriority w:val="99"/>
    <w:semiHidden/>
    <w:rPr>
      <w:rFonts w:asciiTheme="majorHAnsi" w:hAnsiTheme="majorHAnsi"/>
      <w:sz w:val="16"/>
    </w:rPr>
  </w:style>
  <w:style w:type="paragraph" w:styleId="Bobletekst">
    <w:name w:val="Balloon Text"/>
    <w:basedOn w:val="Normal"/>
    <w:link w:val="BobletekstTegn"/>
    <w:uiPriority w:val="99"/>
    <w:semiHidden/>
    <w:unhideWhenUsed/>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table" w:styleId="Tabellrutenett">
    <w:name w:val="Table Grid"/>
    <w:basedOn w:val="Vanligtabell"/>
    <w:uiPriority w:val="5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Pr>
      <w:color w:val="808080"/>
    </w:rPr>
  </w:style>
  <w:style w:type="character" w:styleId="Hyperkobling">
    <w:name w:val="Hyperlink"/>
    <w:basedOn w:val="Standardskriftforavsnitt"/>
    <w:uiPriority w:val="99"/>
    <w:rPr>
      <w:color w:val="0000FF" w:themeColor="hyperlink"/>
      <w:u w:val="single"/>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b/>
      <w:bCs/>
      <w:sz w:val="24"/>
    </w:rPr>
  </w:style>
  <w:style w:type="character" w:customStyle="1" w:styleId="Overskrift4Tegn">
    <w:name w:val="Overskrift 4 Tegn"/>
    <w:basedOn w:val="Standardskriftforavsnitt"/>
    <w:link w:val="Overskrift4"/>
    <w:uiPriority w:val="9"/>
    <w:rPr>
      <w:rFonts w:asciiTheme="majorHAnsi" w:eastAsiaTheme="majorEastAsia" w:hAnsiTheme="majorHAnsi" w:cstheme="majorBidi"/>
      <w:b/>
      <w:bCs/>
      <w:i/>
      <w:iCs/>
      <w:sz w:val="24"/>
    </w:rPr>
  </w:style>
  <w:style w:type="paragraph" w:customStyle="1" w:styleId="Adressefelt">
    <w:name w:val="Adressefelt"/>
    <w:basedOn w:val="Normal"/>
    <w:autoRedefine/>
    <w:qFormat/>
    <w:pPr>
      <w:spacing w:line="240" w:lineRule="auto"/>
    </w:pPr>
    <w:rPr>
      <w:rFonts w:asciiTheme="majorHAnsi" w:hAnsiTheme="majorHAnsi" w:cstheme="majorHAnsi"/>
      <w:sz w:val="21"/>
      <w:szCs w:val="21"/>
    </w:rPr>
  </w:style>
  <w:style w:type="paragraph" w:customStyle="1" w:styleId="Brdtekst1">
    <w:name w:val="Brødtekst1"/>
    <w:basedOn w:val="Normal"/>
    <w:qFormat/>
  </w:style>
  <w:style w:type="paragraph" w:customStyle="1" w:styleId="uoffentlighet">
    <w:name w:val="uoffentlighet"/>
    <w:basedOn w:val="Normal"/>
    <w:qFormat/>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qFormat/>
    <w:rsid w:val="00BE6391"/>
    <w:pPr>
      <w:spacing w:line="276" w:lineRule="auto"/>
    </w:pPr>
    <w:rPr>
      <w:rFonts w:asciiTheme="majorHAnsi" w:hAnsiTheme="majorHAnsi" w:cstheme="majorHAnsi"/>
      <w:b/>
      <w:caps/>
      <w:sz w:val="16"/>
      <w:szCs w:val="16"/>
      <w:lang w:val="nn-NO"/>
    </w:rPr>
  </w:style>
  <w:style w:type="character" w:customStyle="1" w:styleId="TabelloverskriftTegn">
    <w:name w:val="Tabelloverskrift Tegn"/>
    <w:basedOn w:val="Standardskriftforavsnitt"/>
    <w:link w:val="Tabelloverskrift"/>
    <w:rsid w:val="00BE6391"/>
    <w:rPr>
      <w:rFonts w:asciiTheme="majorHAnsi" w:hAnsiTheme="majorHAnsi" w:cstheme="majorHAnsi"/>
      <w:b/>
      <w:caps/>
      <w:sz w:val="16"/>
      <w:szCs w:val="16"/>
      <w:lang w:val="nn-NO"/>
    </w:rPr>
  </w:style>
  <w:style w:type="paragraph" w:customStyle="1" w:styleId="Tabelllinjeto">
    <w:name w:val="Tabelllinjeto"/>
    <w:basedOn w:val="Normal"/>
    <w:link w:val="TabelllinjetoTegn"/>
    <w:qFormat/>
    <w:rsid w:val="00622760"/>
    <w:pPr>
      <w:spacing w:line="240" w:lineRule="auto"/>
    </w:pPr>
    <w:rPr>
      <w:rFonts w:asciiTheme="majorHAnsi" w:hAnsiTheme="majorHAnsi"/>
      <w:sz w:val="18"/>
      <w:szCs w:val="18"/>
      <w:lang w:val="nn-NO"/>
    </w:rPr>
  </w:style>
  <w:style w:type="character" w:customStyle="1" w:styleId="TabelllinjetoTegn">
    <w:name w:val="Tabelllinjeto Tegn"/>
    <w:basedOn w:val="Standardskriftforavsnitt"/>
    <w:link w:val="Tabelllinjeto"/>
    <w:rsid w:val="00622760"/>
    <w:rPr>
      <w:rFonts w:asciiTheme="majorHAnsi" w:hAnsiTheme="majorHAnsi"/>
      <w:sz w:val="18"/>
      <w:szCs w:val="18"/>
      <w:lang w:val="nn-NO"/>
    </w:rPr>
  </w:style>
  <w:style w:type="character" w:customStyle="1" w:styleId="StilLatinOverskrifterArial9pkt">
    <w:name w:val="Stil (Latin) +Overskrifter (Arial) 9 pkt"/>
    <w:basedOn w:val="Standardskriftforavsnitt"/>
    <w:rsid w:val="002952CA"/>
    <w:rPr>
      <w:rFonts w:asciiTheme="majorHAnsi" w:hAnsiTheme="majorHAnsi"/>
      <w:sz w:val="18"/>
    </w:rPr>
  </w:style>
  <w:style w:type="paragraph" w:customStyle="1" w:styleId="Overskrifttabell">
    <w:name w:val="Overskrifttabell"/>
    <w:basedOn w:val="Normal"/>
    <w:link w:val="OverskrifttabellTegn"/>
    <w:qFormat/>
    <w:rsid w:val="002952CA"/>
    <w:pPr>
      <w:spacing w:line="276" w:lineRule="auto"/>
    </w:pPr>
    <w:rPr>
      <w:rFonts w:ascii="Arial" w:hAnsi="Arial" w:cstheme="majorHAnsi"/>
      <w:b/>
      <w:caps/>
      <w:sz w:val="16"/>
      <w:szCs w:val="16"/>
    </w:rPr>
  </w:style>
  <w:style w:type="character" w:customStyle="1" w:styleId="OverskrifttabellTegn">
    <w:name w:val="Overskrifttabell Tegn"/>
    <w:basedOn w:val="Standardskriftforavsnitt"/>
    <w:link w:val="Overskrifttabell"/>
    <w:rsid w:val="002952CA"/>
    <w:rPr>
      <w:rFonts w:ascii="Arial" w:hAnsi="Arial" w:cstheme="majorHAnsi"/>
      <w:b/>
      <w:caps/>
      <w:sz w:val="16"/>
      <w:szCs w:val="16"/>
    </w:rPr>
  </w:style>
  <w:style w:type="paragraph" w:customStyle="1" w:styleId="12k-arial11">
    <w:name w:val="12k-arial11"/>
    <w:basedOn w:val="Normal"/>
    <w:rsid w:val="00DB5554"/>
    <w:pPr>
      <w:spacing w:line="240" w:lineRule="auto"/>
    </w:pPr>
    <w:rPr>
      <w:rFonts w:ascii="Arial" w:eastAsia="Times New Roman" w:hAnsi="Arial" w:cs="Times New Roman"/>
      <w:sz w:val="22"/>
      <w:szCs w:val="20"/>
      <w:lang w:eastAsia="nb-NO"/>
    </w:rPr>
  </w:style>
  <w:style w:type="table" w:styleId="Vanligtabell1">
    <w:name w:val="Plain Table 1"/>
    <w:basedOn w:val="Vanligtabell"/>
    <w:uiPriority w:val="41"/>
    <w:rsid w:val="00E644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tnotetekst">
    <w:name w:val="footnote text"/>
    <w:aliases w:val="Footnote Text Char Char,Footnote,Fußnote,FSR footnote,lábléc"/>
    <w:basedOn w:val="Normal"/>
    <w:link w:val="FotnotetekstTegn"/>
    <w:uiPriority w:val="99"/>
    <w:rsid w:val="00E644F8"/>
    <w:pPr>
      <w:spacing w:line="240" w:lineRule="auto"/>
    </w:pPr>
    <w:rPr>
      <w:sz w:val="20"/>
      <w:szCs w:val="20"/>
    </w:rPr>
  </w:style>
  <w:style w:type="character" w:customStyle="1" w:styleId="FotnotetekstTegn">
    <w:name w:val="Fotnotetekst Tegn"/>
    <w:aliases w:val="Footnote Text Char Char Tegn,Footnote Tegn,Fußnote Tegn,FSR footnote Tegn,lábléc Tegn"/>
    <w:basedOn w:val="Standardskriftforavsnitt"/>
    <w:link w:val="Fotnotetekst"/>
    <w:uiPriority w:val="99"/>
    <w:rsid w:val="00E644F8"/>
    <w:rPr>
      <w:sz w:val="20"/>
      <w:szCs w:val="20"/>
    </w:rPr>
  </w:style>
  <w:style w:type="character" w:styleId="Fotnotereferanse">
    <w:name w:val="footnote reference"/>
    <w:basedOn w:val="Standardskriftforavsnitt"/>
    <w:uiPriority w:val="99"/>
    <w:semiHidden/>
    <w:rsid w:val="00E644F8"/>
    <w:rPr>
      <w:vertAlign w:val="superscript"/>
    </w:rPr>
  </w:style>
  <w:style w:type="paragraph" w:styleId="Listeavsnitt">
    <w:name w:val="List Paragraph"/>
    <w:basedOn w:val="Normal"/>
    <w:uiPriority w:val="34"/>
    <w:qFormat/>
    <w:rsid w:val="00E64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ssb.no/jord-skog-jakt-og-fiskeri/landbrukseiendommer/statistikk/overdragelser-av-landbrukseiendommer" TargetMode="External"/><Relationship Id="rId2" Type="http://schemas.openxmlformats.org/officeDocument/2006/relationships/hyperlink" Target="https://www.ssb.no/bygg-bolig-og-eiendom/eiendom/statistikk/eiendomsomsetning" TargetMode="External"/><Relationship Id="rId1" Type="http://schemas.openxmlformats.org/officeDocument/2006/relationships/hyperlink" Target="https://www.ssb.no/jord-skog-jakt-og-fiskeri/landbrukseiendommer/statistikk/overdragelser-av-landbrukseiendomm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he\OneDrive%20-%20Finanstilsynet\Dokumenter\Dep.-oppdrag%20n&#230;ringseiendom\Landbruk%202024\Brev%20bokm&#229;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rhe\Downloads\08999_20240213-1454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'Ark2'!$B$3</c:f>
              <c:strCache>
                <c:ptCount val="1"/>
                <c:pt idx="0">
                  <c:v>Gjennomsnittlig kjøpesum for tinglyste omsetninger av landbrukseiendommer i fritt salg (kr., venstre akse)</c:v>
                </c:pt>
              </c:strCache>
            </c:strRef>
          </c:tx>
          <c:spPr>
            <a:ln w="28575" cap="rnd">
              <a:solidFill>
                <a:schemeClr val="tx2"/>
              </a:solidFill>
              <a:round/>
            </a:ln>
            <a:effectLst/>
          </c:spPr>
          <c:marker>
            <c:symbol val="none"/>
          </c:marker>
          <c:cat>
            <c:strRef>
              <c:f>'Ark2'!$C$1:$R$1</c:f>
              <c:strCache>
                <c:ptCount val="16"/>
                <c:pt idx="0">
                  <c:v>2006</c:v>
                </c:pt>
                <c:pt idx="1">
                  <c:v>2007</c:v>
                </c:pt>
                <c:pt idx="2">
                  <c:v>2008</c:v>
                </c:pt>
                <c:pt idx="3">
                  <c:v>2009</c:v>
                </c:pt>
                <c:pt idx="4">
                  <c:v>2010</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'Ark2'!$C$3:$R$3</c:f>
              <c:numCache>
                <c:formatCode>0</c:formatCode>
                <c:ptCount val="16"/>
                <c:pt idx="0">
                  <c:v>1350444.4444444445</c:v>
                </c:pt>
                <c:pt idx="1">
                  <c:v>1427432.3333333333</c:v>
                </c:pt>
                <c:pt idx="2">
                  <c:v>1513944.4444444445</c:v>
                </c:pt>
                <c:pt idx="3">
                  <c:v>1526190.1666666667</c:v>
                </c:pt>
                <c:pt idx="4">
                  <c:v>1521250.0555555555</c:v>
                </c:pt>
                <c:pt idx="5">
                  <c:v>1934111.111111111</c:v>
                </c:pt>
                <c:pt idx="6">
                  <c:v>2060944.4444444445</c:v>
                </c:pt>
                <c:pt idx="7">
                  <c:v>2078666.6666666667</c:v>
                </c:pt>
                <c:pt idx="8">
                  <c:v>2291611.111111111</c:v>
                </c:pt>
                <c:pt idx="9">
                  <c:v>2414333.3333333335</c:v>
                </c:pt>
                <c:pt idx="10">
                  <c:v>2564833.3333333335</c:v>
                </c:pt>
                <c:pt idx="11">
                  <c:v>2757235.2941176472</c:v>
                </c:pt>
                <c:pt idx="12">
                  <c:v>2818176.4705882352</c:v>
                </c:pt>
                <c:pt idx="13">
                  <c:v>2935700</c:v>
                </c:pt>
                <c:pt idx="14">
                  <c:v>3130400</c:v>
                </c:pt>
                <c:pt idx="15">
                  <c:v>3471600</c:v>
                </c:pt>
              </c:numCache>
            </c:numRef>
          </c:val>
          <c:smooth val="0"/>
          <c:extLst>
            <c:ext xmlns:c16="http://schemas.microsoft.com/office/drawing/2014/chart" uri="{C3380CC4-5D6E-409C-BE32-E72D297353CC}">
              <c16:uniqueId val="{00000000-80B7-4A5F-A041-28004625F76A}"/>
            </c:ext>
          </c:extLst>
        </c:ser>
        <c:dLbls>
          <c:showLegendKey val="0"/>
          <c:showVal val="0"/>
          <c:showCatName val="0"/>
          <c:showSerName val="0"/>
          <c:showPercent val="0"/>
          <c:showBubbleSize val="0"/>
        </c:dLbls>
        <c:marker val="1"/>
        <c:smooth val="0"/>
        <c:axId val="839472960"/>
        <c:axId val="839474400"/>
      </c:lineChart>
      <c:lineChart>
        <c:grouping val="standard"/>
        <c:varyColors val="0"/>
        <c:ser>
          <c:idx val="0"/>
          <c:order val="0"/>
          <c:tx>
            <c:strRef>
              <c:f>'Ark2'!$B$2</c:f>
              <c:strCache>
                <c:ptCount val="1"/>
                <c:pt idx="0">
                  <c:v>Antall tinglyste omsetninger av landbrukseiendommer i fritt salg (høyre akse)</c:v>
                </c:pt>
              </c:strCache>
            </c:strRef>
          </c:tx>
          <c:spPr>
            <a:ln w="28575" cap="sq">
              <a:solidFill>
                <a:schemeClr val="tx2"/>
              </a:solidFill>
              <a:prstDash val="sysDash"/>
              <a:round/>
            </a:ln>
            <a:effectLst/>
          </c:spPr>
          <c:marker>
            <c:symbol val="none"/>
          </c:marker>
          <c:cat>
            <c:strRef>
              <c:f>'Ark2'!$C$1:$R$1</c:f>
              <c:strCache>
                <c:ptCount val="16"/>
                <c:pt idx="0">
                  <c:v>2006</c:v>
                </c:pt>
                <c:pt idx="1">
                  <c:v>2007</c:v>
                </c:pt>
                <c:pt idx="2">
                  <c:v>2008</c:v>
                </c:pt>
                <c:pt idx="3">
                  <c:v>2009</c:v>
                </c:pt>
                <c:pt idx="4">
                  <c:v>2010</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'Ark2'!$C$2:$R$2</c:f>
              <c:numCache>
                <c:formatCode>0</c:formatCode>
                <c:ptCount val="16"/>
                <c:pt idx="0">
                  <c:v>2747</c:v>
                </c:pt>
                <c:pt idx="1">
                  <c:v>2570</c:v>
                </c:pt>
                <c:pt idx="2">
                  <c:v>2475</c:v>
                </c:pt>
                <c:pt idx="3">
                  <c:v>2475</c:v>
                </c:pt>
                <c:pt idx="4">
                  <c:v>2610</c:v>
                </c:pt>
                <c:pt idx="5">
                  <c:v>2752</c:v>
                </c:pt>
                <c:pt idx="6">
                  <c:v>2725</c:v>
                </c:pt>
                <c:pt idx="7">
                  <c:v>2826</c:v>
                </c:pt>
                <c:pt idx="8">
                  <c:v>2792</c:v>
                </c:pt>
                <c:pt idx="9">
                  <c:v>2840</c:v>
                </c:pt>
                <c:pt idx="10">
                  <c:v>2871</c:v>
                </c:pt>
                <c:pt idx="11">
                  <c:v>2768</c:v>
                </c:pt>
                <c:pt idx="12">
                  <c:v>2821</c:v>
                </c:pt>
                <c:pt idx="13">
                  <c:v>2856</c:v>
                </c:pt>
                <c:pt idx="14">
                  <c:v>2531</c:v>
                </c:pt>
                <c:pt idx="15">
                  <c:v>2476</c:v>
                </c:pt>
              </c:numCache>
            </c:numRef>
          </c:val>
          <c:smooth val="0"/>
          <c:extLst>
            <c:ext xmlns:c16="http://schemas.microsoft.com/office/drawing/2014/chart" uri="{C3380CC4-5D6E-409C-BE32-E72D297353CC}">
              <c16:uniqueId val="{00000001-80B7-4A5F-A041-28004625F76A}"/>
            </c:ext>
          </c:extLst>
        </c:ser>
        <c:dLbls>
          <c:showLegendKey val="0"/>
          <c:showVal val="0"/>
          <c:showCatName val="0"/>
          <c:showSerName val="0"/>
          <c:showPercent val="0"/>
          <c:showBubbleSize val="0"/>
        </c:dLbls>
        <c:marker val="1"/>
        <c:smooth val="0"/>
        <c:axId val="845647624"/>
        <c:axId val="845645104"/>
      </c:lineChart>
      <c:catAx>
        <c:axId val="8394729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39474400"/>
        <c:crosses val="autoZero"/>
        <c:auto val="1"/>
        <c:lblAlgn val="ctr"/>
        <c:lblOffset val="100"/>
        <c:noMultiLvlLbl val="0"/>
      </c:catAx>
      <c:valAx>
        <c:axId val="839474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39472960"/>
        <c:crosses val="autoZero"/>
        <c:crossBetween val="between"/>
      </c:valAx>
      <c:valAx>
        <c:axId val="845645104"/>
        <c:scaling>
          <c:orientation val="minMax"/>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45647624"/>
        <c:crosses val="max"/>
        <c:crossBetween val="between"/>
      </c:valAx>
      <c:catAx>
        <c:axId val="845647624"/>
        <c:scaling>
          <c:orientation val="minMax"/>
        </c:scaling>
        <c:delete val="1"/>
        <c:axPos val="b"/>
        <c:numFmt formatCode="General" sourceLinked="1"/>
        <c:majorTickMark val="out"/>
        <c:minorTickMark val="none"/>
        <c:tickLblPos val="nextTo"/>
        <c:crossAx val="8456451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C6A74BC067424598104CC753F80345"/>
        <w:category>
          <w:name w:val="Generelt"/>
          <w:gallery w:val="placeholder"/>
        </w:category>
        <w:types>
          <w:type w:val="bbPlcHdr"/>
        </w:types>
        <w:behaviors>
          <w:behavior w:val="content"/>
        </w:behaviors>
        <w:guid w:val="{28A8B5BE-6EB6-48B6-81F8-71E278968A4A}"/>
      </w:docPartPr>
      <w:docPartBody>
        <w:p w:rsidR="005A4EAE" w:rsidRDefault="00407E78">
          <w:r w:rsidRPr="008B0B81">
            <w:t>[Overskrift]</w:t>
          </w:r>
        </w:p>
      </w:docPartBody>
    </w:docPart>
    <w:docPart>
      <w:docPartPr>
        <w:name w:val="47E07AF91D484D75BFA69542025704A3"/>
        <w:category>
          <w:name w:val="Generelt"/>
          <w:gallery w:val="placeholder"/>
        </w:category>
        <w:types>
          <w:type w:val="bbPlcHdr"/>
        </w:types>
        <w:behaviors>
          <w:behavior w:val="content"/>
        </w:behaviors>
        <w:guid w:val="{9A8BBEB4-69D3-417E-8227-AF7A6E518616}"/>
      </w:docPartPr>
      <w:docPartBody>
        <w:p w:rsidR="005A4EAE" w:rsidRDefault="00407E78">
          <w:r w:rsidRPr="00D93F81">
            <w:t>[tittel]</w:t>
          </w:r>
        </w:p>
      </w:docPartBody>
    </w:docPart>
    <w:docPart>
      <w:docPartPr>
        <w:name w:val="1C7D12EF599C48A7B940600D70E39D9B"/>
        <w:category>
          <w:name w:val="Generelt"/>
          <w:gallery w:val="placeholder"/>
        </w:category>
        <w:types>
          <w:type w:val="bbPlcHdr"/>
        </w:types>
        <w:behaviors>
          <w:behavior w:val="content"/>
        </w:behaviors>
        <w:guid w:val="{554E0117-5EC1-4CCB-A4BF-2C95D2E8D36E}"/>
      </w:docPartPr>
      <w:docPartBody>
        <w:p w:rsidR="005A4EAE" w:rsidRDefault="00407E78">
          <w:r>
            <w:t xml:space="preserve">     </w:t>
          </w:r>
        </w:p>
      </w:docPartBody>
    </w:docPart>
    <w:docPart>
      <w:docPartPr>
        <w:name w:val="C46A34DDDEC4402DB27F9BA6CFE7EEF7"/>
        <w:category>
          <w:name w:val="Generelt"/>
          <w:gallery w:val="placeholder"/>
        </w:category>
        <w:types>
          <w:type w:val="bbPlcHdr"/>
        </w:types>
        <w:behaviors>
          <w:behavior w:val="content"/>
        </w:behaviors>
        <w:guid w:val="{51E5199F-4622-4B1D-98D2-08E674BDDBF7}"/>
      </w:docPartPr>
      <w:docPartBody>
        <w:p w:rsidR="005A4EAE" w:rsidRDefault="00407E78">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14"/>
    <w:rsid w:val="00014DCE"/>
    <w:rsid w:val="00407E78"/>
    <w:rsid w:val="005A4EAE"/>
    <w:rsid w:val="007D7C14"/>
    <w:rsid w:val="00BA56E9"/>
    <w:rsid w:val="00DB195B"/>
    <w:rsid w:val="00E849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07E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nanstilsyn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properties>
    <mutualMergeSupport>False</mutualMergeSupport>
    <mergeMode>MergeOne</mergeMode>
    <templateURI>docx</templateURI>
    <showHiddenMark>False</showHiddenMark>
    <websakInfo>
      <fletteDato>29.02.2024</fletteDato>
      <sakid>2021043760</sakid>
      <jpid>2021207059</jpid>
      <filUnique/>
      <filChecksumFørFlett/>
      <erHoveddokument>False</erHoveddokument>
      <dcTitle>Kapitalkrav for landbrukseiendomslån</dcTitle>
    </websakInfo>
    <docs>
      <doc>
        <Sdm_att/>
        <Sdm_AMNavn>Finansdepartementet</Sdm_AMNavn>
        <sdm_watermark/>
        <sdm_sdfid>1735227</sdm_sdfid>
        <Sdm_Land/>
        <Sdm_Adr3/>
        <Sdm_AMReferanse/>
        <Sdm_AMAdr2/>
        <Sdm_AMPostNr>0030</Sdm_AMPostNr>
        <Sdm_AMAdr>Postboks 8008 Dep</Sdm_AMAdr>
        <Sdm_AMPoststed>OSLO</Sdm_AMPoststed>
      </doc>
    </docs>
    <language/>
  </properties>
  <body>
    <Sdm_AMAdr2/>
    <Sdo_DokDato>29.02.2024</Sdo_DokDato>
    <Sdm_AMAdr>Postboks 8008 Dep</Sdm_AMAdr>
    <Sbr_Navn>Håkon Rysst Heilmann</Sbr_Navn>
    <Sdm_AMPostNr>0030</Sdm_AMPostNr>
    <sas_arkivsakID>23/14350</sas_arkivsakID>
    <Sdm_Land/>
    <Sdm_Adr3> </Sdm_Adr3>
    <Sdo_Tittel>Kapitalkrav for landbrukseiendomslån</Sdo_Tittel>
    <Sdm_AMPoststed>OSLO</Sdm_AMPoststed>
    <Spg_Beskrivelse/>
    <Sdm_att/>
    <Sbr_Tittel>tilsynsrådgiver</Sbr_Tittel>
    <Sdm_AMReferanse/>
    <TblkopiTil>
      <table>
        <headers>
          <header>Sdk_Navn</header>
        </headers>
        <row>
          <cell/>
        </row>
      </table>
    </TblkopiTil>
    <Sdm_AMNavn>Finansdepartementet</Sdm_AMNavn>
    <Sgr_Beskrivelse/>
  </body>
  <footer>
    <Sbr_Tlf>22 93 96 28</Sbr_Tlf>
  </footer>
</document>
</file>

<file path=customXml/itemProps1.xml><?xml version="1.0" encoding="utf-8"?>
<ds:datastoreItem xmlns:ds="http://schemas.openxmlformats.org/officeDocument/2006/customXml" ds:itemID="{521292EA-7470-4CC1-BE77-507AB39D7E9F}">
  <ds:schemaRefs/>
</ds:datastoreItem>
</file>

<file path=docProps/app.xml><?xml version="1.0" encoding="utf-8"?>
<Properties xmlns="http://schemas.openxmlformats.org/officeDocument/2006/extended-properties" xmlns:vt="http://schemas.openxmlformats.org/officeDocument/2006/docPropsVTypes">
  <Template>Brev bokmål</Template>
  <TotalTime>1</TotalTime>
  <Pages>7</Pages>
  <Words>2344</Words>
  <Characters>12428</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Kapitalkrav for landbrukseiendomslån</dc:title>
  <dc:creator>Tho Tormod Fauske</dc:creator>
  <dc:description/>
  <cp:lastModifiedBy>Boone Zarah</cp:lastModifiedBy>
  <cp:revision>3</cp:revision>
  <dcterms:created xsi:type="dcterms:W3CDTF">2024-03-04T17:05:00Z</dcterms:created>
  <dcterms:modified xsi:type="dcterms:W3CDTF">2024-03-05T14:46:00Z</dcterms:modified>
</cp:coreProperties>
</file>