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DD27" w14:textId="77777777" w:rsidR="00813DF9" w:rsidRPr="00813DF9" w:rsidRDefault="00813DF9" w:rsidP="00813DF9">
      <w:pPr>
        <w:keepNext/>
        <w:keepLines/>
        <w:spacing w:before="200" w:line="252" w:lineRule="auto"/>
        <w:outlineLvl w:val="1"/>
        <w:rPr>
          <w:rFonts w:eastAsia="Times New Roman" w:cs="Times New Roman"/>
          <w:b/>
          <w:bCs/>
          <w:color w:val="auto"/>
          <w:kern w:val="0"/>
          <w:sz w:val="26"/>
          <w:szCs w:val="26"/>
          <w14:ligatures w14:val="none"/>
        </w:rPr>
      </w:pPr>
      <w:r w:rsidRPr="00813DF9">
        <w:rPr>
          <w:rFonts w:eastAsia="Times New Roman" w:cs="Times New Roman"/>
          <w:b/>
          <w:bCs/>
          <w:color w:val="auto"/>
          <w:kern w:val="0"/>
          <w:sz w:val="26"/>
          <w:szCs w:val="26"/>
          <w14:ligatures w14:val="none"/>
        </w:rPr>
        <w:t>Vedlegg 1: Utkast til forskriftsendringer</w:t>
      </w:r>
    </w:p>
    <w:p w14:paraId="18370041" w14:textId="77777777" w:rsidR="00813DF9" w:rsidRPr="00813DF9" w:rsidRDefault="00813DF9" w:rsidP="00813DF9">
      <w:pPr>
        <w:spacing w:line="252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 w:rsidRPr="00813DF9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br/>
        <w:t>I forskrift 22. august 2014 om kapitalkrav og nasjonal tilpasning av CRR/CRD IV (CRR/CRD IV-forskriften) gjøres følgende endringer:</w:t>
      </w:r>
    </w:p>
    <w:p w14:paraId="11118459" w14:textId="77777777" w:rsidR="00813DF9" w:rsidRPr="00813DF9" w:rsidRDefault="00813DF9" w:rsidP="00813DF9">
      <w:pPr>
        <w:spacing w:line="252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813DF9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br/>
        <w:t xml:space="preserve">§ 6 første ledd skal lyde: </w:t>
      </w:r>
    </w:p>
    <w:p w14:paraId="39DBE232" w14:textId="680F0FCA" w:rsidR="001D6512" w:rsidRDefault="00813DF9" w:rsidP="00813DF9">
      <w:r w:rsidRPr="00813DF9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br/>
        <w:t xml:space="preserve">Det skal ikke tas hensyn til pantesikkerhet i næringseiendom ved fastsettelse av risikovekt etter CRR artikkel 124(2), </w:t>
      </w:r>
      <w:r w:rsidRPr="00813DF9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14:ligatures w14:val="none"/>
        </w:rPr>
        <w:t>med unntak for utlån sikret med pant i landbrukseiendom</w:t>
      </w:r>
      <w:r w:rsidRPr="00813DF9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. Engasjementer med pantesikkerhet i næringseiendom i annen EØS-stat kan gis den risikovekt som vedkommende nasjonale myndigheter tillater for slike engasjementer.</w:t>
      </w:r>
    </w:p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82B6" w14:textId="77777777" w:rsidR="0091413E" w:rsidRDefault="0091413E" w:rsidP="009B113F">
      <w:pPr>
        <w:spacing w:line="240" w:lineRule="auto"/>
      </w:pPr>
      <w:r>
        <w:separator/>
      </w:r>
    </w:p>
  </w:endnote>
  <w:endnote w:type="continuationSeparator" w:id="0">
    <w:p w14:paraId="48FF070F" w14:textId="77777777" w:rsidR="0091413E" w:rsidRDefault="0091413E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845A" w14:textId="77777777" w:rsidR="0091413E" w:rsidRDefault="0091413E" w:rsidP="009B113F">
      <w:pPr>
        <w:spacing w:line="240" w:lineRule="auto"/>
      </w:pPr>
      <w:r>
        <w:separator/>
      </w:r>
    </w:p>
  </w:footnote>
  <w:footnote w:type="continuationSeparator" w:id="0">
    <w:p w14:paraId="5F8B3204" w14:textId="77777777" w:rsidR="0091413E" w:rsidRDefault="0091413E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89641">
    <w:abstractNumId w:val="0"/>
  </w:num>
  <w:num w:numId="2" w16cid:durableId="81337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F9"/>
    <w:rsid w:val="00080BFD"/>
    <w:rsid w:val="001D6512"/>
    <w:rsid w:val="002416B8"/>
    <w:rsid w:val="00247C16"/>
    <w:rsid w:val="0028070C"/>
    <w:rsid w:val="00604331"/>
    <w:rsid w:val="00813DF9"/>
    <w:rsid w:val="0091413E"/>
    <w:rsid w:val="009B113F"/>
    <w:rsid w:val="00A91875"/>
    <w:rsid w:val="00B24048"/>
    <w:rsid w:val="00B60103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C0624"/>
  <w15:chartTrackingRefBased/>
  <w15:docId w15:val="{76FABCFA-542B-483A-A3C8-23C5A846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 Zarah</dc:creator>
  <cp:keywords/>
  <dc:description/>
  <cp:lastModifiedBy>Boone Zarah</cp:lastModifiedBy>
  <cp:revision>1</cp:revision>
  <dcterms:created xsi:type="dcterms:W3CDTF">2024-03-05T14:45:00Z</dcterms:created>
  <dcterms:modified xsi:type="dcterms:W3CDTF">2024-03-05T14:46:00Z</dcterms:modified>
</cp:coreProperties>
</file>