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85E7D" w14:textId="374CE610" w:rsidR="001E54D7" w:rsidRPr="00F33E91" w:rsidRDefault="009348CE" w:rsidP="001E54D7">
      <w:pPr>
        <w:keepNext/>
        <w:spacing w:before="240" w:after="60"/>
        <w:jc w:val="both"/>
        <w:outlineLvl w:val="0"/>
        <w:rPr>
          <w:rFonts w:ascii="Arial" w:eastAsia="Times New Roman" w:hAnsi="Arial" w:cs="Raavi"/>
          <w:b/>
          <w:bCs/>
          <w:color w:val="003399"/>
          <w:kern w:val="32"/>
          <w:sz w:val="28"/>
          <w:szCs w:val="28"/>
          <w:lang w:eastAsia="de-DE" w:bidi="pa-IN"/>
        </w:rPr>
      </w:pPr>
      <w:r>
        <w:rPr>
          <w:rFonts w:ascii="Arial" w:eastAsia="Times New Roman" w:hAnsi="Arial" w:cs="Raavi"/>
          <w:b/>
          <w:bCs/>
          <w:color w:val="003399"/>
          <w:kern w:val="32"/>
          <w:sz w:val="28"/>
          <w:szCs w:val="28"/>
          <w:lang w:eastAsia="de-DE" w:bidi="pa-IN"/>
        </w:rPr>
        <w:t>Notification t</w:t>
      </w:r>
      <w:r w:rsidR="00AB4888" w:rsidRPr="00F33E91">
        <w:rPr>
          <w:rFonts w:ascii="Arial" w:eastAsia="Times New Roman" w:hAnsi="Arial" w:cs="Raavi"/>
          <w:b/>
          <w:bCs/>
          <w:color w:val="003399"/>
          <w:kern w:val="32"/>
          <w:sz w:val="28"/>
          <w:szCs w:val="28"/>
          <w:lang w:eastAsia="de-DE" w:bidi="pa-IN"/>
        </w:rPr>
        <w:t xml:space="preserve">emplate for Article 124 </w:t>
      </w:r>
      <w:r w:rsidR="00D837FE">
        <w:rPr>
          <w:rFonts w:ascii="Arial" w:eastAsia="Times New Roman" w:hAnsi="Arial" w:cs="Raavi"/>
          <w:b/>
          <w:bCs/>
          <w:color w:val="003399"/>
          <w:kern w:val="32"/>
          <w:sz w:val="28"/>
          <w:szCs w:val="28"/>
          <w:lang w:eastAsia="de-DE" w:bidi="pa-IN"/>
        </w:rPr>
        <w:t xml:space="preserve">of the </w:t>
      </w:r>
      <w:r w:rsidR="00D837FE" w:rsidRPr="00D837FE">
        <w:rPr>
          <w:rFonts w:ascii="Arial" w:eastAsia="Times New Roman" w:hAnsi="Arial" w:cs="Raavi"/>
          <w:b/>
          <w:bCs/>
          <w:color w:val="003399"/>
          <w:kern w:val="32"/>
          <w:sz w:val="28"/>
          <w:szCs w:val="28"/>
          <w:lang w:eastAsia="de-DE" w:bidi="pa-IN"/>
        </w:rPr>
        <w:t>Capital Requirements Regulation (</w:t>
      </w:r>
      <w:r w:rsidR="00AB4888" w:rsidRPr="00F33E91">
        <w:rPr>
          <w:rFonts w:ascii="Arial" w:eastAsia="Times New Roman" w:hAnsi="Arial" w:cs="Raavi"/>
          <w:b/>
          <w:bCs/>
          <w:color w:val="003399"/>
          <w:kern w:val="32"/>
          <w:sz w:val="28"/>
          <w:szCs w:val="28"/>
          <w:lang w:eastAsia="de-DE" w:bidi="pa-IN"/>
        </w:rPr>
        <w:t>CRR</w:t>
      </w:r>
      <w:r w:rsidR="00D837FE">
        <w:rPr>
          <w:rFonts w:ascii="Arial" w:eastAsia="Times New Roman" w:hAnsi="Arial" w:cs="Raavi"/>
          <w:b/>
          <w:bCs/>
          <w:color w:val="003399"/>
          <w:kern w:val="32"/>
          <w:sz w:val="28"/>
          <w:szCs w:val="28"/>
          <w:lang w:eastAsia="de-DE" w:bidi="pa-IN"/>
        </w:rPr>
        <w:t>)</w:t>
      </w:r>
      <w:r w:rsidR="00F81657">
        <w:rPr>
          <w:rFonts w:ascii="Arial" w:eastAsia="Times New Roman" w:hAnsi="Arial" w:cs="Raavi"/>
          <w:b/>
          <w:bCs/>
          <w:color w:val="003399"/>
          <w:kern w:val="32"/>
          <w:sz w:val="28"/>
          <w:szCs w:val="28"/>
          <w:lang w:eastAsia="de-DE" w:bidi="pa-IN"/>
        </w:rPr>
        <w:t xml:space="preserve"> – Risk Weights</w:t>
      </w:r>
    </w:p>
    <w:p w14:paraId="396DD074" w14:textId="1FB36C38" w:rsidR="001E54D7" w:rsidRPr="00312888" w:rsidRDefault="00AB4888">
      <w:pPr>
        <w:rPr>
          <w:rFonts w:ascii="Arial" w:hAnsi="Arial" w:cs="Arial"/>
          <w:b/>
        </w:rPr>
      </w:pPr>
      <w:r w:rsidRPr="00312888">
        <w:rPr>
          <w:rFonts w:ascii="Arial" w:hAnsi="Arial" w:cs="Arial"/>
          <w:b/>
        </w:rPr>
        <w:t xml:space="preserve">Template </w:t>
      </w:r>
      <w:r w:rsidR="00E27C78" w:rsidRPr="00312888">
        <w:rPr>
          <w:rFonts w:ascii="Arial" w:hAnsi="Arial" w:cs="Arial"/>
          <w:b/>
        </w:rPr>
        <w:t xml:space="preserve">for </w:t>
      </w:r>
      <w:r w:rsidRPr="00312888">
        <w:rPr>
          <w:rFonts w:ascii="Arial" w:hAnsi="Arial" w:cs="Arial"/>
          <w:b/>
        </w:rPr>
        <w:t xml:space="preserve">notifying </w:t>
      </w:r>
      <w:r w:rsidR="00D837FE">
        <w:rPr>
          <w:rFonts w:ascii="Arial" w:hAnsi="Arial" w:cs="Arial"/>
          <w:b/>
        </w:rPr>
        <w:t xml:space="preserve">the </w:t>
      </w:r>
      <w:r w:rsidR="00D837FE" w:rsidRPr="00D837FE">
        <w:rPr>
          <w:rFonts w:ascii="Arial" w:hAnsi="Arial" w:cs="Arial"/>
          <w:b/>
        </w:rPr>
        <w:t>European Banking Authority (</w:t>
      </w:r>
      <w:r w:rsidR="00A25A09" w:rsidRPr="00312888">
        <w:rPr>
          <w:rFonts w:ascii="Arial" w:hAnsi="Arial" w:cs="Arial"/>
          <w:b/>
        </w:rPr>
        <w:t>EBA</w:t>
      </w:r>
      <w:r w:rsidR="00D837FE">
        <w:rPr>
          <w:rFonts w:ascii="Arial" w:hAnsi="Arial" w:cs="Arial"/>
          <w:b/>
        </w:rPr>
        <w:t>)</w:t>
      </w:r>
      <w:r w:rsidR="00A25A09">
        <w:rPr>
          <w:rFonts w:ascii="Arial" w:hAnsi="Arial" w:cs="Arial"/>
          <w:b/>
        </w:rPr>
        <w:t>,</w:t>
      </w:r>
      <w:r w:rsidR="00A25A09" w:rsidRPr="00312888">
        <w:rPr>
          <w:rFonts w:ascii="Arial" w:hAnsi="Arial" w:cs="Arial"/>
          <w:b/>
        </w:rPr>
        <w:t xml:space="preserve"> </w:t>
      </w:r>
      <w:r w:rsidR="00D837FE">
        <w:rPr>
          <w:rFonts w:ascii="Arial" w:hAnsi="Arial" w:cs="Arial"/>
          <w:b/>
        </w:rPr>
        <w:t>European Central Bank (</w:t>
      </w:r>
      <w:r w:rsidRPr="00312888">
        <w:rPr>
          <w:rFonts w:ascii="Arial" w:hAnsi="Arial" w:cs="Arial"/>
          <w:b/>
        </w:rPr>
        <w:t>ECB</w:t>
      </w:r>
      <w:r w:rsidR="00D837FE">
        <w:rPr>
          <w:rFonts w:ascii="Arial" w:hAnsi="Arial" w:cs="Arial"/>
          <w:b/>
        </w:rPr>
        <w:t>)</w:t>
      </w:r>
      <w:r w:rsidRPr="00312888">
        <w:rPr>
          <w:rFonts w:ascii="Arial" w:hAnsi="Arial" w:cs="Arial"/>
          <w:b/>
        </w:rPr>
        <w:t xml:space="preserve"> and </w:t>
      </w:r>
      <w:r w:rsidR="00D837FE" w:rsidRPr="00D837FE">
        <w:rPr>
          <w:rFonts w:ascii="Arial" w:hAnsi="Arial" w:cs="Arial"/>
          <w:b/>
        </w:rPr>
        <w:t>European Systemic Risk Board (</w:t>
      </w:r>
      <w:r w:rsidRPr="00312888">
        <w:rPr>
          <w:rFonts w:ascii="Arial" w:hAnsi="Arial" w:cs="Arial"/>
          <w:b/>
        </w:rPr>
        <w:t>ESRB</w:t>
      </w:r>
      <w:r w:rsidR="003F595C">
        <w:rPr>
          <w:rFonts w:ascii="Arial" w:hAnsi="Arial" w:cs="Arial"/>
          <w:b/>
        </w:rPr>
        <w:t>)</w:t>
      </w:r>
      <w:r w:rsidRPr="00312888">
        <w:rPr>
          <w:rFonts w:ascii="Arial" w:hAnsi="Arial" w:cs="Arial"/>
          <w:b/>
        </w:rPr>
        <w:t xml:space="preserve"> o</w:t>
      </w:r>
      <w:r w:rsidR="00D837FE">
        <w:rPr>
          <w:rFonts w:ascii="Arial" w:hAnsi="Arial" w:cs="Arial"/>
          <w:b/>
        </w:rPr>
        <w:t>f</w:t>
      </w:r>
      <w:r w:rsidRPr="00312888">
        <w:rPr>
          <w:rFonts w:ascii="Arial" w:hAnsi="Arial" w:cs="Arial"/>
          <w:b/>
        </w:rPr>
        <w:t xml:space="preserve"> higher risk weights </w:t>
      </w:r>
      <w:r w:rsidR="00D837FE">
        <w:rPr>
          <w:rFonts w:ascii="Arial" w:hAnsi="Arial" w:cs="Arial"/>
          <w:b/>
        </w:rPr>
        <w:t xml:space="preserve">being set </w:t>
      </w:r>
      <w:r w:rsidRPr="00312888">
        <w:rPr>
          <w:rFonts w:ascii="Arial" w:hAnsi="Arial" w:cs="Arial"/>
          <w:b/>
        </w:rPr>
        <w:t xml:space="preserve">for immovable property </w:t>
      </w:r>
      <w:r w:rsidR="00D837FE">
        <w:rPr>
          <w:rFonts w:ascii="Arial" w:hAnsi="Arial" w:cs="Arial"/>
          <w:b/>
        </w:rPr>
        <w:t xml:space="preserve">pursuant to </w:t>
      </w:r>
      <w:r w:rsidR="00311DE7">
        <w:rPr>
          <w:rFonts w:ascii="Arial" w:hAnsi="Arial" w:cs="Arial"/>
          <w:b/>
        </w:rPr>
        <w:t>Article</w:t>
      </w:r>
      <w:r w:rsidR="00D837FE">
        <w:rPr>
          <w:rFonts w:ascii="Arial" w:hAnsi="Arial" w:cs="Arial"/>
          <w:b/>
        </w:rPr>
        <w:t>s</w:t>
      </w:r>
      <w:r w:rsidR="00311DE7">
        <w:rPr>
          <w:rFonts w:ascii="Arial" w:hAnsi="Arial" w:cs="Arial"/>
          <w:b/>
        </w:rPr>
        <w:t xml:space="preserve"> 125(1) and 126(1) CRR </w:t>
      </w:r>
      <w:r w:rsidRPr="00312888">
        <w:rPr>
          <w:rFonts w:ascii="Arial" w:hAnsi="Arial" w:cs="Arial"/>
          <w:b/>
        </w:rPr>
        <w:t xml:space="preserve">or </w:t>
      </w:r>
      <w:r w:rsidR="00D837FE">
        <w:rPr>
          <w:rFonts w:ascii="Arial" w:hAnsi="Arial" w:cs="Arial"/>
          <w:b/>
        </w:rPr>
        <w:t xml:space="preserve">on </w:t>
      </w:r>
      <w:r w:rsidRPr="00312888">
        <w:rPr>
          <w:rFonts w:ascii="Arial" w:hAnsi="Arial" w:cs="Arial"/>
          <w:b/>
        </w:rPr>
        <w:t>applying stricter criteria than those set out in Article</w:t>
      </w:r>
      <w:r w:rsidR="00D837FE">
        <w:rPr>
          <w:rFonts w:ascii="Arial" w:hAnsi="Arial" w:cs="Arial"/>
          <w:b/>
        </w:rPr>
        <w:t>s</w:t>
      </w:r>
      <w:r w:rsidRPr="00312888">
        <w:rPr>
          <w:rFonts w:ascii="Arial" w:hAnsi="Arial" w:cs="Arial"/>
          <w:b/>
        </w:rPr>
        <w:t xml:space="preserve"> 125(2) and 126(2) CRR</w:t>
      </w:r>
      <w:r w:rsidR="005E11F1">
        <w:rPr>
          <w:rFonts w:ascii="Arial" w:hAnsi="Arial" w:cs="Arial"/>
          <w:b/>
        </w:rPr>
        <w:t xml:space="preserve"> </w:t>
      </w:r>
    </w:p>
    <w:p w14:paraId="0193B0FB" w14:textId="5DB0DE29" w:rsidR="00C71605" w:rsidRDefault="00C71605" w:rsidP="00C71605">
      <w:pPr>
        <w:keepNext/>
        <w:spacing w:before="60" w:after="60"/>
        <w:jc w:val="both"/>
        <w:outlineLvl w:val="0"/>
        <w:rPr>
          <w:rFonts w:ascii="Arial" w:eastAsia="Times New Roman" w:hAnsi="Arial" w:cs="Arial"/>
          <w:sz w:val="20"/>
          <w:szCs w:val="20"/>
          <w:lang w:eastAsia="en-GB"/>
        </w:rPr>
      </w:pPr>
      <w:r w:rsidRPr="00AA5791">
        <w:rPr>
          <w:rFonts w:ascii="Arial" w:eastAsia="Times New Roman" w:hAnsi="Arial" w:cs="Arial"/>
          <w:sz w:val="20"/>
          <w:szCs w:val="20"/>
          <w:lang w:eastAsia="en-GB"/>
        </w:rPr>
        <w:t>Please send/upload this template to</w:t>
      </w:r>
      <w:r w:rsidR="00D837FE">
        <w:rPr>
          <w:rFonts w:ascii="Arial" w:eastAsia="Times New Roman" w:hAnsi="Arial" w:cs="Arial"/>
          <w:sz w:val="20"/>
          <w:szCs w:val="20"/>
          <w:lang w:eastAsia="en-GB"/>
        </w:rPr>
        <w:t>:</w:t>
      </w:r>
    </w:p>
    <w:p w14:paraId="7A2C6F1C" w14:textId="73089742" w:rsidR="007F1EA6" w:rsidRPr="00732CFC" w:rsidRDefault="00000000" w:rsidP="007F1EA6">
      <w:pPr>
        <w:pStyle w:val="Listeavsnitt"/>
        <w:keepNext/>
        <w:numPr>
          <w:ilvl w:val="0"/>
          <w:numId w:val="13"/>
        </w:numPr>
        <w:spacing w:before="60" w:after="60" w:line="240" w:lineRule="auto"/>
        <w:jc w:val="both"/>
        <w:outlineLvl w:val="0"/>
        <w:rPr>
          <w:rFonts w:ascii="Arial" w:eastAsia="Times New Roman" w:hAnsi="Arial" w:cs="Arial"/>
          <w:sz w:val="20"/>
          <w:szCs w:val="20"/>
          <w:lang w:eastAsia="en-GB"/>
        </w:rPr>
      </w:pPr>
      <w:hyperlink r:id="rId15" w:history="1">
        <w:r w:rsidR="00C71605" w:rsidRPr="007F1EA6">
          <w:rPr>
            <w:rStyle w:val="Hyperkobling"/>
            <w:rFonts w:ascii="Arial" w:eastAsia="Times New Roman" w:hAnsi="Arial" w:cs="Arial"/>
            <w:sz w:val="20"/>
            <w:szCs w:val="20"/>
            <w:lang w:eastAsia="en-GB"/>
          </w:rPr>
          <w:t>macropru.notifications@ecb.europa.eu</w:t>
        </w:r>
      </w:hyperlink>
      <w:r w:rsidR="00C71605" w:rsidRPr="007F1EA6">
        <w:rPr>
          <w:rFonts w:ascii="Arial" w:eastAsia="Times New Roman" w:hAnsi="Arial" w:cs="Arial"/>
          <w:sz w:val="20"/>
          <w:szCs w:val="20"/>
          <w:lang w:eastAsia="en-GB"/>
        </w:rPr>
        <w:t xml:space="preserve"> when notifying the ECB </w:t>
      </w:r>
      <w:bookmarkStart w:id="1" w:name="_Hlk72148218"/>
      <w:bookmarkStart w:id="2" w:name="_Hlk61801876"/>
      <w:r w:rsidR="007F1EA6">
        <w:rPr>
          <w:rFonts w:ascii="Arial" w:eastAsia="Times New Roman" w:hAnsi="Arial" w:cs="Arial"/>
          <w:sz w:val="20"/>
          <w:szCs w:val="20"/>
          <w:lang w:eastAsia="en-GB"/>
        </w:rPr>
        <w:t>(</w:t>
      </w:r>
      <w:r w:rsidR="007F1EA6" w:rsidRPr="007314A9">
        <w:rPr>
          <w:rFonts w:ascii="Arial" w:eastAsia="Times New Roman" w:hAnsi="Arial" w:cs="Arial"/>
          <w:sz w:val="20"/>
          <w:szCs w:val="20"/>
          <w:lang w:eastAsia="en-GB"/>
        </w:rPr>
        <w:t xml:space="preserve">under </w:t>
      </w:r>
      <w:r w:rsidR="007F1EA6">
        <w:rPr>
          <w:rFonts w:ascii="Arial" w:eastAsia="Times New Roman" w:hAnsi="Arial" w:cs="Arial"/>
          <w:sz w:val="20"/>
          <w:szCs w:val="20"/>
          <w:lang w:eastAsia="en-GB"/>
        </w:rPr>
        <w:t xml:space="preserve">Article 5 of the </w:t>
      </w:r>
      <w:r w:rsidR="00D837FE" w:rsidRPr="00D837FE">
        <w:rPr>
          <w:rFonts w:ascii="Arial" w:eastAsia="Times New Roman" w:hAnsi="Arial" w:cs="Arial"/>
          <w:sz w:val="20"/>
          <w:szCs w:val="20"/>
          <w:lang w:eastAsia="en-GB"/>
        </w:rPr>
        <w:t>Single Supervisory Mechanism (</w:t>
      </w:r>
      <w:r w:rsidR="007F1EA6" w:rsidRPr="007314A9">
        <w:rPr>
          <w:rFonts w:ascii="Arial" w:eastAsia="Times New Roman" w:hAnsi="Arial" w:cs="Arial"/>
          <w:sz w:val="20"/>
          <w:szCs w:val="20"/>
          <w:lang w:eastAsia="en-GB"/>
        </w:rPr>
        <w:t>SSM</w:t>
      </w:r>
      <w:r w:rsidR="00D837FE">
        <w:rPr>
          <w:rFonts w:ascii="Arial" w:eastAsia="Times New Roman" w:hAnsi="Arial" w:cs="Arial"/>
          <w:sz w:val="20"/>
          <w:szCs w:val="20"/>
          <w:lang w:eastAsia="en-GB"/>
        </w:rPr>
        <w:t>)</w:t>
      </w:r>
      <w:r w:rsidR="007F1EA6" w:rsidRPr="007314A9">
        <w:rPr>
          <w:rFonts w:ascii="Arial" w:eastAsia="Times New Roman" w:hAnsi="Arial" w:cs="Arial"/>
          <w:sz w:val="20"/>
          <w:szCs w:val="20"/>
          <w:lang w:eastAsia="en-GB"/>
        </w:rPr>
        <w:t xml:space="preserve"> </w:t>
      </w:r>
      <w:r w:rsidR="007F1EA6">
        <w:rPr>
          <w:rFonts w:ascii="Arial" w:eastAsia="Times New Roman" w:hAnsi="Arial" w:cs="Arial"/>
          <w:sz w:val="20"/>
          <w:szCs w:val="20"/>
          <w:lang w:eastAsia="en-GB"/>
        </w:rPr>
        <w:t>Regulation</w:t>
      </w:r>
      <w:r w:rsidR="007F1EA6">
        <w:rPr>
          <w:rStyle w:val="Fotnotereferanse"/>
          <w:rFonts w:ascii="Arial" w:eastAsia="Times New Roman" w:hAnsi="Arial"/>
          <w:sz w:val="20"/>
          <w:szCs w:val="20"/>
          <w:lang w:eastAsia="en-GB"/>
        </w:rPr>
        <w:footnoteReference w:id="2"/>
      </w:r>
      <w:r w:rsidR="007F1EA6">
        <w:rPr>
          <w:rFonts w:ascii="Arial" w:eastAsia="Times New Roman" w:hAnsi="Arial" w:cs="Arial"/>
          <w:sz w:val="20"/>
          <w:szCs w:val="20"/>
          <w:lang w:eastAsia="en-GB"/>
        </w:rPr>
        <w:t>);</w:t>
      </w:r>
    </w:p>
    <w:bookmarkEnd w:id="1"/>
    <w:p w14:paraId="44D85309" w14:textId="018D97C3" w:rsidR="00C71605" w:rsidRPr="007F1EA6" w:rsidRDefault="00A8657D" w:rsidP="001E54D7">
      <w:pPr>
        <w:pStyle w:val="Listeavsnitt"/>
        <w:keepNext/>
        <w:numPr>
          <w:ilvl w:val="0"/>
          <w:numId w:val="13"/>
        </w:numPr>
        <w:spacing w:before="60" w:after="60" w:line="240" w:lineRule="auto"/>
        <w:ind w:left="714" w:hanging="357"/>
        <w:jc w:val="both"/>
        <w:outlineLvl w:val="0"/>
        <w:rPr>
          <w:rStyle w:val="Hyperkobling"/>
          <w:rFonts w:ascii="Arial" w:eastAsia="Times New Roman" w:hAnsi="Arial" w:cs="Arial"/>
          <w:color w:val="auto"/>
          <w:sz w:val="20"/>
          <w:szCs w:val="20"/>
          <w:u w:val="none"/>
          <w:lang w:eastAsia="en-GB"/>
        </w:rPr>
      </w:pPr>
      <w:r w:rsidRPr="00E11045">
        <w:rPr>
          <w:rFonts w:ascii="Arial" w:hAnsi="Arial" w:cs="Arial"/>
          <w:sz w:val="20"/>
          <w:szCs w:val="20"/>
        </w:rPr>
        <w:fldChar w:fldCharType="begin"/>
      </w:r>
      <w:r w:rsidRPr="00E11045">
        <w:rPr>
          <w:rFonts w:ascii="Arial" w:hAnsi="Arial" w:cs="Arial"/>
          <w:sz w:val="20"/>
          <w:szCs w:val="20"/>
        </w:rPr>
        <w:instrText xml:space="preserve"> HYPERLINK "https://darwin.escb.eu/livelink/livelink/app/nodes/338122349" </w:instrText>
      </w:r>
      <w:r w:rsidRPr="00E11045">
        <w:rPr>
          <w:rFonts w:ascii="Arial" w:hAnsi="Arial" w:cs="Arial"/>
          <w:sz w:val="20"/>
          <w:szCs w:val="20"/>
        </w:rPr>
      </w:r>
      <w:r w:rsidRPr="00E11045">
        <w:rPr>
          <w:rFonts w:ascii="Arial" w:hAnsi="Arial" w:cs="Arial"/>
          <w:sz w:val="20"/>
          <w:szCs w:val="20"/>
        </w:rPr>
        <w:fldChar w:fldCharType="separate"/>
      </w:r>
      <w:r w:rsidRPr="00E11045">
        <w:rPr>
          <w:rStyle w:val="Hyperkobling"/>
          <w:rFonts w:ascii="Arial" w:hAnsi="Arial" w:cs="Arial"/>
          <w:sz w:val="20"/>
          <w:szCs w:val="20"/>
        </w:rPr>
        <w:t>DARWIN</w:t>
      </w:r>
      <w:r w:rsidRPr="00E11045">
        <w:rPr>
          <w:rFonts w:ascii="Arial" w:hAnsi="Arial" w:cs="Arial"/>
          <w:sz w:val="20"/>
          <w:szCs w:val="20"/>
        </w:rPr>
        <w:fldChar w:fldCharType="end"/>
      </w:r>
      <w:r w:rsidRPr="00E11045">
        <w:rPr>
          <w:rFonts w:ascii="Arial" w:hAnsi="Arial" w:cs="Arial"/>
          <w:sz w:val="20"/>
          <w:szCs w:val="20"/>
        </w:rPr>
        <w:t>/</w:t>
      </w:r>
      <w:hyperlink r:id="rId16" w:history="1">
        <w:r w:rsidRPr="00E11045">
          <w:rPr>
            <w:rStyle w:val="Hyperkobling"/>
            <w:rFonts w:ascii="Arial" w:hAnsi="Arial" w:cs="Arial"/>
            <w:bCs/>
            <w:sz w:val="20"/>
            <w:szCs w:val="20"/>
          </w:rPr>
          <w:t>ASTRA</w:t>
        </w:r>
      </w:hyperlink>
      <w:r w:rsidR="003365A8">
        <w:t xml:space="preserve"> </w:t>
      </w:r>
      <w:r w:rsidR="00C71605" w:rsidRPr="007F1EA6">
        <w:rPr>
          <w:rFonts w:ascii="Arial" w:hAnsi="Arial" w:cs="Arial"/>
          <w:sz w:val="20"/>
          <w:szCs w:val="20"/>
        </w:rPr>
        <w:t>when notifying the ESRB;</w:t>
      </w:r>
    </w:p>
    <w:p w14:paraId="087A98DC" w14:textId="630091E0" w:rsidR="00C71605" w:rsidRPr="00C71605" w:rsidRDefault="00000000" w:rsidP="00C71605">
      <w:pPr>
        <w:pStyle w:val="Listeavsnitt"/>
        <w:keepNext/>
        <w:numPr>
          <w:ilvl w:val="0"/>
          <w:numId w:val="13"/>
        </w:numPr>
        <w:spacing w:before="240" w:after="60"/>
        <w:jc w:val="both"/>
        <w:outlineLvl w:val="0"/>
        <w:rPr>
          <w:rFonts w:ascii="Arial" w:eastAsia="Times New Roman" w:hAnsi="Arial" w:cs="Arial"/>
          <w:sz w:val="20"/>
          <w:szCs w:val="20"/>
          <w:lang w:eastAsia="en-GB"/>
        </w:rPr>
      </w:pPr>
      <w:hyperlink r:id="rId17" w:history="1">
        <w:r w:rsidR="00C71605" w:rsidRPr="00E326AC">
          <w:rPr>
            <w:rStyle w:val="Hyperkobling"/>
            <w:rFonts w:ascii="Arial" w:eastAsia="Times New Roman" w:hAnsi="Arial" w:cs="Arial"/>
            <w:sz w:val="20"/>
            <w:szCs w:val="20"/>
            <w:lang w:eastAsia="en-GB"/>
          </w:rPr>
          <w:t>eportal.eba.europa.eu</w:t>
        </w:r>
      </w:hyperlink>
      <w:bookmarkEnd w:id="2"/>
      <w:r w:rsidR="00C71605" w:rsidRPr="00166566">
        <w:rPr>
          <w:rFonts w:ascii="Arial" w:eastAsia="Times New Roman" w:hAnsi="Arial" w:cs="Arial"/>
          <w:sz w:val="20"/>
          <w:szCs w:val="20"/>
          <w:lang w:eastAsia="en-GB"/>
        </w:rPr>
        <w:t xml:space="preserve"> when notifying the EBA</w:t>
      </w:r>
      <w:r w:rsidR="00C71605">
        <w:rPr>
          <w:rFonts w:ascii="Arial" w:hAnsi="Arial" w:cs="Arial"/>
          <w:sz w:val="20"/>
          <w:szCs w:val="20"/>
        </w:rPr>
        <w:t>.</w:t>
      </w:r>
    </w:p>
    <w:p w14:paraId="104B97E6" w14:textId="315297E8" w:rsidR="007D0528" w:rsidRPr="00CD6EC4" w:rsidRDefault="000214A8" w:rsidP="007D0528">
      <w:pPr>
        <w:keepNext/>
        <w:spacing w:before="240" w:after="60"/>
        <w:jc w:val="both"/>
        <w:outlineLvl w:val="0"/>
        <w:rPr>
          <w:rFonts w:ascii="Arial" w:eastAsia="Times New Roman" w:hAnsi="Arial" w:cs="Arial"/>
          <w:sz w:val="20"/>
          <w:szCs w:val="20"/>
          <w:lang w:eastAsia="en-GB"/>
        </w:rPr>
      </w:pPr>
      <w:r w:rsidRPr="00CD6EC4">
        <w:rPr>
          <w:rFonts w:ascii="Arial" w:eastAsia="Times New Roman" w:hAnsi="Arial" w:cs="Arial"/>
          <w:sz w:val="20"/>
          <w:szCs w:val="20"/>
          <w:lang w:eastAsia="en-GB"/>
        </w:rPr>
        <w:t>The</w:t>
      </w:r>
      <w:r w:rsidR="00B81452" w:rsidRPr="00CD6EC4">
        <w:rPr>
          <w:rFonts w:ascii="Arial" w:eastAsia="Times New Roman" w:hAnsi="Arial" w:cs="Arial"/>
          <w:sz w:val="20"/>
          <w:szCs w:val="20"/>
          <w:lang w:eastAsia="en-GB"/>
        </w:rPr>
        <w:t xml:space="preserve"> ESRB will publish </w:t>
      </w:r>
      <w:r w:rsidR="00CD20F4" w:rsidRPr="00CD6EC4">
        <w:rPr>
          <w:rFonts w:ascii="Arial" w:eastAsia="Times New Roman" w:hAnsi="Arial" w:cs="Arial"/>
          <w:sz w:val="20"/>
          <w:szCs w:val="20"/>
          <w:lang w:eastAsia="en-GB"/>
        </w:rPr>
        <w:t>the risk weights and criteria for exposures referred to in Articles 125, 126 and 199(1)</w:t>
      </w:r>
      <w:r w:rsidR="00D837FE" w:rsidRPr="00CD6EC4">
        <w:rPr>
          <w:rFonts w:ascii="Arial" w:eastAsia="Times New Roman" w:hAnsi="Arial" w:cs="Arial"/>
          <w:sz w:val="20"/>
          <w:szCs w:val="20"/>
          <w:lang w:eastAsia="en-GB"/>
        </w:rPr>
        <w:t>(a)</w:t>
      </w:r>
      <w:r w:rsidR="00CD20F4" w:rsidRPr="00CD6EC4">
        <w:rPr>
          <w:rFonts w:ascii="Arial" w:eastAsia="Times New Roman" w:hAnsi="Arial" w:cs="Arial"/>
          <w:sz w:val="20"/>
          <w:szCs w:val="20"/>
          <w:lang w:eastAsia="en-GB"/>
        </w:rPr>
        <w:t xml:space="preserve"> </w:t>
      </w:r>
      <w:r w:rsidR="0001587D" w:rsidRPr="00CD6EC4">
        <w:rPr>
          <w:rFonts w:ascii="Arial" w:eastAsia="Times New Roman" w:hAnsi="Arial" w:cs="Arial"/>
          <w:sz w:val="20"/>
          <w:szCs w:val="20"/>
          <w:lang w:eastAsia="en-GB"/>
        </w:rPr>
        <w:t xml:space="preserve">of the CRR </w:t>
      </w:r>
      <w:r w:rsidR="00CD20F4" w:rsidRPr="00CD6EC4">
        <w:rPr>
          <w:rFonts w:ascii="Arial" w:eastAsia="Times New Roman" w:hAnsi="Arial" w:cs="Arial"/>
          <w:sz w:val="20"/>
          <w:szCs w:val="20"/>
          <w:lang w:eastAsia="en-GB"/>
        </w:rPr>
        <w:t>as implemented by the relevant authority.</w:t>
      </w:r>
      <w:r w:rsidR="007D0528" w:rsidRPr="00CD6EC4">
        <w:rPr>
          <w:rFonts w:ascii="Arial" w:eastAsia="Times New Roman" w:hAnsi="Arial" w:cs="Arial"/>
          <w:sz w:val="20"/>
          <w:szCs w:val="20"/>
          <w:lang w:eastAsia="en-GB"/>
        </w:rPr>
        <w:t xml:space="preserve"> </w:t>
      </w:r>
      <w:bookmarkStart w:id="3" w:name="_Hlk72148274"/>
      <w:r w:rsidR="007D0528" w:rsidRPr="00CD6EC4">
        <w:rPr>
          <w:rFonts w:ascii="Arial" w:eastAsia="Times New Roman" w:hAnsi="Arial" w:cs="Arial"/>
          <w:sz w:val="20"/>
          <w:szCs w:val="20"/>
          <w:lang w:eastAsia="en-GB"/>
        </w:rPr>
        <w:t>This notification will be made public by the ESRB after the relevant authorities have adopted and published the notified macroprudential measure</w:t>
      </w:r>
      <w:r w:rsidR="007D0528" w:rsidRPr="00CD6EC4">
        <w:rPr>
          <w:rStyle w:val="Fotnotereferanse"/>
          <w:rFonts w:ascii="Arial" w:hAnsi="Arial" w:cs="Arial"/>
          <w:sz w:val="20"/>
          <w:szCs w:val="20"/>
          <w:shd w:val="clear" w:color="auto" w:fill="FFFFFF"/>
        </w:rPr>
        <w:footnoteReference w:id="3"/>
      </w:r>
      <w:r w:rsidR="007D0528" w:rsidRPr="00CD6EC4">
        <w:rPr>
          <w:rFonts w:ascii="Arial" w:eastAsia="Times New Roman" w:hAnsi="Arial" w:cs="Arial"/>
          <w:sz w:val="20"/>
          <w:szCs w:val="20"/>
          <w:lang w:eastAsia="en-GB"/>
        </w:rPr>
        <w:t>.</w:t>
      </w:r>
    </w:p>
    <w:p w14:paraId="47DEBD35" w14:textId="3A524105" w:rsidR="001E54D7" w:rsidRPr="00CD6EC4" w:rsidRDefault="00861839" w:rsidP="007D0528">
      <w:pPr>
        <w:keepNext/>
        <w:spacing w:before="240" w:after="60"/>
        <w:jc w:val="both"/>
        <w:outlineLvl w:val="0"/>
        <w:rPr>
          <w:rFonts w:ascii="Arial" w:eastAsia="Times New Roman" w:hAnsi="Arial" w:cs="Arial"/>
          <w:sz w:val="20"/>
          <w:szCs w:val="20"/>
          <w:lang w:eastAsia="en-GB"/>
        </w:rPr>
      </w:pPr>
      <w:bookmarkStart w:id="4" w:name="_Hlk77580798"/>
      <w:bookmarkEnd w:id="3"/>
      <w:r w:rsidRPr="00CD6EC4">
        <w:rPr>
          <w:rFonts w:ascii="Arial" w:eastAsia="Times New Roman" w:hAnsi="Arial" w:cs="Arial"/>
          <w:sz w:val="20"/>
          <w:szCs w:val="20"/>
          <w:lang w:eastAsia="en-GB"/>
        </w:rPr>
        <w:t>E</w:t>
      </w:r>
      <w:r w:rsidR="00D837FE" w:rsidRPr="00CD6EC4">
        <w:rPr>
          <w:rFonts w:ascii="Arial" w:eastAsia="Times New Roman" w:hAnsi="Arial" w:cs="Arial"/>
          <w:sz w:val="20"/>
          <w:szCs w:val="20"/>
          <w:lang w:eastAsia="en-GB"/>
        </w:rPr>
        <w:t>-</w:t>
      </w:r>
      <w:r w:rsidRPr="00CD6EC4">
        <w:rPr>
          <w:rFonts w:ascii="Arial" w:eastAsia="Times New Roman" w:hAnsi="Arial" w:cs="Arial"/>
          <w:sz w:val="20"/>
          <w:szCs w:val="20"/>
          <w:lang w:eastAsia="en-GB"/>
        </w:rPr>
        <w:t>mailing/uploading</w:t>
      </w:r>
      <w:r w:rsidR="00F01164" w:rsidRPr="00CD6EC4">
        <w:rPr>
          <w:rFonts w:ascii="Arial" w:eastAsia="Times New Roman" w:hAnsi="Arial" w:cs="Arial"/>
          <w:sz w:val="20"/>
          <w:szCs w:val="20"/>
          <w:lang w:eastAsia="en-GB"/>
        </w:rPr>
        <w:t xml:space="preserve"> </w:t>
      </w:r>
      <w:bookmarkEnd w:id="4"/>
      <w:r w:rsidR="00AB4888" w:rsidRPr="00CD6EC4">
        <w:rPr>
          <w:rFonts w:ascii="Arial" w:eastAsia="Times New Roman" w:hAnsi="Arial" w:cs="Arial"/>
          <w:sz w:val="20"/>
          <w:szCs w:val="20"/>
          <w:lang w:eastAsia="en-GB"/>
        </w:rPr>
        <w:t>this template to the above addresses constitutes</w:t>
      </w:r>
      <w:r w:rsidR="00DD1C62" w:rsidRPr="00CD6EC4">
        <w:rPr>
          <w:rFonts w:ascii="Arial" w:eastAsia="Times New Roman" w:hAnsi="Arial" w:cs="Arial"/>
          <w:sz w:val="20"/>
          <w:szCs w:val="20"/>
          <w:lang w:eastAsia="en-GB"/>
        </w:rPr>
        <w:t xml:space="preserve"> </w:t>
      </w:r>
      <w:r w:rsidR="00AB4888" w:rsidRPr="00CD6EC4">
        <w:rPr>
          <w:rFonts w:ascii="Arial" w:eastAsia="Times New Roman" w:hAnsi="Arial" w:cs="Arial"/>
          <w:sz w:val="20"/>
          <w:szCs w:val="20"/>
          <w:lang w:eastAsia="en-GB"/>
        </w:rPr>
        <w:t>official notification</w:t>
      </w:r>
      <w:r w:rsidR="001270BA" w:rsidRPr="00CD6EC4">
        <w:rPr>
          <w:rFonts w:ascii="Arial" w:eastAsia="Times New Roman" w:hAnsi="Arial" w:cs="Arial"/>
          <w:sz w:val="20"/>
          <w:szCs w:val="20"/>
          <w:lang w:eastAsia="en-GB"/>
        </w:rPr>
        <w:t>;</w:t>
      </w:r>
      <w:r w:rsidR="00AB4888" w:rsidRPr="00CD6EC4">
        <w:rPr>
          <w:rFonts w:ascii="Arial" w:eastAsia="Times New Roman" w:hAnsi="Arial" w:cs="Arial"/>
          <w:sz w:val="20"/>
          <w:szCs w:val="20"/>
          <w:lang w:eastAsia="en-GB"/>
        </w:rPr>
        <w:t xml:space="preserve"> no further official letter is required. </w:t>
      </w:r>
      <w:r w:rsidR="0036373D" w:rsidRPr="00CD6EC4">
        <w:rPr>
          <w:rFonts w:ascii="Arial" w:eastAsia="Times New Roman" w:hAnsi="Arial" w:cs="Arial"/>
          <w:sz w:val="20"/>
          <w:szCs w:val="20"/>
          <w:lang w:eastAsia="en-GB"/>
        </w:rPr>
        <w:t>T</w:t>
      </w:r>
      <w:r w:rsidR="00AB4888" w:rsidRPr="00CD6EC4">
        <w:rPr>
          <w:rFonts w:ascii="Arial" w:eastAsia="Times New Roman" w:hAnsi="Arial" w:cs="Arial"/>
          <w:sz w:val="20"/>
          <w:szCs w:val="20"/>
          <w:lang w:eastAsia="en-GB"/>
        </w:rPr>
        <w:t xml:space="preserve">o facilitate the work of the notified authorities, please </w:t>
      </w:r>
      <w:r w:rsidR="001270BA" w:rsidRPr="00CD6EC4">
        <w:rPr>
          <w:rFonts w:ascii="Arial" w:eastAsia="Times New Roman" w:hAnsi="Arial" w:cs="Arial"/>
          <w:sz w:val="20"/>
          <w:szCs w:val="20"/>
          <w:lang w:eastAsia="en-GB"/>
        </w:rPr>
        <w:t>submit</w:t>
      </w:r>
      <w:r w:rsidR="00AB4888" w:rsidRPr="00CD6EC4">
        <w:rPr>
          <w:rFonts w:ascii="Arial" w:eastAsia="Times New Roman" w:hAnsi="Arial" w:cs="Arial"/>
          <w:sz w:val="20"/>
          <w:szCs w:val="20"/>
          <w:lang w:eastAsia="en-GB"/>
        </w:rPr>
        <w:t xml:space="preserve"> the notification template in a format that allows </w:t>
      </w:r>
      <w:r w:rsidR="00153728" w:rsidRPr="00CD6EC4">
        <w:rPr>
          <w:rFonts w:ascii="Arial" w:eastAsia="Times New Roman" w:hAnsi="Arial" w:cs="Arial"/>
          <w:sz w:val="20"/>
          <w:szCs w:val="20"/>
          <w:lang w:eastAsia="en-GB"/>
        </w:rPr>
        <w:t xml:space="preserve">the information to be read </w:t>
      </w:r>
      <w:r w:rsidR="00AB4888" w:rsidRPr="00CD6EC4">
        <w:rPr>
          <w:rFonts w:ascii="Arial" w:eastAsia="Times New Roman" w:hAnsi="Arial" w:cs="Arial"/>
          <w:sz w:val="20"/>
          <w:szCs w:val="20"/>
          <w:lang w:eastAsia="en-GB"/>
        </w:rPr>
        <w:t>electronically.</w:t>
      </w:r>
    </w:p>
    <w:p w14:paraId="24C00395" w14:textId="77777777" w:rsidR="009F0668" w:rsidRPr="003A3DB6" w:rsidRDefault="009F0668" w:rsidP="009F0668">
      <w:pPr>
        <w:keepNext/>
        <w:spacing w:after="60" w:line="240" w:lineRule="auto"/>
        <w:jc w:val="both"/>
        <w:outlineLvl w:val="0"/>
        <w:rPr>
          <w:rFonts w:ascii="Arial" w:eastAsia="Times New Roman" w:hAnsi="Arial" w:cs="Arial"/>
          <w:sz w:val="20"/>
          <w:szCs w:val="20"/>
          <w:lang w:eastAsia="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7"/>
        <w:gridCol w:w="8381"/>
      </w:tblGrid>
      <w:tr w:rsidR="001E54D7" w:rsidRPr="005C0E18" w14:paraId="69FD9075" w14:textId="77777777" w:rsidTr="001E54D7">
        <w:trPr>
          <w:trHeight w:val="738"/>
        </w:trPr>
        <w:tc>
          <w:tcPr>
            <w:tcW w:w="9464" w:type="dxa"/>
            <w:gridSpan w:val="2"/>
            <w:shd w:val="clear" w:color="auto" w:fill="BFBFBF"/>
            <w:vAlign w:val="center"/>
          </w:tcPr>
          <w:p w14:paraId="470D72E5" w14:textId="77777777" w:rsidR="001E54D7" w:rsidRPr="005C0E18" w:rsidRDefault="00C103E1">
            <w:pPr>
              <w:numPr>
                <w:ilvl w:val="0"/>
                <w:numId w:val="2"/>
              </w:numPr>
              <w:spacing w:after="0" w:line="288" w:lineRule="auto"/>
              <w:contextualSpacing/>
              <w:jc w:val="both"/>
              <w:rPr>
                <w:rFonts w:ascii="Arial" w:hAnsi="Arial" w:cs="Arial"/>
                <w:b/>
                <w:sz w:val="18"/>
                <w:szCs w:val="18"/>
              </w:rPr>
            </w:pPr>
            <w:r w:rsidRPr="00C103E1">
              <w:rPr>
                <w:rFonts w:ascii="Arial" w:hAnsi="Arial" w:cs="Arial"/>
                <w:b/>
                <w:sz w:val="18"/>
                <w:szCs w:val="18"/>
              </w:rPr>
              <w:t>Notifying</w:t>
            </w:r>
            <w:r w:rsidR="00AB4888" w:rsidRPr="005C0E18">
              <w:rPr>
                <w:rFonts w:ascii="Arial" w:hAnsi="Arial" w:cs="Arial"/>
                <w:b/>
                <w:sz w:val="18"/>
                <w:szCs w:val="18"/>
              </w:rPr>
              <w:t xml:space="preserve"> national authority </w:t>
            </w:r>
          </w:p>
        </w:tc>
      </w:tr>
      <w:tr w:rsidR="001E54D7" w:rsidRPr="005C0E18" w14:paraId="70F84863" w14:textId="77777777" w:rsidTr="001E54D7">
        <w:trPr>
          <w:trHeight w:val="738"/>
        </w:trPr>
        <w:tc>
          <w:tcPr>
            <w:tcW w:w="3350" w:type="dxa"/>
            <w:shd w:val="clear" w:color="auto" w:fill="FFFFFF"/>
            <w:vAlign w:val="center"/>
          </w:tcPr>
          <w:p w14:paraId="3F9BCD78" w14:textId="77777777" w:rsidR="001E54D7" w:rsidRPr="005C0E18" w:rsidRDefault="00AB4888" w:rsidP="00C103E1">
            <w:pPr>
              <w:spacing w:after="0" w:line="288" w:lineRule="auto"/>
              <w:contextualSpacing/>
              <w:jc w:val="both"/>
              <w:rPr>
                <w:rFonts w:ascii="Arial" w:hAnsi="Arial" w:cs="Arial"/>
                <w:b/>
                <w:sz w:val="18"/>
                <w:szCs w:val="18"/>
              </w:rPr>
            </w:pPr>
            <w:permStart w:id="1009808973" w:edGrp="everyone" w:colFirst="1" w:colLast="1"/>
            <w:r w:rsidRPr="005C0E18">
              <w:rPr>
                <w:rFonts w:ascii="Arial" w:hAnsi="Arial" w:cs="Arial"/>
                <w:b/>
                <w:sz w:val="18"/>
                <w:szCs w:val="18"/>
                <w:lang w:eastAsia="de-DE" w:bidi="pa-IN"/>
              </w:rPr>
              <w:t xml:space="preserve">1.1 Name of the </w:t>
            </w:r>
            <w:r w:rsidRPr="00E45A79">
              <w:rPr>
                <w:rFonts w:ascii="Arial" w:hAnsi="Arial" w:cs="Arial"/>
                <w:b/>
                <w:sz w:val="18"/>
                <w:szCs w:val="18"/>
                <w:lang w:eastAsia="de-DE" w:bidi="pa-IN"/>
              </w:rPr>
              <w:t>notifying</w:t>
            </w:r>
            <w:r w:rsidRPr="005C0E18">
              <w:rPr>
                <w:rFonts w:ascii="Arial" w:hAnsi="Arial" w:cs="Arial"/>
                <w:b/>
                <w:sz w:val="18"/>
                <w:szCs w:val="18"/>
                <w:lang w:eastAsia="de-DE" w:bidi="pa-IN"/>
              </w:rPr>
              <w:t xml:space="preserve"> authority</w:t>
            </w:r>
          </w:p>
        </w:tc>
        <w:tc>
          <w:tcPr>
            <w:tcW w:w="6114" w:type="dxa"/>
            <w:shd w:val="clear" w:color="auto" w:fill="FFFFFF"/>
            <w:vAlign w:val="center"/>
          </w:tcPr>
          <w:p w14:paraId="57263CD3" w14:textId="6F8A622B" w:rsidR="001E54D7" w:rsidRPr="00312888" w:rsidRDefault="004D5899" w:rsidP="00E30FAF">
            <w:pPr>
              <w:spacing w:after="0" w:line="288" w:lineRule="auto"/>
              <w:contextualSpacing/>
              <w:jc w:val="both"/>
              <w:rPr>
                <w:rFonts w:ascii="Arial" w:hAnsi="Arial" w:cs="Arial"/>
                <w:color w:val="FF0000"/>
                <w:sz w:val="18"/>
                <w:szCs w:val="18"/>
              </w:rPr>
            </w:pPr>
            <w:r>
              <w:rPr>
                <w:rFonts w:ascii="Arial" w:hAnsi="Arial" w:cs="Arial"/>
                <w:sz w:val="18"/>
                <w:szCs w:val="18"/>
              </w:rPr>
              <w:t>Finansdepartementet</w:t>
            </w:r>
          </w:p>
        </w:tc>
      </w:tr>
      <w:tr w:rsidR="009348CE" w:rsidRPr="005C0E18" w14:paraId="07E90C6D" w14:textId="77777777" w:rsidTr="001E54D7">
        <w:trPr>
          <w:trHeight w:val="738"/>
        </w:trPr>
        <w:tc>
          <w:tcPr>
            <w:tcW w:w="3350" w:type="dxa"/>
            <w:shd w:val="clear" w:color="auto" w:fill="FFFFFF"/>
            <w:vAlign w:val="center"/>
          </w:tcPr>
          <w:p w14:paraId="7FFDE0B7" w14:textId="77777777" w:rsidR="009348CE" w:rsidRPr="005C0E18" w:rsidRDefault="00844697" w:rsidP="00844697">
            <w:pPr>
              <w:spacing w:after="0" w:line="288" w:lineRule="auto"/>
              <w:contextualSpacing/>
              <w:rPr>
                <w:rFonts w:ascii="Arial" w:hAnsi="Arial" w:cs="Arial"/>
                <w:b/>
                <w:sz w:val="18"/>
                <w:szCs w:val="18"/>
                <w:lang w:eastAsia="de-DE" w:bidi="pa-IN"/>
              </w:rPr>
            </w:pPr>
            <w:permStart w:id="51332980" w:edGrp="everyone" w:colFirst="1" w:colLast="1"/>
            <w:permEnd w:id="1009808973"/>
            <w:r>
              <w:rPr>
                <w:rFonts w:ascii="Arial" w:hAnsi="Arial" w:cs="Arial"/>
                <w:b/>
                <w:sz w:val="18"/>
                <w:szCs w:val="18"/>
                <w:lang w:eastAsia="de-DE" w:bidi="pa-IN"/>
              </w:rPr>
              <w:t xml:space="preserve">1.2 </w:t>
            </w:r>
            <w:r w:rsidR="009348CE">
              <w:rPr>
                <w:rFonts w:ascii="Arial" w:hAnsi="Arial" w:cs="Arial"/>
                <w:b/>
                <w:sz w:val="18"/>
                <w:szCs w:val="18"/>
                <w:lang w:eastAsia="de-DE" w:bidi="pa-IN"/>
              </w:rPr>
              <w:t>Country of the notifying authority</w:t>
            </w:r>
          </w:p>
        </w:tc>
        <w:tc>
          <w:tcPr>
            <w:tcW w:w="6114" w:type="dxa"/>
            <w:shd w:val="clear" w:color="auto" w:fill="FFFFFF"/>
            <w:vAlign w:val="center"/>
          </w:tcPr>
          <w:p w14:paraId="49A2DC45" w14:textId="19536F66" w:rsidR="009348CE" w:rsidRDefault="004D5899" w:rsidP="00844697">
            <w:pPr>
              <w:spacing w:after="0" w:line="288" w:lineRule="auto"/>
              <w:contextualSpacing/>
              <w:jc w:val="both"/>
              <w:rPr>
                <w:rFonts w:ascii="Arial" w:hAnsi="Arial" w:cs="Arial"/>
                <w:sz w:val="18"/>
                <w:szCs w:val="18"/>
              </w:rPr>
            </w:pPr>
            <w:r>
              <w:rPr>
                <w:rFonts w:ascii="Arial" w:hAnsi="Arial" w:cs="Arial"/>
                <w:sz w:val="18"/>
                <w:szCs w:val="18"/>
              </w:rPr>
              <w:t>Norway</w:t>
            </w:r>
          </w:p>
        </w:tc>
      </w:tr>
      <w:permEnd w:id="51332980"/>
      <w:tr w:rsidR="001E54D7" w:rsidRPr="005C0E18" w14:paraId="7AC88715" w14:textId="77777777" w:rsidTr="001E54D7">
        <w:trPr>
          <w:trHeight w:val="561"/>
        </w:trPr>
        <w:tc>
          <w:tcPr>
            <w:tcW w:w="9464" w:type="dxa"/>
            <w:gridSpan w:val="2"/>
            <w:shd w:val="clear" w:color="auto" w:fill="BFBFBF"/>
            <w:vAlign w:val="center"/>
          </w:tcPr>
          <w:p w14:paraId="128E5E68" w14:textId="77777777" w:rsidR="001E54D7" w:rsidRPr="005C0E18" w:rsidRDefault="00AB4888" w:rsidP="007E7A13">
            <w:pPr>
              <w:numPr>
                <w:ilvl w:val="0"/>
                <w:numId w:val="2"/>
              </w:numPr>
              <w:spacing w:after="0" w:line="288" w:lineRule="auto"/>
              <w:contextualSpacing/>
              <w:jc w:val="both"/>
              <w:rPr>
                <w:rFonts w:ascii="Arial" w:hAnsi="Arial" w:cs="Arial"/>
                <w:b/>
                <w:sz w:val="18"/>
                <w:szCs w:val="18"/>
              </w:rPr>
            </w:pPr>
            <w:r>
              <w:rPr>
                <w:rFonts w:ascii="Arial" w:hAnsi="Arial" w:cs="Arial"/>
                <w:b/>
                <w:sz w:val="18"/>
                <w:szCs w:val="18"/>
              </w:rPr>
              <w:t>Scope of the notification</w:t>
            </w:r>
            <w:r w:rsidRPr="005C0E18" w:rsidDel="00876FF2">
              <w:rPr>
                <w:rFonts w:ascii="Arial" w:hAnsi="Arial" w:cs="Arial"/>
                <w:b/>
                <w:sz w:val="18"/>
                <w:szCs w:val="18"/>
              </w:rPr>
              <w:t xml:space="preserve"> </w:t>
            </w:r>
            <w:r>
              <w:rPr>
                <w:rFonts w:ascii="Arial" w:hAnsi="Arial" w:cs="Arial"/>
                <w:b/>
                <w:sz w:val="18"/>
                <w:szCs w:val="18"/>
              </w:rPr>
              <w:t>and description of the measure</w:t>
            </w:r>
          </w:p>
        </w:tc>
      </w:tr>
      <w:tr w:rsidR="001E54D7" w:rsidRPr="005C0E18" w14:paraId="78CBD31D" w14:textId="77777777" w:rsidTr="001E54D7">
        <w:trPr>
          <w:trHeight w:val="1404"/>
        </w:trPr>
        <w:tc>
          <w:tcPr>
            <w:tcW w:w="3350" w:type="dxa"/>
            <w:vMerge w:val="restart"/>
            <w:vAlign w:val="center"/>
          </w:tcPr>
          <w:p w14:paraId="79F31F85" w14:textId="58B143C2" w:rsidR="001E54D7" w:rsidRPr="005C0E18" w:rsidRDefault="00AB4888" w:rsidP="00867203">
            <w:pPr>
              <w:spacing w:after="100" w:line="288" w:lineRule="auto"/>
              <w:rPr>
                <w:rFonts w:ascii="Arial" w:hAnsi="Arial" w:cs="Arial"/>
                <w:b/>
                <w:sz w:val="18"/>
                <w:szCs w:val="18"/>
                <w:lang w:eastAsia="de-DE" w:bidi="pa-IN"/>
              </w:rPr>
            </w:pPr>
            <w:permStart w:id="1586000965" w:edGrp="everyone" w:colFirst="1" w:colLast="1"/>
            <w:r w:rsidRPr="005C0E18">
              <w:rPr>
                <w:rFonts w:ascii="Arial" w:hAnsi="Arial" w:cs="Arial"/>
                <w:b/>
                <w:sz w:val="18"/>
                <w:szCs w:val="18"/>
                <w:lang w:eastAsia="de-DE" w:bidi="pa-IN"/>
              </w:rPr>
              <w:t>2.1 Exposures secured by mortgages on residential property</w:t>
            </w:r>
          </w:p>
        </w:tc>
        <w:tc>
          <w:tcPr>
            <w:tcW w:w="6114" w:type="dxa"/>
          </w:tcPr>
          <w:p w14:paraId="7FE48AF5" w14:textId="6FF0FE6C" w:rsidR="00D662B5" w:rsidRDefault="00AB4888" w:rsidP="00D662B5">
            <w:pPr>
              <w:numPr>
                <w:ilvl w:val="0"/>
                <w:numId w:val="5"/>
              </w:numPr>
              <w:spacing w:after="0" w:line="288" w:lineRule="auto"/>
              <w:contextualSpacing/>
              <w:jc w:val="both"/>
              <w:rPr>
                <w:rFonts w:ascii="Arial" w:hAnsi="Arial" w:cs="Arial"/>
                <w:sz w:val="18"/>
                <w:szCs w:val="18"/>
              </w:rPr>
            </w:pPr>
            <w:r w:rsidRPr="005C0E18">
              <w:rPr>
                <w:rFonts w:ascii="Arial" w:hAnsi="Arial" w:cs="Arial"/>
                <w:sz w:val="18"/>
                <w:szCs w:val="18"/>
              </w:rPr>
              <w:t xml:space="preserve">Do you intend to set </w:t>
            </w:r>
            <w:r w:rsidR="00EC7232">
              <w:rPr>
                <w:rFonts w:ascii="Arial" w:hAnsi="Arial" w:cs="Arial"/>
                <w:sz w:val="18"/>
                <w:szCs w:val="18"/>
              </w:rPr>
              <w:t xml:space="preserve">a </w:t>
            </w:r>
            <w:r w:rsidRPr="005C0E18">
              <w:rPr>
                <w:rFonts w:ascii="Arial" w:hAnsi="Arial" w:cs="Arial"/>
                <w:sz w:val="18"/>
                <w:szCs w:val="18"/>
              </w:rPr>
              <w:t xml:space="preserve">higher risk weight </w:t>
            </w:r>
            <w:r w:rsidR="000E4F52">
              <w:rPr>
                <w:rFonts w:ascii="Arial" w:hAnsi="Arial" w:cs="Arial"/>
                <w:sz w:val="18"/>
                <w:szCs w:val="18"/>
              </w:rPr>
              <w:t xml:space="preserve">than that set </w:t>
            </w:r>
            <w:r w:rsidR="009F0470">
              <w:rPr>
                <w:rFonts w:ascii="Arial" w:hAnsi="Arial" w:cs="Arial"/>
                <w:sz w:val="18"/>
                <w:szCs w:val="18"/>
              </w:rPr>
              <w:t xml:space="preserve">out </w:t>
            </w:r>
            <w:r w:rsidR="00EC7232">
              <w:rPr>
                <w:rFonts w:ascii="Arial" w:hAnsi="Arial" w:cs="Arial"/>
                <w:sz w:val="18"/>
                <w:szCs w:val="18"/>
              </w:rPr>
              <w:t>i</w:t>
            </w:r>
            <w:r w:rsidR="000E4F52">
              <w:rPr>
                <w:rFonts w:ascii="Arial" w:hAnsi="Arial" w:cs="Arial"/>
                <w:sz w:val="18"/>
                <w:szCs w:val="18"/>
              </w:rPr>
              <w:t>n Article 125(1) CRR</w:t>
            </w:r>
            <w:r w:rsidRPr="005C0E18">
              <w:rPr>
                <w:rFonts w:ascii="Arial" w:hAnsi="Arial" w:cs="Arial"/>
                <w:sz w:val="18"/>
                <w:szCs w:val="18"/>
              </w:rPr>
              <w:t xml:space="preserve"> for exposures </w:t>
            </w:r>
            <w:r w:rsidR="000E4F52">
              <w:rPr>
                <w:rFonts w:ascii="Arial" w:hAnsi="Arial" w:cs="Arial"/>
                <w:sz w:val="18"/>
                <w:szCs w:val="18"/>
              </w:rPr>
              <w:t>fully and completely</w:t>
            </w:r>
            <w:r w:rsidRPr="005C0E18">
              <w:rPr>
                <w:rFonts w:ascii="Arial" w:hAnsi="Arial" w:cs="Arial"/>
                <w:sz w:val="18"/>
                <w:szCs w:val="18"/>
              </w:rPr>
              <w:t xml:space="preserve"> secured by mortgages on residential property? </w:t>
            </w:r>
          </w:p>
          <w:p w14:paraId="0E4A62E5" w14:textId="77777777" w:rsidR="004D5899" w:rsidRDefault="004D5899" w:rsidP="004D5899">
            <w:pPr>
              <w:spacing w:after="0" w:line="288" w:lineRule="auto"/>
              <w:ind w:left="360"/>
              <w:contextualSpacing/>
              <w:jc w:val="both"/>
              <w:rPr>
                <w:rFonts w:ascii="Arial" w:hAnsi="Arial" w:cs="Arial"/>
                <w:sz w:val="18"/>
                <w:szCs w:val="18"/>
              </w:rPr>
            </w:pPr>
          </w:p>
          <w:p w14:paraId="77C918DD" w14:textId="56C09659" w:rsidR="00AB7B22" w:rsidRPr="004D5899" w:rsidRDefault="004D5899" w:rsidP="004D5899">
            <w:pPr>
              <w:spacing w:after="0" w:line="288" w:lineRule="auto"/>
              <w:ind w:left="360"/>
              <w:contextualSpacing/>
              <w:jc w:val="both"/>
              <w:rPr>
                <w:rFonts w:ascii="Arial" w:hAnsi="Arial" w:cs="Arial"/>
                <w:sz w:val="18"/>
                <w:szCs w:val="18"/>
              </w:rPr>
            </w:pPr>
            <w:r>
              <w:rPr>
                <w:rFonts w:ascii="Arial" w:hAnsi="Arial" w:cs="Arial"/>
                <w:sz w:val="18"/>
                <w:szCs w:val="18"/>
              </w:rPr>
              <w:t>No.</w:t>
            </w:r>
          </w:p>
        </w:tc>
      </w:tr>
      <w:tr w:rsidR="001E54D7" w:rsidRPr="005C0E18" w14:paraId="401F8EE1" w14:textId="77777777" w:rsidTr="001E54D7">
        <w:trPr>
          <w:trHeight w:val="1404"/>
        </w:trPr>
        <w:tc>
          <w:tcPr>
            <w:tcW w:w="3350" w:type="dxa"/>
            <w:vMerge/>
            <w:vAlign w:val="center"/>
          </w:tcPr>
          <w:p w14:paraId="3E6EF10D" w14:textId="77777777" w:rsidR="001E54D7" w:rsidRPr="005C0E18" w:rsidRDefault="001E54D7" w:rsidP="001E54D7">
            <w:pPr>
              <w:spacing w:after="100" w:line="288" w:lineRule="auto"/>
              <w:jc w:val="both"/>
              <w:rPr>
                <w:rFonts w:ascii="Arial" w:hAnsi="Arial" w:cs="Arial"/>
                <w:b/>
                <w:sz w:val="18"/>
                <w:szCs w:val="18"/>
                <w:lang w:eastAsia="de-DE" w:bidi="pa-IN"/>
              </w:rPr>
            </w:pPr>
            <w:permStart w:id="1309558903" w:edGrp="everyone" w:colFirst="1" w:colLast="1"/>
            <w:permEnd w:id="1586000965"/>
          </w:p>
        </w:tc>
        <w:tc>
          <w:tcPr>
            <w:tcW w:w="6114" w:type="dxa"/>
          </w:tcPr>
          <w:p w14:paraId="6D0AC726" w14:textId="77777777" w:rsidR="004D5899" w:rsidRDefault="00AB4888" w:rsidP="004D5899">
            <w:pPr>
              <w:numPr>
                <w:ilvl w:val="0"/>
                <w:numId w:val="5"/>
              </w:numPr>
              <w:spacing w:after="0" w:line="288" w:lineRule="auto"/>
              <w:contextualSpacing/>
              <w:jc w:val="both"/>
              <w:rPr>
                <w:rFonts w:ascii="Arial" w:hAnsi="Arial" w:cs="Arial"/>
                <w:sz w:val="18"/>
                <w:szCs w:val="18"/>
              </w:rPr>
            </w:pPr>
            <w:r w:rsidRPr="005C0E18">
              <w:rPr>
                <w:rFonts w:ascii="Arial" w:hAnsi="Arial" w:cs="Arial"/>
                <w:sz w:val="18"/>
                <w:szCs w:val="18"/>
              </w:rPr>
              <w:t>Do you intend to apply stricter criteria than thos</w:t>
            </w:r>
            <w:r w:rsidR="00F815A1">
              <w:rPr>
                <w:rFonts w:ascii="Arial" w:hAnsi="Arial" w:cs="Arial"/>
                <w:sz w:val="18"/>
                <w:szCs w:val="18"/>
              </w:rPr>
              <w:t>e set out in Article 125(2)</w:t>
            </w:r>
            <w:r w:rsidR="00BC6C84">
              <w:rPr>
                <w:rFonts w:ascii="Arial" w:hAnsi="Arial" w:cs="Arial"/>
                <w:sz w:val="18"/>
                <w:szCs w:val="18"/>
              </w:rPr>
              <w:t xml:space="preserve"> </w:t>
            </w:r>
            <w:r w:rsidR="00F815A1">
              <w:rPr>
                <w:rFonts w:ascii="Arial" w:hAnsi="Arial" w:cs="Arial"/>
                <w:sz w:val="18"/>
                <w:szCs w:val="18"/>
              </w:rPr>
              <w:t>CRR</w:t>
            </w:r>
            <w:r w:rsidR="00B81452">
              <w:rPr>
                <w:rFonts w:ascii="Arial" w:hAnsi="Arial" w:cs="Arial"/>
                <w:sz w:val="18"/>
                <w:szCs w:val="18"/>
              </w:rPr>
              <w:t xml:space="preserve"> </w:t>
            </w:r>
            <w:r w:rsidR="00E1380C">
              <w:rPr>
                <w:rFonts w:ascii="Arial" w:hAnsi="Arial" w:cs="Arial"/>
                <w:sz w:val="18"/>
                <w:szCs w:val="18"/>
              </w:rPr>
              <w:t xml:space="preserve">for </w:t>
            </w:r>
            <w:r w:rsidRPr="005C0E18">
              <w:rPr>
                <w:rFonts w:ascii="Arial" w:hAnsi="Arial" w:cs="Arial"/>
                <w:sz w:val="18"/>
                <w:szCs w:val="18"/>
              </w:rPr>
              <w:t xml:space="preserve">exposures fully and completely secured by mortgages on residential property? </w:t>
            </w:r>
          </w:p>
          <w:p w14:paraId="52C3E470" w14:textId="29E13017" w:rsidR="004D5899" w:rsidRPr="004D5899" w:rsidRDefault="004D5899" w:rsidP="004D5899">
            <w:pPr>
              <w:spacing w:after="0" w:line="288" w:lineRule="auto"/>
              <w:ind w:left="360"/>
              <w:contextualSpacing/>
              <w:jc w:val="both"/>
              <w:rPr>
                <w:rFonts w:ascii="Arial" w:hAnsi="Arial" w:cs="Arial"/>
                <w:sz w:val="18"/>
                <w:szCs w:val="18"/>
              </w:rPr>
            </w:pPr>
            <w:r>
              <w:rPr>
                <w:rFonts w:ascii="Arial" w:hAnsi="Arial" w:cs="Arial"/>
                <w:sz w:val="18"/>
                <w:szCs w:val="18"/>
              </w:rPr>
              <w:br/>
              <w:t>No.</w:t>
            </w:r>
          </w:p>
        </w:tc>
      </w:tr>
      <w:tr w:rsidR="001E54D7" w:rsidRPr="005C0E18" w14:paraId="56F4A784" w14:textId="77777777" w:rsidTr="001E54D7">
        <w:trPr>
          <w:trHeight w:val="1404"/>
        </w:trPr>
        <w:tc>
          <w:tcPr>
            <w:tcW w:w="3350" w:type="dxa"/>
            <w:vMerge w:val="restart"/>
            <w:vAlign w:val="center"/>
          </w:tcPr>
          <w:p w14:paraId="15B920B0" w14:textId="34DFFF7B" w:rsidR="001E54D7" w:rsidRPr="005C0E18" w:rsidRDefault="00AB4888" w:rsidP="00867203">
            <w:pPr>
              <w:spacing w:after="100" w:line="288" w:lineRule="auto"/>
              <w:rPr>
                <w:rFonts w:ascii="Arial" w:hAnsi="Arial" w:cs="Arial"/>
                <w:b/>
                <w:sz w:val="18"/>
                <w:szCs w:val="18"/>
                <w:lang w:eastAsia="de-DE" w:bidi="pa-IN"/>
              </w:rPr>
            </w:pPr>
            <w:permStart w:id="303638337" w:edGrp="everyone" w:colFirst="1" w:colLast="1"/>
            <w:permEnd w:id="1309558903"/>
            <w:r w:rsidRPr="005C0E18">
              <w:rPr>
                <w:rFonts w:ascii="Arial" w:hAnsi="Arial" w:cs="Arial"/>
                <w:b/>
                <w:sz w:val="18"/>
                <w:szCs w:val="18"/>
                <w:lang w:eastAsia="de-DE" w:bidi="pa-IN"/>
              </w:rPr>
              <w:lastRenderedPageBreak/>
              <w:t>2.2 Exposures secured by mortgages on commercial immovable property</w:t>
            </w:r>
          </w:p>
        </w:tc>
        <w:tc>
          <w:tcPr>
            <w:tcW w:w="6114" w:type="dxa"/>
          </w:tcPr>
          <w:p w14:paraId="7A27B655" w14:textId="440D33EF" w:rsidR="001E54D7" w:rsidRDefault="00AB4888" w:rsidP="001E54D7">
            <w:pPr>
              <w:numPr>
                <w:ilvl w:val="0"/>
                <w:numId w:val="5"/>
              </w:numPr>
              <w:spacing w:after="0" w:line="288" w:lineRule="auto"/>
              <w:contextualSpacing/>
              <w:jc w:val="both"/>
              <w:rPr>
                <w:rFonts w:ascii="Arial" w:hAnsi="Arial" w:cs="Arial"/>
                <w:sz w:val="18"/>
                <w:szCs w:val="18"/>
              </w:rPr>
            </w:pPr>
            <w:r w:rsidRPr="005C0E18">
              <w:rPr>
                <w:rFonts w:ascii="Arial" w:hAnsi="Arial" w:cs="Arial"/>
                <w:sz w:val="18"/>
                <w:szCs w:val="18"/>
              </w:rPr>
              <w:t xml:space="preserve">Do you intend to set </w:t>
            </w:r>
            <w:r w:rsidR="00EC7232">
              <w:rPr>
                <w:rFonts w:ascii="Arial" w:hAnsi="Arial" w:cs="Arial"/>
                <w:sz w:val="18"/>
                <w:szCs w:val="18"/>
              </w:rPr>
              <w:t xml:space="preserve">a </w:t>
            </w:r>
            <w:r w:rsidRPr="005C0E18">
              <w:rPr>
                <w:rFonts w:ascii="Arial" w:hAnsi="Arial" w:cs="Arial"/>
                <w:sz w:val="18"/>
                <w:szCs w:val="18"/>
              </w:rPr>
              <w:t xml:space="preserve">higher risk weight </w:t>
            </w:r>
            <w:r w:rsidR="00EC7232">
              <w:rPr>
                <w:rFonts w:ascii="Arial" w:hAnsi="Arial" w:cs="Arial"/>
                <w:sz w:val="18"/>
                <w:szCs w:val="18"/>
              </w:rPr>
              <w:t xml:space="preserve">than that set out </w:t>
            </w:r>
            <w:r w:rsidR="00EA1986">
              <w:rPr>
                <w:rFonts w:ascii="Arial" w:hAnsi="Arial" w:cs="Arial"/>
                <w:sz w:val="18"/>
                <w:szCs w:val="18"/>
              </w:rPr>
              <w:t>in Article</w:t>
            </w:r>
            <w:r w:rsidR="00EC7232">
              <w:rPr>
                <w:rFonts w:ascii="Arial" w:hAnsi="Arial" w:cs="Arial"/>
                <w:sz w:val="18"/>
                <w:szCs w:val="18"/>
              </w:rPr>
              <w:t xml:space="preserve"> 126(1)</w:t>
            </w:r>
            <w:r w:rsidR="00BC6C84">
              <w:rPr>
                <w:rFonts w:ascii="Arial" w:hAnsi="Arial" w:cs="Arial"/>
                <w:sz w:val="18"/>
                <w:szCs w:val="18"/>
              </w:rPr>
              <w:t xml:space="preserve"> </w:t>
            </w:r>
            <w:r w:rsidR="00EC7232">
              <w:rPr>
                <w:rFonts w:ascii="Arial" w:hAnsi="Arial" w:cs="Arial"/>
                <w:sz w:val="18"/>
                <w:szCs w:val="18"/>
              </w:rPr>
              <w:t xml:space="preserve">CRR </w:t>
            </w:r>
            <w:r w:rsidRPr="005C0E18">
              <w:rPr>
                <w:rFonts w:ascii="Arial" w:hAnsi="Arial" w:cs="Arial"/>
                <w:sz w:val="18"/>
                <w:szCs w:val="18"/>
              </w:rPr>
              <w:t xml:space="preserve">for exposures </w:t>
            </w:r>
            <w:r w:rsidR="00EC7232">
              <w:rPr>
                <w:rFonts w:ascii="Arial" w:hAnsi="Arial" w:cs="Arial"/>
                <w:sz w:val="18"/>
                <w:szCs w:val="18"/>
              </w:rPr>
              <w:t>fully and completely</w:t>
            </w:r>
            <w:r w:rsidRPr="005C0E18">
              <w:rPr>
                <w:rFonts w:ascii="Arial" w:hAnsi="Arial" w:cs="Arial"/>
                <w:sz w:val="18"/>
                <w:szCs w:val="18"/>
              </w:rPr>
              <w:t xml:space="preserve"> secured by mortgages on commercial immovable property? </w:t>
            </w:r>
          </w:p>
          <w:p w14:paraId="4D0B0165" w14:textId="5C0B9085" w:rsidR="004D5899" w:rsidRDefault="004D5899" w:rsidP="004D5899">
            <w:pPr>
              <w:spacing w:after="0" w:line="288" w:lineRule="auto"/>
              <w:ind w:left="360"/>
              <w:contextualSpacing/>
              <w:jc w:val="both"/>
              <w:rPr>
                <w:rFonts w:ascii="Arial" w:hAnsi="Arial" w:cs="Arial"/>
                <w:sz w:val="18"/>
                <w:szCs w:val="18"/>
              </w:rPr>
            </w:pPr>
            <w:r>
              <w:rPr>
                <w:rFonts w:ascii="Arial" w:hAnsi="Arial" w:cs="Arial"/>
                <w:sz w:val="18"/>
                <w:szCs w:val="18"/>
              </w:rPr>
              <w:br/>
              <w:t>Yes.</w:t>
            </w:r>
          </w:p>
          <w:p w14:paraId="3D19C27D" w14:textId="77777777" w:rsidR="004D5899" w:rsidRPr="005C0E18" w:rsidRDefault="004D5899" w:rsidP="004D5899">
            <w:pPr>
              <w:spacing w:after="0" w:line="288" w:lineRule="auto"/>
              <w:contextualSpacing/>
              <w:jc w:val="both"/>
              <w:rPr>
                <w:rFonts w:ascii="Arial" w:hAnsi="Arial" w:cs="Arial"/>
                <w:sz w:val="18"/>
                <w:szCs w:val="18"/>
              </w:rPr>
            </w:pPr>
          </w:p>
          <w:p w14:paraId="46DD9307" w14:textId="77777777" w:rsidR="00E33F0E" w:rsidRDefault="00AB4888" w:rsidP="004D5899">
            <w:pPr>
              <w:numPr>
                <w:ilvl w:val="0"/>
                <w:numId w:val="5"/>
              </w:numPr>
              <w:spacing w:after="0" w:line="288" w:lineRule="auto"/>
              <w:contextualSpacing/>
              <w:jc w:val="both"/>
              <w:rPr>
                <w:rFonts w:ascii="Arial" w:hAnsi="Arial" w:cs="Arial"/>
                <w:sz w:val="18"/>
                <w:szCs w:val="18"/>
              </w:rPr>
            </w:pPr>
            <w:r w:rsidRPr="005C0E18">
              <w:rPr>
                <w:rFonts w:ascii="Arial" w:hAnsi="Arial" w:cs="Arial"/>
                <w:sz w:val="18"/>
                <w:szCs w:val="18"/>
              </w:rPr>
              <w:t xml:space="preserve">If yes, </w:t>
            </w:r>
            <w:r w:rsidR="00845F9A">
              <w:rPr>
                <w:rFonts w:ascii="Arial" w:hAnsi="Arial" w:cs="Arial"/>
                <w:sz w:val="18"/>
                <w:szCs w:val="18"/>
              </w:rPr>
              <w:t>please specify:</w:t>
            </w:r>
          </w:p>
          <w:p w14:paraId="0B5B642E" w14:textId="094AD8AC" w:rsidR="004D5899" w:rsidRDefault="004D5899" w:rsidP="004D5899">
            <w:pPr>
              <w:spacing w:after="0" w:line="288" w:lineRule="auto"/>
              <w:ind w:left="360"/>
              <w:contextualSpacing/>
              <w:jc w:val="both"/>
              <w:rPr>
                <w:rFonts w:ascii="Arial" w:hAnsi="Arial" w:cs="Arial"/>
                <w:sz w:val="18"/>
                <w:szCs w:val="18"/>
              </w:rPr>
            </w:pPr>
            <w:r>
              <w:rPr>
                <w:rFonts w:ascii="Arial" w:hAnsi="Arial" w:cs="Arial"/>
                <w:sz w:val="18"/>
                <w:szCs w:val="18"/>
              </w:rPr>
              <w:br/>
            </w:r>
            <w:r w:rsidR="00B01563">
              <w:rPr>
                <w:rFonts w:ascii="Arial" w:hAnsi="Arial" w:cs="Arial"/>
                <w:sz w:val="18"/>
                <w:szCs w:val="18"/>
              </w:rPr>
              <w:t xml:space="preserve">Commercial immovable property, except </w:t>
            </w:r>
            <w:r>
              <w:rPr>
                <w:rFonts w:ascii="Arial" w:hAnsi="Arial" w:cs="Arial"/>
                <w:sz w:val="18"/>
                <w:szCs w:val="18"/>
              </w:rPr>
              <w:t>agricultural immovable property</w:t>
            </w:r>
            <w:r w:rsidR="00B01563">
              <w:rPr>
                <w:rFonts w:ascii="Arial" w:hAnsi="Arial" w:cs="Arial"/>
                <w:sz w:val="18"/>
                <w:szCs w:val="18"/>
              </w:rPr>
              <w:t xml:space="preserve">, </w:t>
            </w:r>
            <w:r w:rsidR="001A5A9A" w:rsidRPr="001A5A9A">
              <w:rPr>
                <w:rFonts w:ascii="Arial" w:hAnsi="Arial" w:cs="Arial"/>
                <w:sz w:val="18"/>
                <w:szCs w:val="18"/>
              </w:rPr>
              <w:t xml:space="preserve">shall not be </w:t>
            </w:r>
            <w:r w:rsidR="001A5A9A" w:rsidRPr="001A5A9A">
              <w:rPr>
                <w:rFonts w:ascii="Arial" w:hAnsi="Arial" w:cs="Arial"/>
                <w:sz w:val="18"/>
                <w:szCs w:val="18"/>
              </w:rPr>
              <w:t>considered</w:t>
            </w:r>
            <w:r w:rsidR="001A5A9A" w:rsidRPr="001A5A9A">
              <w:rPr>
                <w:rFonts w:ascii="Arial" w:hAnsi="Arial" w:cs="Arial"/>
                <w:sz w:val="18"/>
                <w:szCs w:val="18"/>
              </w:rPr>
              <w:t xml:space="preserve"> when assigning risk weights</w:t>
            </w:r>
            <w:r w:rsidR="001A5A9A">
              <w:rPr>
                <w:rFonts w:ascii="Arial" w:hAnsi="Arial" w:cs="Arial"/>
                <w:sz w:val="18"/>
                <w:szCs w:val="18"/>
              </w:rPr>
              <w:t xml:space="preserve">. This will result in a risk weight of 100 per cent for exposures secured by commercial immovable property and 75 per cent for </w:t>
            </w:r>
            <w:r w:rsidR="001A5A9A">
              <w:rPr>
                <w:rFonts w:ascii="Arial" w:hAnsi="Arial" w:cs="Arial"/>
                <w:sz w:val="18"/>
                <w:szCs w:val="18"/>
              </w:rPr>
              <w:t>exposures secured by</w:t>
            </w:r>
            <w:r w:rsidR="001A5A9A">
              <w:rPr>
                <w:rFonts w:ascii="Arial" w:hAnsi="Arial" w:cs="Arial"/>
                <w:sz w:val="18"/>
                <w:szCs w:val="18"/>
              </w:rPr>
              <w:t xml:space="preserve"> commercial immovable property meeting the requirements for inclusion in the retail category.</w:t>
            </w:r>
            <w:r>
              <w:rPr>
                <w:rFonts w:ascii="Arial" w:hAnsi="Arial" w:cs="Arial"/>
                <w:sz w:val="18"/>
                <w:szCs w:val="18"/>
              </w:rPr>
              <w:t xml:space="preserve"> Exposures secured by agricultural immovable property, which is not considered residential immovable property, will be subject to the risk weight set out in article 126(1) CRR.</w:t>
            </w:r>
          </w:p>
          <w:p w14:paraId="161FA474" w14:textId="7BDE1C88" w:rsidR="004D5899" w:rsidRPr="004D5899" w:rsidRDefault="004D5899" w:rsidP="004D5899">
            <w:pPr>
              <w:spacing w:after="0" w:line="288" w:lineRule="auto"/>
              <w:ind w:left="360"/>
              <w:contextualSpacing/>
              <w:jc w:val="both"/>
              <w:rPr>
                <w:rFonts w:ascii="Arial" w:hAnsi="Arial" w:cs="Arial"/>
                <w:sz w:val="18"/>
                <w:szCs w:val="18"/>
              </w:rPr>
            </w:pPr>
          </w:p>
        </w:tc>
      </w:tr>
      <w:tr w:rsidR="001E54D7" w:rsidRPr="005C0E18" w14:paraId="42C9F0C9" w14:textId="77777777" w:rsidTr="001E54D7">
        <w:trPr>
          <w:trHeight w:val="1404"/>
        </w:trPr>
        <w:tc>
          <w:tcPr>
            <w:tcW w:w="3350" w:type="dxa"/>
            <w:vMerge/>
            <w:vAlign w:val="center"/>
          </w:tcPr>
          <w:p w14:paraId="02CB67B2" w14:textId="77777777" w:rsidR="001E54D7" w:rsidRPr="005C0E18" w:rsidRDefault="001E54D7" w:rsidP="001E54D7">
            <w:pPr>
              <w:spacing w:after="100" w:line="288" w:lineRule="auto"/>
              <w:jc w:val="both"/>
              <w:rPr>
                <w:rFonts w:ascii="Arial" w:hAnsi="Arial" w:cs="Arial"/>
                <w:b/>
                <w:sz w:val="18"/>
                <w:szCs w:val="18"/>
                <w:lang w:eastAsia="de-DE" w:bidi="pa-IN"/>
              </w:rPr>
            </w:pPr>
            <w:permStart w:id="1265990872" w:edGrp="everyone" w:colFirst="1" w:colLast="1"/>
            <w:permEnd w:id="303638337"/>
          </w:p>
        </w:tc>
        <w:tc>
          <w:tcPr>
            <w:tcW w:w="6114" w:type="dxa"/>
          </w:tcPr>
          <w:p w14:paraId="5DC9ECC4" w14:textId="0533D161" w:rsidR="00DA543F" w:rsidRDefault="00AB4888" w:rsidP="00DA543F">
            <w:pPr>
              <w:numPr>
                <w:ilvl w:val="0"/>
                <w:numId w:val="5"/>
              </w:numPr>
              <w:spacing w:after="0" w:line="288" w:lineRule="auto"/>
              <w:contextualSpacing/>
              <w:jc w:val="both"/>
              <w:rPr>
                <w:rFonts w:ascii="Arial" w:hAnsi="Arial" w:cs="Arial"/>
                <w:sz w:val="18"/>
                <w:szCs w:val="18"/>
              </w:rPr>
            </w:pPr>
            <w:r w:rsidRPr="00DA543F">
              <w:rPr>
                <w:rFonts w:ascii="Arial" w:hAnsi="Arial" w:cs="Arial"/>
                <w:sz w:val="18"/>
                <w:szCs w:val="18"/>
              </w:rPr>
              <w:t>Do you intend to apply stricter criteria than thos</w:t>
            </w:r>
            <w:r w:rsidR="00F815A1" w:rsidRPr="00DA543F">
              <w:rPr>
                <w:rFonts w:ascii="Arial" w:hAnsi="Arial" w:cs="Arial"/>
                <w:sz w:val="18"/>
                <w:szCs w:val="18"/>
              </w:rPr>
              <w:t>e set out in Article 126(2) CRR</w:t>
            </w:r>
            <w:r w:rsidR="00B81452" w:rsidRPr="00DA543F">
              <w:rPr>
                <w:rFonts w:ascii="Arial" w:hAnsi="Arial" w:cs="Arial"/>
                <w:sz w:val="18"/>
                <w:szCs w:val="18"/>
              </w:rPr>
              <w:t xml:space="preserve"> </w:t>
            </w:r>
            <w:r w:rsidR="00DC31C1">
              <w:rPr>
                <w:rFonts w:ascii="Arial" w:hAnsi="Arial" w:cs="Arial"/>
                <w:sz w:val="18"/>
                <w:szCs w:val="18"/>
              </w:rPr>
              <w:t xml:space="preserve">for </w:t>
            </w:r>
            <w:r w:rsidRPr="00DA543F">
              <w:rPr>
                <w:rFonts w:ascii="Arial" w:hAnsi="Arial" w:cs="Arial"/>
                <w:sz w:val="18"/>
                <w:szCs w:val="18"/>
              </w:rPr>
              <w:t xml:space="preserve">exposures fully and completely secured by mortgages on commercial immovable property? </w:t>
            </w:r>
          </w:p>
          <w:p w14:paraId="6FB124FF" w14:textId="77777777" w:rsidR="004D5899" w:rsidRDefault="004D5899" w:rsidP="004D5899">
            <w:pPr>
              <w:spacing w:after="0" w:line="288" w:lineRule="auto"/>
              <w:ind w:left="360"/>
              <w:contextualSpacing/>
              <w:jc w:val="both"/>
              <w:rPr>
                <w:rFonts w:ascii="Arial" w:hAnsi="Arial" w:cs="Arial"/>
                <w:sz w:val="18"/>
                <w:szCs w:val="18"/>
              </w:rPr>
            </w:pPr>
          </w:p>
          <w:p w14:paraId="7BDB8A6D" w14:textId="78460FBF" w:rsidR="004D5899" w:rsidRDefault="004D5899" w:rsidP="004D5899">
            <w:pPr>
              <w:spacing w:after="0" w:line="288" w:lineRule="auto"/>
              <w:ind w:left="360"/>
              <w:contextualSpacing/>
              <w:jc w:val="both"/>
              <w:rPr>
                <w:rFonts w:ascii="Arial" w:hAnsi="Arial" w:cs="Arial"/>
                <w:sz w:val="18"/>
                <w:szCs w:val="18"/>
              </w:rPr>
            </w:pPr>
            <w:r>
              <w:rPr>
                <w:rFonts w:ascii="Arial" w:hAnsi="Arial" w:cs="Arial"/>
                <w:sz w:val="18"/>
                <w:szCs w:val="18"/>
              </w:rPr>
              <w:t>No.</w:t>
            </w:r>
          </w:p>
          <w:p w14:paraId="0A142B33" w14:textId="32D71404" w:rsidR="00E33F0E" w:rsidRPr="004B2AB5" w:rsidRDefault="00E33F0E" w:rsidP="004D5899">
            <w:pPr>
              <w:spacing w:after="0" w:line="288" w:lineRule="auto"/>
              <w:ind w:left="360"/>
              <w:contextualSpacing/>
              <w:jc w:val="both"/>
              <w:rPr>
                <w:rFonts w:ascii="Arial" w:hAnsi="Arial" w:cs="Arial"/>
                <w:sz w:val="18"/>
                <w:szCs w:val="18"/>
              </w:rPr>
            </w:pPr>
          </w:p>
        </w:tc>
      </w:tr>
      <w:permEnd w:id="1265990872"/>
      <w:tr w:rsidR="001E54D7" w:rsidRPr="005C0E18" w14:paraId="7D2CD5C9" w14:textId="77777777" w:rsidTr="001E54D7">
        <w:trPr>
          <w:trHeight w:val="738"/>
        </w:trPr>
        <w:tc>
          <w:tcPr>
            <w:tcW w:w="3350" w:type="dxa"/>
            <w:vAlign w:val="center"/>
          </w:tcPr>
          <w:p w14:paraId="58271DC5" w14:textId="1EFD57B0" w:rsidR="001E54D7" w:rsidRPr="005C0E18" w:rsidRDefault="00AB4888">
            <w:pPr>
              <w:spacing w:after="100" w:line="288" w:lineRule="auto"/>
              <w:jc w:val="both"/>
              <w:rPr>
                <w:rFonts w:ascii="Arial" w:hAnsi="Arial" w:cs="Arial"/>
                <w:b/>
                <w:sz w:val="18"/>
                <w:szCs w:val="18"/>
                <w:lang w:eastAsia="de-DE" w:bidi="pa-IN"/>
              </w:rPr>
            </w:pPr>
            <w:r>
              <w:rPr>
                <w:rFonts w:ascii="Arial" w:eastAsia="Times New Roman" w:hAnsi="Arial" w:cs="Arial"/>
                <w:b/>
                <w:sz w:val="18"/>
                <w:szCs w:val="18"/>
                <w:lang w:eastAsia="de-DE" w:bidi="pa-IN"/>
              </w:rPr>
              <w:t>2.3 O</w:t>
            </w:r>
            <w:r w:rsidRPr="004A25C6">
              <w:rPr>
                <w:rFonts w:ascii="Arial" w:eastAsia="Times New Roman" w:hAnsi="Arial" w:cs="Arial"/>
                <w:b/>
                <w:sz w:val="18"/>
                <w:szCs w:val="18"/>
                <w:lang w:eastAsia="de-DE" w:bidi="pa-IN"/>
              </w:rPr>
              <w:t>ther relevant information</w:t>
            </w:r>
          </w:p>
        </w:tc>
        <w:tc>
          <w:tcPr>
            <w:tcW w:w="6114" w:type="dxa"/>
          </w:tcPr>
          <w:p w14:paraId="225D3135" w14:textId="77777777" w:rsidR="00DE5BEE" w:rsidRDefault="00DE5BEE" w:rsidP="008636EC">
            <w:pPr>
              <w:spacing w:after="0" w:line="288" w:lineRule="auto"/>
              <w:contextualSpacing/>
              <w:jc w:val="both"/>
              <w:rPr>
                <w:rFonts w:ascii="Arial" w:eastAsia="Times New Roman" w:hAnsi="Arial" w:cs="Arial"/>
                <w:sz w:val="18"/>
                <w:szCs w:val="18"/>
                <w:lang w:eastAsia="de-DE" w:bidi="pa-IN"/>
              </w:rPr>
            </w:pPr>
          </w:p>
          <w:p w14:paraId="6FADE4BB" w14:textId="71E9688F" w:rsidR="001E54D7" w:rsidRPr="005C0E18" w:rsidRDefault="00AB4888" w:rsidP="008636EC">
            <w:pPr>
              <w:spacing w:after="0" w:line="288" w:lineRule="auto"/>
              <w:contextualSpacing/>
              <w:jc w:val="both"/>
              <w:rPr>
                <w:rFonts w:ascii="Arial" w:hAnsi="Arial" w:cs="Arial"/>
                <w:sz w:val="18"/>
                <w:szCs w:val="18"/>
              </w:rPr>
            </w:pPr>
            <w:permStart w:id="1632927524" w:edGrp="everyone"/>
            <w:r w:rsidRPr="004A25C6">
              <w:rPr>
                <w:rFonts w:ascii="Arial" w:eastAsia="Times New Roman" w:hAnsi="Arial" w:cs="Arial"/>
                <w:sz w:val="18"/>
                <w:szCs w:val="18"/>
                <w:lang w:eastAsia="de-DE" w:bidi="pa-IN"/>
              </w:rPr>
              <w:t>Any other relevant informatio</w:t>
            </w:r>
            <w:r w:rsidR="006E5558">
              <w:rPr>
                <w:rFonts w:ascii="Arial" w:eastAsia="Times New Roman" w:hAnsi="Arial" w:cs="Arial"/>
                <w:sz w:val="18"/>
                <w:szCs w:val="18"/>
                <w:lang w:eastAsia="de-DE" w:bidi="pa-IN"/>
              </w:rPr>
              <w:t>n.</w:t>
            </w:r>
            <w:permEnd w:id="1632927524"/>
          </w:p>
        </w:tc>
      </w:tr>
      <w:tr w:rsidR="001E54D7" w:rsidRPr="005C0E18" w14:paraId="2E438BA5" w14:textId="77777777" w:rsidTr="001E54D7">
        <w:trPr>
          <w:trHeight w:val="804"/>
        </w:trPr>
        <w:tc>
          <w:tcPr>
            <w:tcW w:w="9464" w:type="dxa"/>
            <w:gridSpan w:val="2"/>
            <w:shd w:val="clear" w:color="auto" w:fill="BFBFBF"/>
            <w:vAlign w:val="center"/>
          </w:tcPr>
          <w:p w14:paraId="3C1289F7" w14:textId="4F70037D" w:rsidR="001E54D7" w:rsidRPr="005C0E18" w:rsidRDefault="00AB4888" w:rsidP="001E54D7">
            <w:pPr>
              <w:numPr>
                <w:ilvl w:val="0"/>
                <w:numId w:val="2"/>
              </w:numPr>
              <w:spacing w:after="0" w:line="288" w:lineRule="auto"/>
              <w:contextualSpacing/>
              <w:jc w:val="both"/>
              <w:rPr>
                <w:rFonts w:ascii="Arial" w:hAnsi="Arial" w:cs="Arial"/>
                <w:b/>
                <w:sz w:val="18"/>
                <w:szCs w:val="18"/>
              </w:rPr>
            </w:pPr>
            <w:r>
              <w:rPr>
                <w:rFonts w:ascii="Arial" w:hAnsi="Arial" w:cs="Arial"/>
                <w:b/>
                <w:sz w:val="18"/>
                <w:szCs w:val="18"/>
              </w:rPr>
              <w:t xml:space="preserve">Timing </w:t>
            </w:r>
            <w:r w:rsidR="003B443C">
              <w:rPr>
                <w:rFonts w:ascii="Arial" w:hAnsi="Arial" w:cs="Arial"/>
                <w:b/>
                <w:sz w:val="18"/>
                <w:szCs w:val="18"/>
              </w:rPr>
              <w:t>for</w:t>
            </w:r>
            <w:r>
              <w:rPr>
                <w:rFonts w:ascii="Arial" w:hAnsi="Arial" w:cs="Arial"/>
                <w:b/>
                <w:sz w:val="18"/>
                <w:szCs w:val="18"/>
              </w:rPr>
              <w:t xml:space="preserve"> the measure</w:t>
            </w:r>
          </w:p>
        </w:tc>
      </w:tr>
      <w:tr w:rsidR="001E54D7" w:rsidRPr="005C0E18" w14:paraId="7AF636EC" w14:textId="77777777" w:rsidTr="001E54D7">
        <w:trPr>
          <w:trHeight w:val="464"/>
        </w:trPr>
        <w:tc>
          <w:tcPr>
            <w:tcW w:w="3350" w:type="dxa"/>
            <w:vAlign w:val="center"/>
          </w:tcPr>
          <w:p w14:paraId="7050F448" w14:textId="3E02F71D" w:rsidR="001E54D7" w:rsidRDefault="00AB4888" w:rsidP="001E54D7">
            <w:pPr>
              <w:spacing w:after="100" w:line="288" w:lineRule="auto"/>
              <w:jc w:val="both"/>
              <w:rPr>
                <w:rFonts w:ascii="Arial" w:eastAsia="Times New Roman" w:hAnsi="Arial" w:cs="Arial"/>
                <w:b/>
                <w:sz w:val="18"/>
                <w:szCs w:val="18"/>
                <w:lang w:eastAsia="de-DE" w:bidi="pa-IN"/>
              </w:rPr>
            </w:pPr>
            <w:permStart w:id="2110395999" w:edGrp="everyone" w:colFirst="1" w:colLast="1"/>
            <w:r>
              <w:rPr>
                <w:rFonts w:ascii="Arial" w:eastAsia="Times New Roman" w:hAnsi="Arial" w:cs="Arial"/>
                <w:b/>
                <w:sz w:val="18"/>
                <w:szCs w:val="18"/>
                <w:lang w:eastAsia="de-DE" w:bidi="pa-IN"/>
              </w:rPr>
              <w:t xml:space="preserve">3.1 Timing </w:t>
            </w:r>
            <w:r w:rsidR="003B443C">
              <w:rPr>
                <w:rFonts w:ascii="Arial" w:eastAsia="Times New Roman" w:hAnsi="Arial" w:cs="Arial"/>
                <w:b/>
                <w:sz w:val="18"/>
                <w:szCs w:val="18"/>
                <w:lang w:eastAsia="de-DE" w:bidi="pa-IN"/>
              </w:rPr>
              <w:t>for</w:t>
            </w:r>
            <w:r>
              <w:rPr>
                <w:rFonts w:ascii="Arial" w:eastAsia="Times New Roman" w:hAnsi="Arial" w:cs="Arial"/>
                <w:b/>
                <w:sz w:val="18"/>
                <w:szCs w:val="18"/>
                <w:lang w:eastAsia="de-DE" w:bidi="pa-IN"/>
              </w:rPr>
              <w:t xml:space="preserve"> the </w:t>
            </w:r>
            <w:r w:rsidR="000F5706">
              <w:rPr>
                <w:rFonts w:ascii="Arial" w:eastAsia="Times New Roman" w:hAnsi="Arial" w:cs="Arial"/>
                <w:b/>
                <w:sz w:val="18"/>
                <w:szCs w:val="18"/>
                <w:lang w:eastAsia="de-DE" w:bidi="pa-IN"/>
              </w:rPr>
              <w:t>d</w:t>
            </w:r>
            <w:r w:rsidRPr="003A7879">
              <w:rPr>
                <w:rFonts w:ascii="Arial" w:eastAsia="Times New Roman" w:hAnsi="Arial" w:cs="Arial"/>
                <w:b/>
                <w:sz w:val="18"/>
                <w:szCs w:val="18"/>
                <w:lang w:eastAsia="de-DE" w:bidi="pa-IN"/>
              </w:rPr>
              <w:t>ecision</w:t>
            </w:r>
          </w:p>
        </w:tc>
        <w:tc>
          <w:tcPr>
            <w:tcW w:w="6114" w:type="dxa"/>
            <w:vAlign w:val="center"/>
          </w:tcPr>
          <w:p w14:paraId="3E699845" w14:textId="77777777" w:rsidR="00F71996" w:rsidRDefault="00F71996" w:rsidP="00F71996">
            <w:pPr>
              <w:spacing w:after="0" w:line="288" w:lineRule="auto"/>
              <w:contextualSpacing/>
              <w:jc w:val="both"/>
              <w:rPr>
                <w:rFonts w:ascii="Arial" w:eastAsia="Times New Roman" w:hAnsi="Arial" w:cs="Arial"/>
                <w:color w:val="FF0000"/>
                <w:sz w:val="18"/>
                <w:szCs w:val="18"/>
                <w:lang w:eastAsia="en-GB"/>
              </w:rPr>
            </w:pPr>
            <w:r>
              <w:rPr>
                <w:rFonts w:ascii="Arial" w:eastAsia="Times New Roman" w:hAnsi="Arial" w:cs="Arial"/>
                <w:color w:val="FF0000"/>
                <w:sz w:val="18"/>
                <w:szCs w:val="18"/>
                <w:lang w:eastAsia="en-GB"/>
              </w:rPr>
              <w:t>[</w:t>
            </w:r>
            <w:r w:rsidRPr="00B01563">
              <w:rPr>
                <w:rFonts w:ascii="Arial" w:eastAsia="Times New Roman" w:hAnsi="Arial" w:cs="Arial"/>
                <w:color w:val="FF0000"/>
                <w:sz w:val="18"/>
                <w:szCs w:val="18"/>
                <w:lang w:eastAsia="en-GB"/>
              </w:rPr>
              <w:t>Fylles ut av Finansdepartementet</w:t>
            </w:r>
            <w:r>
              <w:rPr>
                <w:rFonts w:ascii="Arial" w:eastAsia="Times New Roman" w:hAnsi="Arial" w:cs="Arial"/>
                <w:color w:val="FF0000"/>
                <w:sz w:val="18"/>
                <w:szCs w:val="18"/>
                <w:lang w:eastAsia="en-GB"/>
              </w:rPr>
              <w:t>]</w:t>
            </w:r>
          </w:p>
          <w:p w14:paraId="0622EF8F" w14:textId="77777777" w:rsidR="00B01563" w:rsidRPr="00B01563" w:rsidRDefault="00B01563" w:rsidP="00B01563">
            <w:pPr>
              <w:spacing w:after="0" w:line="288" w:lineRule="auto"/>
              <w:contextualSpacing/>
              <w:jc w:val="both"/>
              <w:rPr>
                <w:rFonts w:ascii="Arial" w:hAnsi="Arial" w:cs="Arial"/>
                <w:color w:val="FF0000"/>
                <w:sz w:val="18"/>
                <w:szCs w:val="18"/>
              </w:rPr>
            </w:pPr>
          </w:p>
          <w:p w14:paraId="6CB868F6" w14:textId="70C05010" w:rsidR="001E54D7" w:rsidRDefault="00AB4888" w:rsidP="001E54D7">
            <w:pPr>
              <w:spacing w:after="0" w:line="288" w:lineRule="auto"/>
              <w:contextualSpacing/>
              <w:jc w:val="both"/>
              <w:rPr>
                <w:rFonts w:ascii="Arial" w:hAnsi="Arial" w:cs="Arial"/>
                <w:sz w:val="18"/>
                <w:szCs w:val="18"/>
              </w:rPr>
            </w:pPr>
            <w:r w:rsidRPr="0008649B">
              <w:rPr>
                <w:rFonts w:ascii="Arial" w:eastAsia="Times New Roman" w:hAnsi="Arial" w:cs="Arial"/>
                <w:sz w:val="18"/>
                <w:szCs w:val="18"/>
                <w:lang w:eastAsia="en-GB"/>
              </w:rPr>
              <w:t xml:space="preserve">What </w:t>
            </w:r>
            <w:r>
              <w:rPr>
                <w:rFonts w:ascii="Arial" w:eastAsia="Times New Roman" w:hAnsi="Arial" w:cs="Arial"/>
                <w:sz w:val="18"/>
                <w:szCs w:val="18"/>
                <w:lang w:eastAsia="en-GB"/>
              </w:rPr>
              <w:t>is</w:t>
            </w:r>
            <w:r w:rsidRPr="0008649B">
              <w:rPr>
                <w:rFonts w:ascii="Arial" w:eastAsia="Times New Roman" w:hAnsi="Arial" w:cs="Arial"/>
                <w:sz w:val="18"/>
                <w:szCs w:val="18"/>
                <w:lang w:eastAsia="en-GB"/>
              </w:rPr>
              <w:t xml:space="preserve"> the date of the official </w:t>
            </w:r>
            <w:r>
              <w:rPr>
                <w:rFonts w:ascii="Arial" w:eastAsia="Times New Roman" w:hAnsi="Arial" w:cs="Arial"/>
                <w:sz w:val="18"/>
                <w:szCs w:val="18"/>
                <w:lang w:eastAsia="en-GB"/>
              </w:rPr>
              <w:t>d</w:t>
            </w:r>
            <w:r w:rsidRPr="0008649B">
              <w:rPr>
                <w:rFonts w:ascii="Arial" w:eastAsia="Times New Roman" w:hAnsi="Arial" w:cs="Arial"/>
                <w:sz w:val="18"/>
                <w:szCs w:val="18"/>
                <w:lang w:eastAsia="en-GB"/>
              </w:rPr>
              <w:t>ecision?</w:t>
            </w:r>
            <w:r>
              <w:rPr>
                <w:rFonts w:ascii="Arial" w:eastAsia="Times New Roman" w:hAnsi="Arial" w:cs="Arial"/>
                <w:sz w:val="18"/>
                <w:szCs w:val="18"/>
                <w:lang w:eastAsia="en-GB"/>
              </w:rPr>
              <w:t xml:space="preserve"> </w:t>
            </w:r>
            <w:r w:rsidRPr="00D5691B">
              <w:rPr>
                <w:rFonts w:ascii="Arial" w:eastAsia="Times New Roman" w:hAnsi="Arial" w:cs="Arial"/>
                <w:sz w:val="18"/>
                <w:szCs w:val="18"/>
                <w:u w:val="single"/>
                <w:lang w:eastAsia="en-GB"/>
              </w:rPr>
              <w:t>For SSM</w:t>
            </w:r>
            <w:r w:rsidRPr="0008649B">
              <w:rPr>
                <w:rFonts w:ascii="Arial" w:hAnsi="Arial" w:cs="Arial"/>
                <w:sz w:val="18"/>
                <w:szCs w:val="18"/>
                <w:u w:val="single"/>
              </w:rPr>
              <w:t xml:space="preserve"> countries </w:t>
            </w:r>
            <w:r w:rsidR="0019497C">
              <w:rPr>
                <w:rFonts w:ascii="Arial" w:hAnsi="Arial" w:cs="Arial"/>
                <w:sz w:val="18"/>
                <w:szCs w:val="18"/>
                <w:u w:val="single"/>
              </w:rPr>
              <w:t xml:space="preserve">when </w:t>
            </w:r>
            <w:r w:rsidRPr="0008649B">
              <w:rPr>
                <w:rFonts w:ascii="Arial" w:hAnsi="Arial" w:cs="Arial"/>
                <w:sz w:val="18"/>
                <w:szCs w:val="18"/>
                <w:u w:val="single"/>
              </w:rPr>
              <w:t>notifying the ECB:</w:t>
            </w:r>
            <w:r w:rsidRPr="0008649B">
              <w:rPr>
                <w:rFonts w:ascii="Arial" w:hAnsi="Arial" w:cs="Arial"/>
                <w:sz w:val="18"/>
                <w:szCs w:val="18"/>
              </w:rPr>
              <w:t xml:space="preserve"> provide the date </w:t>
            </w:r>
            <w:r w:rsidR="00CE3D02">
              <w:rPr>
                <w:rFonts w:ascii="Arial" w:hAnsi="Arial" w:cs="Arial"/>
                <w:sz w:val="18"/>
                <w:szCs w:val="18"/>
              </w:rPr>
              <w:t xml:space="preserve">on which </w:t>
            </w:r>
            <w:r w:rsidRPr="0008649B">
              <w:rPr>
                <w:rFonts w:ascii="Arial" w:hAnsi="Arial" w:cs="Arial"/>
                <w:sz w:val="18"/>
                <w:szCs w:val="18"/>
              </w:rPr>
              <w:t xml:space="preserve">the decision referred to in Article 5 </w:t>
            </w:r>
            <w:r w:rsidR="004B78BC">
              <w:rPr>
                <w:rFonts w:ascii="Arial" w:hAnsi="Arial" w:cs="Arial"/>
                <w:sz w:val="18"/>
                <w:szCs w:val="18"/>
              </w:rPr>
              <w:t>of the Single Supervisory Mechanism Regulation (</w:t>
            </w:r>
            <w:r w:rsidRPr="0008649B">
              <w:rPr>
                <w:rFonts w:ascii="Arial" w:hAnsi="Arial" w:cs="Arial"/>
                <w:sz w:val="18"/>
                <w:szCs w:val="18"/>
              </w:rPr>
              <w:t>SSMR</w:t>
            </w:r>
            <w:r w:rsidR="004B78BC">
              <w:rPr>
                <w:rFonts w:ascii="Arial" w:hAnsi="Arial" w:cs="Arial"/>
                <w:sz w:val="18"/>
                <w:szCs w:val="18"/>
              </w:rPr>
              <w:t>)</w:t>
            </w:r>
            <w:r w:rsidRPr="0008649B">
              <w:rPr>
                <w:rFonts w:ascii="Arial" w:hAnsi="Arial" w:cs="Arial"/>
                <w:sz w:val="18"/>
                <w:szCs w:val="18"/>
              </w:rPr>
              <w:t xml:space="preserve"> </w:t>
            </w:r>
            <w:r w:rsidR="00CE3D02">
              <w:rPr>
                <w:rFonts w:ascii="Arial" w:hAnsi="Arial" w:cs="Arial"/>
                <w:sz w:val="18"/>
                <w:szCs w:val="18"/>
              </w:rPr>
              <w:t xml:space="preserve">will </w:t>
            </w:r>
            <w:r w:rsidRPr="0008649B">
              <w:rPr>
                <w:rFonts w:ascii="Arial" w:hAnsi="Arial" w:cs="Arial"/>
                <w:sz w:val="18"/>
                <w:szCs w:val="18"/>
              </w:rPr>
              <w:t>be taken.</w:t>
            </w:r>
          </w:p>
          <w:p w14:paraId="799F9A7A" w14:textId="77777777" w:rsidR="00E27C78" w:rsidRDefault="00000000" w:rsidP="001E54D7">
            <w:pPr>
              <w:spacing w:after="0" w:line="288" w:lineRule="auto"/>
              <w:contextualSpacing/>
              <w:jc w:val="both"/>
            </w:pPr>
            <w:sdt>
              <w:sdtPr>
                <w:rPr>
                  <w:rFonts w:ascii="Arial" w:eastAsia="Times New Roman" w:hAnsi="Arial" w:cs="Arial"/>
                  <w:sz w:val="20"/>
                  <w:szCs w:val="20"/>
                  <w:lang w:eastAsia="en-GB"/>
                </w:rPr>
                <w:id w:val="-605415895"/>
                <w:placeholder>
                  <w:docPart w:val="8EF912E016FD4FFFADD7B0EA89C3D9FC"/>
                </w:placeholder>
                <w:showingPlcHdr/>
                <w:date>
                  <w:dateFormat w:val="dd/MM/yyyy"/>
                  <w:lid w:val="en-GB"/>
                  <w:storeMappedDataAs w:val="dateTime"/>
                  <w:calendar w:val="gregorian"/>
                </w:date>
              </w:sdtPr>
              <w:sdtContent>
                <w:r w:rsidR="00E27C78" w:rsidRPr="00100B00">
                  <w:rPr>
                    <w:rStyle w:val="Plassholdertekst"/>
                    <w:rFonts w:ascii="Arial" w:hAnsi="Arial" w:cs="Arial"/>
                    <w:color w:val="auto"/>
                    <w:sz w:val="18"/>
                    <w:szCs w:val="18"/>
                  </w:rPr>
                  <w:t>Click here to enter a date.</w:t>
                </w:r>
              </w:sdtContent>
            </w:sdt>
          </w:p>
        </w:tc>
      </w:tr>
      <w:tr w:rsidR="001E54D7" w:rsidRPr="005C0E18" w14:paraId="6C10587A" w14:textId="77777777" w:rsidTr="00BF278E">
        <w:trPr>
          <w:trHeight w:val="708"/>
        </w:trPr>
        <w:tc>
          <w:tcPr>
            <w:tcW w:w="3350" w:type="dxa"/>
            <w:vAlign w:val="center"/>
          </w:tcPr>
          <w:p w14:paraId="52A5FEA2" w14:textId="4C79ED04" w:rsidR="001E54D7" w:rsidRDefault="00AB4888" w:rsidP="001E54D7">
            <w:pPr>
              <w:spacing w:after="100" w:line="288" w:lineRule="auto"/>
              <w:jc w:val="both"/>
              <w:rPr>
                <w:rFonts w:ascii="Arial" w:eastAsia="Times New Roman" w:hAnsi="Arial" w:cs="Arial"/>
                <w:b/>
                <w:sz w:val="18"/>
                <w:szCs w:val="18"/>
                <w:lang w:eastAsia="de-DE" w:bidi="pa-IN"/>
              </w:rPr>
            </w:pPr>
            <w:permStart w:id="401606946" w:edGrp="everyone" w:colFirst="1" w:colLast="1"/>
            <w:permEnd w:id="2110395999"/>
            <w:r>
              <w:rPr>
                <w:rFonts w:ascii="Arial" w:eastAsia="Times New Roman" w:hAnsi="Arial" w:cs="Arial"/>
                <w:b/>
                <w:sz w:val="18"/>
                <w:szCs w:val="18"/>
                <w:lang w:eastAsia="de-DE" w:bidi="pa-IN"/>
              </w:rPr>
              <w:t xml:space="preserve">3.2 Timing </w:t>
            </w:r>
            <w:r w:rsidR="003B443C">
              <w:rPr>
                <w:rFonts w:ascii="Arial" w:eastAsia="Times New Roman" w:hAnsi="Arial" w:cs="Arial"/>
                <w:b/>
                <w:sz w:val="18"/>
                <w:szCs w:val="18"/>
                <w:lang w:eastAsia="de-DE" w:bidi="pa-IN"/>
              </w:rPr>
              <w:t xml:space="preserve">for </w:t>
            </w:r>
            <w:r w:rsidR="000F5706">
              <w:rPr>
                <w:rFonts w:ascii="Arial" w:eastAsia="Times New Roman" w:hAnsi="Arial" w:cs="Arial"/>
                <w:b/>
                <w:sz w:val="18"/>
                <w:szCs w:val="18"/>
                <w:lang w:eastAsia="de-DE" w:bidi="pa-IN"/>
              </w:rPr>
              <w:t>p</w:t>
            </w:r>
            <w:r w:rsidRPr="003A7879">
              <w:rPr>
                <w:rFonts w:ascii="Arial" w:eastAsia="Times New Roman" w:hAnsi="Arial" w:cs="Arial"/>
                <w:b/>
                <w:sz w:val="18"/>
                <w:szCs w:val="18"/>
                <w:lang w:eastAsia="de-DE" w:bidi="pa-IN"/>
              </w:rPr>
              <w:t>ublication</w:t>
            </w:r>
          </w:p>
        </w:tc>
        <w:tc>
          <w:tcPr>
            <w:tcW w:w="6114" w:type="dxa"/>
            <w:vAlign w:val="center"/>
          </w:tcPr>
          <w:p w14:paraId="424C13DC" w14:textId="5EF98034" w:rsidR="00B01563" w:rsidRDefault="00F71996" w:rsidP="00B01563">
            <w:pPr>
              <w:spacing w:after="0" w:line="288" w:lineRule="auto"/>
              <w:contextualSpacing/>
              <w:jc w:val="both"/>
              <w:rPr>
                <w:rFonts w:ascii="Arial" w:eastAsia="Times New Roman" w:hAnsi="Arial" w:cs="Arial"/>
                <w:color w:val="FF0000"/>
                <w:sz w:val="18"/>
                <w:szCs w:val="18"/>
                <w:lang w:eastAsia="en-GB"/>
              </w:rPr>
            </w:pPr>
            <w:r>
              <w:rPr>
                <w:rFonts w:ascii="Arial" w:eastAsia="Times New Roman" w:hAnsi="Arial" w:cs="Arial"/>
                <w:color w:val="FF0000"/>
                <w:sz w:val="18"/>
                <w:szCs w:val="18"/>
                <w:lang w:eastAsia="en-GB"/>
              </w:rPr>
              <w:t>[</w:t>
            </w:r>
            <w:r w:rsidR="00B01563" w:rsidRPr="00B01563">
              <w:rPr>
                <w:rFonts w:ascii="Arial" w:eastAsia="Times New Roman" w:hAnsi="Arial" w:cs="Arial"/>
                <w:color w:val="FF0000"/>
                <w:sz w:val="18"/>
                <w:szCs w:val="18"/>
                <w:lang w:eastAsia="en-GB"/>
              </w:rPr>
              <w:t>Fylles ut av Finansdepartementet</w:t>
            </w:r>
            <w:r>
              <w:rPr>
                <w:rFonts w:ascii="Arial" w:eastAsia="Times New Roman" w:hAnsi="Arial" w:cs="Arial"/>
                <w:color w:val="FF0000"/>
                <w:sz w:val="18"/>
                <w:szCs w:val="18"/>
                <w:lang w:eastAsia="en-GB"/>
              </w:rPr>
              <w:t>]</w:t>
            </w:r>
          </w:p>
          <w:p w14:paraId="21A338D2" w14:textId="77777777" w:rsidR="00B01563" w:rsidRPr="00B01563" w:rsidRDefault="00B01563" w:rsidP="00B01563">
            <w:pPr>
              <w:spacing w:after="0" w:line="288" w:lineRule="auto"/>
              <w:contextualSpacing/>
              <w:jc w:val="both"/>
              <w:rPr>
                <w:rFonts w:ascii="Arial" w:hAnsi="Arial" w:cs="Arial"/>
                <w:color w:val="FF0000"/>
                <w:sz w:val="18"/>
                <w:szCs w:val="18"/>
              </w:rPr>
            </w:pPr>
          </w:p>
          <w:p w14:paraId="45267347" w14:textId="077F0BA5" w:rsidR="001E54D7" w:rsidRDefault="00AB4888" w:rsidP="001E54D7">
            <w:pPr>
              <w:spacing w:after="0" w:line="288" w:lineRule="auto"/>
              <w:contextualSpacing/>
              <w:jc w:val="both"/>
              <w:rPr>
                <w:rFonts w:ascii="Arial" w:eastAsia="Times New Roman" w:hAnsi="Arial" w:cs="Arial"/>
                <w:sz w:val="18"/>
                <w:szCs w:val="18"/>
                <w:lang w:eastAsia="en-GB"/>
              </w:rPr>
            </w:pPr>
            <w:r w:rsidRPr="0008649B">
              <w:rPr>
                <w:rFonts w:ascii="Arial" w:eastAsia="Times New Roman" w:hAnsi="Arial" w:cs="Arial"/>
                <w:sz w:val="18"/>
                <w:szCs w:val="18"/>
                <w:lang w:eastAsia="en-GB"/>
              </w:rPr>
              <w:t xml:space="preserve">What </w:t>
            </w:r>
            <w:r>
              <w:rPr>
                <w:rFonts w:ascii="Arial" w:eastAsia="Times New Roman" w:hAnsi="Arial" w:cs="Arial"/>
                <w:sz w:val="18"/>
                <w:szCs w:val="18"/>
                <w:lang w:eastAsia="en-GB"/>
              </w:rPr>
              <w:t>is</w:t>
            </w:r>
            <w:r w:rsidRPr="0008649B">
              <w:rPr>
                <w:rFonts w:ascii="Arial" w:eastAsia="Times New Roman" w:hAnsi="Arial" w:cs="Arial"/>
                <w:sz w:val="18"/>
                <w:szCs w:val="18"/>
                <w:lang w:eastAsia="en-GB"/>
              </w:rPr>
              <w:t xml:space="preserve"> the date of </w:t>
            </w:r>
            <w:r>
              <w:rPr>
                <w:rFonts w:ascii="Arial" w:eastAsia="Times New Roman" w:hAnsi="Arial" w:cs="Arial"/>
                <w:sz w:val="18"/>
                <w:szCs w:val="18"/>
                <w:lang w:eastAsia="en-GB"/>
              </w:rPr>
              <w:t xml:space="preserve">publication </w:t>
            </w:r>
            <w:r w:rsidR="00CE3D02">
              <w:rPr>
                <w:rFonts w:ascii="Arial" w:eastAsia="Times New Roman" w:hAnsi="Arial" w:cs="Arial"/>
                <w:sz w:val="18"/>
                <w:szCs w:val="18"/>
                <w:lang w:eastAsia="en-GB"/>
              </w:rPr>
              <w:t>for</w:t>
            </w:r>
            <w:r>
              <w:rPr>
                <w:rFonts w:ascii="Arial" w:eastAsia="Times New Roman" w:hAnsi="Arial" w:cs="Arial"/>
                <w:sz w:val="18"/>
                <w:szCs w:val="18"/>
                <w:lang w:eastAsia="en-GB"/>
              </w:rPr>
              <w:t xml:space="preserve"> the notified measure</w:t>
            </w:r>
            <w:r w:rsidRPr="0008649B">
              <w:rPr>
                <w:rFonts w:ascii="Arial" w:eastAsia="Times New Roman" w:hAnsi="Arial" w:cs="Arial"/>
                <w:sz w:val="18"/>
                <w:szCs w:val="18"/>
                <w:lang w:eastAsia="en-GB"/>
              </w:rPr>
              <w:t>?</w:t>
            </w:r>
          </w:p>
          <w:p w14:paraId="6F21503E" w14:textId="77777777" w:rsidR="00E27C78" w:rsidRDefault="00000000" w:rsidP="001E54D7">
            <w:pPr>
              <w:spacing w:after="0" w:line="288" w:lineRule="auto"/>
              <w:contextualSpacing/>
              <w:jc w:val="both"/>
            </w:pPr>
            <w:sdt>
              <w:sdtPr>
                <w:rPr>
                  <w:rFonts w:ascii="Arial" w:eastAsia="Times New Roman" w:hAnsi="Arial" w:cs="Arial"/>
                  <w:sz w:val="20"/>
                  <w:szCs w:val="20"/>
                  <w:lang w:eastAsia="en-GB"/>
                </w:rPr>
                <w:id w:val="-790444516"/>
                <w:placeholder>
                  <w:docPart w:val="ED92F0024FD04095AEC40DAD85FC56C1"/>
                </w:placeholder>
                <w:showingPlcHdr/>
                <w:date>
                  <w:dateFormat w:val="dd/MM/yyyy"/>
                  <w:lid w:val="en-GB"/>
                  <w:storeMappedDataAs w:val="dateTime"/>
                  <w:calendar w:val="gregorian"/>
                </w:date>
              </w:sdtPr>
              <w:sdtContent>
                <w:r w:rsidR="00E27C78" w:rsidRPr="00100B00">
                  <w:rPr>
                    <w:rStyle w:val="Plassholdertekst"/>
                    <w:rFonts w:ascii="Arial" w:hAnsi="Arial" w:cs="Arial"/>
                    <w:color w:val="auto"/>
                    <w:sz w:val="18"/>
                    <w:szCs w:val="18"/>
                  </w:rPr>
                  <w:t>Click here to enter a date.</w:t>
                </w:r>
              </w:sdtContent>
            </w:sdt>
          </w:p>
        </w:tc>
      </w:tr>
      <w:tr w:rsidR="001E54D7" w:rsidRPr="005C0E18" w14:paraId="3D28B393" w14:textId="77777777" w:rsidTr="001E54D7">
        <w:trPr>
          <w:trHeight w:val="464"/>
        </w:trPr>
        <w:tc>
          <w:tcPr>
            <w:tcW w:w="3350" w:type="dxa"/>
            <w:vAlign w:val="center"/>
          </w:tcPr>
          <w:p w14:paraId="4A1F2732" w14:textId="77777777" w:rsidR="001E54D7" w:rsidRDefault="00AB4888" w:rsidP="001E54D7">
            <w:pPr>
              <w:spacing w:after="100" w:line="288" w:lineRule="auto"/>
              <w:jc w:val="both"/>
              <w:rPr>
                <w:rFonts w:ascii="Arial" w:eastAsia="Times New Roman" w:hAnsi="Arial" w:cs="Arial"/>
                <w:b/>
                <w:sz w:val="18"/>
                <w:szCs w:val="18"/>
                <w:lang w:eastAsia="de-DE" w:bidi="pa-IN"/>
              </w:rPr>
            </w:pPr>
            <w:permStart w:id="689966931" w:edGrp="everyone" w:colFirst="1" w:colLast="1"/>
            <w:permEnd w:id="401606946"/>
            <w:r>
              <w:rPr>
                <w:rFonts w:ascii="Arial" w:eastAsia="Times New Roman" w:hAnsi="Arial" w:cs="Arial"/>
                <w:b/>
                <w:sz w:val="18"/>
                <w:szCs w:val="18"/>
                <w:lang w:eastAsia="de-DE" w:bidi="pa-IN"/>
              </w:rPr>
              <w:t>3.3</w:t>
            </w:r>
            <w:r w:rsidRPr="003A7879">
              <w:rPr>
                <w:rFonts w:ascii="Arial" w:eastAsia="Times New Roman" w:hAnsi="Arial" w:cs="Arial"/>
                <w:b/>
                <w:sz w:val="18"/>
                <w:szCs w:val="18"/>
                <w:lang w:eastAsia="de-DE" w:bidi="pa-IN"/>
              </w:rPr>
              <w:t xml:space="preserve"> Disclosure</w:t>
            </w:r>
          </w:p>
        </w:tc>
        <w:tc>
          <w:tcPr>
            <w:tcW w:w="6114" w:type="dxa"/>
            <w:vAlign w:val="center"/>
          </w:tcPr>
          <w:p w14:paraId="3380C30C" w14:textId="77777777" w:rsidR="00F71996" w:rsidRDefault="00F71996" w:rsidP="00F71996">
            <w:pPr>
              <w:spacing w:after="0" w:line="288" w:lineRule="auto"/>
              <w:contextualSpacing/>
              <w:jc w:val="both"/>
              <w:rPr>
                <w:rFonts w:ascii="Arial" w:eastAsia="Times New Roman" w:hAnsi="Arial" w:cs="Arial"/>
                <w:color w:val="FF0000"/>
                <w:sz w:val="18"/>
                <w:szCs w:val="18"/>
                <w:lang w:eastAsia="en-GB"/>
              </w:rPr>
            </w:pPr>
            <w:r>
              <w:rPr>
                <w:rFonts w:ascii="Arial" w:eastAsia="Times New Roman" w:hAnsi="Arial" w:cs="Arial"/>
                <w:color w:val="FF0000"/>
                <w:sz w:val="18"/>
                <w:szCs w:val="18"/>
                <w:lang w:eastAsia="en-GB"/>
              </w:rPr>
              <w:t>[</w:t>
            </w:r>
            <w:r w:rsidRPr="00B01563">
              <w:rPr>
                <w:rFonts w:ascii="Arial" w:eastAsia="Times New Roman" w:hAnsi="Arial" w:cs="Arial"/>
                <w:color w:val="FF0000"/>
                <w:sz w:val="18"/>
                <w:szCs w:val="18"/>
                <w:lang w:eastAsia="en-GB"/>
              </w:rPr>
              <w:t>Fylles ut av Finansdepartementet</w:t>
            </w:r>
            <w:r>
              <w:rPr>
                <w:rFonts w:ascii="Arial" w:eastAsia="Times New Roman" w:hAnsi="Arial" w:cs="Arial"/>
                <w:color w:val="FF0000"/>
                <w:sz w:val="18"/>
                <w:szCs w:val="18"/>
                <w:lang w:eastAsia="en-GB"/>
              </w:rPr>
              <w:t>]</w:t>
            </w:r>
          </w:p>
          <w:p w14:paraId="282F9224" w14:textId="2DF787B9" w:rsidR="001E54D7" w:rsidRDefault="00AB4888" w:rsidP="001E54D7">
            <w:pPr>
              <w:spacing w:before="120" w:after="120"/>
              <w:rPr>
                <w:rFonts w:ascii="Arial" w:eastAsia="Times New Roman" w:hAnsi="Arial" w:cs="Arial"/>
                <w:sz w:val="18"/>
                <w:szCs w:val="18"/>
                <w:lang w:eastAsia="en-GB"/>
              </w:rPr>
            </w:pPr>
            <w:r w:rsidRPr="003A7879">
              <w:rPr>
                <w:rFonts w:ascii="Arial" w:eastAsia="Times New Roman" w:hAnsi="Arial" w:cs="Arial"/>
                <w:sz w:val="18"/>
                <w:szCs w:val="18"/>
                <w:lang w:eastAsia="en-GB"/>
              </w:rPr>
              <w:t xml:space="preserve">Information about the strategy </w:t>
            </w:r>
            <w:r w:rsidR="00004B6F">
              <w:rPr>
                <w:rFonts w:ascii="Arial" w:eastAsia="Times New Roman" w:hAnsi="Arial" w:cs="Arial"/>
                <w:sz w:val="18"/>
                <w:szCs w:val="18"/>
                <w:lang w:eastAsia="en-GB"/>
              </w:rPr>
              <w:t xml:space="preserve">for communicating </w:t>
            </w:r>
            <w:r w:rsidR="00246AEF">
              <w:rPr>
                <w:rFonts w:ascii="Arial" w:eastAsia="Times New Roman" w:hAnsi="Arial" w:cs="Arial"/>
                <w:sz w:val="18"/>
                <w:szCs w:val="18"/>
                <w:lang w:eastAsia="en-GB"/>
              </w:rPr>
              <w:t>t</w:t>
            </w:r>
            <w:r w:rsidRPr="003A7879">
              <w:rPr>
                <w:rFonts w:ascii="Arial" w:eastAsia="Times New Roman" w:hAnsi="Arial" w:cs="Arial"/>
                <w:sz w:val="18"/>
                <w:szCs w:val="18"/>
                <w:lang w:eastAsia="en-GB"/>
              </w:rPr>
              <w:t>he notified measure to the market.</w:t>
            </w:r>
          </w:p>
          <w:p w14:paraId="440634E9" w14:textId="0C1E985B" w:rsidR="00E27C78" w:rsidRDefault="00B96E60" w:rsidP="001E54D7">
            <w:pPr>
              <w:spacing w:before="120" w:after="120"/>
            </w:pPr>
            <w:r>
              <w:rPr>
                <w:rFonts w:ascii="Arial" w:eastAsia="Times New Roman" w:hAnsi="Arial" w:cs="Arial"/>
                <w:sz w:val="18"/>
                <w:szCs w:val="18"/>
                <w:lang w:eastAsia="en-GB"/>
              </w:rPr>
              <w:t>P</w:t>
            </w:r>
            <w:r w:rsidR="00E27C78">
              <w:rPr>
                <w:rFonts w:ascii="Arial" w:eastAsia="Times New Roman" w:hAnsi="Arial" w:cs="Arial"/>
                <w:sz w:val="18"/>
                <w:szCs w:val="18"/>
                <w:lang w:eastAsia="en-GB"/>
              </w:rPr>
              <w:t>lease provide a link to the public announcement</w:t>
            </w:r>
            <w:r>
              <w:rPr>
                <w:rFonts w:ascii="Arial" w:eastAsia="Times New Roman" w:hAnsi="Arial" w:cs="Arial"/>
                <w:sz w:val="18"/>
                <w:szCs w:val="18"/>
                <w:lang w:eastAsia="en-GB"/>
              </w:rPr>
              <w:t>, if any</w:t>
            </w:r>
            <w:r w:rsidR="00E27C78">
              <w:rPr>
                <w:rFonts w:ascii="Arial" w:eastAsia="Times New Roman" w:hAnsi="Arial" w:cs="Arial"/>
                <w:sz w:val="18"/>
                <w:szCs w:val="18"/>
                <w:lang w:eastAsia="en-GB"/>
              </w:rPr>
              <w:t>.</w:t>
            </w:r>
          </w:p>
        </w:tc>
      </w:tr>
      <w:tr w:rsidR="001E54D7" w:rsidRPr="005C0E18" w14:paraId="2CCC428C" w14:textId="77777777" w:rsidTr="001E54D7">
        <w:trPr>
          <w:trHeight w:val="464"/>
        </w:trPr>
        <w:tc>
          <w:tcPr>
            <w:tcW w:w="3350" w:type="dxa"/>
            <w:vAlign w:val="center"/>
          </w:tcPr>
          <w:p w14:paraId="5D7DDB94" w14:textId="6BBB4426" w:rsidR="001E54D7" w:rsidRDefault="00AB4888" w:rsidP="001E54D7">
            <w:pPr>
              <w:spacing w:after="100" w:line="288" w:lineRule="auto"/>
              <w:jc w:val="both"/>
              <w:rPr>
                <w:rFonts w:ascii="Arial" w:eastAsia="Times New Roman" w:hAnsi="Arial" w:cs="Arial"/>
                <w:b/>
                <w:sz w:val="18"/>
                <w:szCs w:val="18"/>
                <w:lang w:eastAsia="de-DE" w:bidi="pa-IN"/>
              </w:rPr>
            </w:pPr>
            <w:permStart w:id="110328946" w:edGrp="everyone" w:colFirst="1" w:colLast="1"/>
            <w:permEnd w:id="689966931"/>
            <w:r>
              <w:rPr>
                <w:rFonts w:ascii="Arial" w:eastAsia="Times New Roman" w:hAnsi="Arial" w:cs="Arial"/>
                <w:b/>
                <w:sz w:val="18"/>
                <w:szCs w:val="18"/>
                <w:lang w:eastAsia="de-DE" w:bidi="pa-IN"/>
              </w:rPr>
              <w:t>3.</w:t>
            </w:r>
            <w:r w:rsidR="00031C55">
              <w:rPr>
                <w:rFonts w:ascii="Arial" w:eastAsia="Times New Roman" w:hAnsi="Arial" w:cs="Arial"/>
                <w:b/>
                <w:sz w:val="18"/>
                <w:szCs w:val="18"/>
                <w:lang w:eastAsia="de-DE" w:bidi="pa-IN"/>
              </w:rPr>
              <w:t>4</w:t>
            </w:r>
            <w:r>
              <w:rPr>
                <w:rFonts w:ascii="Arial" w:eastAsia="Times New Roman" w:hAnsi="Arial" w:cs="Arial"/>
                <w:b/>
                <w:sz w:val="18"/>
                <w:szCs w:val="18"/>
                <w:lang w:eastAsia="de-DE" w:bidi="pa-IN"/>
              </w:rPr>
              <w:t xml:space="preserve"> Timing </w:t>
            </w:r>
            <w:r w:rsidR="003B443C">
              <w:rPr>
                <w:rFonts w:ascii="Arial" w:eastAsia="Times New Roman" w:hAnsi="Arial" w:cs="Arial"/>
                <w:b/>
                <w:sz w:val="18"/>
                <w:szCs w:val="18"/>
                <w:lang w:eastAsia="de-DE" w:bidi="pa-IN"/>
              </w:rPr>
              <w:t>for</w:t>
            </w:r>
            <w:r>
              <w:rPr>
                <w:rFonts w:ascii="Arial" w:eastAsia="Times New Roman" w:hAnsi="Arial" w:cs="Arial"/>
                <w:b/>
                <w:sz w:val="18"/>
                <w:szCs w:val="18"/>
                <w:lang w:eastAsia="de-DE" w:bidi="pa-IN"/>
              </w:rPr>
              <w:t xml:space="preserve"> application</w:t>
            </w:r>
          </w:p>
        </w:tc>
        <w:tc>
          <w:tcPr>
            <w:tcW w:w="6114" w:type="dxa"/>
            <w:vAlign w:val="center"/>
          </w:tcPr>
          <w:p w14:paraId="04B01DCE" w14:textId="77777777" w:rsidR="00F71996" w:rsidRDefault="00F71996" w:rsidP="00F71996">
            <w:pPr>
              <w:spacing w:after="0" w:line="288" w:lineRule="auto"/>
              <w:contextualSpacing/>
              <w:jc w:val="both"/>
              <w:rPr>
                <w:rFonts w:ascii="Arial" w:eastAsia="Times New Roman" w:hAnsi="Arial" w:cs="Arial"/>
                <w:color w:val="FF0000"/>
                <w:sz w:val="18"/>
                <w:szCs w:val="18"/>
                <w:lang w:eastAsia="en-GB"/>
              </w:rPr>
            </w:pPr>
            <w:r>
              <w:rPr>
                <w:rFonts w:ascii="Arial" w:eastAsia="Times New Roman" w:hAnsi="Arial" w:cs="Arial"/>
                <w:color w:val="FF0000"/>
                <w:sz w:val="18"/>
                <w:szCs w:val="18"/>
                <w:lang w:eastAsia="en-GB"/>
              </w:rPr>
              <w:t>[</w:t>
            </w:r>
            <w:r w:rsidRPr="00B01563">
              <w:rPr>
                <w:rFonts w:ascii="Arial" w:eastAsia="Times New Roman" w:hAnsi="Arial" w:cs="Arial"/>
                <w:color w:val="FF0000"/>
                <w:sz w:val="18"/>
                <w:szCs w:val="18"/>
                <w:lang w:eastAsia="en-GB"/>
              </w:rPr>
              <w:t>Fylles ut av Finansdepartementet</w:t>
            </w:r>
            <w:r>
              <w:rPr>
                <w:rFonts w:ascii="Arial" w:eastAsia="Times New Roman" w:hAnsi="Arial" w:cs="Arial"/>
                <w:color w:val="FF0000"/>
                <w:sz w:val="18"/>
                <w:szCs w:val="18"/>
                <w:lang w:eastAsia="en-GB"/>
              </w:rPr>
              <w:t>]</w:t>
            </w:r>
          </w:p>
          <w:p w14:paraId="2B351C79" w14:textId="1FC23C80" w:rsidR="003F6BC2" w:rsidRPr="00100B00" w:rsidRDefault="003F6BC2" w:rsidP="003F6BC2">
            <w:pPr>
              <w:spacing w:before="120" w:after="120"/>
              <w:rPr>
                <w:rFonts w:ascii="Arial" w:eastAsia="Times New Roman" w:hAnsi="Arial" w:cs="Arial"/>
                <w:sz w:val="18"/>
                <w:szCs w:val="18"/>
                <w:lang w:eastAsia="de-DE" w:bidi="pa-IN"/>
              </w:rPr>
            </w:pPr>
            <w:r w:rsidRPr="00100B00">
              <w:rPr>
                <w:rFonts w:ascii="Arial" w:eastAsia="Times New Roman" w:hAnsi="Arial" w:cs="Arial"/>
                <w:sz w:val="18"/>
                <w:szCs w:val="18"/>
                <w:lang w:eastAsia="de-DE" w:bidi="pa-IN"/>
              </w:rPr>
              <w:t xml:space="preserve">What is the intended date </w:t>
            </w:r>
            <w:r w:rsidR="00DB34F6" w:rsidRPr="00100B00">
              <w:rPr>
                <w:rFonts w:ascii="Arial" w:eastAsia="Times New Roman" w:hAnsi="Arial" w:cs="Arial"/>
                <w:sz w:val="18"/>
                <w:szCs w:val="18"/>
                <w:lang w:eastAsia="de-DE" w:bidi="pa-IN"/>
              </w:rPr>
              <w:t>for</w:t>
            </w:r>
            <w:r w:rsidRPr="00100B00">
              <w:rPr>
                <w:rFonts w:ascii="Arial" w:eastAsia="Times New Roman" w:hAnsi="Arial" w:cs="Arial"/>
                <w:sz w:val="18"/>
                <w:szCs w:val="18"/>
                <w:lang w:eastAsia="de-DE" w:bidi="pa-IN"/>
              </w:rPr>
              <w:t xml:space="preserve"> application of the measure? </w:t>
            </w:r>
          </w:p>
          <w:p w14:paraId="61EBC408" w14:textId="77777777" w:rsidR="00E27C78" w:rsidRPr="00100B00" w:rsidRDefault="00000000" w:rsidP="001E54D7">
            <w:pPr>
              <w:spacing w:before="120" w:after="120"/>
              <w:rPr>
                <w:rFonts w:ascii="Arial" w:eastAsia="Times New Roman" w:hAnsi="Arial" w:cs="Arial"/>
                <w:sz w:val="18"/>
                <w:szCs w:val="18"/>
                <w:lang w:eastAsia="en-GB"/>
              </w:rPr>
            </w:pPr>
            <w:sdt>
              <w:sdtPr>
                <w:rPr>
                  <w:rFonts w:ascii="Arial" w:eastAsia="Times New Roman" w:hAnsi="Arial" w:cs="Arial"/>
                  <w:sz w:val="18"/>
                  <w:szCs w:val="18"/>
                  <w:lang w:eastAsia="en-GB"/>
                </w:rPr>
                <w:id w:val="1076320315"/>
                <w:placeholder>
                  <w:docPart w:val="51A3EDE1E2D0495AACCA3729F387367F"/>
                </w:placeholder>
                <w:showingPlcHdr/>
                <w:date>
                  <w:dateFormat w:val="dd/MM/yyyy"/>
                  <w:lid w:val="en-GB"/>
                  <w:storeMappedDataAs w:val="dateTime"/>
                  <w:calendar w:val="gregorian"/>
                </w:date>
              </w:sdtPr>
              <w:sdtContent>
                <w:r w:rsidR="00E27C78" w:rsidRPr="00100B00">
                  <w:rPr>
                    <w:rStyle w:val="Plassholdertekst"/>
                    <w:rFonts w:ascii="Arial" w:hAnsi="Arial" w:cs="Arial"/>
                    <w:color w:val="auto"/>
                    <w:sz w:val="18"/>
                    <w:szCs w:val="18"/>
                  </w:rPr>
                  <w:t>Click here to enter a date.</w:t>
                </w:r>
              </w:sdtContent>
            </w:sdt>
          </w:p>
        </w:tc>
      </w:tr>
      <w:tr w:rsidR="001E54D7" w:rsidRPr="005C0E18" w14:paraId="20686F96" w14:textId="77777777" w:rsidTr="001E54D7">
        <w:trPr>
          <w:trHeight w:val="1146"/>
        </w:trPr>
        <w:tc>
          <w:tcPr>
            <w:tcW w:w="3350" w:type="dxa"/>
            <w:vAlign w:val="center"/>
          </w:tcPr>
          <w:p w14:paraId="3321ADF5" w14:textId="2CBBE449" w:rsidR="001E54D7" w:rsidRPr="005C0E18" w:rsidRDefault="00AB4888">
            <w:pPr>
              <w:spacing w:after="100" w:line="288" w:lineRule="auto"/>
              <w:jc w:val="both"/>
              <w:rPr>
                <w:rFonts w:ascii="Arial" w:hAnsi="Arial" w:cs="Arial"/>
                <w:b/>
                <w:sz w:val="18"/>
                <w:szCs w:val="18"/>
                <w:lang w:eastAsia="de-DE" w:bidi="pa-IN"/>
              </w:rPr>
            </w:pPr>
            <w:permStart w:id="331245451" w:edGrp="everyone" w:colFirst="1" w:colLast="1"/>
            <w:permEnd w:id="110328946"/>
            <w:r>
              <w:rPr>
                <w:rFonts w:ascii="Arial" w:hAnsi="Arial" w:cs="Arial"/>
                <w:b/>
                <w:sz w:val="18"/>
                <w:szCs w:val="18"/>
                <w:lang w:eastAsia="de-DE" w:bidi="pa-IN"/>
              </w:rPr>
              <w:t>3</w:t>
            </w:r>
            <w:r w:rsidRPr="005C0E18">
              <w:rPr>
                <w:rFonts w:ascii="Arial" w:hAnsi="Arial" w:cs="Arial"/>
                <w:b/>
                <w:sz w:val="18"/>
                <w:szCs w:val="18"/>
                <w:lang w:eastAsia="de-DE" w:bidi="pa-IN"/>
              </w:rPr>
              <w:t>.</w:t>
            </w:r>
            <w:r w:rsidR="00031C55">
              <w:rPr>
                <w:rFonts w:ascii="Arial" w:hAnsi="Arial" w:cs="Arial"/>
                <w:b/>
                <w:sz w:val="18"/>
                <w:szCs w:val="18"/>
                <w:lang w:eastAsia="de-DE" w:bidi="pa-IN"/>
              </w:rPr>
              <w:t>5</w:t>
            </w:r>
            <w:r w:rsidRPr="005C0E18">
              <w:rPr>
                <w:rFonts w:ascii="Arial" w:hAnsi="Arial" w:cs="Arial"/>
                <w:b/>
                <w:sz w:val="18"/>
                <w:szCs w:val="18"/>
                <w:lang w:eastAsia="de-DE" w:bidi="pa-IN"/>
              </w:rPr>
              <w:t xml:space="preserve"> Frequency</w:t>
            </w:r>
            <w:r>
              <w:rPr>
                <w:rFonts w:ascii="Arial" w:hAnsi="Arial" w:cs="Arial"/>
                <w:b/>
                <w:sz w:val="18"/>
                <w:szCs w:val="18"/>
                <w:lang w:eastAsia="de-DE" w:bidi="pa-IN"/>
              </w:rPr>
              <w:t>/review</w:t>
            </w:r>
          </w:p>
        </w:tc>
        <w:tc>
          <w:tcPr>
            <w:tcW w:w="6114" w:type="dxa"/>
          </w:tcPr>
          <w:p w14:paraId="03C7732C" w14:textId="77777777" w:rsidR="00F71996" w:rsidRDefault="00F71996" w:rsidP="00F71996">
            <w:pPr>
              <w:spacing w:after="0" w:line="288" w:lineRule="auto"/>
              <w:contextualSpacing/>
              <w:jc w:val="both"/>
              <w:rPr>
                <w:rFonts w:ascii="Arial" w:eastAsia="Times New Roman" w:hAnsi="Arial" w:cs="Arial"/>
                <w:color w:val="FF0000"/>
                <w:sz w:val="18"/>
                <w:szCs w:val="18"/>
                <w:lang w:eastAsia="en-GB"/>
              </w:rPr>
            </w:pPr>
            <w:r>
              <w:rPr>
                <w:rFonts w:ascii="Arial" w:eastAsia="Times New Roman" w:hAnsi="Arial" w:cs="Arial"/>
                <w:color w:val="FF0000"/>
                <w:sz w:val="18"/>
                <w:szCs w:val="18"/>
                <w:lang w:eastAsia="en-GB"/>
              </w:rPr>
              <w:t>[</w:t>
            </w:r>
            <w:r w:rsidRPr="00B01563">
              <w:rPr>
                <w:rFonts w:ascii="Arial" w:eastAsia="Times New Roman" w:hAnsi="Arial" w:cs="Arial"/>
                <w:color w:val="FF0000"/>
                <w:sz w:val="18"/>
                <w:szCs w:val="18"/>
                <w:lang w:eastAsia="en-GB"/>
              </w:rPr>
              <w:t>Fylles ut av Finansdepartementet</w:t>
            </w:r>
            <w:r>
              <w:rPr>
                <w:rFonts w:ascii="Arial" w:eastAsia="Times New Roman" w:hAnsi="Arial" w:cs="Arial"/>
                <w:color w:val="FF0000"/>
                <w:sz w:val="18"/>
                <w:szCs w:val="18"/>
                <w:lang w:eastAsia="en-GB"/>
              </w:rPr>
              <w:t>]</w:t>
            </w:r>
          </w:p>
          <w:p w14:paraId="4C1BBF7F" w14:textId="77777777" w:rsidR="00B01563" w:rsidRPr="00B01563" w:rsidRDefault="00B01563" w:rsidP="00B01563">
            <w:pPr>
              <w:spacing w:after="0" w:line="288" w:lineRule="auto"/>
              <w:contextualSpacing/>
              <w:jc w:val="both"/>
              <w:rPr>
                <w:rFonts w:ascii="Arial" w:hAnsi="Arial" w:cs="Arial"/>
                <w:color w:val="FF0000"/>
                <w:sz w:val="18"/>
                <w:szCs w:val="18"/>
              </w:rPr>
            </w:pPr>
          </w:p>
          <w:p w14:paraId="5F96347C" w14:textId="0DE10A42" w:rsidR="00C119AB" w:rsidRPr="005C0E18" w:rsidRDefault="00AE6836" w:rsidP="00C05B38">
            <w:pPr>
              <w:spacing w:after="0" w:line="288" w:lineRule="auto"/>
              <w:contextualSpacing/>
              <w:jc w:val="both"/>
              <w:rPr>
                <w:rFonts w:ascii="Arial" w:hAnsi="Arial" w:cs="Arial"/>
                <w:sz w:val="18"/>
                <w:szCs w:val="18"/>
              </w:rPr>
            </w:pPr>
            <w:r w:rsidRPr="00AE6836">
              <w:rPr>
                <w:rFonts w:ascii="Arial" w:hAnsi="Arial" w:cs="Arial"/>
                <w:sz w:val="18"/>
                <w:szCs w:val="18"/>
              </w:rPr>
              <w:t>Does your decision to set higher risk weights have an expir</w:t>
            </w:r>
            <w:r w:rsidR="009F1DC5">
              <w:rPr>
                <w:rFonts w:ascii="Arial" w:hAnsi="Arial" w:cs="Arial"/>
                <w:sz w:val="18"/>
                <w:szCs w:val="18"/>
              </w:rPr>
              <w:t xml:space="preserve">y </w:t>
            </w:r>
            <w:r w:rsidRPr="00AE6836">
              <w:rPr>
                <w:rFonts w:ascii="Arial" w:hAnsi="Arial" w:cs="Arial"/>
                <w:sz w:val="18"/>
                <w:szCs w:val="18"/>
              </w:rPr>
              <w:t>date?</w:t>
            </w:r>
            <w:r w:rsidR="00AB4888">
              <w:rPr>
                <w:rFonts w:ascii="Arial" w:hAnsi="Arial" w:cs="Arial"/>
                <w:sz w:val="18"/>
                <w:szCs w:val="18"/>
              </w:rPr>
              <w:t xml:space="preserve"> When will the decision be reviewed?</w:t>
            </w:r>
          </w:p>
        </w:tc>
      </w:tr>
      <w:permEnd w:id="331245451"/>
      <w:tr w:rsidR="00580FE9" w:rsidRPr="005C0E18" w14:paraId="0EA4A43B" w14:textId="77777777" w:rsidTr="001E54D7">
        <w:trPr>
          <w:trHeight w:val="804"/>
        </w:trPr>
        <w:tc>
          <w:tcPr>
            <w:tcW w:w="9464" w:type="dxa"/>
            <w:gridSpan w:val="2"/>
            <w:shd w:val="clear" w:color="auto" w:fill="BFBFBF"/>
            <w:vAlign w:val="center"/>
          </w:tcPr>
          <w:p w14:paraId="618D8E9A" w14:textId="1EE33D7A" w:rsidR="00580FE9" w:rsidRPr="005C0E18" w:rsidRDefault="00580FE9" w:rsidP="00580FE9">
            <w:pPr>
              <w:numPr>
                <w:ilvl w:val="0"/>
                <w:numId w:val="2"/>
              </w:numPr>
              <w:spacing w:after="0" w:line="288" w:lineRule="auto"/>
              <w:contextualSpacing/>
              <w:jc w:val="both"/>
              <w:rPr>
                <w:rFonts w:ascii="Arial" w:hAnsi="Arial" w:cs="Arial"/>
                <w:b/>
                <w:sz w:val="18"/>
                <w:szCs w:val="18"/>
              </w:rPr>
            </w:pPr>
            <w:r>
              <w:rPr>
                <w:rFonts w:ascii="Arial" w:hAnsi="Arial" w:cs="Arial"/>
                <w:b/>
                <w:sz w:val="18"/>
                <w:szCs w:val="18"/>
              </w:rPr>
              <w:t>Reason</w:t>
            </w:r>
            <w:r w:rsidRPr="005C0E18">
              <w:rPr>
                <w:rFonts w:ascii="Arial" w:hAnsi="Arial" w:cs="Arial"/>
                <w:b/>
                <w:sz w:val="18"/>
                <w:szCs w:val="18"/>
              </w:rPr>
              <w:t xml:space="preserve"> for setting higher risk weights or stricter criteria than those set out in Article</w:t>
            </w:r>
            <w:r w:rsidR="009F1DC5">
              <w:rPr>
                <w:rFonts w:ascii="Arial" w:hAnsi="Arial" w:cs="Arial"/>
                <w:b/>
                <w:sz w:val="18"/>
                <w:szCs w:val="18"/>
              </w:rPr>
              <w:t>s</w:t>
            </w:r>
            <w:r w:rsidRPr="005C0E18">
              <w:rPr>
                <w:rFonts w:ascii="Arial" w:hAnsi="Arial" w:cs="Arial"/>
                <w:b/>
                <w:sz w:val="18"/>
                <w:szCs w:val="18"/>
              </w:rPr>
              <w:t xml:space="preserve"> 125(2) or 126(2) CRR</w:t>
            </w:r>
            <w:r>
              <w:rPr>
                <w:rFonts w:ascii="Arial" w:hAnsi="Arial" w:cs="Arial"/>
                <w:b/>
                <w:sz w:val="18"/>
                <w:szCs w:val="18"/>
              </w:rPr>
              <w:t xml:space="preserve"> </w:t>
            </w:r>
          </w:p>
        </w:tc>
      </w:tr>
      <w:tr w:rsidR="00580FE9" w:rsidRPr="005C0E18" w14:paraId="5D1D7F99" w14:textId="77777777" w:rsidTr="002908B6">
        <w:trPr>
          <w:trHeight w:val="597"/>
        </w:trPr>
        <w:tc>
          <w:tcPr>
            <w:tcW w:w="3350" w:type="dxa"/>
            <w:vAlign w:val="center"/>
          </w:tcPr>
          <w:p w14:paraId="5D3D2FB1" w14:textId="77777777" w:rsidR="00580FE9" w:rsidRPr="005C0E18" w:rsidRDefault="00580FE9" w:rsidP="00580FE9">
            <w:pPr>
              <w:spacing w:after="100" w:line="288" w:lineRule="auto"/>
              <w:jc w:val="both"/>
              <w:rPr>
                <w:rFonts w:ascii="Arial" w:hAnsi="Arial" w:cs="Arial"/>
                <w:b/>
                <w:sz w:val="18"/>
                <w:szCs w:val="18"/>
                <w:lang w:eastAsia="de-DE" w:bidi="pa-IN"/>
              </w:rPr>
            </w:pPr>
            <w:permStart w:id="784995636" w:edGrp="everyone" w:colFirst="1" w:colLast="1"/>
            <w:r>
              <w:rPr>
                <w:rFonts w:ascii="Arial" w:hAnsi="Arial" w:cs="Arial"/>
                <w:b/>
                <w:sz w:val="18"/>
                <w:szCs w:val="18"/>
                <w:lang w:eastAsia="de-DE" w:bidi="pa-IN"/>
              </w:rPr>
              <w:t>4</w:t>
            </w:r>
            <w:r w:rsidRPr="005C0E18">
              <w:rPr>
                <w:rFonts w:ascii="Arial" w:hAnsi="Arial" w:cs="Arial"/>
                <w:b/>
                <w:sz w:val="18"/>
                <w:szCs w:val="18"/>
                <w:lang w:eastAsia="de-DE" w:bidi="pa-IN"/>
              </w:rPr>
              <w:t>.1 Regulatory context</w:t>
            </w:r>
          </w:p>
        </w:tc>
        <w:tc>
          <w:tcPr>
            <w:tcW w:w="6114" w:type="dxa"/>
          </w:tcPr>
          <w:p w14:paraId="071BE676" w14:textId="77777777" w:rsidR="00DB56D4" w:rsidRDefault="00DB56D4" w:rsidP="00DB56D4">
            <w:pPr>
              <w:spacing w:after="0" w:line="288" w:lineRule="auto"/>
              <w:jc w:val="both"/>
              <w:rPr>
                <w:rFonts w:ascii="Arial" w:hAnsi="Arial" w:cs="Arial"/>
                <w:sz w:val="18"/>
                <w:szCs w:val="18"/>
              </w:rPr>
            </w:pPr>
            <w:r>
              <w:rPr>
                <w:rFonts w:ascii="Arial" w:hAnsi="Arial" w:cs="Arial"/>
                <w:sz w:val="18"/>
                <w:szCs w:val="18"/>
              </w:rPr>
              <w:t>A</w:t>
            </w:r>
            <w:r w:rsidRPr="00DB56D4">
              <w:rPr>
                <w:rFonts w:ascii="Arial" w:hAnsi="Arial" w:cs="Arial"/>
                <w:sz w:val="18"/>
                <w:szCs w:val="18"/>
              </w:rPr>
              <w:t xml:space="preserve"> 100 % risk weight on exposures secured by commercial property</w:t>
            </w:r>
            <w:r>
              <w:rPr>
                <w:rFonts w:ascii="Arial" w:hAnsi="Arial" w:cs="Arial"/>
                <w:sz w:val="18"/>
                <w:szCs w:val="18"/>
              </w:rPr>
              <w:t xml:space="preserve"> </w:t>
            </w:r>
            <w:r w:rsidRPr="00DB56D4">
              <w:rPr>
                <w:rFonts w:ascii="Arial" w:hAnsi="Arial" w:cs="Arial"/>
                <w:sz w:val="18"/>
                <w:szCs w:val="18"/>
              </w:rPr>
              <w:t>was implemented in Norway in 1989 as a part of the implementation of Bas</w:t>
            </w:r>
            <w:r>
              <w:rPr>
                <w:rFonts w:ascii="Arial" w:hAnsi="Arial" w:cs="Arial"/>
                <w:sz w:val="18"/>
                <w:szCs w:val="18"/>
              </w:rPr>
              <w:t>e</w:t>
            </w:r>
            <w:r w:rsidRPr="00DB56D4">
              <w:rPr>
                <w:rFonts w:ascii="Arial" w:hAnsi="Arial" w:cs="Arial"/>
                <w:sz w:val="18"/>
                <w:szCs w:val="18"/>
              </w:rPr>
              <w:t>l I</w:t>
            </w:r>
            <w:r>
              <w:rPr>
                <w:rFonts w:ascii="Arial" w:hAnsi="Arial" w:cs="Arial"/>
                <w:sz w:val="18"/>
                <w:szCs w:val="18"/>
              </w:rPr>
              <w:t xml:space="preserve"> </w:t>
            </w:r>
            <w:r w:rsidRPr="00DB56D4">
              <w:rPr>
                <w:rFonts w:ascii="Arial" w:hAnsi="Arial" w:cs="Arial"/>
                <w:sz w:val="18"/>
                <w:szCs w:val="18"/>
              </w:rPr>
              <w:t>compliant regulation, was continued when implementing 98/32/EC and 98/33/EC in</w:t>
            </w:r>
            <w:r>
              <w:rPr>
                <w:rFonts w:ascii="Arial" w:hAnsi="Arial" w:cs="Arial"/>
                <w:sz w:val="18"/>
                <w:szCs w:val="18"/>
              </w:rPr>
              <w:t xml:space="preserve"> </w:t>
            </w:r>
            <w:r w:rsidRPr="00DB56D4">
              <w:rPr>
                <w:rFonts w:ascii="Arial" w:hAnsi="Arial" w:cs="Arial"/>
                <w:sz w:val="18"/>
                <w:szCs w:val="18"/>
              </w:rPr>
              <w:t xml:space="preserve">2001, and later when implementing 2006/48/EC and 2006/49/EC in 2006. </w:t>
            </w:r>
          </w:p>
          <w:p w14:paraId="3FA18EED" w14:textId="77777777" w:rsidR="00DB56D4" w:rsidRDefault="00DB56D4" w:rsidP="00DB56D4">
            <w:pPr>
              <w:spacing w:after="0" w:line="288" w:lineRule="auto"/>
              <w:jc w:val="both"/>
              <w:rPr>
                <w:rFonts w:ascii="Arial" w:hAnsi="Arial" w:cs="Arial"/>
                <w:sz w:val="18"/>
                <w:szCs w:val="18"/>
              </w:rPr>
            </w:pPr>
          </w:p>
          <w:p w14:paraId="2612045F" w14:textId="03AF2227" w:rsidR="00DB56D4" w:rsidRPr="00DB56D4" w:rsidRDefault="00DB56D4" w:rsidP="00DB56D4">
            <w:pPr>
              <w:spacing w:after="0" w:line="288" w:lineRule="auto"/>
              <w:jc w:val="both"/>
              <w:rPr>
                <w:rFonts w:ascii="Arial" w:hAnsi="Arial" w:cs="Arial"/>
                <w:sz w:val="18"/>
                <w:szCs w:val="18"/>
              </w:rPr>
            </w:pPr>
            <w:r>
              <w:rPr>
                <w:rFonts w:ascii="Arial" w:hAnsi="Arial" w:cs="Arial"/>
                <w:sz w:val="18"/>
                <w:szCs w:val="18"/>
              </w:rPr>
              <w:t xml:space="preserve">When CRR was implemented in Norway in 2019, Norwegian authorities made use of the possibility in article 124 to set a higher risk weight for exposures secured by commercial real estate. This is done in </w:t>
            </w:r>
            <w:hyperlink r:id="rId18" w:history="1">
              <w:r w:rsidRPr="00DB56D4">
                <w:rPr>
                  <w:rStyle w:val="Hyperkobling"/>
                  <w:rFonts w:ascii="Arial" w:hAnsi="Arial" w:cs="Arial"/>
                  <w:sz w:val="18"/>
                  <w:szCs w:val="18"/>
                </w:rPr>
                <w:t>Regulations on capital requirements and national adaptation of CRR/CRD IV (CRR/CRD IV regulations)</w:t>
              </w:r>
            </w:hyperlink>
            <w:r>
              <w:rPr>
                <w:rFonts w:ascii="Arial" w:hAnsi="Arial" w:cs="Arial"/>
                <w:sz w:val="18"/>
                <w:szCs w:val="18"/>
              </w:rPr>
              <w:t xml:space="preserve"> section 6, which states that "</w:t>
            </w:r>
            <w:r w:rsidRPr="00DB56D4">
              <w:rPr>
                <w:rFonts w:ascii="Arial" w:hAnsi="Arial" w:cs="Arial"/>
                <w:sz w:val="18"/>
                <w:szCs w:val="18"/>
              </w:rPr>
              <w:t>Mortgages on commercial property shall not be taken into account when assigning risk weights in accordance with CRR Article 124(2).</w:t>
            </w:r>
            <w:r>
              <w:rPr>
                <w:rFonts w:ascii="Arial" w:hAnsi="Arial" w:cs="Arial"/>
                <w:sz w:val="18"/>
                <w:szCs w:val="18"/>
              </w:rPr>
              <w:t>"</w:t>
            </w:r>
          </w:p>
          <w:p w14:paraId="167D39C2" w14:textId="356C991F" w:rsidR="00DB56D4" w:rsidRPr="002908B6" w:rsidRDefault="00DB56D4" w:rsidP="00DB56D4">
            <w:pPr>
              <w:spacing w:after="0" w:line="288" w:lineRule="auto"/>
              <w:jc w:val="both"/>
              <w:rPr>
                <w:rFonts w:ascii="Arial" w:hAnsi="Arial" w:cs="Arial"/>
                <w:sz w:val="18"/>
                <w:szCs w:val="18"/>
              </w:rPr>
            </w:pPr>
          </w:p>
        </w:tc>
      </w:tr>
      <w:tr w:rsidR="00580FE9" w:rsidRPr="005C0E18" w14:paraId="4693ECD6" w14:textId="77777777" w:rsidTr="001E54D7">
        <w:trPr>
          <w:trHeight w:val="1146"/>
        </w:trPr>
        <w:tc>
          <w:tcPr>
            <w:tcW w:w="3350" w:type="dxa"/>
            <w:vAlign w:val="center"/>
          </w:tcPr>
          <w:p w14:paraId="4FB4EC4B" w14:textId="3E01881F" w:rsidR="00580FE9" w:rsidRPr="008C27F8" w:rsidRDefault="00580FE9" w:rsidP="008C27F8">
            <w:pPr>
              <w:pStyle w:val="Listeavsnitt"/>
              <w:numPr>
                <w:ilvl w:val="1"/>
                <w:numId w:val="20"/>
              </w:numPr>
              <w:spacing w:after="100" w:line="288" w:lineRule="auto"/>
              <w:jc w:val="both"/>
              <w:rPr>
                <w:rFonts w:ascii="Arial" w:hAnsi="Arial" w:cs="Arial"/>
                <w:b/>
                <w:sz w:val="18"/>
                <w:szCs w:val="18"/>
                <w:lang w:eastAsia="de-DE" w:bidi="pa-IN"/>
              </w:rPr>
            </w:pPr>
            <w:permStart w:id="1513497931" w:edGrp="everyone" w:colFirst="1" w:colLast="1"/>
            <w:permEnd w:id="784995636"/>
            <w:r w:rsidRPr="008C27F8">
              <w:rPr>
                <w:rFonts w:ascii="Arial" w:hAnsi="Arial" w:cs="Arial"/>
                <w:b/>
                <w:sz w:val="18"/>
                <w:szCs w:val="18"/>
                <w:lang w:eastAsia="de-DE" w:bidi="pa-IN"/>
              </w:rPr>
              <w:lastRenderedPageBreak/>
              <w:t>Risk weights versus actual risks</w:t>
            </w:r>
          </w:p>
        </w:tc>
        <w:tc>
          <w:tcPr>
            <w:tcW w:w="6114" w:type="dxa"/>
          </w:tcPr>
          <w:p w14:paraId="5CF70723" w14:textId="339FF62C" w:rsidR="00DB56D4" w:rsidRDefault="00DB56D4" w:rsidP="00DB56D4">
            <w:pPr>
              <w:pStyle w:val="Default"/>
              <w:jc w:val="both"/>
              <w:rPr>
                <w:rFonts w:ascii="Arial" w:hAnsi="Arial" w:cs="Arial"/>
                <w:sz w:val="18"/>
                <w:szCs w:val="18"/>
                <w:lang w:val="en-US"/>
              </w:rPr>
            </w:pPr>
            <w:r>
              <w:rPr>
                <w:rFonts w:ascii="Arial" w:hAnsi="Arial" w:cs="Arial"/>
                <w:sz w:val="18"/>
                <w:szCs w:val="18"/>
                <w:lang w:val="en-US"/>
              </w:rPr>
              <w:t>The</w:t>
            </w:r>
            <w:r w:rsidRPr="00DB56D4">
              <w:rPr>
                <w:rFonts w:ascii="Arial" w:hAnsi="Arial" w:cs="Arial"/>
                <w:sz w:val="18"/>
                <w:szCs w:val="18"/>
                <w:lang w:val="en-US"/>
              </w:rPr>
              <w:t xml:space="preserve"> risk weight of 50% under the standardised method, for exposures fully and completely secured by mortgages on commercial immovable property, </w:t>
            </w:r>
            <w:r>
              <w:rPr>
                <w:rFonts w:ascii="Arial" w:hAnsi="Arial" w:cs="Arial"/>
                <w:sz w:val="18"/>
                <w:szCs w:val="18"/>
                <w:lang w:val="en-US"/>
              </w:rPr>
              <w:t>is not considered sufficient to</w:t>
            </w:r>
            <w:r w:rsidRPr="00DB56D4">
              <w:rPr>
                <w:rFonts w:ascii="Arial" w:hAnsi="Arial" w:cs="Arial"/>
                <w:sz w:val="18"/>
                <w:szCs w:val="18"/>
                <w:lang w:val="en-US"/>
              </w:rPr>
              <w:t xml:space="preserve"> reflect the actual risk. </w:t>
            </w:r>
          </w:p>
          <w:p w14:paraId="60D27050" w14:textId="77777777" w:rsidR="00DB56D4" w:rsidRPr="00DB56D4" w:rsidRDefault="00DB56D4" w:rsidP="00DB56D4">
            <w:pPr>
              <w:pStyle w:val="Default"/>
              <w:jc w:val="both"/>
              <w:rPr>
                <w:sz w:val="18"/>
                <w:szCs w:val="18"/>
                <w:lang w:val="en-US"/>
              </w:rPr>
            </w:pPr>
          </w:p>
          <w:p w14:paraId="14EFADE4" w14:textId="77777777" w:rsidR="00580FE9" w:rsidRDefault="00DB56D4" w:rsidP="00BC48AB">
            <w:pPr>
              <w:spacing w:after="0" w:line="288" w:lineRule="auto"/>
              <w:contextualSpacing/>
              <w:jc w:val="both"/>
              <w:rPr>
                <w:rFonts w:ascii="Arial" w:hAnsi="Arial" w:cs="Arial"/>
                <w:sz w:val="18"/>
                <w:szCs w:val="18"/>
                <w:lang w:val="en-US"/>
              </w:rPr>
            </w:pPr>
            <w:r w:rsidRPr="00DB56D4">
              <w:rPr>
                <w:rFonts w:ascii="Arial" w:hAnsi="Arial" w:cs="Arial"/>
                <w:sz w:val="18"/>
                <w:szCs w:val="18"/>
                <w:lang w:val="en-US"/>
              </w:rPr>
              <w:t xml:space="preserve">The loss experience on commercial property lending in Norway indicates that risk is extremely volatile. Whilst in normal years, losses on commercial property can be very low, in crisis periods they have shown to dominate total loan losses. </w:t>
            </w:r>
          </w:p>
          <w:p w14:paraId="43034F27" w14:textId="77777777" w:rsidR="00C11284" w:rsidRDefault="00C11284" w:rsidP="00BC48AB">
            <w:pPr>
              <w:spacing w:after="0" w:line="288" w:lineRule="auto"/>
              <w:contextualSpacing/>
              <w:jc w:val="both"/>
              <w:rPr>
                <w:rFonts w:ascii="Arial" w:hAnsi="Arial" w:cs="Arial"/>
                <w:sz w:val="18"/>
                <w:szCs w:val="18"/>
                <w:lang w:val="en-US"/>
              </w:rPr>
            </w:pPr>
          </w:p>
          <w:p w14:paraId="46EC2EC8" w14:textId="77777777" w:rsidR="00C11284" w:rsidRDefault="00C11284" w:rsidP="00BC48AB">
            <w:pPr>
              <w:spacing w:after="0" w:line="288" w:lineRule="auto"/>
              <w:contextualSpacing/>
              <w:jc w:val="both"/>
              <w:rPr>
                <w:rFonts w:ascii="Arial" w:hAnsi="Arial" w:cs="Arial"/>
                <w:sz w:val="18"/>
                <w:szCs w:val="18"/>
                <w:lang w:val="en-US"/>
              </w:rPr>
            </w:pPr>
            <w:r>
              <w:rPr>
                <w:rFonts w:ascii="Arial" w:hAnsi="Arial" w:cs="Arial"/>
                <w:sz w:val="18"/>
                <w:szCs w:val="18"/>
                <w:lang w:val="en-US"/>
              </w:rPr>
              <w:t xml:space="preserve">Agricultural real estate has, over time, been one of the sectors within </w:t>
            </w:r>
            <w:r w:rsidR="00EF5736">
              <w:rPr>
                <w:rFonts w:ascii="Arial" w:hAnsi="Arial" w:cs="Arial"/>
                <w:sz w:val="18"/>
                <w:szCs w:val="18"/>
                <w:lang w:val="en-US"/>
              </w:rPr>
              <w:t>commercial real estate with the lowest loss rates.</w:t>
            </w:r>
          </w:p>
          <w:p w14:paraId="555204ED" w14:textId="2DD1E34A" w:rsidR="00EF5736" w:rsidRPr="00DB56D4" w:rsidRDefault="00EF5736" w:rsidP="00BC48AB">
            <w:pPr>
              <w:spacing w:after="0" w:line="288" w:lineRule="auto"/>
              <w:contextualSpacing/>
              <w:jc w:val="both"/>
              <w:rPr>
                <w:rFonts w:ascii="Arial" w:hAnsi="Arial" w:cs="Arial"/>
                <w:sz w:val="18"/>
                <w:szCs w:val="18"/>
                <w:lang w:val="en-US"/>
              </w:rPr>
            </w:pPr>
          </w:p>
        </w:tc>
      </w:tr>
      <w:permEnd w:id="1513497931"/>
      <w:tr w:rsidR="00580FE9" w:rsidRPr="005C0E18" w14:paraId="6CD4F57C" w14:textId="77777777" w:rsidTr="001E54D7">
        <w:trPr>
          <w:trHeight w:val="1146"/>
        </w:trPr>
        <w:tc>
          <w:tcPr>
            <w:tcW w:w="3350" w:type="dxa"/>
            <w:vMerge w:val="restart"/>
            <w:vAlign w:val="center"/>
          </w:tcPr>
          <w:p w14:paraId="33F1A76F" w14:textId="3488C0F0" w:rsidR="00580FE9" w:rsidRPr="005C0E18" w:rsidRDefault="00580FE9" w:rsidP="009D0DAF">
            <w:pPr>
              <w:spacing w:after="100" w:line="288" w:lineRule="auto"/>
              <w:jc w:val="both"/>
              <w:rPr>
                <w:rFonts w:ascii="Arial" w:hAnsi="Arial" w:cs="Arial"/>
                <w:b/>
                <w:sz w:val="18"/>
                <w:szCs w:val="18"/>
                <w:lang w:eastAsia="de-DE" w:bidi="pa-IN"/>
              </w:rPr>
            </w:pPr>
            <w:r>
              <w:rPr>
                <w:rFonts w:ascii="Arial" w:hAnsi="Arial" w:cs="Arial"/>
                <w:b/>
                <w:sz w:val="18"/>
                <w:szCs w:val="18"/>
                <w:lang w:eastAsia="de-DE" w:bidi="pa-IN"/>
              </w:rPr>
              <w:t>4</w:t>
            </w:r>
            <w:r w:rsidRPr="005C0E18">
              <w:rPr>
                <w:rFonts w:ascii="Arial" w:hAnsi="Arial" w:cs="Arial"/>
                <w:b/>
                <w:sz w:val="18"/>
                <w:szCs w:val="18"/>
                <w:lang w:eastAsia="de-DE" w:bidi="pa-IN"/>
              </w:rPr>
              <w:t>.3 Motivation</w:t>
            </w:r>
          </w:p>
        </w:tc>
        <w:tc>
          <w:tcPr>
            <w:tcW w:w="6114" w:type="dxa"/>
          </w:tcPr>
          <w:p w14:paraId="19E0537C" w14:textId="77777777" w:rsidR="00EF5736" w:rsidRDefault="00580FE9" w:rsidP="00EF5736">
            <w:pPr>
              <w:spacing w:after="0" w:line="288" w:lineRule="auto"/>
              <w:contextualSpacing/>
              <w:jc w:val="both"/>
              <w:rPr>
                <w:rFonts w:ascii="Arial" w:hAnsi="Arial" w:cs="Arial"/>
                <w:sz w:val="18"/>
                <w:szCs w:val="18"/>
                <w:u w:val="single"/>
              </w:rPr>
            </w:pPr>
            <w:permStart w:id="1681152328" w:edGrp="everyone"/>
            <w:r w:rsidRPr="005C0E18">
              <w:rPr>
                <w:rFonts w:ascii="Arial" w:hAnsi="Arial" w:cs="Arial"/>
                <w:sz w:val="18"/>
                <w:szCs w:val="18"/>
                <w:u w:val="single"/>
              </w:rPr>
              <w:t>a) Loss experience</w:t>
            </w:r>
          </w:p>
          <w:p w14:paraId="3800ACF9" w14:textId="1CC65E25" w:rsidR="00EF5736" w:rsidRDefault="00EF5736" w:rsidP="00EF5736">
            <w:pPr>
              <w:spacing w:after="0" w:line="288" w:lineRule="auto"/>
              <w:contextualSpacing/>
              <w:jc w:val="both"/>
              <w:rPr>
                <w:rFonts w:ascii="Arial" w:hAnsi="Arial" w:cs="Arial"/>
                <w:sz w:val="18"/>
                <w:szCs w:val="18"/>
                <w:lang w:val="en-US"/>
              </w:rPr>
            </w:pPr>
            <w:r>
              <w:rPr>
                <w:rFonts w:ascii="Arial" w:hAnsi="Arial" w:cs="Arial"/>
                <w:sz w:val="18"/>
                <w:szCs w:val="18"/>
                <w:lang w:val="en-US"/>
              </w:rPr>
              <w:t>T</w:t>
            </w:r>
            <w:r w:rsidRPr="00EF5736">
              <w:rPr>
                <w:rFonts w:ascii="Arial" w:hAnsi="Arial" w:cs="Arial"/>
                <w:sz w:val="18"/>
                <w:szCs w:val="18"/>
                <w:lang w:val="en-US"/>
              </w:rPr>
              <w:t xml:space="preserve">he full loss potential in commercial real estate lending is revealed in times of severe crises, </w:t>
            </w:r>
            <w:r>
              <w:rPr>
                <w:rFonts w:ascii="Arial" w:hAnsi="Arial" w:cs="Arial"/>
                <w:sz w:val="18"/>
                <w:szCs w:val="18"/>
                <w:lang w:val="en-US"/>
              </w:rPr>
              <w:t>hence</w:t>
            </w:r>
            <w:r w:rsidRPr="00EF5736">
              <w:rPr>
                <w:rFonts w:ascii="Arial" w:hAnsi="Arial" w:cs="Arial"/>
                <w:sz w:val="18"/>
                <w:szCs w:val="18"/>
                <w:lang w:val="en-US"/>
              </w:rPr>
              <w:t xml:space="preserve"> the </w:t>
            </w:r>
            <w:r>
              <w:rPr>
                <w:rFonts w:ascii="Arial" w:hAnsi="Arial" w:cs="Arial"/>
                <w:sz w:val="18"/>
                <w:szCs w:val="18"/>
                <w:lang w:val="en-US"/>
              </w:rPr>
              <w:t xml:space="preserve">losses experienced during </w:t>
            </w:r>
            <w:r w:rsidRPr="00EF5736">
              <w:rPr>
                <w:rFonts w:ascii="Arial" w:hAnsi="Arial" w:cs="Arial"/>
                <w:sz w:val="18"/>
                <w:szCs w:val="18"/>
                <w:lang w:val="en-US"/>
              </w:rPr>
              <w:t xml:space="preserve">the Norwegian banking crisis (1988-1992) </w:t>
            </w:r>
            <w:r>
              <w:rPr>
                <w:rFonts w:ascii="Arial" w:hAnsi="Arial" w:cs="Arial"/>
                <w:sz w:val="18"/>
                <w:szCs w:val="18"/>
                <w:lang w:val="en-US"/>
              </w:rPr>
              <w:t>is considered</w:t>
            </w:r>
            <w:r w:rsidRPr="00EF5736">
              <w:rPr>
                <w:rFonts w:ascii="Arial" w:hAnsi="Arial" w:cs="Arial"/>
                <w:sz w:val="18"/>
                <w:szCs w:val="18"/>
                <w:lang w:val="en-US"/>
              </w:rPr>
              <w:t xml:space="preserve"> </w:t>
            </w:r>
            <w:r>
              <w:rPr>
                <w:rFonts w:ascii="Arial" w:hAnsi="Arial" w:cs="Arial"/>
                <w:sz w:val="18"/>
                <w:szCs w:val="18"/>
                <w:lang w:val="en-US"/>
              </w:rPr>
              <w:t>to be</w:t>
            </w:r>
            <w:r w:rsidRPr="00EF5736">
              <w:rPr>
                <w:rFonts w:ascii="Arial" w:hAnsi="Arial" w:cs="Arial"/>
                <w:sz w:val="18"/>
                <w:szCs w:val="18"/>
                <w:lang w:val="en-US"/>
              </w:rPr>
              <w:t xml:space="preserve"> most relevant. During the banking crisis the increase in commercial real estate losses was significantly larger than the portfolio as a whole.</w:t>
            </w:r>
            <w:r>
              <w:rPr>
                <w:rFonts w:ascii="Arial" w:hAnsi="Arial" w:cs="Arial"/>
                <w:sz w:val="18"/>
                <w:szCs w:val="18"/>
                <w:lang w:val="en-US"/>
              </w:rPr>
              <w:t xml:space="preserve"> The Norwegian FSA has estimated the accumulated losses on exposures secured by commercial real estate over the period 1988-1992 to approximately 22 per cent.</w:t>
            </w:r>
          </w:p>
          <w:p w14:paraId="6656F6A9" w14:textId="77777777" w:rsidR="00EF5736" w:rsidRDefault="00EF5736" w:rsidP="00EF5736">
            <w:pPr>
              <w:spacing w:after="0" w:line="288" w:lineRule="auto"/>
              <w:contextualSpacing/>
              <w:jc w:val="both"/>
              <w:rPr>
                <w:rFonts w:ascii="Arial" w:hAnsi="Arial" w:cs="Arial"/>
                <w:sz w:val="18"/>
                <w:szCs w:val="18"/>
                <w:u w:val="single"/>
              </w:rPr>
            </w:pPr>
          </w:p>
          <w:p w14:paraId="5D30A141" w14:textId="7EDA4585" w:rsidR="00033E1E" w:rsidRPr="00033E1E" w:rsidRDefault="00033E1E" w:rsidP="00EF5736">
            <w:pPr>
              <w:spacing w:after="0" w:line="288" w:lineRule="auto"/>
              <w:contextualSpacing/>
              <w:jc w:val="both"/>
              <w:rPr>
                <w:rFonts w:ascii="Arial" w:hAnsi="Arial" w:cs="Arial"/>
                <w:sz w:val="18"/>
                <w:szCs w:val="18"/>
              </w:rPr>
            </w:pPr>
            <w:r>
              <w:rPr>
                <w:rFonts w:ascii="Arial" w:hAnsi="Arial" w:cs="Arial"/>
                <w:sz w:val="18"/>
                <w:szCs w:val="18"/>
              </w:rPr>
              <w:t>The</w:t>
            </w:r>
            <w:r w:rsidRPr="00033E1E">
              <w:rPr>
                <w:rFonts w:ascii="Arial" w:hAnsi="Arial" w:cs="Arial"/>
                <w:sz w:val="18"/>
                <w:szCs w:val="18"/>
              </w:rPr>
              <w:t xml:space="preserve"> period 2008-2022</w:t>
            </w:r>
            <w:r>
              <w:rPr>
                <w:rFonts w:ascii="Arial" w:hAnsi="Arial" w:cs="Arial"/>
                <w:sz w:val="18"/>
                <w:szCs w:val="18"/>
              </w:rPr>
              <w:t xml:space="preserve"> is characterized by strong economic development and losses have been low for all sectors. Nevertheless, the sector</w:t>
            </w:r>
            <w:r w:rsidR="00D310E9">
              <w:rPr>
                <w:rFonts w:ascii="Arial" w:hAnsi="Arial" w:cs="Arial"/>
                <w:sz w:val="18"/>
                <w:szCs w:val="18"/>
              </w:rPr>
              <w:t xml:space="preserve"> "agriculture</w:t>
            </w:r>
            <w:r w:rsidR="007B132A">
              <w:rPr>
                <w:rFonts w:ascii="Arial" w:hAnsi="Arial" w:cs="Arial"/>
                <w:sz w:val="18"/>
                <w:szCs w:val="18"/>
              </w:rPr>
              <w:t xml:space="preserve">, forestries and fisheries (excl. </w:t>
            </w:r>
            <w:r w:rsidR="00247A06">
              <w:rPr>
                <w:rFonts w:ascii="Arial" w:hAnsi="Arial" w:cs="Arial"/>
                <w:sz w:val="18"/>
                <w:szCs w:val="18"/>
              </w:rPr>
              <w:t>fish farming)"</w:t>
            </w:r>
            <w:r>
              <w:rPr>
                <w:rFonts w:ascii="Arial" w:hAnsi="Arial" w:cs="Arial"/>
                <w:sz w:val="18"/>
                <w:szCs w:val="18"/>
              </w:rPr>
              <w:t xml:space="preserve"> </w:t>
            </w:r>
            <w:r w:rsidR="00311A59">
              <w:rPr>
                <w:rFonts w:ascii="Arial" w:hAnsi="Arial" w:cs="Arial"/>
                <w:sz w:val="18"/>
                <w:szCs w:val="18"/>
              </w:rPr>
              <w:t>is</w:t>
            </w:r>
            <w:r>
              <w:rPr>
                <w:rFonts w:ascii="Arial" w:hAnsi="Arial" w:cs="Arial"/>
                <w:sz w:val="18"/>
                <w:szCs w:val="18"/>
              </w:rPr>
              <w:t xml:space="preserve"> among the sectors with the </w:t>
            </w:r>
            <w:r w:rsidR="00ED3967">
              <w:rPr>
                <w:rFonts w:ascii="Arial" w:hAnsi="Arial" w:cs="Arial"/>
                <w:sz w:val="18"/>
                <w:szCs w:val="18"/>
              </w:rPr>
              <w:t>lowest</w:t>
            </w:r>
            <w:r>
              <w:rPr>
                <w:rFonts w:ascii="Arial" w:hAnsi="Arial" w:cs="Arial"/>
                <w:sz w:val="18"/>
                <w:szCs w:val="18"/>
              </w:rPr>
              <w:t xml:space="preserve"> losses, as visualized by the red line in figure 1. According to a survey made by Finanstilsynet (FSA Norway), </w:t>
            </w:r>
            <w:r w:rsidRPr="00033E1E">
              <w:rPr>
                <w:rFonts w:ascii="Arial" w:hAnsi="Arial" w:cs="Arial"/>
                <w:sz w:val="18"/>
                <w:szCs w:val="18"/>
              </w:rPr>
              <w:t xml:space="preserve">losses stemming from lending collateralised by </w:t>
            </w:r>
            <w:r>
              <w:rPr>
                <w:rFonts w:ascii="Arial" w:hAnsi="Arial" w:cs="Arial"/>
                <w:sz w:val="18"/>
                <w:szCs w:val="18"/>
              </w:rPr>
              <w:t>agricultural</w:t>
            </w:r>
            <w:r w:rsidRPr="00033E1E">
              <w:rPr>
                <w:rFonts w:ascii="Arial" w:hAnsi="Arial" w:cs="Arial"/>
                <w:sz w:val="18"/>
                <w:szCs w:val="18"/>
              </w:rPr>
              <w:t xml:space="preserve"> immovable property up to 50 </w:t>
            </w:r>
            <w:r w:rsidR="00A1319C">
              <w:rPr>
                <w:rFonts w:ascii="Arial" w:hAnsi="Arial" w:cs="Arial"/>
                <w:sz w:val="18"/>
                <w:szCs w:val="18"/>
              </w:rPr>
              <w:t>per cent</w:t>
            </w:r>
            <w:r w:rsidRPr="00033E1E">
              <w:rPr>
                <w:rFonts w:ascii="Arial" w:hAnsi="Arial" w:cs="Arial"/>
                <w:sz w:val="18"/>
                <w:szCs w:val="18"/>
              </w:rPr>
              <w:t xml:space="preserve"> of the market value or 60 </w:t>
            </w:r>
            <w:r w:rsidR="00A1319C">
              <w:rPr>
                <w:rFonts w:ascii="Arial" w:hAnsi="Arial" w:cs="Arial"/>
                <w:sz w:val="18"/>
                <w:szCs w:val="18"/>
              </w:rPr>
              <w:t>per cent</w:t>
            </w:r>
            <w:r w:rsidRPr="00033E1E">
              <w:rPr>
                <w:rFonts w:ascii="Arial" w:hAnsi="Arial" w:cs="Arial"/>
                <w:sz w:val="18"/>
                <w:szCs w:val="18"/>
              </w:rPr>
              <w:t xml:space="preserve"> of the lending value, </w:t>
            </w:r>
            <w:r w:rsidR="001D6C87">
              <w:rPr>
                <w:rFonts w:ascii="Arial" w:hAnsi="Arial" w:cs="Arial"/>
                <w:sz w:val="18"/>
                <w:szCs w:val="18"/>
              </w:rPr>
              <w:t>ha</w:t>
            </w:r>
            <w:r w:rsidR="003C59EF">
              <w:rPr>
                <w:rFonts w:ascii="Arial" w:hAnsi="Arial" w:cs="Arial"/>
                <w:sz w:val="18"/>
                <w:szCs w:val="18"/>
              </w:rPr>
              <w:t>ve varied between 0,00 and 0,02 per cent</w:t>
            </w:r>
            <w:r w:rsidR="00175629">
              <w:rPr>
                <w:rFonts w:ascii="Arial" w:hAnsi="Arial" w:cs="Arial"/>
                <w:sz w:val="18"/>
                <w:szCs w:val="18"/>
              </w:rPr>
              <w:t xml:space="preserve"> of outstanding loans</w:t>
            </w:r>
            <w:r w:rsidR="003C59EF">
              <w:rPr>
                <w:rFonts w:ascii="Arial" w:hAnsi="Arial" w:cs="Arial"/>
                <w:sz w:val="18"/>
                <w:szCs w:val="18"/>
              </w:rPr>
              <w:t xml:space="preserve"> over the last ten years, while</w:t>
            </w:r>
            <w:r>
              <w:rPr>
                <w:rFonts w:ascii="Arial" w:hAnsi="Arial" w:cs="Arial"/>
                <w:sz w:val="18"/>
                <w:szCs w:val="18"/>
              </w:rPr>
              <w:t xml:space="preserve"> </w:t>
            </w:r>
            <w:r w:rsidRPr="00033E1E">
              <w:rPr>
                <w:rFonts w:ascii="Arial" w:hAnsi="Arial" w:cs="Arial"/>
                <w:sz w:val="18"/>
                <w:szCs w:val="18"/>
              </w:rPr>
              <w:t xml:space="preserve">overall losses stemming from lending collateralised by </w:t>
            </w:r>
            <w:r>
              <w:rPr>
                <w:rFonts w:ascii="Arial" w:hAnsi="Arial" w:cs="Arial"/>
                <w:sz w:val="18"/>
                <w:szCs w:val="18"/>
              </w:rPr>
              <w:t>agricultural</w:t>
            </w:r>
            <w:r w:rsidRPr="00033E1E">
              <w:rPr>
                <w:rFonts w:ascii="Arial" w:hAnsi="Arial" w:cs="Arial"/>
                <w:sz w:val="18"/>
                <w:szCs w:val="18"/>
              </w:rPr>
              <w:t xml:space="preserve"> immovable property</w:t>
            </w:r>
            <w:r w:rsidR="00175629">
              <w:rPr>
                <w:rFonts w:ascii="Arial" w:hAnsi="Arial" w:cs="Arial"/>
                <w:sz w:val="18"/>
                <w:szCs w:val="18"/>
              </w:rPr>
              <w:t xml:space="preserve"> have varied between 0,04 and 0,16 per cent</w:t>
            </w:r>
            <w:r w:rsidRPr="00033E1E">
              <w:rPr>
                <w:rFonts w:ascii="Arial" w:hAnsi="Arial" w:cs="Arial"/>
                <w:sz w:val="18"/>
                <w:szCs w:val="18"/>
              </w:rPr>
              <w:t xml:space="preserve"> of the outstanding loans</w:t>
            </w:r>
            <w:r w:rsidR="00175629">
              <w:rPr>
                <w:rFonts w:ascii="Arial" w:hAnsi="Arial" w:cs="Arial"/>
                <w:sz w:val="18"/>
                <w:szCs w:val="18"/>
              </w:rPr>
              <w:t xml:space="preserve"> in the same period.</w:t>
            </w:r>
          </w:p>
          <w:p w14:paraId="30FD6789" w14:textId="20C50BC3" w:rsidR="00EF5736" w:rsidRPr="00EF5736" w:rsidRDefault="00EF5736" w:rsidP="00EF5736">
            <w:pPr>
              <w:spacing w:after="0" w:line="288" w:lineRule="auto"/>
              <w:contextualSpacing/>
              <w:jc w:val="both"/>
              <w:rPr>
                <w:rFonts w:ascii="Arial" w:hAnsi="Arial" w:cs="Arial"/>
                <w:sz w:val="18"/>
                <w:szCs w:val="18"/>
              </w:rPr>
            </w:pPr>
          </w:p>
          <w:p w14:paraId="02DD1905" w14:textId="62A95FD9" w:rsidR="00EF5736" w:rsidRDefault="00EF5736" w:rsidP="00EF5736">
            <w:pPr>
              <w:spacing w:after="0" w:line="288" w:lineRule="auto"/>
              <w:contextualSpacing/>
              <w:jc w:val="both"/>
              <w:rPr>
                <w:rFonts w:ascii="Arial" w:hAnsi="Arial" w:cs="Arial"/>
                <w:sz w:val="18"/>
                <w:szCs w:val="18"/>
                <w:u w:val="single"/>
              </w:rPr>
            </w:pPr>
            <w:r>
              <w:rPr>
                <w:rFonts w:ascii="Arial" w:hAnsi="Arial" w:cs="Arial"/>
                <w:sz w:val="18"/>
                <w:szCs w:val="18"/>
                <w:u w:val="single"/>
              </w:rPr>
              <w:t xml:space="preserve">Figure 1: Losses </w:t>
            </w:r>
            <w:r w:rsidR="00033E1E">
              <w:rPr>
                <w:rFonts w:ascii="Arial" w:hAnsi="Arial" w:cs="Arial"/>
                <w:sz w:val="18"/>
                <w:szCs w:val="18"/>
                <w:u w:val="single"/>
              </w:rPr>
              <w:t>for</w:t>
            </w:r>
            <w:r>
              <w:rPr>
                <w:rFonts w:ascii="Arial" w:hAnsi="Arial" w:cs="Arial"/>
                <w:sz w:val="18"/>
                <w:szCs w:val="18"/>
                <w:u w:val="single"/>
              </w:rPr>
              <w:t xml:space="preserve"> </w:t>
            </w:r>
            <w:r w:rsidR="00D460AE">
              <w:rPr>
                <w:rFonts w:ascii="Arial" w:hAnsi="Arial" w:cs="Arial"/>
                <w:sz w:val="18"/>
                <w:szCs w:val="18"/>
                <w:u w:val="single"/>
              </w:rPr>
              <w:t>different sectors in Norway (numbers include all loans)</w:t>
            </w:r>
          </w:p>
          <w:p w14:paraId="3407DDDF" w14:textId="2C07BD97" w:rsidR="00EF5736" w:rsidRPr="00EF5736" w:rsidRDefault="00890BB7" w:rsidP="00EF5736">
            <w:pPr>
              <w:spacing w:after="0" w:line="288" w:lineRule="auto"/>
              <w:contextualSpacing/>
              <w:jc w:val="both"/>
              <w:rPr>
                <w:rFonts w:ascii="Arial" w:hAnsi="Arial" w:cs="Arial"/>
                <w:sz w:val="18"/>
                <w:szCs w:val="18"/>
                <w:u w:val="single"/>
              </w:rPr>
            </w:pPr>
            <w:r>
              <w:rPr>
                <w:rFonts w:ascii="Arial" w:hAnsi="Arial" w:cs="Arial"/>
                <w:noProof/>
                <w:sz w:val="18"/>
                <w:szCs w:val="18"/>
                <w:u w:val="single"/>
              </w:rPr>
              <w:drawing>
                <wp:inline distT="0" distB="0" distL="0" distR="0" wp14:anchorId="73FEE75E" wp14:editId="35D9536B">
                  <wp:extent cx="5184775" cy="2636629"/>
                  <wp:effectExtent l="0" t="0" r="0" b="0"/>
                  <wp:docPr id="1211143878"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01579" cy="2645174"/>
                          </a:xfrm>
                          <a:prstGeom prst="rect">
                            <a:avLst/>
                          </a:prstGeom>
                          <a:noFill/>
                        </pic:spPr>
                      </pic:pic>
                    </a:graphicData>
                  </a:graphic>
                </wp:inline>
              </w:drawing>
            </w:r>
          </w:p>
          <w:p w14:paraId="53BCF672" w14:textId="6C723E3B" w:rsidR="00580FE9" w:rsidRDefault="00EF5736" w:rsidP="00580FE9">
            <w:pPr>
              <w:spacing w:after="0" w:line="288" w:lineRule="auto"/>
              <w:jc w:val="both"/>
              <w:rPr>
                <w:rFonts w:ascii="Arial" w:hAnsi="Arial" w:cs="Arial"/>
                <w:sz w:val="18"/>
                <w:szCs w:val="18"/>
                <w:lang w:val="nb-NO"/>
              </w:rPr>
            </w:pPr>
            <w:r>
              <w:rPr>
                <w:rFonts w:ascii="Arial" w:hAnsi="Arial" w:cs="Arial"/>
                <w:sz w:val="18"/>
                <w:szCs w:val="18"/>
                <w:lang w:val="nb-NO"/>
              </w:rPr>
              <w:t>Source: Finanstilsynet (FSA Norway)</w:t>
            </w:r>
          </w:p>
          <w:permEnd w:id="1681152328"/>
          <w:p w14:paraId="169F0023" w14:textId="77777777" w:rsidR="00580FE9" w:rsidRPr="00E0527C" w:rsidRDefault="00580FE9" w:rsidP="00580FE9">
            <w:pPr>
              <w:spacing w:after="0" w:line="288" w:lineRule="auto"/>
              <w:jc w:val="both"/>
              <w:rPr>
                <w:rFonts w:ascii="Arial" w:hAnsi="Arial" w:cs="Arial"/>
                <w:sz w:val="18"/>
                <w:szCs w:val="18"/>
              </w:rPr>
            </w:pPr>
          </w:p>
        </w:tc>
      </w:tr>
      <w:tr w:rsidR="00580FE9" w:rsidRPr="005C0E18" w14:paraId="06D648A9" w14:textId="77777777" w:rsidTr="001E54D7">
        <w:trPr>
          <w:trHeight w:val="1146"/>
        </w:trPr>
        <w:tc>
          <w:tcPr>
            <w:tcW w:w="3350" w:type="dxa"/>
            <w:vMerge/>
            <w:vAlign w:val="center"/>
          </w:tcPr>
          <w:p w14:paraId="40DA8DC8" w14:textId="77777777" w:rsidR="00580FE9" w:rsidRPr="005C0E18" w:rsidRDefault="00580FE9" w:rsidP="00580FE9">
            <w:pPr>
              <w:spacing w:after="100" w:line="288" w:lineRule="auto"/>
              <w:jc w:val="both"/>
              <w:rPr>
                <w:rFonts w:ascii="Arial" w:hAnsi="Arial" w:cs="Arial"/>
                <w:b/>
                <w:sz w:val="18"/>
                <w:szCs w:val="18"/>
                <w:lang w:eastAsia="de-DE" w:bidi="pa-IN"/>
              </w:rPr>
            </w:pPr>
          </w:p>
        </w:tc>
        <w:tc>
          <w:tcPr>
            <w:tcW w:w="6114" w:type="dxa"/>
          </w:tcPr>
          <w:p w14:paraId="1B7E15B0" w14:textId="19081A91" w:rsidR="00580FE9" w:rsidRPr="005C0E18" w:rsidRDefault="00580FE9" w:rsidP="00580FE9">
            <w:pPr>
              <w:spacing w:after="0" w:line="288" w:lineRule="auto"/>
              <w:contextualSpacing/>
              <w:jc w:val="both"/>
              <w:rPr>
                <w:rFonts w:ascii="Arial" w:hAnsi="Arial" w:cs="Arial"/>
                <w:sz w:val="18"/>
                <w:szCs w:val="18"/>
                <w:u w:val="single"/>
              </w:rPr>
            </w:pPr>
            <w:permStart w:id="1430810723" w:edGrp="everyone"/>
            <w:r w:rsidRPr="005C0E18">
              <w:rPr>
                <w:rFonts w:ascii="Arial" w:hAnsi="Arial" w:cs="Arial"/>
                <w:sz w:val="18"/>
                <w:szCs w:val="18"/>
                <w:u w:val="single"/>
              </w:rPr>
              <w:t>b) Forward-looking real</w:t>
            </w:r>
            <w:r w:rsidR="00C26492">
              <w:rPr>
                <w:rFonts w:ascii="Arial" w:hAnsi="Arial" w:cs="Arial"/>
                <w:sz w:val="18"/>
                <w:szCs w:val="18"/>
                <w:u w:val="single"/>
              </w:rPr>
              <w:t>-</w:t>
            </w:r>
            <w:r w:rsidRPr="005C0E18">
              <w:rPr>
                <w:rFonts w:ascii="Arial" w:hAnsi="Arial" w:cs="Arial"/>
                <w:sz w:val="18"/>
                <w:szCs w:val="18"/>
                <w:u w:val="single"/>
              </w:rPr>
              <w:t>estate market developments</w:t>
            </w:r>
          </w:p>
          <w:p w14:paraId="730CC0E3" w14:textId="093FC900" w:rsidR="009B3C58" w:rsidRPr="009B3C58" w:rsidRDefault="009B3C58" w:rsidP="009B3C58">
            <w:pPr>
              <w:pStyle w:val="Listeavsnitt"/>
              <w:numPr>
                <w:ilvl w:val="0"/>
                <w:numId w:val="27"/>
              </w:numPr>
              <w:spacing w:after="0" w:line="288" w:lineRule="auto"/>
              <w:jc w:val="both"/>
              <w:rPr>
                <w:rFonts w:ascii="Arial" w:hAnsi="Arial" w:cs="Arial"/>
                <w:sz w:val="18"/>
                <w:szCs w:val="18"/>
              </w:rPr>
            </w:pPr>
            <w:r w:rsidRPr="009B3C58">
              <w:rPr>
                <w:rFonts w:ascii="Arial" w:hAnsi="Arial" w:cs="Arial"/>
                <w:sz w:val="18"/>
                <w:szCs w:val="18"/>
              </w:rPr>
              <w:t xml:space="preserve">There is high activity in the Norwegian economy and limited available resources. Central banks in several countries, including Norway, have raised policy interest rates to curb inflation. Since September 2021, the Central Bank of Norway has increased the policy rate </w:t>
            </w:r>
            <w:r w:rsidR="00CF117D">
              <w:rPr>
                <w:rFonts w:ascii="Arial" w:hAnsi="Arial" w:cs="Arial"/>
                <w:sz w:val="18"/>
                <w:szCs w:val="18"/>
              </w:rPr>
              <w:t>14</w:t>
            </w:r>
            <w:r w:rsidRPr="009B3C58">
              <w:rPr>
                <w:rFonts w:ascii="Arial" w:hAnsi="Arial" w:cs="Arial"/>
                <w:sz w:val="18"/>
                <w:szCs w:val="18"/>
              </w:rPr>
              <w:t xml:space="preserve"> times to </w:t>
            </w:r>
            <w:r w:rsidR="00CF117D">
              <w:rPr>
                <w:rFonts w:ascii="Arial" w:hAnsi="Arial" w:cs="Arial"/>
                <w:sz w:val="18"/>
                <w:szCs w:val="18"/>
              </w:rPr>
              <w:t>4</w:t>
            </w:r>
            <w:r w:rsidRPr="009B3C58">
              <w:rPr>
                <w:rFonts w:ascii="Arial" w:hAnsi="Arial" w:cs="Arial"/>
                <w:sz w:val="18"/>
                <w:szCs w:val="18"/>
              </w:rPr>
              <w:t xml:space="preserve">.5 percent, indicating </w:t>
            </w:r>
            <w:r w:rsidR="0075557D">
              <w:rPr>
                <w:rFonts w:ascii="Arial" w:hAnsi="Arial" w:cs="Arial"/>
                <w:sz w:val="18"/>
                <w:szCs w:val="18"/>
              </w:rPr>
              <w:t xml:space="preserve">that the interest rate will </w:t>
            </w:r>
            <w:r w:rsidR="00D450C6">
              <w:rPr>
                <w:rFonts w:ascii="Arial" w:hAnsi="Arial" w:cs="Arial"/>
                <w:sz w:val="18"/>
                <w:szCs w:val="18"/>
              </w:rPr>
              <w:t>probably remain</w:t>
            </w:r>
            <w:r w:rsidR="0075557D">
              <w:rPr>
                <w:rFonts w:ascii="Arial" w:hAnsi="Arial" w:cs="Arial"/>
                <w:sz w:val="18"/>
                <w:szCs w:val="18"/>
              </w:rPr>
              <w:t xml:space="preserve"> high for some time</w:t>
            </w:r>
            <w:r w:rsidRPr="009B3C58">
              <w:rPr>
                <w:rFonts w:ascii="Arial" w:hAnsi="Arial" w:cs="Arial"/>
                <w:sz w:val="18"/>
                <w:szCs w:val="18"/>
              </w:rPr>
              <w:t>.</w:t>
            </w:r>
          </w:p>
          <w:p w14:paraId="4B50C80A" w14:textId="77777777" w:rsidR="009B3C58" w:rsidRPr="009B3C58" w:rsidRDefault="009B3C58" w:rsidP="0075557D">
            <w:pPr>
              <w:pStyle w:val="Listeavsnitt"/>
              <w:spacing w:after="0" w:line="288" w:lineRule="auto"/>
              <w:ind w:left="360"/>
              <w:jc w:val="both"/>
              <w:rPr>
                <w:rFonts w:ascii="Arial" w:hAnsi="Arial" w:cs="Arial"/>
                <w:sz w:val="18"/>
                <w:szCs w:val="18"/>
              </w:rPr>
            </w:pPr>
          </w:p>
          <w:p w14:paraId="6EF421F2" w14:textId="4EC8A904" w:rsidR="00DE48B7" w:rsidRDefault="00AB4C85" w:rsidP="009B3C58">
            <w:pPr>
              <w:pStyle w:val="Listeavsnitt"/>
              <w:numPr>
                <w:ilvl w:val="0"/>
                <w:numId w:val="27"/>
              </w:numPr>
              <w:spacing w:after="0" w:line="288" w:lineRule="auto"/>
              <w:jc w:val="both"/>
              <w:rPr>
                <w:rFonts w:ascii="Arial" w:hAnsi="Arial" w:cs="Arial"/>
                <w:sz w:val="18"/>
                <w:szCs w:val="18"/>
              </w:rPr>
            </w:pPr>
            <w:r w:rsidRPr="00375064">
              <w:rPr>
                <w:rFonts w:ascii="Arial" w:hAnsi="Arial" w:cs="Arial"/>
                <w:sz w:val="18"/>
                <w:szCs w:val="18"/>
              </w:rPr>
              <w:t>There is</w:t>
            </w:r>
            <w:r w:rsidR="009B3C58" w:rsidRPr="00375064">
              <w:rPr>
                <w:rFonts w:ascii="Arial" w:hAnsi="Arial" w:cs="Arial"/>
                <w:sz w:val="18"/>
                <w:szCs w:val="18"/>
              </w:rPr>
              <w:t xml:space="preserve"> significant uncertainty in the developments of the real economy, inflation, and financial markets</w:t>
            </w:r>
            <w:r w:rsidR="00D450C6">
              <w:rPr>
                <w:rFonts w:ascii="Arial" w:hAnsi="Arial" w:cs="Arial"/>
                <w:sz w:val="18"/>
                <w:szCs w:val="18"/>
              </w:rPr>
              <w:t xml:space="preserve"> in Norway</w:t>
            </w:r>
            <w:r w:rsidR="009B3C58" w:rsidRPr="00375064">
              <w:rPr>
                <w:rFonts w:ascii="Arial" w:hAnsi="Arial" w:cs="Arial"/>
                <w:sz w:val="18"/>
                <w:szCs w:val="18"/>
              </w:rPr>
              <w:t xml:space="preserve">. </w:t>
            </w:r>
            <w:r w:rsidRPr="00375064">
              <w:rPr>
                <w:rFonts w:ascii="Arial" w:hAnsi="Arial" w:cs="Arial"/>
                <w:sz w:val="18"/>
                <w:szCs w:val="18"/>
              </w:rPr>
              <w:t xml:space="preserve">A gradual moderation in economic activity in Norway over the next couple of years is possible. </w:t>
            </w:r>
            <w:r w:rsidR="00D450C6">
              <w:rPr>
                <w:rFonts w:ascii="Arial" w:hAnsi="Arial" w:cs="Arial"/>
                <w:sz w:val="18"/>
                <w:szCs w:val="18"/>
              </w:rPr>
              <w:t>T</w:t>
            </w:r>
            <w:r w:rsidR="00D450C6">
              <w:rPr>
                <w:rFonts w:ascii="Arial" w:hAnsi="Arial" w:cs="Arial"/>
                <w:sz w:val="18"/>
                <w:szCs w:val="18"/>
              </w:rPr>
              <w:t>he full effect of high i</w:t>
            </w:r>
            <w:r w:rsidR="00D450C6" w:rsidRPr="00375064">
              <w:rPr>
                <w:rFonts w:ascii="Arial" w:hAnsi="Arial" w:cs="Arial"/>
                <w:sz w:val="18"/>
                <w:szCs w:val="18"/>
              </w:rPr>
              <w:t>nflation and higher interest rates</w:t>
            </w:r>
            <w:r w:rsidR="00D450C6">
              <w:rPr>
                <w:rFonts w:ascii="Arial" w:hAnsi="Arial" w:cs="Arial"/>
                <w:sz w:val="18"/>
                <w:szCs w:val="18"/>
              </w:rPr>
              <w:t xml:space="preserve"> </w:t>
            </w:r>
            <w:r w:rsidR="0010394F">
              <w:rPr>
                <w:rFonts w:ascii="Arial" w:hAnsi="Arial" w:cs="Arial"/>
                <w:sz w:val="18"/>
                <w:szCs w:val="18"/>
              </w:rPr>
              <w:t>ha</w:t>
            </w:r>
            <w:r w:rsidR="00D450C6">
              <w:rPr>
                <w:rFonts w:ascii="Arial" w:hAnsi="Arial" w:cs="Arial"/>
                <w:sz w:val="18"/>
                <w:szCs w:val="18"/>
              </w:rPr>
              <w:t>s</w:t>
            </w:r>
            <w:r w:rsidR="0010394F">
              <w:rPr>
                <w:rFonts w:ascii="Arial" w:hAnsi="Arial" w:cs="Arial"/>
                <w:sz w:val="18"/>
                <w:szCs w:val="18"/>
              </w:rPr>
              <w:t xml:space="preserve"> not yet </w:t>
            </w:r>
            <w:r w:rsidR="00D450C6">
              <w:rPr>
                <w:rFonts w:ascii="Arial" w:hAnsi="Arial" w:cs="Arial"/>
                <w:sz w:val="18"/>
                <w:szCs w:val="18"/>
              </w:rPr>
              <w:t xml:space="preserve">been </w:t>
            </w:r>
            <w:r w:rsidR="0010394F">
              <w:rPr>
                <w:rFonts w:ascii="Arial" w:hAnsi="Arial" w:cs="Arial"/>
                <w:sz w:val="18"/>
                <w:szCs w:val="18"/>
              </w:rPr>
              <w:t>experienced, which could</w:t>
            </w:r>
            <w:r w:rsidRPr="00375064">
              <w:rPr>
                <w:rFonts w:ascii="Arial" w:hAnsi="Arial" w:cs="Arial"/>
                <w:sz w:val="18"/>
                <w:szCs w:val="18"/>
              </w:rPr>
              <w:t xml:space="preserve"> lead to </w:t>
            </w:r>
            <w:r w:rsidR="00375064" w:rsidRPr="00375064">
              <w:rPr>
                <w:rFonts w:ascii="Arial" w:hAnsi="Arial" w:cs="Arial"/>
                <w:sz w:val="18"/>
                <w:szCs w:val="18"/>
              </w:rPr>
              <w:t>declin</w:t>
            </w:r>
            <w:r w:rsidR="00375064">
              <w:rPr>
                <w:rFonts w:ascii="Arial" w:hAnsi="Arial" w:cs="Arial"/>
                <w:sz w:val="18"/>
                <w:szCs w:val="18"/>
              </w:rPr>
              <w:t>ing</w:t>
            </w:r>
            <w:r w:rsidR="00375064" w:rsidRPr="00375064">
              <w:rPr>
                <w:rFonts w:ascii="Arial" w:hAnsi="Arial" w:cs="Arial"/>
                <w:sz w:val="18"/>
                <w:szCs w:val="18"/>
              </w:rPr>
              <w:t xml:space="preserve"> housing </w:t>
            </w:r>
            <w:r w:rsidR="009B3C58" w:rsidRPr="00375064">
              <w:rPr>
                <w:rFonts w:ascii="Arial" w:hAnsi="Arial" w:cs="Arial"/>
                <w:sz w:val="18"/>
                <w:szCs w:val="18"/>
              </w:rPr>
              <w:t>and commercial property prices. A decline in housing prices can result in reduced consumption, thereby weakening earnings for businesses leasing premises, leading to lower profits in commercial property companies and increased credit risk for banks.</w:t>
            </w:r>
          </w:p>
          <w:p w14:paraId="26C744CA" w14:textId="77777777" w:rsidR="00585A2C" w:rsidRPr="00585A2C" w:rsidRDefault="00585A2C" w:rsidP="00585A2C">
            <w:pPr>
              <w:pStyle w:val="Listeavsnitt"/>
              <w:rPr>
                <w:rFonts w:ascii="Arial" w:hAnsi="Arial" w:cs="Arial"/>
                <w:sz w:val="18"/>
                <w:szCs w:val="18"/>
              </w:rPr>
            </w:pPr>
          </w:p>
          <w:p w14:paraId="1E7197B9" w14:textId="7B96D380" w:rsidR="00DE48B7" w:rsidRPr="00DE48B7" w:rsidRDefault="00585A2C" w:rsidP="009B3C58">
            <w:pPr>
              <w:pStyle w:val="Listeavsnitt"/>
              <w:numPr>
                <w:ilvl w:val="0"/>
                <w:numId w:val="27"/>
              </w:numPr>
              <w:spacing w:after="0" w:line="288" w:lineRule="auto"/>
              <w:jc w:val="both"/>
              <w:rPr>
                <w:rFonts w:ascii="Arial" w:hAnsi="Arial" w:cs="Arial"/>
                <w:sz w:val="18"/>
                <w:szCs w:val="18"/>
              </w:rPr>
            </w:pPr>
            <w:r w:rsidRPr="00585A2C">
              <w:rPr>
                <w:rFonts w:ascii="Arial" w:hAnsi="Arial" w:cs="Arial"/>
                <w:sz w:val="18"/>
                <w:szCs w:val="18"/>
              </w:rPr>
              <w:t xml:space="preserve">Norwegian agriculture and forestry are </w:t>
            </w:r>
            <w:r w:rsidR="000F4E27">
              <w:rPr>
                <w:rFonts w:ascii="Arial" w:hAnsi="Arial" w:cs="Arial"/>
                <w:sz w:val="18"/>
                <w:szCs w:val="18"/>
              </w:rPr>
              <w:t>eligible to</w:t>
            </w:r>
            <w:r w:rsidRPr="00585A2C">
              <w:rPr>
                <w:rFonts w:ascii="Arial" w:hAnsi="Arial" w:cs="Arial"/>
                <w:sz w:val="18"/>
                <w:szCs w:val="18"/>
              </w:rPr>
              <w:t xml:space="preserve"> state subsidy and support schemes. </w:t>
            </w:r>
            <w:r w:rsidR="00B136D8">
              <w:rPr>
                <w:rFonts w:ascii="Arial" w:hAnsi="Arial" w:cs="Arial"/>
                <w:sz w:val="18"/>
                <w:szCs w:val="18"/>
              </w:rPr>
              <w:t>The</w:t>
            </w:r>
            <w:r w:rsidR="00F20AFF" w:rsidRPr="00585A2C">
              <w:rPr>
                <w:rFonts w:ascii="Arial" w:hAnsi="Arial" w:cs="Arial"/>
                <w:sz w:val="18"/>
                <w:szCs w:val="18"/>
              </w:rPr>
              <w:t xml:space="preserve"> earnings of many agricultural properties</w:t>
            </w:r>
            <w:r w:rsidR="00D50FDA">
              <w:rPr>
                <w:rFonts w:ascii="Arial" w:hAnsi="Arial" w:cs="Arial"/>
                <w:sz w:val="18"/>
                <w:szCs w:val="18"/>
              </w:rPr>
              <w:t xml:space="preserve"> are positively affected of</w:t>
            </w:r>
            <w:r w:rsidRPr="00585A2C">
              <w:rPr>
                <w:rFonts w:ascii="Arial" w:hAnsi="Arial" w:cs="Arial"/>
                <w:sz w:val="18"/>
                <w:szCs w:val="18"/>
              </w:rPr>
              <w:t xml:space="preserve"> current subsidy</w:t>
            </w:r>
            <w:r w:rsidR="00013B3D">
              <w:rPr>
                <w:rFonts w:ascii="Arial" w:hAnsi="Arial" w:cs="Arial"/>
                <w:sz w:val="18"/>
                <w:szCs w:val="18"/>
              </w:rPr>
              <w:t xml:space="preserve"> and support schemes</w:t>
            </w:r>
            <w:r w:rsidR="00D50FDA">
              <w:rPr>
                <w:rFonts w:ascii="Arial" w:hAnsi="Arial" w:cs="Arial"/>
                <w:sz w:val="18"/>
                <w:szCs w:val="18"/>
              </w:rPr>
              <w:t xml:space="preserve">, </w:t>
            </w:r>
            <w:r w:rsidR="00B136D8" w:rsidRPr="00585A2C">
              <w:rPr>
                <w:rFonts w:ascii="Arial" w:hAnsi="Arial" w:cs="Arial"/>
                <w:sz w:val="18"/>
                <w:szCs w:val="18"/>
              </w:rPr>
              <w:t xml:space="preserve">hereby </w:t>
            </w:r>
            <w:r w:rsidR="00013B3D">
              <w:rPr>
                <w:rFonts w:ascii="Arial" w:hAnsi="Arial" w:cs="Arial"/>
                <w:sz w:val="18"/>
                <w:szCs w:val="18"/>
              </w:rPr>
              <w:t>de</w:t>
            </w:r>
            <w:r w:rsidR="00B136D8" w:rsidRPr="00585A2C">
              <w:rPr>
                <w:rFonts w:ascii="Arial" w:hAnsi="Arial" w:cs="Arial"/>
                <w:sz w:val="18"/>
                <w:szCs w:val="18"/>
              </w:rPr>
              <w:t>creasing the likelihood of loan losses</w:t>
            </w:r>
            <w:r w:rsidR="00B136D8">
              <w:rPr>
                <w:rFonts w:ascii="Arial" w:hAnsi="Arial" w:cs="Arial"/>
                <w:sz w:val="18"/>
                <w:szCs w:val="18"/>
              </w:rPr>
              <w:t xml:space="preserve"> </w:t>
            </w:r>
            <w:r w:rsidR="00013B3D">
              <w:rPr>
                <w:rFonts w:ascii="Arial" w:hAnsi="Arial" w:cs="Arial"/>
                <w:sz w:val="18"/>
                <w:szCs w:val="18"/>
              </w:rPr>
              <w:t>for banks.</w:t>
            </w:r>
            <w:permEnd w:id="1430810723"/>
          </w:p>
        </w:tc>
      </w:tr>
      <w:tr w:rsidR="00580FE9" w:rsidRPr="005C0E18" w14:paraId="3DB62B10" w14:textId="77777777" w:rsidTr="001E54D7">
        <w:trPr>
          <w:trHeight w:val="1146"/>
        </w:trPr>
        <w:tc>
          <w:tcPr>
            <w:tcW w:w="3350" w:type="dxa"/>
            <w:vMerge/>
            <w:vAlign w:val="center"/>
          </w:tcPr>
          <w:p w14:paraId="65AE3490" w14:textId="77777777" w:rsidR="00580FE9" w:rsidRPr="005C0E18" w:rsidRDefault="00580FE9" w:rsidP="00580FE9">
            <w:pPr>
              <w:spacing w:after="100" w:line="288" w:lineRule="auto"/>
              <w:jc w:val="both"/>
              <w:rPr>
                <w:rFonts w:ascii="Arial" w:hAnsi="Arial" w:cs="Arial"/>
                <w:b/>
                <w:sz w:val="18"/>
                <w:szCs w:val="18"/>
                <w:lang w:eastAsia="de-DE" w:bidi="pa-IN"/>
              </w:rPr>
            </w:pPr>
          </w:p>
        </w:tc>
        <w:tc>
          <w:tcPr>
            <w:tcW w:w="6114" w:type="dxa"/>
          </w:tcPr>
          <w:p w14:paraId="672368DA" w14:textId="51596EC1" w:rsidR="00580FE9" w:rsidRPr="00DD6786" w:rsidRDefault="00580FE9" w:rsidP="00580FE9">
            <w:pPr>
              <w:spacing w:after="0" w:line="288" w:lineRule="auto"/>
              <w:contextualSpacing/>
              <w:jc w:val="both"/>
              <w:rPr>
                <w:rFonts w:ascii="Arial" w:hAnsi="Arial" w:cs="Arial"/>
                <w:sz w:val="18"/>
                <w:szCs w:val="18"/>
                <w:u w:val="single"/>
                <w:lang w:val="nb-NO"/>
              </w:rPr>
            </w:pPr>
            <w:permStart w:id="504981087" w:edGrp="everyone"/>
            <w:r w:rsidRPr="00DD6786">
              <w:rPr>
                <w:rFonts w:ascii="Arial" w:hAnsi="Arial" w:cs="Arial"/>
                <w:sz w:val="18"/>
                <w:szCs w:val="18"/>
                <w:u w:val="single"/>
                <w:lang w:val="nb-NO"/>
              </w:rPr>
              <w:t>c) Financial stability considerations</w:t>
            </w:r>
            <w:r w:rsidR="004C7B2D" w:rsidRPr="00DD6786">
              <w:rPr>
                <w:rFonts w:ascii="Arial" w:hAnsi="Arial" w:cs="Arial"/>
                <w:sz w:val="18"/>
                <w:szCs w:val="18"/>
                <w:u w:val="single"/>
                <w:lang w:val="nb-NO"/>
              </w:rPr>
              <w:t xml:space="preserve"> </w:t>
            </w:r>
          </w:p>
          <w:p w14:paraId="6811ED2D" w14:textId="7F3C5A0F" w:rsidR="00EC24AF" w:rsidRDefault="00EC24AF" w:rsidP="00EC24AF">
            <w:pPr>
              <w:pStyle w:val="Listeavsnitt"/>
              <w:numPr>
                <w:ilvl w:val="0"/>
                <w:numId w:val="27"/>
              </w:numPr>
              <w:spacing w:after="0" w:line="288" w:lineRule="auto"/>
              <w:jc w:val="both"/>
              <w:rPr>
                <w:rFonts w:ascii="Arial" w:hAnsi="Arial" w:cs="Arial"/>
                <w:sz w:val="18"/>
                <w:szCs w:val="18"/>
              </w:rPr>
            </w:pPr>
            <w:r w:rsidRPr="00EC24AF">
              <w:rPr>
                <w:rFonts w:ascii="Arial" w:hAnsi="Arial" w:cs="Arial"/>
                <w:sz w:val="18"/>
                <w:szCs w:val="18"/>
              </w:rPr>
              <w:t xml:space="preserve">Commercial real estate constitutes a large share of the banks total lending books, and real estate is also the prime collateral in lending to other business. Commercial real estate was a major driver of losses during the banking crisis in Norway </w:t>
            </w:r>
            <w:r w:rsidR="000F4E27">
              <w:rPr>
                <w:rFonts w:ascii="Arial" w:hAnsi="Arial" w:cs="Arial"/>
                <w:sz w:val="18"/>
                <w:szCs w:val="18"/>
              </w:rPr>
              <w:t xml:space="preserve">in </w:t>
            </w:r>
            <w:r w:rsidRPr="00EC24AF">
              <w:rPr>
                <w:rFonts w:ascii="Arial" w:hAnsi="Arial" w:cs="Arial"/>
                <w:sz w:val="18"/>
                <w:szCs w:val="18"/>
              </w:rPr>
              <w:t>1988-1992.</w:t>
            </w:r>
          </w:p>
          <w:p w14:paraId="56AC58D0" w14:textId="77777777" w:rsidR="00EC24AF" w:rsidRPr="00EC24AF" w:rsidRDefault="00EC24AF" w:rsidP="00EC24AF">
            <w:pPr>
              <w:pStyle w:val="Listeavsnitt"/>
              <w:rPr>
                <w:rFonts w:ascii="Arial" w:hAnsi="Arial" w:cs="Arial"/>
                <w:sz w:val="18"/>
                <w:szCs w:val="18"/>
              </w:rPr>
            </w:pPr>
          </w:p>
          <w:p w14:paraId="4C54D4B9" w14:textId="77777777" w:rsidR="000C1CC2" w:rsidRDefault="00EC24AF" w:rsidP="00EC24AF">
            <w:pPr>
              <w:pStyle w:val="Listeavsnitt"/>
              <w:numPr>
                <w:ilvl w:val="0"/>
                <w:numId w:val="27"/>
              </w:numPr>
              <w:spacing w:after="0" w:line="288" w:lineRule="auto"/>
              <w:jc w:val="both"/>
              <w:rPr>
                <w:rFonts w:ascii="Arial" w:hAnsi="Arial" w:cs="Arial"/>
                <w:sz w:val="18"/>
                <w:szCs w:val="18"/>
              </w:rPr>
            </w:pPr>
            <w:r w:rsidRPr="00EC24AF">
              <w:rPr>
                <w:rFonts w:ascii="Arial" w:hAnsi="Arial" w:cs="Arial"/>
                <w:sz w:val="18"/>
                <w:szCs w:val="18"/>
              </w:rPr>
              <w:t>Introducing a lower risk for commercial real estate under the standard</w:t>
            </w:r>
            <w:r w:rsidR="00AC43FE">
              <w:rPr>
                <w:rFonts w:ascii="Arial" w:hAnsi="Arial" w:cs="Arial"/>
                <w:sz w:val="18"/>
                <w:szCs w:val="18"/>
              </w:rPr>
              <w:t>ized</w:t>
            </w:r>
            <w:r w:rsidRPr="00EC24AF">
              <w:rPr>
                <w:rFonts w:ascii="Arial" w:hAnsi="Arial" w:cs="Arial"/>
                <w:sz w:val="18"/>
                <w:szCs w:val="18"/>
              </w:rPr>
              <w:t xml:space="preserve"> method may increase lending to the segment significantly. In the current situation this </w:t>
            </w:r>
            <w:r w:rsidR="00905F19">
              <w:rPr>
                <w:rFonts w:ascii="Arial" w:hAnsi="Arial" w:cs="Arial"/>
                <w:sz w:val="18"/>
                <w:szCs w:val="18"/>
              </w:rPr>
              <w:t>could be problematic</w:t>
            </w:r>
            <w:r w:rsidRPr="00EC24AF">
              <w:rPr>
                <w:rFonts w:ascii="Arial" w:hAnsi="Arial" w:cs="Arial"/>
                <w:sz w:val="18"/>
                <w:szCs w:val="18"/>
              </w:rPr>
              <w:t xml:space="preserve"> considering </w:t>
            </w:r>
            <w:r w:rsidR="0023619C">
              <w:rPr>
                <w:rFonts w:ascii="Arial" w:hAnsi="Arial" w:cs="Arial"/>
                <w:sz w:val="18"/>
                <w:szCs w:val="18"/>
              </w:rPr>
              <w:t>banks' high exposure</w:t>
            </w:r>
            <w:r w:rsidR="00633FBD">
              <w:rPr>
                <w:rFonts w:ascii="Arial" w:hAnsi="Arial" w:cs="Arial"/>
                <w:sz w:val="18"/>
                <w:szCs w:val="18"/>
              </w:rPr>
              <w:t xml:space="preserve"> and</w:t>
            </w:r>
            <w:r w:rsidR="00905F19">
              <w:rPr>
                <w:rFonts w:ascii="Arial" w:hAnsi="Arial" w:cs="Arial"/>
                <w:sz w:val="18"/>
                <w:szCs w:val="18"/>
              </w:rPr>
              <w:t xml:space="preserve"> the </w:t>
            </w:r>
            <w:r w:rsidR="00133F51">
              <w:rPr>
                <w:rFonts w:ascii="Arial" w:hAnsi="Arial" w:cs="Arial"/>
                <w:sz w:val="18"/>
                <w:szCs w:val="18"/>
              </w:rPr>
              <w:t xml:space="preserve">uncertainty </w:t>
            </w:r>
            <w:r w:rsidR="005169E4">
              <w:rPr>
                <w:rFonts w:ascii="Arial" w:hAnsi="Arial" w:cs="Arial"/>
                <w:sz w:val="18"/>
                <w:szCs w:val="18"/>
              </w:rPr>
              <w:t xml:space="preserve">in the economic outlook </w:t>
            </w:r>
            <w:r w:rsidR="00133F51">
              <w:rPr>
                <w:rFonts w:ascii="Arial" w:hAnsi="Arial" w:cs="Arial"/>
                <w:sz w:val="18"/>
                <w:szCs w:val="18"/>
              </w:rPr>
              <w:t>in</w:t>
            </w:r>
            <w:r w:rsidR="005169E4">
              <w:rPr>
                <w:rFonts w:ascii="Arial" w:hAnsi="Arial" w:cs="Arial"/>
                <w:sz w:val="18"/>
                <w:szCs w:val="18"/>
              </w:rPr>
              <w:t xml:space="preserve"> general, and </w:t>
            </w:r>
            <w:r w:rsidR="000D0AB4">
              <w:rPr>
                <w:rFonts w:ascii="Arial" w:hAnsi="Arial" w:cs="Arial"/>
                <w:sz w:val="18"/>
                <w:szCs w:val="18"/>
              </w:rPr>
              <w:t xml:space="preserve">specifically </w:t>
            </w:r>
            <w:r w:rsidR="005169E4">
              <w:rPr>
                <w:rFonts w:ascii="Arial" w:hAnsi="Arial" w:cs="Arial"/>
                <w:sz w:val="18"/>
                <w:szCs w:val="18"/>
              </w:rPr>
              <w:t>in</w:t>
            </w:r>
            <w:r w:rsidR="00133F51">
              <w:rPr>
                <w:rFonts w:ascii="Arial" w:hAnsi="Arial" w:cs="Arial"/>
                <w:sz w:val="18"/>
                <w:szCs w:val="18"/>
              </w:rPr>
              <w:t xml:space="preserve"> relation to</w:t>
            </w:r>
            <w:r w:rsidR="005169E4">
              <w:rPr>
                <w:rFonts w:ascii="Arial" w:hAnsi="Arial" w:cs="Arial"/>
                <w:sz w:val="18"/>
                <w:szCs w:val="18"/>
              </w:rPr>
              <w:t xml:space="preserve"> </w:t>
            </w:r>
            <w:r w:rsidR="000D0AB4">
              <w:rPr>
                <w:rFonts w:ascii="Arial" w:hAnsi="Arial" w:cs="Arial"/>
                <w:sz w:val="18"/>
                <w:szCs w:val="18"/>
              </w:rPr>
              <w:t>the</w:t>
            </w:r>
            <w:r w:rsidR="00F26DB1">
              <w:rPr>
                <w:rFonts w:ascii="Arial" w:hAnsi="Arial" w:cs="Arial"/>
                <w:sz w:val="18"/>
                <w:szCs w:val="18"/>
              </w:rPr>
              <w:t xml:space="preserve"> adaptation to higher interest rates.</w:t>
            </w:r>
            <w:r w:rsidR="00E621D3">
              <w:rPr>
                <w:rFonts w:ascii="Arial" w:hAnsi="Arial" w:cs="Arial"/>
                <w:sz w:val="18"/>
                <w:szCs w:val="18"/>
              </w:rPr>
              <w:t xml:space="preserve"> </w:t>
            </w:r>
          </w:p>
          <w:p w14:paraId="6D71A248" w14:textId="77777777" w:rsidR="00374E82" w:rsidRPr="00374E82" w:rsidRDefault="00374E82" w:rsidP="00374E82">
            <w:pPr>
              <w:pStyle w:val="Listeavsnitt"/>
              <w:rPr>
                <w:rFonts w:ascii="Arial" w:hAnsi="Arial" w:cs="Arial"/>
                <w:sz w:val="18"/>
                <w:szCs w:val="18"/>
              </w:rPr>
            </w:pPr>
          </w:p>
          <w:p w14:paraId="6389EF82" w14:textId="53E6AEE0" w:rsidR="000C1CC2" w:rsidRPr="0003247A" w:rsidRDefault="00374E82" w:rsidP="00EC24AF">
            <w:pPr>
              <w:pStyle w:val="Listeavsnitt"/>
              <w:numPr>
                <w:ilvl w:val="0"/>
                <w:numId w:val="27"/>
              </w:numPr>
              <w:spacing w:after="0" w:line="288" w:lineRule="auto"/>
              <w:jc w:val="both"/>
              <w:rPr>
                <w:rFonts w:ascii="Arial" w:hAnsi="Arial" w:cs="Arial"/>
                <w:sz w:val="18"/>
                <w:szCs w:val="18"/>
              </w:rPr>
            </w:pPr>
            <w:r>
              <w:rPr>
                <w:rFonts w:ascii="Arial" w:hAnsi="Arial" w:cs="Arial"/>
                <w:sz w:val="18"/>
                <w:szCs w:val="18"/>
              </w:rPr>
              <w:t xml:space="preserve">The total exposure to the agricultural sector is relatively low. Reducing </w:t>
            </w:r>
            <w:r w:rsidR="00935586">
              <w:rPr>
                <w:rFonts w:ascii="Arial" w:hAnsi="Arial" w:cs="Arial"/>
                <w:sz w:val="18"/>
                <w:szCs w:val="18"/>
              </w:rPr>
              <w:t xml:space="preserve">the </w:t>
            </w:r>
            <w:r>
              <w:rPr>
                <w:rFonts w:ascii="Arial" w:hAnsi="Arial" w:cs="Arial"/>
                <w:sz w:val="18"/>
                <w:szCs w:val="18"/>
              </w:rPr>
              <w:t>risk weight for</w:t>
            </w:r>
            <w:r w:rsidR="00935586">
              <w:rPr>
                <w:rFonts w:ascii="Arial" w:hAnsi="Arial" w:cs="Arial"/>
                <w:sz w:val="18"/>
                <w:szCs w:val="18"/>
              </w:rPr>
              <w:t xml:space="preserve"> only</w:t>
            </w:r>
            <w:r>
              <w:rPr>
                <w:rFonts w:ascii="Arial" w:hAnsi="Arial" w:cs="Arial"/>
                <w:sz w:val="18"/>
                <w:szCs w:val="18"/>
              </w:rPr>
              <w:t xml:space="preserve"> this sector </w:t>
            </w:r>
            <w:r w:rsidR="00935586">
              <w:rPr>
                <w:rFonts w:ascii="Arial" w:hAnsi="Arial" w:cs="Arial"/>
                <w:sz w:val="18"/>
                <w:szCs w:val="18"/>
              </w:rPr>
              <w:t>is not considered to have major impact on financial stability.</w:t>
            </w:r>
            <w:permEnd w:id="504981087"/>
          </w:p>
        </w:tc>
      </w:tr>
      <w:tr w:rsidR="00580FE9" w:rsidRPr="00312212" w14:paraId="3A1E1AD9" w14:textId="77777777" w:rsidTr="001E54D7">
        <w:trPr>
          <w:trHeight w:val="503"/>
        </w:trPr>
        <w:tc>
          <w:tcPr>
            <w:tcW w:w="9464" w:type="dxa"/>
            <w:gridSpan w:val="2"/>
            <w:shd w:val="clear" w:color="auto" w:fill="BFBFBF"/>
            <w:vAlign w:val="center"/>
          </w:tcPr>
          <w:p w14:paraId="109EE0AE" w14:textId="2165C78C" w:rsidR="00580FE9" w:rsidRPr="00312888" w:rsidRDefault="00580FE9" w:rsidP="00580FE9">
            <w:pPr>
              <w:numPr>
                <w:ilvl w:val="0"/>
                <w:numId w:val="2"/>
              </w:numPr>
              <w:spacing w:after="0" w:line="288" w:lineRule="auto"/>
              <w:contextualSpacing/>
              <w:jc w:val="both"/>
              <w:rPr>
                <w:rFonts w:ascii="Arial" w:hAnsi="Arial" w:cs="Arial"/>
                <w:b/>
                <w:sz w:val="18"/>
                <w:szCs w:val="18"/>
              </w:rPr>
            </w:pPr>
            <w:r>
              <w:rPr>
                <w:rFonts w:ascii="Arial" w:hAnsi="Arial" w:cs="Arial"/>
                <w:b/>
                <w:sz w:val="18"/>
                <w:szCs w:val="18"/>
              </w:rPr>
              <w:t xml:space="preserve">Sufficiency, consistency and non-overlap of the policy response </w:t>
            </w:r>
          </w:p>
        </w:tc>
      </w:tr>
      <w:tr w:rsidR="006C7143" w:rsidRPr="005C0E18" w14:paraId="1C377A78" w14:textId="77777777" w:rsidTr="00F503AB">
        <w:trPr>
          <w:trHeight w:val="558"/>
        </w:trPr>
        <w:tc>
          <w:tcPr>
            <w:tcW w:w="3350" w:type="dxa"/>
          </w:tcPr>
          <w:p w14:paraId="65795DE2" w14:textId="77777777" w:rsidR="006C7143" w:rsidRPr="00E91417" w:rsidRDefault="006C7143" w:rsidP="006C7143">
            <w:pPr>
              <w:spacing w:before="60" w:after="60" w:line="288" w:lineRule="auto"/>
              <w:jc w:val="both"/>
              <w:rPr>
                <w:rFonts w:ascii="Arial" w:hAnsi="Arial" w:cs="Arial"/>
                <w:b/>
                <w:sz w:val="18"/>
                <w:szCs w:val="18"/>
              </w:rPr>
            </w:pPr>
            <w:permStart w:id="598297575" w:edGrp="everyone" w:colFirst="1" w:colLast="1"/>
          </w:p>
          <w:p w14:paraId="7C1397B7" w14:textId="77777777" w:rsidR="006C7143" w:rsidRPr="00E91417" w:rsidRDefault="006C7143" w:rsidP="006C7143">
            <w:pPr>
              <w:spacing w:before="60" w:after="60" w:line="288" w:lineRule="auto"/>
              <w:rPr>
                <w:rFonts w:ascii="Arial" w:hAnsi="Arial" w:cs="Arial"/>
                <w:b/>
                <w:sz w:val="18"/>
                <w:szCs w:val="18"/>
              </w:rPr>
            </w:pPr>
          </w:p>
          <w:p w14:paraId="77EB8255" w14:textId="16B047E9" w:rsidR="006C7143" w:rsidRPr="00E91417" w:rsidRDefault="006C7143" w:rsidP="006C7143">
            <w:pPr>
              <w:spacing w:before="60" w:after="60" w:line="288" w:lineRule="auto"/>
              <w:rPr>
                <w:rFonts w:ascii="Arial" w:eastAsia="Times New Roman" w:hAnsi="Arial" w:cs="Arial"/>
                <w:b/>
                <w:sz w:val="18"/>
                <w:szCs w:val="18"/>
                <w:lang w:eastAsia="en-GB"/>
              </w:rPr>
            </w:pPr>
            <w:r w:rsidRPr="00E91417">
              <w:rPr>
                <w:rFonts w:ascii="Arial" w:hAnsi="Arial" w:cs="Arial"/>
                <w:b/>
                <w:sz w:val="18"/>
                <w:szCs w:val="18"/>
              </w:rPr>
              <w:t>5.1 Sufficiency of the policy response</w:t>
            </w:r>
          </w:p>
        </w:tc>
        <w:tc>
          <w:tcPr>
            <w:tcW w:w="6114" w:type="dxa"/>
          </w:tcPr>
          <w:p w14:paraId="4B3DC83C" w14:textId="6FACE4AB" w:rsidR="000C1CC2" w:rsidRPr="006C7143" w:rsidRDefault="00AC43FE" w:rsidP="006C7143">
            <w:pPr>
              <w:rPr>
                <w:rFonts w:ascii="Arial" w:hAnsi="Arial" w:cs="Arial"/>
                <w:sz w:val="18"/>
                <w:szCs w:val="18"/>
              </w:rPr>
            </w:pPr>
            <w:r>
              <w:rPr>
                <w:rFonts w:ascii="Arial" w:hAnsi="Arial" w:cs="Arial"/>
                <w:sz w:val="18"/>
                <w:szCs w:val="18"/>
              </w:rPr>
              <w:t xml:space="preserve">In the current economic environment, with high uncertainty both in general and </w:t>
            </w:r>
            <w:r w:rsidR="00A3220D">
              <w:rPr>
                <w:rFonts w:ascii="Arial" w:hAnsi="Arial" w:cs="Arial"/>
                <w:sz w:val="18"/>
                <w:szCs w:val="18"/>
              </w:rPr>
              <w:t>specifically in relation to the commercial real estate market, it is</w:t>
            </w:r>
            <w:r w:rsidR="00742DBF">
              <w:rPr>
                <w:rFonts w:ascii="Arial" w:hAnsi="Arial" w:cs="Arial"/>
                <w:sz w:val="18"/>
                <w:szCs w:val="18"/>
              </w:rPr>
              <w:t xml:space="preserve"> considered</w:t>
            </w:r>
            <w:r w:rsidR="00A3220D">
              <w:rPr>
                <w:rFonts w:ascii="Arial" w:hAnsi="Arial" w:cs="Arial"/>
                <w:sz w:val="18"/>
                <w:szCs w:val="18"/>
              </w:rPr>
              <w:t xml:space="preserve"> important to </w:t>
            </w:r>
            <w:r w:rsidR="00742DBF">
              <w:rPr>
                <w:rFonts w:ascii="Arial" w:hAnsi="Arial" w:cs="Arial"/>
                <w:sz w:val="18"/>
                <w:szCs w:val="18"/>
              </w:rPr>
              <w:t>keep the</w:t>
            </w:r>
            <w:r w:rsidR="0054650A" w:rsidRPr="00EC24AF">
              <w:rPr>
                <w:rFonts w:ascii="Arial" w:hAnsi="Arial" w:cs="Arial"/>
                <w:sz w:val="18"/>
                <w:szCs w:val="18"/>
              </w:rPr>
              <w:t xml:space="preserve"> risk </w:t>
            </w:r>
            <w:r w:rsidR="00A3220D">
              <w:rPr>
                <w:rFonts w:ascii="Arial" w:hAnsi="Arial" w:cs="Arial"/>
                <w:sz w:val="18"/>
                <w:szCs w:val="18"/>
              </w:rPr>
              <w:t xml:space="preserve">weight </w:t>
            </w:r>
            <w:r w:rsidR="0054650A" w:rsidRPr="00EC24AF">
              <w:rPr>
                <w:rFonts w:ascii="Arial" w:hAnsi="Arial" w:cs="Arial"/>
                <w:sz w:val="18"/>
                <w:szCs w:val="18"/>
              </w:rPr>
              <w:t xml:space="preserve">for </w:t>
            </w:r>
            <w:r w:rsidR="00A3220D">
              <w:rPr>
                <w:rFonts w:ascii="Arial" w:hAnsi="Arial" w:cs="Arial"/>
                <w:sz w:val="18"/>
                <w:szCs w:val="18"/>
              </w:rPr>
              <w:t xml:space="preserve">exposures secured by </w:t>
            </w:r>
            <w:r w:rsidR="0054650A" w:rsidRPr="00EC24AF">
              <w:rPr>
                <w:rFonts w:ascii="Arial" w:hAnsi="Arial" w:cs="Arial"/>
                <w:sz w:val="18"/>
                <w:szCs w:val="18"/>
              </w:rPr>
              <w:t>commercial real estate</w:t>
            </w:r>
            <w:r w:rsidR="00742DBF">
              <w:rPr>
                <w:rFonts w:ascii="Arial" w:hAnsi="Arial" w:cs="Arial"/>
                <w:sz w:val="18"/>
                <w:szCs w:val="18"/>
              </w:rPr>
              <w:t xml:space="preserve"> at the current level</w:t>
            </w:r>
            <w:r w:rsidR="00A3220D">
              <w:rPr>
                <w:rFonts w:ascii="Arial" w:hAnsi="Arial" w:cs="Arial"/>
                <w:sz w:val="18"/>
                <w:szCs w:val="18"/>
              </w:rPr>
              <w:t xml:space="preserve">. </w:t>
            </w:r>
            <w:r w:rsidR="00742DBF">
              <w:rPr>
                <w:rFonts w:ascii="Arial" w:hAnsi="Arial" w:cs="Arial"/>
                <w:sz w:val="18"/>
                <w:szCs w:val="18"/>
              </w:rPr>
              <w:t>A decrease</w:t>
            </w:r>
            <w:r w:rsidR="00A3220D">
              <w:rPr>
                <w:rFonts w:ascii="Arial" w:hAnsi="Arial" w:cs="Arial"/>
                <w:sz w:val="18"/>
                <w:szCs w:val="18"/>
              </w:rPr>
              <w:t xml:space="preserve"> would reduce resilience in the banking sector and could</w:t>
            </w:r>
            <w:r w:rsidR="0054650A" w:rsidRPr="00EC24AF">
              <w:rPr>
                <w:rFonts w:ascii="Arial" w:hAnsi="Arial" w:cs="Arial"/>
                <w:sz w:val="18"/>
                <w:szCs w:val="18"/>
              </w:rPr>
              <w:t xml:space="preserve"> increase lending to the segment. </w:t>
            </w:r>
          </w:p>
        </w:tc>
      </w:tr>
      <w:tr w:rsidR="006C7143" w:rsidRPr="005C0E18" w14:paraId="0C44A1E4" w14:textId="77777777" w:rsidTr="006A04E5">
        <w:trPr>
          <w:trHeight w:val="132"/>
        </w:trPr>
        <w:tc>
          <w:tcPr>
            <w:tcW w:w="3350" w:type="dxa"/>
          </w:tcPr>
          <w:p w14:paraId="2039B10E" w14:textId="77777777" w:rsidR="006C7143" w:rsidRPr="00E91417" w:rsidRDefault="006C7143" w:rsidP="006C7143">
            <w:pPr>
              <w:spacing w:after="0" w:line="240" w:lineRule="auto"/>
              <w:rPr>
                <w:rFonts w:ascii="Arial" w:hAnsi="Arial" w:cs="Arial"/>
                <w:b/>
                <w:sz w:val="18"/>
                <w:szCs w:val="18"/>
              </w:rPr>
            </w:pPr>
            <w:permStart w:id="1521241478" w:edGrp="everyone" w:colFirst="1" w:colLast="1"/>
            <w:permEnd w:id="598297575"/>
          </w:p>
          <w:p w14:paraId="604A32BC" w14:textId="77777777" w:rsidR="006C7143" w:rsidRPr="00E91417" w:rsidRDefault="006C7143" w:rsidP="006C7143">
            <w:pPr>
              <w:spacing w:after="0" w:line="240" w:lineRule="auto"/>
              <w:rPr>
                <w:rFonts w:ascii="Arial" w:hAnsi="Arial" w:cs="Arial"/>
                <w:b/>
                <w:sz w:val="18"/>
                <w:szCs w:val="18"/>
              </w:rPr>
            </w:pPr>
          </w:p>
          <w:p w14:paraId="19894F89" w14:textId="77777777" w:rsidR="006C7143" w:rsidRPr="00E91417" w:rsidRDefault="006C7143" w:rsidP="006C7143">
            <w:pPr>
              <w:spacing w:after="0" w:line="240" w:lineRule="auto"/>
              <w:rPr>
                <w:rFonts w:ascii="Arial" w:hAnsi="Arial" w:cs="Arial"/>
                <w:b/>
                <w:sz w:val="18"/>
                <w:szCs w:val="18"/>
              </w:rPr>
            </w:pPr>
          </w:p>
          <w:p w14:paraId="43BCEA33" w14:textId="77777777" w:rsidR="006C7143" w:rsidRPr="00E91417" w:rsidRDefault="006C7143" w:rsidP="006C7143">
            <w:pPr>
              <w:spacing w:after="0" w:line="240" w:lineRule="auto"/>
              <w:rPr>
                <w:rFonts w:ascii="Arial" w:hAnsi="Arial" w:cs="Arial"/>
                <w:b/>
                <w:sz w:val="18"/>
                <w:szCs w:val="18"/>
              </w:rPr>
            </w:pPr>
          </w:p>
          <w:p w14:paraId="41717F8B" w14:textId="6A211D93" w:rsidR="006C7143" w:rsidRPr="00E91417" w:rsidRDefault="006C7143" w:rsidP="006C7143">
            <w:pPr>
              <w:spacing w:after="0" w:line="240" w:lineRule="auto"/>
              <w:rPr>
                <w:rFonts w:ascii="Arial" w:hAnsi="Arial" w:cs="Arial"/>
                <w:b/>
                <w:sz w:val="18"/>
                <w:szCs w:val="18"/>
              </w:rPr>
            </w:pPr>
            <w:r w:rsidRPr="00E91417">
              <w:rPr>
                <w:rFonts w:ascii="Arial" w:hAnsi="Arial" w:cs="Arial"/>
                <w:b/>
                <w:sz w:val="18"/>
                <w:szCs w:val="18"/>
              </w:rPr>
              <w:t xml:space="preserve">5.2 Consistency of application of the policy response </w:t>
            </w:r>
          </w:p>
          <w:p w14:paraId="32C173CB" w14:textId="72116417" w:rsidR="006C7143" w:rsidRPr="00E91417" w:rsidRDefault="006C7143" w:rsidP="006C7143">
            <w:pPr>
              <w:rPr>
                <w:rFonts w:ascii="Arial" w:hAnsi="Arial" w:cs="Arial"/>
                <w:b/>
                <w:bCs/>
                <w:sz w:val="18"/>
                <w:szCs w:val="18"/>
              </w:rPr>
            </w:pPr>
          </w:p>
        </w:tc>
        <w:tc>
          <w:tcPr>
            <w:tcW w:w="6114" w:type="dxa"/>
          </w:tcPr>
          <w:p w14:paraId="7C275714" w14:textId="10AB5469" w:rsidR="006C7143" w:rsidRPr="006C7143" w:rsidRDefault="00F900BA" w:rsidP="006C7143">
            <w:pPr>
              <w:rPr>
                <w:rFonts w:ascii="Arial" w:hAnsi="Arial" w:cs="Arial"/>
                <w:sz w:val="18"/>
                <w:szCs w:val="18"/>
              </w:rPr>
            </w:pPr>
            <w:r>
              <w:rPr>
                <w:rFonts w:ascii="Arial" w:hAnsi="Arial" w:cs="Arial"/>
                <w:sz w:val="18"/>
                <w:szCs w:val="18"/>
              </w:rPr>
              <w:t xml:space="preserve">The measure </w:t>
            </w:r>
            <w:r w:rsidR="00AB7169">
              <w:rPr>
                <w:rFonts w:ascii="Arial" w:hAnsi="Arial" w:cs="Arial"/>
                <w:sz w:val="18"/>
                <w:szCs w:val="18"/>
              </w:rPr>
              <w:t xml:space="preserve">is mainly a continuation of </w:t>
            </w:r>
            <w:r w:rsidR="008F3BF3">
              <w:rPr>
                <w:rFonts w:ascii="Arial" w:hAnsi="Arial" w:cs="Arial"/>
                <w:sz w:val="18"/>
                <w:szCs w:val="18"/>
              </w:rPr>
              <w:t>current framework, apart from the exception of exposures secured by agricultural real estate.</w:t>
            </w:r>
            <w:r w:rsidR="00D61A4C">
              <w:rPr>
                <w:rFonts w:ascii="Arial" w:hAnsi="Arial" w:cs="Arial"/>
                <w:sz w:val="18"/>
                <w:szCs w:val="18"/>
              </w:rPr>
              <w:t xml:space="preserve"> As this is considered to have a minor impact on the financial system</w:t>
            </w:r>
            <w:r w:rsidR="00724EE8">
              <w:rPr>
                <w:rFonts w:ascii="Arial" w:hAnsi="Arial" w:cs="Arial"/>
                <w:sz w:val="18"/>
                <w:szCs w:val="18"/>
              </w:rPr>
              <w:t xml:space="preserve"> in general</w:t>
            </w:r>
            <w:r w:rsidR="00D61A4C">
              <w:rPr>
                <w:rFonts w:ascii="Arial" w:hAnsi="Arial" w:cs="Arial"/>
                <w:sz w:val="18"/>
                <w:szCs w:val="18"/>
              </w:rPr>
              <w:t>, the</w:t>
            </w:r>
            <w:r w:rsidR="00724EE8">
              <w:rPr>
                <w:rFonts w:ascii="Arial" w:hAnsi="Arial" w:cs="Arial"/>
                <w:sz w:val="18"/>
                <w:szCs w:val="18"/>
              </w:rPr>
              <w:t xml:space="preserve"> measure is overall asse</w:t>
            </w:r>
            <w:r w:rsidR="00F62337">
              <w:rPr>
                <w:rFonts w:ascii="Arial" w:hAnsi="Arial" w:cs="Arial"/>
                <w:sz w:val="18"/>
                <w:szCs w:val="18"/>
              </w:rPr>
              <w:t>sse</w:t>
            </w:r>
            <w:r w:rsidR="00724EE8">
              <w:rPr>
                <w:rFonts w:ascii="Arial" w:hAnsi="Arial" w:cs="Arial"/>
                <w:sz w:val="18"/>
                <w:szCs w:val="18"/>
              </w:rPr>
              <w:t>d to be</w:t>
            </w:r>
            <w:r w:rsidR="00D61A4C">
              <w:rPr>
                <w:rFonts w:ascii="Arial" w:hAnsi="Arial" w:cs="Arial"/>
                <w:sz w:val="18"/>
                <w:szCs w:val="18"/>
              </w:rPr>
              <w:t xml:space="preserve"> consistent wit</w:t>
            </w:r>
            <w:r w:rsidR="00F62337">
              <w:rPr>
                <w:rFonts w:ascii="Arial" w:hAnsi="Arial" w:cs="Arial"/>
                <w:sz w:val="18"/>
                <w:szCs w:val="18"/>
              </w:rPr>
              <w:t xml:space="preserve">h previous </w:t>
            </w:r>
            <w:r w:rsidR="007A2EFA">
              <w:rPr>
                <w:rFonts w:ascii="Arial" w:hAnsi="Arial" w:cs="Arial"/>
                <w:sz w:val="18"/>
                <w:szCs w:val="18"/>
              </w:rPr>
              <w:t xml:space="preserve">and current </w:t>
            </w:r>
            <w:r w:rsidR="00F62337">
              <w:rPr>
                <w:rFonts w:ascii="Arial" w:hAnsi="Arial" w:cs="Arial"/>
                <w:sz w:val="18"/>
                <w:szCs w:val="18"/>
              </w:rPr>
              <w:t>policy.</w:t>
            </w:r>
          </w:p>
        </w:tc>
      </w:tr>
      <w:tr w:rsidR="006C7143" w:rsidRPr="005C0E18" w14:paraId="454961B9" w14:textId="77777777" w:rsidTr="00DE48B7">
        <w:trPr>
          <w:trHeight w:val="2298"/>
        </w:trPr>
        <w:tc>
          <w:tcPr>
            <w:tcW w:w="3350" w:type="dxa"/>
          </w:tcPr>
          <w:p w14:paraId="423328D5" w14:textId="77777777" w:rsidR="006C7143" w:rsidRPr="00E91417" w:rsidRDefault="006C7143" w:rsidP="006C7143">
            <w:pPr>
              <w:spacing w:after="0" w:line="240" w:lineRule="auto"/>
              <w:rPr>
                <w:rFonts w:ascii="Arial" w:hAnsi="Arial" w:cs="Arial"/>
                <w:b/>
                <w:bCs/>
                <w:sz w:val="18"/>
                <w:szCs w:val="18"/>
              </w:rPr>
            </w:pPr>
            <w:permStart w:id="1223043786" w:edGrp="everyone" w:colFirst="1" w:colLast="1"/>
            <w:permEnd w:id="1521241478"/>
          </w:p>
          <w:p w14:paraId="3FB259A8" w14:textId="77777777" w:rsidR="006C7143" w:rsidRPr="00E91417" w:rsidRDefault="006C7143" w:rsidP="006C7143">
            <w:pPr>
              <w:spacing w:after="0" w:line="240" w:lineRule="auto"/>
              <w:rPr>
                <w:rFonts w:ascii="Arial" w:hAnsi="Arial" w:cs="Arial"/>
                <w:b/>
                <w:bCs/>
                <w:sz w:val="18"/>
                <w:szCs w:val="18"/>
              </w:rPr>
            </w:pPr>
          </w:p>
          <w:p w14:paraId="3826598C" w14:textId="77777777" w:rsidR="006C7143" w:rsidRPr="00E91417" w:rsidRDefault="006C7143" w:rsidP="006C7143">
            <w:pPr>
              <w:spacing w:after="0" w:line="240" w:lineRule="auto"/>
              <w:rPr>
                <w:rFonts w:ascii="Arial" w:hAnsi="Arial" w:cs="Arial"/>
                <w:b/>
                <w:bCs/>
                <w:sz w:val="18"/>
                <w:szCs w:val="18"/>
              </w:rPr>
            </w:pPr>
          </w:p>
          <w:p w14:paraId="32462FB2" w14:textId="77777777" w:rsidR="006C7143" w:rsidRPr="00E91417" w:rsidRDefault="006C7143" w:rsidP="006C7143">
            <w:pPr>
              <w:spacing w:after="0" w:line="240" w:lineRule="auto"/>
              <w:rPr>
                <w:rFonts w:ascii="Arial" w:hAnsi="Arial" w:cs="Arial"/>
                <w:b/>
                <w:bCs/>
                <w:sz w:val="18"/>
                <w:szCs w:val="18"/>
              </w:rPr>
            </w:pPr>
          </w:p>
          <w:p w14:paraId="4029D7CD" w14:textId="49A07F5A" w:rsidR="006C7143" w:rsidRPr="00E91417" w:rsidRDefault="006C7143" w:rsidP="006C7143">
            <w:pPr>
              <w:rPr>
                <w:rFonts w:ascii="Arial" w:hAnsi="Arial" w:cs="Arial"/>
                <w:b/>
                <w:bCs/>
                <w:sz w:val="18"/>
                <w:szCs w:val="18"/>
              </w:rPr>
            </w:pPr>
            <w:r w:rsidRPr="00E91417">
              <w:rPr>
                <w:rFonts w:ascii="Arial" w:hAnsi="Arial" w:cs="Arial"/>
                <w:b/>
                <w:bCs/>
                <w:sz w:val="18"/>
                <w:szCs w:val="18"/>
              </w:rPr>
              <w:t>5</w:t>
            </w:r>
            <w:r w:rsidRPr="00E91417">
              <w:rPr>
                <w:rFonts w:ascii="Arial" w:hAnsi="Arial" w:cs="Arial"/>
                <w:b/>
                <w:sz w:val="18"/>
                <w:szCs w:val="18"/>
              </w:rPr>
              <w:t>.3 Non-overlap of the policy response</w:t>
            </w:r>
          </w:p>
        </w:tc>
        <w:tc>
          <w:tcPr>
            <w:tcW w:w="6114" w:type="dxa"/>
          </w:tcPr>
          <w:p w14:paraId="099C91EF" w14:textId="77777777" w:rsidR="002B4C56" w:rsidRDefault="00250706" w:rsidP="00260492">
            <w:pPr>
              <w:spacing w:after="0"/>
              <w:contextualSpacing/>
              <w:jc w:val="both"/>
              <w:rPr>
                <w:rFonts w:ascii="Arial" w:hAnsi="Arial" w:cs="Arial"/>
                <w:sz w:val="18"/>
                <w:szCs w:val="18"/>
              </w:rPr>
            </w:pPr>
            <w:r w:rsidRPr="00250706">
              <w:rPr>
                <w:rFonts w:ascii="Arial" w:hAnsi="Arial" w:cs="Arial"/>
                <w:sz w:val="18"/>
                <w:szCs w:val="18"/>
              </w:rPr>
              <w:t>The vulnerabilities in the Norwegian financial system are addressed by a</w:t>
            </w:r>
            <w:r w:rsidR="005A425A">
              <w:rPr>
                <w:rFonts w:ascii="Arial" w:hAnsi="Arial" w:cs="Arial"/>
                <w:sz w:val="18"/>
                <w:szCs w:val="18"/>
              </w:rPr>
              <w:t xml:space="preserve"> </w:t>
            </w:r>
            <w:r w:rsidRPr="00250706">
              <w:rPr>
                <w:rFonts w:ascii="Arial" w:hAnsi="Arial" w:cs="Arial"/>
                <w:sz w:val="18"/>
                <w:szCs w:val="18"/>
              </w:rPr>
              <w:t xml:space="preserve">number of regulations. </w:t>
            </w:r>
            <w:r w:rsidR="000A636A">
              <w:rPr>
                <w:rFonts w:ascii="Arial" w:hAnsi="Arial" w:cs="Arial"/>
                <w:sz w:val="18"/>
                <w:szCs w:val="18"/>
              </w:rPr>
              <w:t>Th</w:t>
            </w:r>
            <w:r w:rsidR="005A425A">
              <w:rPr>
                <w:rFonts w:ascii="Arial" w:hAnsi="Arial" w:cs="Arial"/>
                <w:sz w:val="18"/>
                <w:szCs w:val="18"/>
              </w:rPr>
              <w:t>e</w:t>
            </w:r>
            <w:r w:rsidR="000A636A">
              <w:rPr>
                <w:rFonts w:ascii="Arial" w:hAnsi="Arial" w:cs="Arial"/>
                <w:sz w:val="18"/>
                <w:szCs w:val="18"/>
              </w:rPr>
              <w:t xml:space="preserve"> measure</w:t>
            </w:r>
            <w:r w:rsidR="005A425A">
              <w:rPr>
                <w:rFonts w:ascii="Arial" w:hAnsi="Arial" w:cs="Arial"/>
                <w:sz w:val="18"/>
                <w:szCs w:val="18"/>
              </w:rPr>
              <w:t xml:space="preserve"> in question</w:t>
            </w:r>
            <w:r w:rsidR="000A636A">
              <w:rPr>
                <w:rFonts w:ascii="Arial" w:hAnsi="Arial" w:cs="Arial"/>
                <w:sz w:val="18"/>
                <w:szCs w:val="18"/>
              </w:rPr>
              <w:t xml:space="preserve"> </w:t>
            </w:r>
            <w:r w:rsidR="005108B2">
              <w:rPr>
                <w:rFonts w:ascii="Arial" w:hAnsi="Arial" w:cs="Arial"/>
                <w:sz w:val="18"/>
                <w:szCs w:val="18"/>
              </w:rPr>
              <w:t>has a narrow target: Only</w:t>
            </w:r>
            <w:r w:rsidR="00EE557D">
              <w:rPr>
                <w:rFonts w:ascii="Arial" w:hAnsi="Arial" w:cs="Arial"/>
                <w:sz w:val="18"/>
                <w:szCs w:val="18"/>
              </w:rPr>
              <w:t xml:space="preserve"> exposures secured by </w:t>
            </w:r>
            <w:r w:rsidR="005108B2">
              <w:rPr>
                <w:rFonts w:ascii="Arial" w:hAnsi="Arial" w:cs="Arial"/>
                <w:sz w:val="18"/>
                <w:szCs w:val="18"/>
              </w:rPr>
              <w:t>commercial</w:t>
            </w:r>
            <w:r w:rsidR="000A636A">
              <w:rPr>
                <w:rFonts w:ascii="Arial" w:hAnsi="Arial" w:cs="Arial"/>
                <w:sz w:val="18"/>
                <w:szCs w:val="18"/>
              </w:rPr>
              <w:t xml:space="preserve"> </w:t>
            </w:r>
            <w:r w:rsidR="005108B2">
              <w:rPr>
                <w:rFonts w:ascii="Arial" w:hAnsi="Arial" w:cs="Arial"/>
                <w:sz w:val="18"/>
                <w:szCs w:val="18"/>
              </w:rPr>
              <w:t xml:space="preserve">real estate in banks using the standardized method for credit risk </w:t>
            </w:r>
            <w:r w:rsidR="00DF4A61">
              <w:rPr>
                <w:rFonts w:ascii="Arial" w:hAnsi="Arial" w:cs="Arial"/>
                <w:sz w:val="18"/>
                <w:szCs w:val="18"/>
              </w:rPr>
              <w:t xml:space="preserve">are affected. </w:t>
            </w:r>
          </w:p>
          <w:p w14:paraId="034511E3" w14:textId="77777777" w:rsidR="002B4C56" w:rsidRDefault="002B4C56" w:rsidP="00260492">
            <w:pPr>
              <w:spacing w:after="0"/>
              <w:contextualSpacing/>
              <w:jc w:val="both"/>
              <w:rPr>
                <w:rFonts w:ascii="Arial" w:hAnsi="Arial" w:cs="Arial"/>
                <w:sz w:val="18"/>
                <w:szCs w:val="18"/>
              </w:rPr>
            </w:pPr>
          </w:p>
          <w:p w14:paraId="787540F1" w14:textId="7E0E8AA5" w:rsidR="006C7143" w:rsidRPr="008D1004" w:rsidRDefault="002B4C56" w:rsidP="008D1004">
            <w:pPr>
              <w:spacing w:after="0"/>
              <w:contextualSpacing/>
              <w:jc w:val="both"/>
              <w:rPr>
                <w:rFonts w:ascii="Arial" w:hAnsi="Arial" w:cs="Arial"/>
                <w:sz w:val="18"/>
                <w:szCs w:val="18"/>
              </w:rPr>
            </w:pPr>
            <w:r>
              <w:rPr>
                <w:rFonts w:ascii="Arial" w:hAnsi="Arial" w:cs="Arial"/>
                <w:sz w:val="18"/>
                <w:szCs w:val="18"/>
              </w:rPr>
              <w:t>While a</w:t>
            </w:r>
            <w:r w:rsidR="00DF4A61">
              <w:rPr>
                <w:rFonts w:ascii="Arial" w:hAnsi="Arial" w:cs="Arial"/>
                <w:sz w:val="18"/>
                <w:szCs w:val="18"/>
              </w:rPr>
              <w:t xml:space="preserve"> few other regulations</w:t>
            </w:r>
            <w:r w:rsidR="00E32BD9">
              <w:rPr>
                <w:rFonts w:ascii="Arial" w:hAnsi="Arial" w:cs="Arial"/>
                <w:sz w:val="18"/>
                <w:szCs w:val="18"/>
              </w:rPr>
              <w:t xml:space="preserve"> are targeting, or partially targeting, commercial real estate, </w:t>
            </w:r>
            <w:r>
              <w:rPr>
                <w:rFonts w:ascii="Arial" w:hAnsi="Arial" w:cs="Arial"/>
                <w:sz w:val="18"/>
                <w:szCs w:val="18"/>
              </w:rPr>
              <w:t>they</w:t>
            </w:r>
            <w:r w:rsidR="00E32BD9">
              <w:rPr>
                <w:rFonts w:ascii="Arial" w:hAnsi="Arial" w:cs="Arial"/>
                <w:sz w:val="18"/>
                <w:szCs w:val="18"/>
              </w:rPr>
              <w:t xml:space="preserve"> have different </w:t>
            </w:r>
            <w:r>
              <w:rPr>
                <w:rFonts w:ascii="Arial" w:hAnsi="Arial" w:cs="Arial"/>
                <w:sz w:val="18"/>
                <w:szCs w:val="18"/>
              </w:rPr>
              <w:t>functions</w:t>
            </w:r>
            <w:r w:rsidR="00260492">
              <w:rPr>
                <w:rFonts w:ascii="Arial" w:hAnsi="Arial" w:cs="Arial"/>
                <w:sz w:val="18"/>
                <w:szCs w:val="18"/>
              </w:rPr>
              <w:t>.</w:t>
            </w:r>
            <w:r w:rsidR="00250706" w:rsidRPr="00250706">
              <w:rPr>
                <w:rFonts w:ascii="Arial" w:hAnsi="Arial" w:cs="Arial"/>
                <w:sz w:val="18"/>
                <w:szCs w:val="18"/>
              </w:rPr>
              <w:t xml:space="preserve"> </w:t>
            </w:r>
            <w:r w:rsidR="00D00B67">
              <w:rPr>
                <w:rFonts w:ascii="Arial" w:hAnsi="Arial" w:cs="Arial"/>
                <w:sz w:val="18"/>
                <w:szCs w:val="18"/>
              </w:rPr>
              <w:t xml:space="preserve">The systemic risk buffer is a broad measure targeting </w:t>
            </w:r>
            <w:r w:rsidR="00D00B67" w:rsidRPr="00D00B67">
              <w:rPr>
                <w:rFonts w:ascii="Arial" w:hAnsi="Arial" w:cs="Arial"/>
                <w:sz w:val="18"/>
                <w:szCs w:val="18"/>
              </w:rPr>
              <w:t>the inherent systemic risk in the entire banking system</w:t>
            </w:r>
            <w:r w:rsidR="009C4852">
              <w:rPr>
                <w:rFonts w:ascii="Arial" w:hAnsi="Arial" w:cs="Arial"/>
                <w:sz w:val="18"/>
                <w:szCs w:val="18"/>
              </w:rPr>
              <w:t xml:space="preserve"> and was calibrated on the basis of current risk weights</w:t>
            </w:r>
            <w:r w:rsidR="00D00B67" w:rsidRPr="00D00B67">
              <w:rPr>
                <w:rFonts w:ascii="Arial" w:hAnsi="Arial" w:cs="Arial"/>
                <w:sz w:val="18"/>
                <w:szCs w:val="18"/>
              </w:rPr>
              <w:t xml:space="preserve">. </w:t>
            </w:r>
            <w:r w:rsidR="005A425A" w:rsidRPr="00250706">
              <w:rPr>
                <w:rFonts w:ascii="Arial" w:hAnsi="Arial" w:cs="Arial"/>
                <w:sz w:val="18"/>
                <w:szCs w:val="18"/>
              </w:rPr>
              <w:t>The countercyclical capital buffer should</w:t>
            </w:r>
            <w:r w:rsidR="005A425A">
              <w:rPr>
                <w:rFonts w:ascii="Arial" w:hAnsi="Arial" w:cs="Arial"/>
                <w:sz w:val="18"/>
                <w:szCs w:val="18"/>
              </w:rPr>
              <w:t xml:space="preserve"> </w:t>
            </w:r>
            <w:r w:rsidR="005A425A" w:rsidRPr="00250706">
              <w:rPr>
                <w:rFonts w:ascii="Arial" w:hAnsi="Arial" w:cs="Arial"/>
                <w:sz w:val="18"/>
                <w:szCs w:val="18"/>
              </w:rPr>
              <w:t>primarily reflect the assessment of cyclical vulnerabilities in the financial</w:t>
            </w:r>
            <w:r w:rsidR="005A425A">
              <w:rPr>
                <w:rFonts w:ascii="Arial" w:hAnsi="Arial" w:cs="Arial"/>
                <w:sz w:val="18"/>
                <w:szCs w:val="18"/>
              </w:rPr>
              <w:t xml:space="preserve"> </w:t>
            </w:r>
            <w:r w:rsidR="005A425A" w:rsidRPr="00250706">
              <w:rPr>
                <w:rFonts w:ascii="Arial" w:hAnsi="Arial" w:cs="Arial"/>
                <w:sz w:val="18"/>
                <w:szCs w:val="18"/>
              </w:rPr>
              <w:t xml:space="preserve">system. </w:t>
            </w:r>
            <w:r w:rsidR="005A425A">
              <w:rPr>
                <w:rFonts w:ascii="Arial" w:hAnsi="Arial" w:cs="Arial"/>
                <w:sz w:val="18"/>
                <w:szCs w:val="18"/>
              </w:rPr>
              <w:t>The risk</w:t>
            </w:r>
            <w:r w:rsidR="005A425A" w:rsidRPr="00250706">
              <w:rPr>
                <w:rFonts w:ascii="Arial" w:hAnsi="Arial" w:cs="Arial"/>
                <w:sz w:val="18"/>
                <w:szCs w:val="18"/>
              </w:rPr>
              <w:t xml:space="preserve"> weight</w:t>
            </w:r>
            <w:r w:rsidR="005A425A">
              <w:rPr>
                <w:rFonts w:ascii="Arial" w:hAnsi="Arial" w:cs="Arial"/>
                <w:sz w:val="18"/>
                <w:szCs w:val="18"/>
              </w:rPr>
              <w:t xml:space="preserve"> floor for commercial real estate is a</w:t>
            </w:r>
            <w:r w:rsidR="005A425A" w:rsidRPr="00250706">
              <w:rPr>
                <w:rFonts w:ascii="Arial" w:hAnsi="Arial" w:cs="Arial"/>
                <w:sz w:val="18"/>
                <w:szCs w:val="18"/>
              </w:rPr>
              <w:t xml:space="preserve"> backstop that </w:t>
            </w:r>
            <w:r w:rsidR="005A425A">
              <w:rPr>
                <w:rFonts w:ascii="Arial" w:hAnsi="Arial" w:cs="Arial"/>
                <w:sz w:val="18"/>
                <w:szCs w:val="18"/>
              </w:rPr>
              <w:t xml:space="preserve">only </w:t>
            </w:r>
            <w:r w:rsidR="005A425A">
              <w:rPr>
                <w:rFonts w:ascii="Arial" w:hAnsi="Arial" w:cs="Arial"/>
                <w:sz w:val="18"/>
                <w:szCs w:val="18"/>
              </w:rPr>
              <w:t>affect</w:t>
            </w:r>
            <w:r w:rsidR="005A425A" w:rsidRPr="00250706">
              <w:rPr>
                <w:rFonts w:ascii="Arial" w:hAnsi="Arial" w:cs="Arial"/>
                <w:sz w:val="18"/>
                <w:szCs w:val="18"/>
              </w:rPr>
              <w:t xml:space="preserve"> </w:t>
            </w:r>
            <w:r w:rsidR="005A425A">
              <w:rPr>
                <w:rFonts w:ascii="Arial" w:hAnsi="Arial" w:cs="Arial"/>
                <w:sz w:val="18"/>
                <w:szCs w:val="18"/>
              </w:rPr>
              <w:t xml:space="preserve">IRB </w:t>
            </w:r>
            <w:r w:rsidR="005A425A" w:rsidRPr="00250706">
              <w:rPr>
                <w:rFonts w:ascii="Arial" w:hAnsi="Arial" w:cs="Arial"/>
                <w:sz w:val="18"/>
                <w:szCs w:val="18"/>
              </w:rPr>
              <w:t>bank</w:t>
            </w:r>
            <w:r w:rsidR="005A425A">
              <w:rPr>
                <w:rFonts w:ascii="Arial" w:hAnsi="Arial" w:cs="Arial"/>
                <w:sz w:val="18"/>
                <w:szCs w:val="18"/>
              </w:rPr>
              <w:t>s</w:t>
            </w:r>
            <w:r w:rsidR="005A425A">
              <w:rPr>
                <w:rFonts w:ascii="Arial" w:hAnsi="Arial" w:cs="Arial"/>
                <w:sz w:val="18"/>
                <w:szCs w:val="18"/>
              </w:rPr>
              <w:t>.</w:t>
            </w:r>
          </w:p>
        </w:tc>
      </w:tr>
      <w:tr w:rsidR="00580FE9" w:rsidRPr="00312212" w14:paraId="7339929D" w14:textId="77777777" w:rsidTr="001E54D7">
        <w:trPr>
          <w:trHeight w:val="503"/>
        </w:trPr>
        <w:tc>
          <w:tcPr>
            <w:tcW w:w="9464" w:type="dxa"/>
            <w:gridSpan w:val="2"/>
            <w:shd w:val="clear" w:color="auto" w:fill="BFBFBF"/>
            <w:vAlign w:val="center"/>
          </w:tcPr>
          <w:p w14:paraId="2B36DFEF" w14:textId="77777777" w:rsidR="00580FE9" w:rsidRPr="00312212" w:rsidRDefault="00580FE9" w:rsidP="00580FE9">
            <w:pPr>
              <w:numPr>
                <w:ilvl w:val="0"/>
                <w:numId w:val="2"/>
              </w:numPr>
              <w:spacing w:after="0" w:line="288" w:lineRule="auto"/>
              <w:contextualSpacing/>
              <w:jc w:val="both"/>
              <w:rPr>
                <w:rFonts w:ascii="Arial" w:hAnsi="Arial" w:cs="Arial"/>
                <w:b/>
                <w:sz w:val="18"/>
                <w:szCs w:val="18"/>
              </w:rPr>
            </w:pPr>
            <w:r w:rsidRPr="00312888">
              <w:rPr>
                <w:rFonts w:ascii="Arial" w:hAnsi="Arial" w:cs="Arial"/>
                <w:b/>
                <w:sz w:val="18"/>
                <w:szCs w:val="18"/>
              </w:rPr>
              <w:lastRenderedPageBreak/>
              <w:t>Cross-border and cross-sector impact of the measure</w:t>
            </w:r>
          </w:p>
        </w:tc>
      </w:tr>
      <w:tr w:rsidR="00580FE9" w:rsidRPr="005C0E18" w14:paraId="4BAA6E29" w14:textId="77777777" w:rsidTr="00DE48B7">
        <w:trPr>
          <w:trHeight w:val="4733"/>
        </w:trPr>
        <w:tc>
          <w:tcPr>
            <w:tcW w:w="3350" w:type="dxa"/>
            <w:vAlign w:val="center"/>
          </w:tcPr>
          <w:p w14:paraId="02BA731F" w14:textId="6E544A07" w:rsidR="00580FE9" w:rsidRPr="00BF5E4A" w:rsidRDefault="00580FE9" w:rsidP="00580FE9">
            <w:pPr>
              <w:spacing w:after="100"/>
              <w:rPr>
                <w:rFonts w:ascii="Arial" w:eastAsia="Times New Roman" w:hAnsi="Arial" w:cs="Arial"/>
                <w:b/>
                <w:sz w:val="18"/>
                <w:szCs w:val="18"/>
                <w:lang w:eastAsia="de-DE" w:bidi="pa-IN"/>
              </w:rPr>
            </w:pPr>
            <w:r>
              <w:rPr>
                <w:rFonts w:ascii="Arial" w:eastAsia="Times New Roman" w:hAnsi="Arial" w:cs="Arial"/>
                <w:b/>
                <w:sz w:val="18"/>
                <w:szCs w:val="18"/>
                <w:lang w:eastAsia="de-DE" w:bidi="pa-IN"/>
              </w:rPr>
              <w:t>6</w:t>
            </w:r>
            <w:r w:rsidRPr="00BF5E4A">
              <w:rPr>
                <w:rFonts w:ascii="Arial" w:eastAsia="Times New Roman" w:hAnsi="Arial" w:cs="Arial"/>
                <w:b/>
                <w:sz w:val="18"/>
                <w:szCs w:val="18"/>
                <w:lang w:eastAsia="de-DE" w:bidi="pa-IN"/>
              </w:rPr>
              <w:t>.</w:t>
            </w:r>
            <w:r>
              <w:rPr>
                <w:rFonts w:ascii="Arial" w:eastAsia="Times New Roman" w:hAnsi="Arial" w:cs="Arial"/>
                <w:b/>
                <w:sz w:val="18"/>
                <w:szCs w:val="18"/>
                <w:lang w:eastAsia="de-DE" w:bidi="pa-IN"/>
              </w:rPr>
              <w:t>1</w:t>
            </w:r>
            <w:r w:rsidRPr="00BF5E4A">
              <w:rPr>
                <w:rFonts w:ascii="Arial" w:eastAsia="Times New Roman" w:hAnsi="Arial" w:cs="Arial"/>
                <w:b/>
                <w:sz w:val="18"/>
                <w:szCs w:val="18"/>
                <w:lang w:eastAsia="de-DE" w:bidi="pa-IN"/>
              </w:rPr>
              <w:t xml:space="preserve"> Assessment of cross-border effects and the likely impact on the </w:t>
            </w:r>
            <w:r w:rsidR="00F9372D">
              <w:rPr>
                <w:rFonts w:ascii="Arial" w:eastAsia="Times New Roman" w:hAnsi="Arial" w:cs="Arial"/>
                <w:b/>
                <w:sz w:val="18"/>
                <w:szCs w:val="18"/>
                <w:lang w:eastAsia="de-DE" w:bidi="pa-IN"/>
              </w:rPr>
              <w:t>I</w:t>
            </w:r>
            <w:r w:rsidRPr="00BF5E4A">
              <w:rPr>
                <w:rFonts w:ascii="Arial" w:eastAsia="Times New Roman" w:hAnsi="Arial" w:cs="Arial"/>
                <w:b/>
                <w:sz w:val="18"/>
                <w:szCs w:val="18"/>
                <w:lang w:eastAsia="de-DE" w:bidi="pa-IN"/>
              </w:rPr>
              <w:t xml:space="preserve">nternal </w:t>
            </w:r>
            <w:r w:rsidR="00F9372D">
              <w:rPr>
                <w:rFonts w:ascii="Arial" w:eastAsia="Times New Roman" w:hAnsi="Arial" w:cs="Arial"/>
                <w:b/>
                <w:sz w:val="18"/>
                <w:szCs w:val="18"/>
                <w:lang w:eastAsia="de-DE" w:bidi="pa-IN"/>
              </w:rPr>
              <w:t>M</w:t>
            </w:r>
            <w:r w:rsidRPr="00BF5E4A">
              <w:rPr>
                <w:rFonts w:ascii="Arial" w:eastAsia="Times New Roman" w:hAnsi="Arial" w:cs="Arial"/>
                <w:b/>
                <w:sz w:val="18"/>
                <w:szCs w:val="18"/>
                <w:lang w:eastAsia="de-DE" w:bidi="pa-IN"/>
              </w:rPr>
              <w:t>arket</w:t>
            </w:r>
          </w:p>
          <w:p w14:paraId="45DF16E5" w14:textId="0AD3E8C7" w:rsidR="00580FE9" w:rsidRPr="00D6146E" w:rsidRDefault="00580FE9" w:rsidP="00580FE9">
            <w:pPr>
              <w:spacing w:before="120" w:after="120"/>
              <w:rPr>
                <w:rFonts w:ascii="Arial" w:eastAsia="Times New Roman" w:hAnsi="Arial" w:cs="Arial"/>
                <w:b/>
                <w:sz w:val="18"/>
                <w:szCs w:val="18"/>
                <w:lang w:eastAsia="de-DE" w:bidi="pa-IN"/>
              </w:rPr>
            </w:pPr>
            <w:r w:rsidRPr="00BF5E4A">
              <w:rPr>
                <w:rFonts w:ascii="Arial" w:eastAsia="Times New Roman" w:hAnsi="Arial" w:cs="Arial"/>
                <w:b/>
                <w:sz w:val="18"/>
                <w:szCs w:val="18"/>
                <w:lang w:eastAsia="de-DE" w:bidi="pa-IN"/>
              </w:rPr>
              <w:t>(Recommendation ESRB/2015/</w:t>
            </w:r>
            <w:r>
              <w:rPr>
                <w:rFonts w:ascii="Arial" w:eastAsia="Times New Roman" w:hAnsi="Arial" w:cs="Arial"/>
                <w:b/>
                <w:sz w:val="18"/>
                <w:szCs w:val="18"/>
                <w:lang w:eastAsia="de-DE" w:bidi="pa-IN"/>
              </w:rPr>
              <w:t>2</w:t>
            </w:r>
            <w:r w:rsidR="00234A62">
              <w:rPr>
                <w:rStyle w:val="Fotnotereferanse"/>
                <w:rFonts w:ascii="Arial" w:eastAsia="Times New Roman" w:hAnsi="Arial"/>
                <w:b/>
                <w:sz w:val="18"/>
                <w:szCs w:val="18"/>
                <w:lang w:eastAsia="de-DE" w:bidi="pa-IN"/>
              </w:rPr>
              <w:footnoteReference w:id="4"/>
            </w:r>
            <w:r w:rsidRPr="00BF5E4A">
              <w:rPr>
                <w:rFonts w:ascii="Arial" w:eastAsia="Times New Roman" w:hAnsi="Arial" w:cs="Arial"/>
                <w:b/>
                <w:sz w:val="18"/>
                <w:szCs w:val="18"/>
                <w:lang w:eastAsia="de-DE" w:bidi="pa-IN"/>
              </w:rPr>
              <w:t>)</w:t>
            </w:r>
          </w:p>
          <w:p w14:paraId="1A7E3699" w14:textId="77777777" w:rsidR="00580FE9" w:rsidRDefault="00580FE9" w:rsidP="00580FE9">
            <w:pPr>
              <w:spacing w:after="100" w:line="288" w:lineRule="auto"/>
              <w:jc w:val="both"/>
              <w:rPr>
                <w:rFonts w:ascii="Arial" w:hAnsi="Arial" w:cs="Arial"/>
                <w:b/>
                <w:sz w:val="18"/>
                <w:szCs w:val="18"/>
                <w:lang w:eastAsia="de-DE" w:bidi="pa-IN"/>
              </w:rPr>
            </w:pPr>
          </w:p>
        </w:tc>
        <w:tc>
          <w:tcPr>
            <w:tcW w:w="6114" w:type="dxa"/>
            <w:vAlign w:val="center"/>
          </w:tcPr>
          <w:p w14:paraId="40DFF32D" w14:textId="0F4384F1" w:rsidR="002A4C51" w:rsidRDefault="002A4C51" w:rsidP="00580FE9">
            <w:pPr>
              <w:spacing w:after="100" w:line="300" w:lineRule="atLeast"/>
              <w:contextualSpacing/>
              <w:rPr>
                <w:rFonts w:ascii="Arial" w:hAnsi="Arial" w:cs="Arial"/>
                <w:sz w:val="18"/>
                <w:szCs w:val="18"/>
              </w:rPr>
            </w:pPr>
            <w:permStart w:id="1504396998" w:edGrp="everyone"/>
            <w:r>
              <w:rPr>
                <w:rFonts w:ascii="Arial" w:hAnsi="Arial" w:cs="Arial"/>
                <w:sz w:val="18"/>
                <w:szCs w:val="18"/>
              </w:rPr>
              <w:t>As t</w:t>
            </w:r>
            <w:r w:rsidRPr="002A4C51">
              <w:rPr>
                <w:rFonts w:ascii="Arial" w:hAnsi="Arial" w:cs="Arial"/>
                <w:sz w:val="18"/>
                <w:szCs w:val="18"/>
              </w:rPr>
              <w:t xml:space="preserve">he measure is mainly a continuation of current framework, </w:t>
            </w:r>
            <w:r>
              <w:rPr>
                <w:rFonts w:ascii="Arial" w:hAnsi="Arial" w:cs="Arial"/>
                <w:sz w:val="18"/>
                <w:szCs w:val="18"/>
              </w:rPr>
              <w:t xml:space="preserve">it is not </w:t>
            </w:r>
            <w:r w:rsidR="00762DA2">
              <w:rPr>
                <w:rFonts w:ascii="Arial" w:hAnsi="Arial" w:cs="Arial"/>
                <w:sz w:val="18"/>
                <w:szCs w:val="18"/>
              </w:rPr>
              <w:t>expected to have any cross-border effects or impact the Internal Market.</w:t>
            </w:r>
          </w:p>
          <w:permEnd w:id="1223043786"/>
          <w:permEnd w:id="1504396998"/>
        </w:tc>
      </w:tr>
    </w:tbl>
    <w:p w14:paraId="072FCFA7" w14:textId="33AF2B36" w:rsidR="002A4C51" w:rsidRPr="000C1CC2" w:rsidRDefault="002A4C51">
      <w:pPr>
        <w:numPr>
          <w:ilvl w:val="1"/>
          <w:numId w:val="12"/>
        </w:numPr>
        <w:spacing w:after="100" w:line="300" w:lineRule="atLeast"/>
        <w:contextualSpacing/>
        <w:rPr>
          <w:rFonts w:ascii="Arial" w:hAnsi="Arial" w:cs="Arial"/>
          <w:sz w:val="18"/>
          <w:szCs w:val="1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7"/>
        <w:gridCol w:w="8381"/>
      </w:tblGrid>
      <w:tr w:rsidR="00580FE9" w:rsidRPr="005C0E18" w14:paraId="4BAA6E29" w14:textId="77777777" w:rsidTr="00DE48B7">
        <w:trPr>
          <w:trHeight w:val="4733"/>
        </w:trPr>
        <w:tc>
          <w:tcPr>
            <w:tcW w:w="6114" w:type="dxa"/>
            <w:vAlign w:val="center"/>
          </w:tcPr>
          <w:p w14:paraId="738B8CEE" w14:textId="724482A2" w:rsidR="00580FE9" w:rsidRPr="000C1CC2" w:rsidRDefault="00580FE9" w:rsidP="000C1CC2">
            <w:pPr>
              <w:numPr>
                <w:ilvl w:val="1"/>
                <w:numId w:val="12"/>
              </w:numPr>
              <w:spacing w:after="100" w:line="300" w:lineRule="atLeast"/>
              <w:contextualSpacing/>
              <w:rPr>
                <w:rFonts w:ascii="Arial" w:hAnsi="Arial" w:cs="Arial"/>
                <w:sz w:val="18"/>
                <w:szCs w:val="18"/>
              </w:rPr>
            </w:pPr>
          </w:p>
        </w:tc>
      </w:tr>
      <w:tr w:rsidR="00580FE9" w:rsidRPr="005C0E18" w14:paraId="5C0C01FB" w14:textId="77777777" w:rsidTr="00DE48B7">
        <w:trPr>
          <w:trHeight w:val="1550"/>
        </w:trPr>
        <w:tc>
          <w:tcPr>
            <w:tcW w:w="3350" w:type="dxa"/>
            <w:vAlign w:val="center"/>
          </w:tcPr>
          <w:p w14:paraId="645103B8" w14:textId="77777777" w:rsidR="00580FE9" w:rsidRDefault="00580FE9" w:rsidP="00DB5A49">
            <w:pPr>
              <w:spacing w:after="100" w:line="288" w:lineRule="auto"/>
              <w:rPr>
                <w:rFonts w:ascii="Arial" w:hAnsi="Arial" w:cs="Arial"/>
                <w:b/>
                <w:sz w:val="18"/>
                <w:szCs w:val="18"/>
                <w:lang w:eastAsia="de-DE" w:bidi="pa-IN"/>
              </w:rPr>
            </w:pPr>
            <w:r>
              <w:rPr>
                <w:rFonts w:ascii="Arial" w:eastAsia="Times New Roman" w:hAnsi="Arial" w:cs="Arial"/>
                <w:b/>
                <w:sz w:val="18"/>
                <w:szCs w:val="18"/>
                <w:lang w:eastAsia="de-DE" w:bidi="pa-IN"/>
              </w:rPr>
              <w:t>6</w:t>
            </w:r>
            <w:r w:rsidRPr="007137C1">
              <w:rPr>
                <w:rFonts w:ascii="Arial" w:eastAsia="Times New Roman" w:hAnsi="Arial" w:cs="Arial"/>
                <w:b/>
                <w:sz w:val="18"/>
                <w:szCs w:val="18"/>
                <w:lang w:eastAsia="de-DE" w:bidi="pa-IN"/>
              </w:rPr>
              <w:t>.</w:t>
            </w:r>
            <w:r>
              <w:rPr>
                <w:rFonts w:ascii="Arial" w:eastAsia="Times New Roman" w:hAnsi="Arial" w:cs="Arial"/>
                <w:b/>
                <w:sz w:val="18"/>
                <w:szCs w:val="18"/>
                <w:lang w:eastAsia="de-DE" w:bidi="pa-IN"/>
              </w:rPr>
              <w:t>2</w:t>
            </w:r>
            <w:r w:rsidRPr="007137C1">
              <w:rPr>
                <w:rFonts w:ascii="Arial" w:eastAsia="Times New Roman" w:hAnsi="Arial" w:cs="Arial"/>
                <w:b/>
                <w:sz w:val="18"/>
                <w:szCs w:val="18"/>
                <w:lang w:eastAsia="de-DE" w:bidi="pa-IN"/>
              </w:rPr>
              <w:t xml:space="preserve"> Assessment of leakages and regulatory arbitrage</w:t>
            </w:r>
            <w:r w:rsidRPr="00BF5E4A">
              <w:rPr>
                <w:rFonts w:ascii="Arial" w:eastAsia="Times New Roman" w:hAnsi="Arial" w:cs="Arial"/>
                <w:b/>
                <w:sz w:val="18"/>
                <w:szCs w:val="18"/>
                <w:lang w:eastAsia="de-DE" w:bidi="pa-IN"/>
              </w:rPr>
              <w:t xml:space="preserve"> within the notifying Member State</w:t>
            </w:r>
          </w:p>
        </w:tc>
        <w:tc>
          <w:tcPr>
            <w:tcW w:w="6114" w:type="dxa"/>
            <w:vAlign w:val="center"/>
          </w:tcPr>
          <w:p w14:paraId="5557C8D5" w14:textId="77777777" w:rsidR="009C4852" w:rsidRPr="009C4852" w:rsidRDefault="009C4852" w:rsidP="009C4852">
            <w:pPr>
              <w:spacing w:after="100" w:line="288" w:lineRule="auto"/>
              <w:jc w:val="both"/>
              <w:rPr>
                <w:rFonts w:ascii="Arial" w:eastAsia="Times New Roman" w:hAnsi="Arial" w:cs="Arial"/>
                <w:sz w:val="18"/>
                <w:szCs w:val="18"/>
                <w:lang w:eastAsia="de-DE" w:bidi="pa-IN"/>
              </w:rPr>
            </w:pPr>
            <w:permStart w:id="1980329834" w:edGrp="everyone"/>
            <w:r w:rsidRPr="009C4852">
              <w:rPr>
                <w:rFonts w:ascii="Arial" w:eastAsia="Times New Roman" w:hAnsi="Arial" w:cs="Arial"/>
                <w:sz w:val="18"/>
                <w:szCs w:val="18"/>
                <w:lang w:eastAsia="de-DE" w:bidi="pa-IN"/>
              </w:rPr>
              <w:t>The measure is not expected to contribute to leakages or regulatory arbitrage</w:t>
            </w:r>
          </w:p>
          <w:p w14:paraId="25878BD4" w14:textId="23C08220" w:rsidR="000C1CC2" w:rsidRPr="000C1CC2" w:rsidRDefault="009C4852" w:rsidP="000C1CC2">
            <w:pPr>
              <w:spacing w:after="100" w:line="288" w:lineRule="auto"/>
              <w:jc w:val="both"/>
              <w:rPr>
                <w:rFonts w:ascii="Arial" w:hAnsi="Arial" w:cs="Arial"/>
                <w:sz w:val="18"/>
                <w:szCs w:val="18"/>
                <w:lang w:eastAsia="de-DE" w:bidi="pa-IN"/>
              </w:rPr>
            </w:pPr>
            <w:r w:rsidRPr="009C4852">
              <w:rPr>
                <w:rFonts w:ascii="Arial" w:eastAsia="Times New Roman" w:hAnsi="Arial" w:cs="Arial"/>
                <w:sz w:val="18"/>
                <w:szCs w:val="18"/>
                <w:lang w:eastAsia="de-DE" w:bidi="pa-IN"/>
              </w:rPr>
              <w:t>within the Norwegian financial system.</w:t>
            </w:r>
            <w:permEnd w:id="1980329834"/>
          </w:p>
        </w:tc>
      </w:tr>
      <w:tr w:rsidR="00580FE9" w:rsidRPr="005C0E18" w14:paraId="5C75CD7F" w14:textId="77777777" w:rsidTr="001E54D7">
        <w:trPr>
          <w:trHeight w:val="503"/>
        </w:trPr>
        <w:tc>
          <w:tcPr>
            <w:tcW w:w="9464" w:type="dxa"/>
            <w:gridSpan w:val="2"/>
            <w:shd w:val="clear" w:color="auto" w:fill="BFBFBF"/>
            <w:vAlign w:val="center"/>
          </w:tcPr>
          <w:p w14:paraId="53B4DC57" w14:textId="77777777" w:rsidR="00580FE9" w:rsidRPr="005C0E18" w:rsidRDefault="00580FE9" w:rsidP="00580FE9">
            <w:pPr>
              <w:numPr>
                <w:ilvl w:val="0"/>
                <w:numId w:val="2"/>
              </w:numPr>
              <w:spacing w:after="0" w:line="288" w:lineRule="auto"/>
              <w:contextualSpacing/>
              <w:jc w:val="both"/>
              <w:rPr>
                <w:rFonts w:ascii="Arial" w:hAnsi="Arial" w:cs="Arial"/>
                <w:b/>
                <w:sz w:val="18"/>
                <w:szCs w:val="18"/>
              </w:rPr>
            </w:pPr>
            <w:r w:rsidRPr="005C0E18">
              <w:rPr>
                <w:rFonts w:ascii="Arial" w:hAnsi="Arial" w:cs="Arial"/>
                <w:b/>
                <w:sz w:val="18"/>
                <w:szCs w:val="18"/>
              </w:rPr>
              <w:t>Miscellaneous</w:t>
            </w:r>
          </w:p>
        </w:tc>
      </w:tr>
      <w:tr w:rsidR="00580FE9" w:rsidRPr="005C0E18" w14:paraId="11DDEDFB" w14:textId="77777777" w:rsidTr="00CB7EC4">
        <w:trPr>
          <w:trHeight w:val="846"/>
        </w:trPr>
        <w:tc>
          <w:tcPr>
            <w:tcW w:w="3350" w:type="dxa"/>
            <w:vAlign w:val="center"/>
          </w:tcPr>
          <w:p w14:paraId="2E595D73" w14:textId="17FD94CA" w:rsidR="00580FE9" w:rsidRPr="005C0E18" w:rsidRDefault="00580FE9" w:rsidP="000C1CC2">
            <w:pPr>
              <w:spacing w:after="100" w:line="288" w:lineRule="auto"/>
              <w:rPr>
                <w:rFonts w:ascii="Arial" w:hAnsi="Arial" w:cs="Arial"/>
                <w:sz w:val="18"/>
                <w:szCs w:val="18"/>
                <w:lang w:eastAsia="de-DE" w:bidi="pa-IN"/>
              </w:rPr>
            </w:pPr>
            <w:permStart w:id="2031122462" w:edGrp="everyone" w:colFirst="1" w:colLast="1"/>
            <w:r>
              <w:rPr>
                <w:rFonts w:ascii="Arial" w:hAnsi="Arial" w:cs="Arial"/>
                <w:b/>
                <w:sz w:val="18"/>
                <w:szCs w:val="18"/>
                <w:lang w:eastAsia="de-DE" w:bidi="pa-IN"/>
              </w:rPr>
              <w:t>7</w:t>
            </w:r>
            <w:r w:rsidRPr="005C0E18">
              <w:rPr>
                <w:rFonts w:ascii="Arial" w:hAnsi="Arial" w:cs="Arial"/>
                <w:b/>
                <w:sz w:val="18"/>
                <w:szCs w:val="18"/>
                <w:lang w:eastAsia="de-DE" w:bidi="pa-IN"/>
              </w:rPr>
              <w:t>.</w:t>
            </w:r>
            <w:r>
              <w:rPr>
                <w:rFonts w:ascii="Arial" w:hAnsi="Arial" w:cs="Arial"/>
                <w:b/>
                <w:sz w:val="18"/>
                <w:szCs w:val="18"/>
                <w:lang w:eastAsia="de-DE" w:bidi="pa-IN"/>
              </w:rPr>
              <w:t>1</w:t>
            </w:r>
            <w:r w:rsidRPr="005C0E18">
              <w:rPr>
                <w:rFonts w:ascii="Arial" w:hAnsi="Arial" w:cs="Arial"/>
                <w:b/>
                <w:sz w:val="18"/>
                <w:szCs w:val="18"/>
                <w:lang w:eastAsia="de-DE" w:bidi="pa-IN"/>
              </w:rPr>
              <w:t xml:space="preserve"> Contact</w:t>
            </w:r>
            <w:r>
              <w:rPr>
                <w:rFonts w:ascii="Arial" w:hAnsi="Arial" w:cs="Arial"/>
                <w:b/>
                <w:sz w:val="18"/>
                <w:szCs w:val="18"/>
                <w:lang w:eastAsia="de-DE" w:bidi="pa-IN"/>
              </w:rPr>
              <w:t xml:space="preserve"> </w:t>
            </w:r>
            <w:r w:rsidRPr="005C0E18">
              <w:rPr>
                <w:rFonts w:ascii="Arial" w:hAnsi="Arial" w:cs="Arial"/>
                <w:b/>
                <w:sz w:val="18"/>
                <w:szCs w:val="18"/>
                <w:lang w:eastAsia="de-DE" w:bidi="pa-IN"/>
              </w:rPr>
              <w:t>person(s)</w:t>
            </w:r>
            <w:r w:rsidRPr="0062138B">
              <w:rPr>
                <w:rFonts w:ascii="Arial" w:hAnsi="Arial" w:cs="Arial"/>
                <w:b/>
                <w:sz w:val="18"/>
                <w:szCs w:val="18"/>
                <w:lang w:eastAsia="de-DE" w:bidi="pa-IN"/>
              </w:rPr>
              <w:t>/mailbox</w:t>
            </w:r>
            <w:r w:rsidRPr="005C0E18">
              <w:rPr>
                <w:rFonts w:ascii="Arial" w:hAnsi="Arial" w:cs="Arial"/>
                <w:b/>
                <w:sz w:val="18"/>
                <w:szCs w:val="18"/>
                <w:lang w:eastAsia="de-DE" w:bidi="pa-IN"/>
              </w:rPr>
              <w:t xml:space="preserve"> at</w:t>
            </w:r>
            <w:r w:rsidRPr="000D1256">
              <w:rPr>
                <w:rFonts w:ascii="Arial" w:hAnsi="Arial" w:cs="Arial"/>
                <w:b/>
                <w:sz w:val="18"/>
                <w:szCs w:val="18"/>
                <w:lang w:eastAsia="de-DE" w:bidi="pa-IN"/>
              </w:rPr>
              <w:t xml:space="preserve"> </w:t>
            </w:r>
            <w:r w:rsidRPr="00F1081A">
              <w:rPr>
                <w:rFonts w:ascii="Arial" w:hAnsi="Arial" w:cs="Arial"/>
                <w:b/>
                <w:sz w:val="18"/>
                <w:szCs w:val="18"/>
                <w:lang w:eastAsia="de-DE" w:bidi="pa-IN"/>
              </w:rPr>
              <w:t>notifying</w:t>
            </w:r>
            <w:r w:rsidRPr="005C0E18">
              <w:rPr>
                <w:rFonts w:ascii="Arial" w:hAnsi="Arial" w:cs="Arial"/>
                <w:b/>
                <w:sz w:val="18"/>
                <w:szCs w:val="18"/>
                <w:lang w:eastAsia="de-DE" w:bidi="pa-IN"/>
              </w:rPr>
              <w:t xml:space="preserve"> authority</w:t>
            </w:r>
          </w:p>
        </w:tc>
        <w:tc>
          <w:tcPr>
            <w:tcW w:w="6114" w:type="dxa"/>
          </w:tcPr>
          <w:p w14:paraId="540045EB" w14:textId="77777777" w:rsidR="00F71996" w:rsidRDefault="00F71996" w:rsidP="00F71996">
            <w:pPr>
              <w:spacing w:after="0" w:line="288" w:lineRule="auto"/>
              <w:contextualSpacing/>
              <w:jc w:val="both"/>
              <w:rPr>
                <w:rFonts w:ascii="Arial" w:eastAsia="Times New Roman" w:hAnsi="Arial" w:cs="Arial"/>
                <w:color w:val="FF0000"/>
                <w:sz w:val="18"/>
                <w:szCs w:val="18"/>
                <w:lang w:eastAsia="en-GB"/>
              </w:rPr>
            </w:pPr>
            <w:r>
              <w:rPr>
                <w:rFonts w:ascii="Arial" w:eastAsia="Times New Roman" w:hAnsi="Arial" w:cs="Arial"/>
                <w:color w:val="FF0000"/>
                <w:sz w:val="18"/>
                <w:szCs w:val="18"/>
                <w:lang w:eastAsia="en-GB"/>
              </w:rPr>
              <w:t>[</w:t>
            </w:r>
            <w:r w:rsidRPr="00B01563">
              <w:rPr>
                <w:rFonts w:ascii="Arial" w:eastAsia="Times New Roman" w:hAnsi="Arial" w:cs="Arial"/>
                <w:color w:val="FF0000"/>
                <w:sz w:val="18"/>
                <w:szCs w:val="18"/>
                <w:lang w:eastAsia="en-GB"/>
              </w:rPr>
              <w:t>Fylles ut av Finansdepartementet</w:t>
            </w:r>
            <w:r>
              <w:rPr>
                <w:rFonts w:ascii="Arial" w:eastAsia="Times New Roman" w:hAnsi="Arial" w:cs="Arial"/>
                <w:color w:val="FF0000"/>
                <w:sz w:val="18"/>
                <w:szCs w:val="18"/>
                <w:lang w:eastAsia="en-GB"/>
              </w:rPr>
              <w:t>]</w:t>
            </w:r>
          </w:p>
          <w:p w14:paraId="2DE3A92D" w14:textId="471DF7A8" w:rsidR="00580FE9" w:rsidRPr="00CB7EC4" w:rsidRDefault="00580FE9" w:rsidP="00580FE9">
            <w:pPr>
              <w:spacing w:after="100" w:line="288" w:lineRule="auto"/>
              <w:jc w:val="both"/>
              <w:rPr>
                <w:rFonts w:ascii="Arial" w:eastAsia="Times New Roman" w:hAnsi="Arial" w:cs="Arial"/>
                <w:sz w:val="18"/>
                <w:szCs w:val="18"/>
                <w:lang w:eastAsia="de-DE" w:bidi="pa-IN"/>
              </w:rPr>
            </w:pPr>
            <w:r w:rsidRPr="00247F40">
              <w:rPr>
                <w:rFonts w:ascii="Arial" w:eastAsia="Times New Roman" w:hAnsi="Arial" w:cs="Arial"/>
                <w:sz w:val="18"/>
                <w:szCs w:val="18"/>
                <w:lang w:eastAsia="de-DE" w:bidi="pa-IN"/>
              </w:rPr>
              <w:t>Contact person(s) (name, phone number and e-mail address</w:t>
            </w:r>
            <w:r>
              <w:rPr>
                <w:rFonts w:ascii="Arial" w:eastAsia="Times New Roman" w:hAnsi="Arial" w:cs="Arial"/>
                <w:sz w:val="18"/>
                <w:szCs w:val="18"/>
                <w:lang w:eastAsia="de-DE" w:bidi="pa-IN"/>
              </w:rPr>
              <w:t xml:space="preserve">) and mailbox </w:t>
            </w:r>
            <w:r w:rsidRPr="00247F40">
              <w:rPr>
                <w:rFonts w:ascii="Arial" w:eastAsia="Times New Roman" w:hAnsi="Arial" w:cs="Arial"/>
                <w:sz w:val="18"/>
                <w:szCs w:val="18"/>
                <w:lang w:eastAsia="de-DE" w:bidi="pa-IN"/>
              </w:rPr>
              <w:t>for further inquiries</w:t>
            </w:r>
            <w:r w:rsidR="00CB7EC4">
              <w:rPr>
                <w:rFonts w:ascii="Arial" w:eastAsia="Times New Roman" w:hAnsi="Arial" w:cs="Arial"/>
                <w:sz w:val="18"/>
                <w:szCs w:val="18"/>
                <w:lang w:eastAsia="de-DE" w:bidi="pa-IN"/>
              </w:rPr>
              <w:t>.</w:t>
            </w:r>
          </w:p>
        </w:tc>
      </w:tr>
      <w:tr w:rsidR="00580FE9" w:rsidRPr="002368F4" w14:paraId="6E5D1460" w14:textId="77777777" w:rsidTr="001E54D7">
        <w:trPr>
          <w:trHeight w:val="1012"/>
        </w:trPr>
        <w:tc>
          <w:tcPr>
            <w:tcW w:w="3350" w:type="dxa"/>
            <w:vAlign w:val="center"/>
          </w:tcPr>
          <w:p w14:paraId="09FF665E" w14:textId="77777777" w:rsidR="00580FE9" w:rsidRPr="00247F40" w:rsidRDefault="00580FE9" w:rsidP="00580FE9">
            <w:pPr>
              <w:spacing w:after="100" w:line="288" w:lineRule="auto"/>
              <w:jc w:val="both"/>
              <w:rPr>
                <w:rFonts w:ascii="Arial" w:hAnsi="Arial" w:cs="Arial"/>
                <w:b/>
                <w:sz w:val="18"/>
                <w:szCs w:val="18"/>
                <w:lang w:eastAsia="de-DE" w:bidi="pa-IN"/>
              </w:rPr>
            </w:pPr>
            <w:permStart w:id="367928125" w:edGrp="everyone" w:colFirst="1" w:colLast="1"/>
            <w:permEnd w:id="2031122462"/>
            <w:r>
              <w:rPr>
                <w:rFonts w:ascii="Arial" w:hAnsi="Arial" w:cs="Arial"/>
                <w:b/>
                <w:sz w:val="18"/>
                <w:szCs w:val="18"/>
                <w:lang w:eastAsia="de-DE" w:bidi="pa-IN"/>
              </w:rPr>
              <w:t>7</w:t>
            </w:r>
            <w:r w:rsidRPr="005C0E18">
              <w:rPr>
                <w:rFonts w:ascii="Arial" w:hAnsi="Arial" w:cs="Arial"/>
                <w:b/>
                <w:sz w:val="18"/>
                <w:szCs w:val="18"/>
                <w:lang w:eastAsia="de-DE" w:bidi="pa-IN"/>
              </w:rPr>
              <w:t>.</w:t>
            </w:r>
            <w:r>
              <w:rPr>
                <w:rFonts w:ascii="Arial" w:hAnsi="Arial" w:cs="Arial"/>
                <w:b/>
                <w:sz w:val="18"/>
                <w:szCs w:val="18"/>
                <w:lang w:eastAsia="de-DE" w:bidi="pa-IN"/>
              </w:rPr>
              <w:t>2</w:t>
            </w:r>
            <w:r w:rsidRPr="005C0E18">
              <w:rPr>
                <w:rFonts w:ascii="Arial" w:hAnsi="Arial" w:cs="Arial"/>
                <w:b/>
                <w:sz w:val="18"/>
                <w:szCs w:val="18"/>
                <w:lang w:eastAsia="de-DE" w:bidi="pa-IN"/>
              </w:rPr>
              <w:t xml:space="preserve"> Any other relevant information</w:t>
            </w:r>
          </w:p>
        </w:tc>
        <w:tc>
          <w:tcPr>
            <w:tcW w:w="6114" w:type="dxa"/>
          </w:tcPr>
          <w:p w14:paraId="080A5465" w14:textId="77777777" w:rsidR="00F71996" w:rsidRDefault="00F71996" w:rsidP="00F71996">
            <w:pPr>
              <w:spacing w:after="0" w:line="288" w:lineRule="auto"/>
              <w:contextualSpacing/>
              <w:jc w:val="both"/>
              <w:rPr>
                <w:rFonts w:ascii="Arial" w:eastAsia="Times New Roman" w:hAnsi="Arial" w:cs="Arial"/>
                <w:color w:val="FF0000"/>
                <w:sz w:val="18"/>
                <w:szCs w:val="18"/>
                <w:lang w:eastAsia="en-GB"/>
              </w:rPr>
            </w:pPr>
            <w:r>
              <w:rPr>
                <w:rFonts w:ascii="Arial" w:eastAsia="Times New Roman" w:hAnsi="Arial" w:cs="Arial"/>
                <w:color w:val="FF0000"/>
                <w:sz w:val="18"/>
                <w:szCs w:val="18"/>
                <w:lang w:eastAsia="en-GB"/>
              </w:rPr>
              <w:t>[</w:t>
            </w:r>
            <w:r w:rsidRPr="00B01563">
              <w:rPr>
                <w:rFonts w:ascii="Arial" w:eastAsia="Times New Roman" w:hAnsi="Arial" w:cs="Arial"/>
                <w:color w:val="FF0000"/>
                <w:sz w:val="18"/>
                <w:szCs w:val="18"/>
                <w:lang w:eastAsia="en-GB"/>
              </w:rPr>
              <w:t>Fylles ut av Finansdepartementet</w:t>
            </w:r>
            <w:r>
              <w:rPr>
                <w:rFonts w:ascii="Arial" w:eastAsia="Times New Roman" w:hAnsi="Arial" w:cs="Arial"/>
                <w:color w:val="FF0000"/>
                <w:sz w:val="18"/>
                <w:szCs w:val="18"/>
                <w:lang w:eastAsia="en-GB"/>
              </w:rPr>
              <w:t>]</w:t>
            </w:r>
          </w:p>
          <w:p w14:paraId="2606CFC2" w14:textId="6A3CB300" w:rsidR="00580FE9" w:rsidRPr="00247F40" w:rsidRDefault="00580FE9" w:rsidP="00580FE9">
            <w:pPr>
              <w:spacing w:after="100" w:line="288" w:lineRule="auto"/>
              <w:jc w:val="both"/>
              <w:rPr>
                <w:rFonts w:ascii="Arial" w:hAnsi="Arial" w:cs="Arial"/>
                <w:sz w:val="18"/>
                <w:szCs w:val="18"/>
                <w:lang w:eastAsia="de-DE" w:bidi="pa-IN"/>
              </w:rPr>
            </w:pPr>
          </w:p>
        </w:tc>
      </w:tr>
      <w:tr w:rsidR="00580FE9" w:rsidRPr="002368F4" w14:paraId="2EEA9CF7" w14:textId="77777777" w:rsidTr="00555248">
        <w:trPr>
          <w:trHeight w:val="956"/>
        </w:trPr>
        <w:tc>
          <w:tcPr>
            <w:tcW w:w="3350" w:type="dxa"/>
            <w:vAlign w:val="center"/>
          </w:tcPr>
          <w:p w14:paraId="14DF9E85" w14:textId="526F1014" w:rsidR="00580FE9" w:rsidRDefault="00580FE9" w:rsidP="00580FE9">
            <w:pPr>
              <w:spacing w:after="100" w:line="288" w:lineRule="auto"/>
              <w:jc w:val="both"/>
              <w:rPr>
                <w:rFonts w:ascii="Arial" w:hAnsi="Arial" w:cs="Arial"/>
                <w:b/>
                <w:sz w:val="18"/>
                <w:szCs w:val="18"/>
                <w:lang w:eastAsia="de-DE" w:bidi="pa-IN"/>
              </w:rPr>
            </w:pPr>
            <w:permStart w:id="629832352" w:edGrp="everyone" w:colFirst="1" w:colLast="1"/>
            <w:permEnd w:id="367928125"/>
            <w:r>
              <w:rPr>
                <w:rFonts w:ascii="Arial" w:hAnsi="Arial" w:cs="Arial"/>
                <w:b/>
                <w:sz w:val="18"/>
                <w:szCs w:val="18"/>
                <w:lang w:eastAsia="de-DE" w:bidi="pa-IN"/>
              </w:rPr>
              <w:t>7.3 Date of the notification</w:t>
            </w:r>
          </w:p>
        </w:tc>
        <w:tc>
          <w:tcPr>
            <w:tcW w:w="6114" w:type="dxa"/>
          </w:tcPr>
          <w:p w14:paraId="4295A058" w14:textId="77777777" w:rsidR="00F71996" w:rsidRDefault="00F71996" w:rsidP="00F71996">
            <w:pPr>
              <w:spacing w:after="0" w:line="288" w:lineRule="auto"/>
              <w:contextualSpacing/>
              <w:jc w:val="both"/>
              <w:rPr>
                <w:rFonts w:ascii="Arial" w:eastAsia="Times New Roman" w:hAnsi="Arial" w:cs="Arial"/>
                <w:color w:val="FF0000"/>
                <w:sz w:val="18"/>
                <w:szCs w:val="18"/>
                <w:lang w:eastAsia="en-GB"/>
              </w:rPr>
            </w:pPr>
            <w:r>
              <w:rPr>
                <w:rFonts w:ascii="Arial" w:eastAsia="Times New Roman" w:hAnsi="Arial" w:cs="Arial"/>
                <w:color w:val="FF0000"/>
                <w:sz w:val="18"/>
                <w:szCs w:val="18"/>
                <w:lang w:eastAsia="en-GB"/>
              </w:rPr>
              <w:t>[</w:t>
            </w:r>
            <w:r w:rsidRPr="00B01563">
              <w:rPr>
                <w:rFonts w:ascii="Arial" w:eastAsia="Times New Roman" w:hAnsi="Arial" w:cs="Arial"/>
                <w:color w:val="FF0000"/>
                <w:sz w:val="18"/>
                <w:szCs w:val="18"/>
                <w:lang w:eastAsia="en-GB"/>
              </w:rPr>
              <w:t>Fylles ut av Finansdepartementet</w:t>
            </w:r>
            <w:r>
              <w:rPr>
                <w:rFonts w:ascii="Arial" w:eastAsia="Times New Roman" w:hAnsi="Arial" w:cs="Arial"/>
                <w:color w:val="FF0000"/>
                <w:sz w:val="18"/>
                <w:szCs w:val="18"/>
                <w:lang w:eastAsia="en-GB"/>
              </w:rPr>
              <w:t>]</w:t>
            </w:r>
          </w:p>
          <w:p w14:paraId="014A9EE2" w14:textId="365B5A13" w:rsidR="00580FE9" w:rsidRDefault="00580FE9" w:rsidP="00580FE9">
            <w:pPr>
              <w:spacing w:after="100" w:line="288" w:lineRule="auto"/>
              <w:jc w:val="both"/>
              <w:rPr>
                <w:rFonts w:ascii="Arial" w:hAnsi="Arial" w:cs="Arial"/>
                <w:sz w:val="18"/>
                <w:szCs w:val="18"/>
                <w:lang w:eastAsia="de-DE" w:bidi="pa-IN"/>
              </w:rPr>
            </w:pPr>
            <w:r>
              <w:rPr>
                <w:rFonts w:ascii="Arial" w:hAnsi="Arial" w:cs="Arial"/>
                <w:sz w:val="18"/>
                <w:szCs w:val="18"/>
                <w:lang w:eastAsia="de-DE" w:bidi="pa-IN"/>
              </w:rPr>
              <w:t xml:space="preserve">Please provide the date </w:t>
            </w:r>
            <w:r w:rsidR="00DD1C62">
              <w:rPr>
                <w:rFonts w:ascii="Arial" w:hAnsi="Arial" w:cs="Arial"/>
                <w:sz w:val="18"/>
                <w:szCs w:val="18"/>
                <w:lang w:eastAsia="de-DE" w:bidi="pa-IN"/>
              </w:rPr>
              <w:t xml:space="preserve">on which </w:t>
            </w:r>
            <w:r>
              <w:rPr>
                <w:rFonts w:ascii="Arial" w:hAnsi="Arial" w:cs="Arial"/>
                <w:sz w:val="18"/>
                <w:szCs w:val="18"/>
                <w:lang w:eastAsia="de-DE" w:bidi="pa-IN"/>
              </w:rPr>
              <w:t>this notification was uploaded/sent.</w:t>
            </w:r>
          </w:p>
          <w:p w14:paraId="61D120F7" w14:textId="5BA2FE56" w:rsidR="00580FE9" w:rsidRPr="00247F40" w:rsidRDefault="00000000" w:rsidP="00580FE9">
            <w:pPr>
              <w:spacing w:after="100" w:line="288" w:lineRule="auto"/>
              <w:jc w:val="both"/>
              <w:rPr>
                <w:rFonts w:ascii="Arial" w:hAnsi="Arial" w:cs="Arial"/>
                <w:sz w:val="18"/>
                <w:szCs w:val="18"/>
                <w:lang w:eastAsia="de-DE" w:bidi="pa-IN"/>
              </w:rPr>
            </w:pPr>
            <w:sdt>
              <w:sdtPr>
                <w:rPr>
                  <w:rFonts w:ascii="Arial" w:hAnsi="Arial" w:cs="Arial"/>
                  <w:sz w:val="18"/>
                  <w:szCs w:val="18"/>
                  <w:lang w:eastAsia="de-DE" w:bidi="pa-IN"/>
                </w:rPr>
                <w:id w:val="1656486387"/>
                <w:placeholder>
                  <w:docPart w:val="4D2E61D1801148A9826E25E848D5A2C5"/>
                </w:placeholder>
                <w:showingPlcHdr/>
                <w:date>
                  <w:dateFormat w:val="dd/MM/yyyy"/>
                  <w:lid w:val="en-GB"/>
                  <w:storeMappedDataAs w:val="dateTime"/>
                  <w:calendar w:val="gregorian"/>
                </w:date>
              </w:sdtPr>
              <w:sdtContent>
                <w:r w:rsidR="00580FE9" w:rsidRPr="00100B00">
                  <w:rPr>
                    <w:rStyle w:val="Plassholdertekst"/>
                    <w:rFonts w:ascii="Arial" w:hAnsi="Arial" w:cs="Arial"/>
                    <w:color w:val="auto"/>
                    <w:sz w:val="18"/>
                    <w:szCs w:val="18"/>
                  </w:rPr>
                  <w:t>Click or tap to enter a date.</w:t>
                </w:r>
              </w:sdtContent>
            </w:sdt>
          </w:p>
        </w:tc>
      </w:tr>
      <w:permEnd w:id="629832352"/>
    </w:tbl>
    <w:p w14:paraId="03E38AFC" w14:textId="77777777" w:rsidR="001E54D7" w:rsidRDefault="001E54D7" w:rsidP="00555248"/>
    <w:sectPr w:rsidR="001E54D7" w:rsidSect="001E54D7">
      <w:footerReference w:type="default" r:id="rId20"/>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1AA03" w14:textId="77777777" w:rsidR="00FD1606" w:rsidRDefault="00FD1606">
      <w:pPr>
        <w:spacing w:after="0" w:line="240" w:lineRule="auto"/>
      </w:pPr>
      <w:r>
        <w:separator/>
      </w:r>
    </w:p>
  </w:endnote>
  <w:endnote w:type="continuationSeparator" w:id="0">
    <w:p w14:paraId="67BB243C" w14:textId="77777777" w:rsidR="00FD1606" w:rsidRDefault="00FD1606">
      <w:pPr>
        <w:spacing w:after="0" w:line="240" w:lineRule="auto"/>
      </w:pPr>
      <w:r>
        <w:continuationSeparator/>
      </w:r>
    </w:p>
  </w:endnote>
  <w:endnote w:type="continuationNotice" w:id="1">
    <w:p w14:paraId="2D6999DD" w14:textId="77777777" w:rsidR="00FD1606" w:rsidRDefault="00FD16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endnya">
    <w:panose1 w:val="00000400000000000000"/>
    <w:charset w:val="01"/>
    <w:family w:val="roman"/>
    <w:notTrueType/>
    <w:pitch w:val="variable"/>
  </w:font>
  <w:font w:name="Raavi">
    <w:panose1 w:val="02000500000000000000"/>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726506"/>
      <w:docPartObj>
        <w:docPartGallery w:val="Page Numbers (Bottom of Page)"/>
        <w:docPartUnique/>
      </w:docPartObj>
    </w:sdtPr>
    <w:sdtEndPr>
      <w:rPr>
        <w:noProof/>
      </w:rPr>
    </w:sdtEndPr>
    <w:sdtContent>
      <w:p w14:paraId="0F6C88D1" w14:textId="669E3047" w:rsidR="001E54D7" w:rsidRDefault="001E54D7">
        <w:pPr>
          <w:pStyle w:val="Bunntekst"/>
          <w:jc w:val="center"/>
        </w:pPr>
        <w:r>
          <w:fldChar w:fldCharType="begin"/>
        </w:r>
        <w:r>
          <w:instrText xml:space="preserve"> PAGE   \* MERGEFORMAT </w:instrText>
        </w:r>
        <w:r>
          <w:fldChar w:fldCharType="separate"/>
        </w:r>
        <w:r>
          <w:rPr>
            <w:noProof/>
          </w:rPr>
          <w:t>3</w:t>
        </w:r>
        <w:r>
          <w:rPr>
            <w:noProof/>
          </w:rPr>
          <w:fldChar w:fldCharType="end"/>
        </w:r>
      </w:p>
    </w:sdtContent>
  </w:sdt>
  <w:p w14:paraId="51C9847B" w14:textId="77777777" w:rsidR="001E54D7" w:rsidRDefault="001E54D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9263899"/>
      <w:docPartObj>
        <w:docPartGallery w:val="Page Numbers (Bottom of Page)"/>
        <w:docPartUnique/>
      </w:docPartObj>
    </w:sdtPr>
    <w:sdtEndPr>
      <w:rPr>
        <w:noProof/>
      </w:rPr>
    </w:sdtEndPr>
    <w:sdtContent>
      <w:p w14:paraId="72AE2E70" w14:textId="5E318A17" w:rsidR="001E54D7" w:rsidRDefault="001E54D7">
        <w:pPr>
          <w:pStyle w:val="Bunntekst"/>
          <w:jc w:val="center"/>
        </w:pPr>
        <w:r>
          <w:fldChar w:fldCharType="begin"/>
        </w:r>
        <w:r>
          <w:instrText xml:space="preserve"> PAGE   \* MERGEFORMAT </w:instrText>
        </w:r>
        <w:r>
          <w:fldChar w:fldCharType="separate"/>
        </w:r>
        <w:r>
          <w:rPr>
            <w:noProof/>
          </w:rPr>
          <w:t>1</w:t>
        </w:r>
        <w:r>
          <w:rPr>
            <w:noProof/>
          </w:rPr>
          <w:fldChar w:fldCharType="end"/>
        </w:r>
      </w:p>
    </w:sdtContent>
  </w:sdt>
  <w:p w14:paraId="1F38608C" w14:textId="77777777" w:rsidR="001E54D7" w:rsidRDefault="001E54D7">
    <w:pPr>
      <w:pStyle w:val="Bunntekst"/>
    </w:pPr>
  </w:p>
  <w:p w14:paraId="50DC9707" w14:textId="19B5AEA0" w:rsidR="001E54D7" w:rsidRPr="00C42FB0" w:rsidRDefault="001E54D7">
    <w:pPr>
      <w:pStyle w:val="Bunntekst"/>
      <w:rPr>
        <w:rFonts w:ascii="Arial" w:hAnsi="Arial" w:cs="Arial"/>
        <w:b/>
        <w:sz w:val="20"/>
      </w:rPr>
    </w:pPr>
    <w:r>
      <w:rPr>
        <w:rFonts w:ascii="Arial" w:hAnsi="Arial" w:cs="Arial"/>
        <w:b/>
        <w:sz w:val="20"/>
      </w:rPr>
      <w:t xml:space="preserve">Date of template version: </w:t>
    </w:r>
    <w:r w:rsidR="005369BA">
      <w:rPr>
        <w:rFonts w:ascii="Arial" w:hAnsi="Arial" w:cs="Arial"/>
        <w:b/>
        <w:sz w:val="20"/>
      </w:rPr>
      <w:t>26</w:t>
    </w:r>
    <w:r>
      <w:rPr>
        <w:rFonts w:ascii="Arial" w:hAnsi="Arial" w:cs="Arial"/>
        <w:b/>
        <w:sz w:val="20"/>
      </w:rPr>
      <w:t>-</w:t>
    </w:r>
    <w:r w:rsidR="005369BA">
      <w:rPr>
        <w:rFonts w:ascii="Arial" w:hAnsi="Arial" w:cs="Arial"/>
        <w:b/>
        <w:sz w:val="20"/>
      </w:rPr>
      <w:t>11</w:t>
    </w:r>
    <w:r>
      <w:rPr>
        <w:rFonts w:ascii="Arial" w:hAnsi="Arial" w:cs="Arial"/>
        <w:b/>
        <w:sz w:val="20"/>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4A6F5" w14:textId="77777777" w:rsidR="00FD1606" w:rsidRDefault="00FD1606">
      <w:pPr>
        <w:spacing w:after="0" w:line="240" w:lineRule="auto"/>
      </w:pPr>
      <w:bookmarkStart w:id="0" w:name="_Hlk71645731"/>
      <w:bookmarkEnd w:id="0"/>
      <w:r>
        <w:separator/>
      </w:r>
    </w:p>
  </w:footnote>
  <w:footnote w:type="continuationSeparator" w:id="0">
    <w:p w14:paraId="544891A1" w14:textId="77777777" w:rsidR="00FD1606" w:rsidRDefault="00FD1606">
      <w:pPr>
        <w:spacing w:after="0" w:line="240" w:lineRule="auto"/>
      </w:pPr>
      <w:r>
        <w:continuationSeparator/>
      </w:r>
    </w:p>
  </w:footnote>
  <w:footnote w:type="continuationNotice" w:id="1">
    <w:p w14:paraId="65FB388B" w14:textId="77777777" w:rsidR="00FD1606" w:rsidRDefault="00FD1606">
      <w:pPr>
        <w:spacing w:after="0" w:line="240" w:lineRule="auto"/>
      </w:pPr>
    </w:p>
  </w:footnote>
  <w:footnote w:id="2">
    <w:p w14:paraId="15AF78A4" w14:textId="1D313684" w:rsidR="001E54D7" w:rsidRPr="007D0528" w:rsidRDefault="001E54D7" w:rsidP="007F1EA6">
      <w:pPr>
        <w:pStyle w:val="Fotnotetekst"/>
        <w:rPr>
          <w:lang w:val="en-US"/>
        </w:rPr>
      </w:pPr>
      <w:r w:rsidRPr="007414EA">
        <w:rPr>
          <w:rStyle w:val="Fotnotereferanse"/>
          <w:rFonts w:ascii="Arial" w:hAnsi="Arial" w:cs="Arial"/>
          <w:sz w:val="17"/>
          <w:szCs w:val="17"/>
        </w:rPr>
        <w:footnoteRef/>
      </w:r>
      <w:r w:rsidRPr="007D0528">
        <w:t xml:space="preserve"> </w:t>
      </w:r>
      <w:r w:rsidRPr="007D0528">
        <w:rPr>
          <w:rFonts w:ascii="Arial" w:hAnsi="Arial" w:cs="Arial"/>
          <w:sz w:val="17"/>
          <w:szCs w:val="17"/>
          <w:shd w:val="clear" w:color="auto" w:fill="FFFFFF"/>
        </w:rPr>
        <w:t>Council Regulation (EU) No 1024/2013 of 15 October 2013 conferring specific tasks on the European Central Bank concerning policies relating to the prudential supervision of credit institutions (</w:t>
      </w:r>
      <w:r w:rsidRPr="007D0528">
        <w:rPr>
          <w:rStyle w:val="Utheving"/>
          <w:rFonts w:ascii="Arial" w:hAnsi="Arial" w:cs="Arial"/>
          <w:i w:val="0"/>
          <w:iCs w:val="0"/>
          <w:sz w:val="17"/>
          <w:szCs w:val="17"/>
          <w:shd w:val="clear" w:color="auto" w:fill="FFFFFF"/>
        </w:rPr>
        <w:t xml:space="preserve">OJ L 287, 29.10.2013, p. 63). </w:t>
      </w:r>
    </w:p>
  </w:footnote>
  <w:footnote w:id="3">
    <w:p w14:paraId="5F201F36" w14:textId="6DE85FF2" w:rsidR="001E54D7" w:rsidRDefault="001E54D7" w:rsidP="007D0528">
      <w:pPr>
        <w:pStyle w:val="Fotnotetekst"/>
      </w:pPr>
      <w:r w:rsidRPr="00A3630B">
        <w:rPr>
          <w:rStyle w:val="Fotnotereferanse"/>
          <w:rFonts w:ascii="Arial" w:hAnsi="Arial" w:cs="Arial"/>
          <w:sz w:val="17"/>
          <w:szCs w:val="17"/>
        </w:rPr>
        <w:footnoteRef/>
      </w:r>
      <w:r w:rsidRPr="000B3D3B">
        <w:rPr>
          <w:rStyle w:val="Fotnotereferanse"/>
          <w:rFonts w:ascii="Arial" w:hAnsi="Arial" w:cs="Arial"/>
          <w:sz w:val="17"/>
          <w:szCs w:val="17"/>
        </w:rPr>
        <w:t xml:space="preserve"> </w:t>
      </w:r>
      <w:r>
        <w:rPr>
          <w:rFonts w:ascii="Arial" w:hAnsi="Arial" w:cs="Arial"/>
          <w:sz w:val="17"/>
          <w:szCs w:val="17"/>
        </w:rPr>
        <w:t>On request by t</w:t>
      </w:r>
      <w:r w:rsidRPr="00C376F4">
        <w:rPr>
          <w:rFonts w:ascii="Arial" w:hAnsi="Arial" w:cs="Arial"/>
          <w:sz w:val="17"/>
          <w:szCs w:val="17"/>
        </w:rPr>
        <w:t xml:space="preserve">he notifying authority, </w:t>
      </w:r>
      <w:r>
        <w:rPr>
          <w:rFonts w:ascii="Arial" w:hAnsi="Arial" w:cs="Arial"/>
          <w:sz w:val="17"/>
          <w:szCs w:val="17"/>
        </w:rPr>
        <w:t xml:space="preserve">it may be agreed with </w:t>
      </w:r>
      <w:r w:rsidRPr="00C376F4">
        <w:rPr>
          <w:rFonts w:ascii="Arial" w:hAnsi="Arial" w:cs="Arial"/>
          <w:sz w:val="17"/>
          <w:szCs w:val="17"/>
        </w:rPr>
        <w:t xml:space="preserve">the Head of the ESRB Secretariat </w:t>
      </w:r>
      <w:r>
        <w:rPr>
          <w:rFonts w:ascii="Arial" w:hAnsi="Arial" w:cs="Arial"/>
          <w:sz w:val="17"/>
          <w:szCs w:val="17"/>
        </w:rPr>
        <w:t xml:space="preserve">that </w:t>
      </w:r>
      <w:r w:rsidRPr="00C376F4">
        <w:rPr>
          <w:rFonts w:ascii="Arial" w:hAnsi="Arial" w:cs="Arial"/>
          <w:sz w:val="17"/>
          <w:szCs w:val="17"/>
        </w:rPr>
        <w:t>this notification</w:t>
      </w:r>
      <w:r>
        <w:rPr>
          <w:rFonts w:ascii="Arial" w:hAnsi="Arial" w:cs="Arial"/>
          <w:sz w:val="17"/>
          <w:szCs w:val="17"/>
        </w:rPr>
        <w:t>,</w:t>
      </w:r>
      <w:r w:rsidRPr="00C376F4">
        <w:rPr>
          <w:rFonts w:ascii="Arial" w:hAnsi="Arial" w:cs="Arial"/>
          <w:sz w:val="17"/>
          <w:szCs w:val="17"/>
        </w:rPr>
        <w:t xml:space="preserve"> </w:t>
      </w:r>
      <w:r>
        <w:rPr>
          <w:rFonts w:ascii="Arial" w:hAnsi="Arial" w:cs="Arial"/>
          <w:sz w:val="17"/>
          <w:szCs w:val="17"/>
        </w:rPr>
        <w:t xml:space="preserve">or a part thereof, </w:t>
      </w:r>
      <w:r w:rsidRPr="00C376F4">
        <w:rPr>
          <w:rFonts w:ascii="Arial" w:hAnsi="Arial" w:cs="Arial"/>
          <w:sz w:val="17"/>
          <w:szCs w:val="17"/>
        </w:rPr>
        <w:t>should not be published</w:t>
      </w:r>
      <w:r>
        <w:rPr>
          <w:rFonts w:ascii="Arial" w:hAnsi="Arial" w:cs="Arial"/>
          <w:sz w:val="17"/>
          <w:szCs w:val="17"/>
        </w:rPr>
        <w:t xml:space="preserve"> for reasons of confidentiality or financial stability.</w:t>
      </w:r>
    </w:p>
  </w:footnote>
  <w:footnote w:id="4">
    <w:p w14:paraId="7E95D123" w14:textId="2D27D85B" w:rsidR="001E54D7" w:rsidRDefault="001E54D7">
      <w:pPr>
        <w:pStyle w:val="Fotnotetekst"/>
      </w:pPr>
      <w:r w:rsidRPr="007414EA">
        <w:rPr>
          <w:rStyle w:val="Fotnotereferanse"/>
          <w:rFonts w:ascii="Arial" w:hAnsi="Arial" w:cs="Arial"/>
          <w:sz w:val="17"/>
          <w:szCs w:val="17"/>
        </w:rPr>
        <w:footnoteRef/>
      </w:r>
      <w:r w:rsidRPr="007414EA">
        <w:rPr>
          <w:rStyle w:val="Fotnotereferanse"/>
          <w:rFonts w:ascii="Arial" w:hAnsi="Arial" w:cs="Arial"/>
          <w:sz w:val="17"/>
          <w:szCs w:val="17"/>
        </w:rPr>
        <w:t xml:space="preserve"> </w:t>
      </w:r>
      <w:r w:rsidRPr="003E604B">
        <w:rPr>
          <w:rFonts w:ascii="Arial" w:hAnsi="Arial" w:cs="Arial"/>
          <w:sz w:val="17"/>
          <w:szCs w:val="17"/>
        </w:rPr>
        <w:t>Recommendation of the European Systemic Risk Board of 15 December 2015 on the assessment of cross-border effects of and voluntary reciprocity for macroprudential policy measures (ESRB/2015/2) (OJ C 97, 12.3.2016, p.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0E413" w14:textId="6C7FAE27" w:rsidR="001E54D7" w:rsidRPr="007F1EA6" w:rsidRDefault="001E54D7" w:rsidP="007F1EA6">
    <w:pPr>
      <w:pStyle w:val="Topptekst"/>
    </w:pPr>
    <w:bookmarkStart w:id="5" w:name="_Hlk77583620"/>
    <w:bookmarkStart w:id="6" w:name="_Hlk72147693"/>
    <w:bookmarkStart w:id="7" w:name="_Hlk72147694"/>
    <w:r w:rsidRPr="00C559BE">
      <w:rPr>
        <w:noProof/>
        <w:lang w:eastAsia="en-GB"/>
      </w:rPr>
      <w:drawing>
        <wp:inline distT="0" distB="0" distL="0" distR="0" wp14:anchorId="5C6EC46C" wp14:editId="44EBB53F">
          <wp:extent cx="1499775" cy="739140"/>
          <wp:effectExtent l="0" t="0" r="0" b="0"/>
          <wp:docPr id="13" name="Picture 1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775" cy="739140"/>
                  </a:xfrm>
                  <a:prstGeom prst="rect">
                    <a:avLst/>
                  </a:prstGeom>
                  <a:noFill/>
                  <a:ln>
                    <a:noFill/>
                  </a:ln>
                </pic:spPr>
              </pic:pic>
            </a:graphicData>
          </a:graphic>
        </wp:inline>
      </w:drawing>
    </w:r>
    <w:r>
      <w:t xml:space="preserve">    </w:t>
    </w:r>
    <w:r>
      <w:rPr>
        <w:noProof/>
        <w:lang w:eastAsia="en-GB"/>
      </w:rPr>
      <w:drawing>
        <wp:inline distT="0" distB="0" distL="0" distR="0" wp14:anchorId="59CEB160" wp14:editId="69778FEE">
          <wp:extent cx="2311620" cy="419523"/>
          <wp:effectExtent l="0" t="0" r="0" b="0"/>
          <wp:docPr id="2" name="Picture 2" descr="ESRB_Logo_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SRB_Logo_EN-rgb"/>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23791" cy="476177"/>
                  </a:xfrm>
                  <a:prstGeom prst="rect">
                    <a:avLst/>
                  </a:prstGeom>
                  <a:noFill/>
                  <a:ln>
                    <a:noFill/>
                  </a:ln>
                </pic:spPr>
              </pic:pic>
            </a:graphicData>
          </a:graphic>
        </wp:inline>
      </w:drawing>
    </w:r>
    <w:r>
      <w:t xml:space="preserve">       </w:t>
    </w:r>
    <w:r>
      <w:rPr>
        <w:noProof/>
      </w:rPr>
      <w:drawing>
        <wp:inline distT="0" distB="0" distL="0" distR="0" wp14:anchorId="70BF5543" wp14:editId="7736E9D1">
          <wp:extent cx="1542415" cy="574675"/>
          <wp:effectExtent l="0" t="0" r="635" b="0"/>
          <wp:docPr id="14" name="Picture 14" descr="\\gimecb01\homedir-qu$\stolzst\My Pictures\logo EBA.gif"/>
          <wp:cNvGraphicFramePr/>
          <a:graphic xmlns:a="http://schemas.openxmlformats.org/drawingml/2006/main">
            <a:graphicData uri="http://schemas.openxmlformats.org/drawingml/2006/picture">
              <pic:pic xmlns:pic="http://schemas.openxmlformats.org/drawingml/2006/picture">
                <pic:nvPicPr>
                  <pic:cNvPr id="14" name="Picture 14" descr="\\gimecb01\homedir-qu$\stolzst\My Pictures\logo EBA.gif"/>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2415" cy="574675"/>
                  </a:xfrm>
                  <a:prstGeom prst="rect">
                    <a:avLst/>
                  </a:prstGeom>
                  <a:noFill/>
                  <a:ln>
                    <a:noFill/>
                  </a:ln>
                </pic:spPr>
              </pic:pic>
            </a:graphicData>
          </a:graphic>
        </wp:inline>
      </w:drawing>
    </w:r>
    <w:r>
      <w:t xml:space="preserve">     </w:t>
    </w:r>
    <w:bookmarkEnd w:id="5"/>
    <w:r>
      <w:tab/>
    </w:r>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40C04"/>
    <w:multiLevelType w:val="hybridMultilevel"/>
    <w:tmpl w:val="0A7ECDC4"/>
    <w:lvl w:ilvl="0" w:tplc="3DF0976C">
      <w:numFmt w:val="bullet"/>
      <w:lvlText w:val="-"/>
      <w:lvlJc w:val="left"/>
      <w:pPr>
        <w:ind w:left="360" w:hanging="360"/>
      </w:pPr>
      <w:rPr>
        <w:rFonts w:ascii="Arial" w:eastAsia="Times New Roman" w:hAnsi="Arial" w:cs="Arial" w:hint="default"/>
        <w:b w:val="0"/>
        <w:bCs w:val="0"/>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554F22"/>
    <w:multiLevelType w:val="hybridMultilevel"/>
    <w:tmpl w:val="139CCD3C"/>
    <w:lvl w:ilvl="0" w:tplc="08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15F79"/>
    <w:multiLevelType w:val="hybridMultilevel"/>
    <w:tmpl w:val="F3B4D738"/>
    <w:lvl w:ilvl="0" w:tplc="DAA22C98">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A53938"/>
    <w:multiLevelType w:val="hybridMultilevel"/>
    <w:tmpl w:val="0EE858E0"/>
    <w:lvl w:ilvl="0" w:tplc="08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B44C6"/>
    <w:multiLevelType w:val="hybridMultilevel"/>
    <w:tmpl w:val="EE8C0E46"/>
    <w:lvl w:ilvl="0" w:tplc="08090017">
      <w:start w:val="1"/>
      <w:numFmt w:val="low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1061E"/>
    <w:multiLevelType w:val="hybridMultilevel"/>
    <w:tmpl w:val="3588EF9E"/>
    <w:lvl w:ilvl="0" w:tplc="4D760E7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8051C"/>
    <w:multiLevelType w:val="hybridMultilevel"/>
    <w:tmpl w:val="5E54115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D91078"/>
    <w:multiLevelType w:val="hybridMultilevel"/>
    <w:tmpl w:val="13305BF8"/>
    <w:lvl w:ilvl="0" w:tplc="1A522DB6">
      <w:numFmt w:val="bullet"/>
      <w:lvlText w:val="-"/>
      <w:lvlJc w:val="left"/>
      <w:pPr>
        <w:ind w:left="360" w:hanging="360"/>
      </w:pPr>
      <w:rPr>
        <w:rFonts w:ascii="Arial" w:eastAsia="Times New Roman" w:hAnsi="Arial" w:hint="default"/>
      </w:rPr>
    </w:lvl>
    <w:lvl w:ilvl="1" w:tplc="08090003">
      <w:start w:val="1"/>
      <w:numFmt w:val="bullet"/>
      <w:lvlText w:val="o"/>
      <w:lvlJc w:val="left"/>
      <w:pPr>
        <w:ind w:left="785"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EA3481"/>
    <w:multiLevelType w:val="multilevel"/>
    <w:tmpl w:val="E4B6C93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ADE4E6E"/>
    <w:multiLevelType w:val="hybridMultilevel"/>
    <w:tmpl w:val="575CDE68"/>
    <w:lvl w:ilvl="0" w:tplc="86003916">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2B8D0A77"/>
    <w:multiLevelType w:val="hybridMultilevel"/>
    <w:tmpl w:val="72A2457A"/>
    <w:lvl w:ilvl="0" w:tplc="DAA22C98">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025ACF"/>
    <w:multiLevelType w:val="multilevel"/>
    <w:tmpl w:val="D79648E8"/>
    <w:styleLink w:val="ESRBBulletlist"/>
    <w:lvl w:ilvl="0">
      <w:start w:val="1"/>
      <w:numFmt w:val="bullet"/>
      <w:pStyle w:val="Punktliste"/>
      <w:lvlText w:val=""/>
      <w:lvlJc w:val="left"/>
      <w:pPr>
        <w:tabs>
          <w:tab w:val="num" w:pos="425"/>
        </w:tabs>
        <w:ind w:left="425" w:hanging="425"/>
      </w:pPr>
      <w:rPr>
        <w:rFonts w:ascii="Symbol" w:hAnsi="Symbol" w:hint="default"/>
      </w:rPr>
    </w:lvl>
    <w:lvl w:ilvl="1">
      <w:start w:val="1"/>
      <w:numFmt w:val="bullet"/>
      <w:pStyle w:val="Punktliste2"/>
      <w:lvlText w:val=""/>
      <w:lvlJc w:val="left"/>
      <w:pPr>
        <w:tabs>
          <w:tab w:val="num" w:pos="851"/>
        </w:tabs>
        <w:ind w:left="851" w:hanging="426"/>
      </w:pPr>
      <w:rPr>
        <w:rFonts w:ascii="Symbol" w:hAnsi="Symbol" w:hint="default"/>
        <w:color w:val="auto"/>
      </w:rPr>
    </w:lvl>
    <w:lvl w:ilvl="2">
      <w:start w:val="1"/>
      <w:numFmt w:val="bullet"/>
      <w:pStyle w:val="Punktliste3"/>
      <w:lvlText w:val=""/>
      <w:lvlJc w:val="left"/>
      <w:pPr>
        <w:tabs>
          <w:tab w:val="num" w:pos="1276"/>
        </w:tabs>
        <w:ind w:left="1276" w:hanging="425"/>
      </w:pPr>
      <w:rPr>
        <w:rFonts w:ascii="Symbol" w:hAnsi="Symbol" w:hint="default"/>
        <w:color w:val="auto"/>
      </w:rPr>
    </w:lvl>
    <w:lvl w:ilvl="3">
      <w:start w:val="1"/>
      <w:numFmt w:val="bullet"/>
      <w:pStyle w:val="Box-ListBullet1"/>
      <w:lvlText w:val=""/>
      <w:lvlJc w:val="left"/>
      <w:pPr>
        <w:tabs>
          <w:tab w:val="num" w:pos="425"/>
        </w:tabs>
        <w:ind w:left="425" w:hanging="425"/>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D8B370D"/>
    <w:multiLevelType w:val="hybridMultilevel"/>
    <w:tmpl w:val="3B10653E"/>
    <w:lvl w:ilvl="0" w:tplc="DAA22C98">
      <w:numFmt w:val="bullet"/>
      <w:lvlText w:val="-"/>
      <w:lvlJc w:val="left"/>
      <w:pPr>
        <w:ind w:left="686" w:hanging="360"/>
      </w:pPr>
      <w:rPr>
        <w:rFonts w:ascii="Calibri" w:eastAsia="Times New Roman" w:hAnsi="Calibri" w:hint="default"/>
      </w:rPr>
    </w:lvl>
    <w:lvl w:ilvl="1" w:tplc="08090003" w:tentative="1">
      <w:start w:val="1"/>
      <w:numFmt w:val="bullet"/>
      <w:lvlText w:val="o"/>
      <w:lvlJc w:val="left"/>
      <w:pPr>
        <w:ind w:left="1406" w:hanging="360"/>
      </w:pPr>
      <w:rPr>
        <w:rFonts w:ascii="Courier New" w:hAnsi="Courier New" w:hint="default"/>
      </w:rPr>
    </w:lvl>
    <w:lvl w:ilvl="2" w:tplc="08090005" w:tentative="1">
      <w:start w:val="1"/>
      <w:numFmt w:val="bullet"/>
      <w:lvlText w:val=""/>
      <w:lvlJc w:val="left"/>
      <w:pPr>
        <w:ind w:left="2126" w:hanging="360"/>
      </w:pPr>
      <w:rPr>
        <w:rFonts w:ascii="Wingdings" w:hAnsi="Wingdings" w:hint="default"/>
      </w:rPr>
    </w:lvl>
    <w:lvl w:ilvl="3" w:tplc="08090001" w:tentative="1">
      <w:start w:val="1"/>
      <w:numFmt w:val="bullet"/>
      <w:lvlText w:val=""/>
      <w:lvlJc w:val="left"/>
      <w:pPr>
        <w:ind w:left="2846" w:hanging="360"/>
      </w:pPr>
      <w:rPr>
        <w:rFonts w:ascii="Symbol" w:hAnsi="Symbol" w:hint="default"/>
      </w:rPr>
    </w:lvl>
    <w:lvl w:ilvl="4" w:tplc="08090003" w:tentative="1">
      <w:start w:val="1"/>
      <w:numFmt w:val="bullet"/>
      <w:lvlText w:val="o"/>
      <w:lvlJc w:val="left"/>
      <w:pPr>
        <w:ind w:left="3566" w:hanging="360"/>
      </w:pPr>
      <w:rPr>
        <w:rFonts w:ascii="Courier New" w:hAnsi="Courier New" w:hint="default"/>
      </w:rPr>
    </w:lvl>
    <w:lvl w:ilvl="5" w:tplc="08090005" w:tentative="1">
      <w:start w:val="1"/>
      <w:numFmt w:val="bullet"/>
      <w:lvlText w:val=""/>
      <w:lvlJc w:val="left"/>
      <w:pPr>
        <w:ind w:left="4286" w:hanging="360"/>
      </w:pPr>
      <w:rPr>
        <w:rFonts w:ascii="Wingdings" w:hAnsi="Wingdings" w:hint="default"/>
      </w:rPr>
    </w:lvl>
    <w:lvl w:ilvl="6" w:tplc="08090001" w:tentative="1">
      <w:start w:val="1"/>
      <w:numFmt w:val="bullet"/>
      <w:lvlText w:val=""/>
      <w:lvlJc w:val="left"/>
      <w:pPr>
        <w:ind w:left="5006" w:hanging="360"/>
      </w:pPr>
      <w:rPr>
        <w:rFonts w:ascii="Symbol" w:hAnsi="Symbol" w:hint="default"/>
      </w:rPr>
    </w:lvl>
    <w:lvl w:ilvl="7" w:tplc="08090003" w:tentative="1">
      <w:start w:val="1"/>
      <w:numFmt w:val="bullet"/>
      <w:lvlText w:val="o"/>
      <w:lvlJc w:val="left"/>
      <w:pPr>
        <w:ind w:left="5726" w:hanging="360"/>
      </w:pPr>
      <w:rPr>
        <w:rFonts w:ascii="Courier New" w:hAnsi="Courier New" w:hint="default"/>
      </w:rPr>
    </w:lvl>
    <w:lvl w:ilvl="8" w:tplc="08090005" w:tentative="1">
      <w:start w:val="1"/>
      <w:numFmt w:val="bullet"/>
      <w:lvlText w:val=""/>
      <w:lvlJc w:val="left"/>
      <w:pPr>
        <w:ind w:left="6446" w:hanging="360"/>
      </w:pPr>
      <w:rPr>
        <w:rFonts w:ascii="Wingdings" w:hAnsi="Wingdings" w:hint="default"/>
      </w:rPr>
    </w:lvl>
  </w:abstractNum>
  <w:abstractNum w:abstractNumId="13" w15:restartNumberingAfterBreak="0">
    <w:nsid w:val="3FBD7AEF"/>
    <w:multiLevelType w:val="hybridMultilevel"/>
    <w:tmpl w:val="F9F6DE0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8D24B0"/>
    <w:multiLevelType w:val="hybridMultilevel"/>
    <w:tmpl w:val="43082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D84DEB"/>
    <w:multiLevelType w:val="hybridMultilevel"/>
    <w:tmpl w:val="D196DE2C"/>
    <w:lvl w:ilvl="0" w:tplc="DAA22C98">
      <w:numFmt w:val="bullet"/>
      <w:lvlText w:val="-"/>
      <w:lvlJc w:val="left"/>
      <w:pPr>
        <w:ind w:left="1080" w:hanging="360"/>
      </w:pPr>
      <w:rPr>
        <w:rFonts w:ascii="Calibri" w:eastAsia="Times New Roman"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D80007"/>
    <w:multiLevelType w:val="hybridMultilevel"/>
    <w:tmpl w:val="7C9272AE"/>
    <w:lvl w:ilvl="0" w:tplc="08090019">
      <w:start w:val="1"/>
      <w:numFmt w:val="lowerLetter"/>
      <w:lvlText w:val="%1."/>
      <w:lvlJc w:val="left"/>
      <w:pPr>
        <w:ind w:left="360" w:hanging="360"/>
      </w:pPr>
      <w:rPr>
        <w:rFonts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562475CA"/>
    <w:multiLevelType w:val="hybridMultilevel"/>
    <w:tmpl w:val="0EE858E0"/>
    <w:lvl w:ilvl="0" w:tplc="08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3E416D"/>
    <w:multiLevelType w:val="hybridMultilevel"/>
    <w:tmpl w:val="3AAC42DC"/>
    <w:lvl w:ilvl="0" w:tplc="BB1A87A4">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5A441D0F"/>
    <w:multiLevelType w:val="hybridMultilevel"/>
    <w:tmpl w:val="763C5F9E"/>
    <w:lvl w:ilvl="0" w:tplc="08090017">
      <w:start w:val="1"/>
      <w:numFmt w:val="lowerLetter"/>
      <w:lvlText w:val="%1)"/>
      <w:lvlJc w:val="left"/>
      <w:pPr>
        <w:ind w:left="360" w:hanging="360"/>
      </w:pPr>
      <w:rPr>
        <w:rFonts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C2A0968"/>
    <w:multiLevelType w:val="hybridMultilevel"/>
    <w:tmpl w:val="1CA2D6C6"/>
    <w:lvl w:ilvl="0" w:tplc="1A522DB6">
      <w:numFmt w:val="bullet"/>
      <w:lvlText w:val="-"/>
      <w:lvlJc w:val="left"/>
      <w:pPr>
        <w:ind w:left="360" w:hanging="360"/>
      </w:pPr>
      <w:rPr>
        <w:rFonts w:ascii="Arial" w:eastAsia="Times New Roman" w:hAnsi="Arial" w:hint="default"/>
      </w:rPr>
    </w:lvl>
    <w:lvl w:ilvl="1" w:tplc="DAA22C98">
      <w:numFmt w:val="bullet"/>
      <w:lvlText w:val="-"/>
      <w:lvlJc w:val="left"/>
      <w:pPr>
        <w:ind w:left="785" w:hanging="360"/>
      </w:pPr>
      <w:rPr>
        <w:rFonts w:ascii="Calibri" w:eastAsia="Times New Roman"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B871BC"/>
    <w:multiLevelType w:val="hybridMultilevel"/>
    <w:tmpl w:val="3760B2A8"/>
    <w:lvl w:ilvl="0" w:tplc="1A522DB6">
      <w:numFmt w:val="bullet"/>
      <w:lvlText w:val="-"/>
      <w:lvlJc w:val="left"/>
      <w:pPr>
        <w:ind w:left="360" w:hanging="360"/>
      </w:pPr>
      <w:rPr>
        <w:rFonts w:ascii="Arial" w:eastAsia="Times New Roman" w:hAnsi="Aria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22E5A0C"/>
    <w:multiLevelType w:val="hybridMultilevel"/>
    <w:tmpl w:val="8ED04B2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F55CA8"/>
    <w:multiLevelType w:val="hybridMultilevel"/>
    <w:tmpl w:val="2BEC7CAE"/>
    <w:lvl w:ilvl="0" w:tplc="E0F81FE6">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688624DA"/>
    <w:multiLevelType w:val="hybridMultilevel"/>
    <w:tmpl w:val="C36CB0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135B89"/>
    <w:multiLevelType w:val="hybridMultilevel"/>
    <w:tmpl w:val="9FA8635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DC325B9"/>
    <w:multiLevelType w:val="hybridMultilevel"/>
    <w:tmpl w:val="EB0EF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0553B7"/>
    <w:multiLevelType w:val="multilevel"/>
    <w:tmpl w:val="8272BE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2040551">
    <w:abstractNumId w:val="12"/>
  </w:num>
  <w:num w:numId="2" w16cid:durableId="965310928">
    <w:abstractNumId w:val="18"/>
  </w:num>
  <w:num w:numId="3" w16cid:durableId="583303155">
    <w:abstractNumId w:val="1"/>
  </w:num>
  <w:num w:numId="4" w16cid:durableId="1213153500">
    <w:abstractNumId w:val="17"/>
  </w:num>
  <w:num w:numId="5" w16cid:durableId="1460419580">
    <w:abstractNumId w:val="19"/>
  </w:num>
  <w:num w:numId="6" w16cid:durableId="978002013">
    <w:abstractNumId w:val="4"/>
  </w:num>
  <w:num w:numId="7" w16cid:durableId="959339918">
    <w:abstractNumId w:val="21"/>
  </w:num>
  <w:num w:numId="8" w16cid:durableId="1730031423">
    <w:abstractNumId w:val="3"/>
  </w:num>
  <w:num w:numId="9" w16cid:durableId="1652172005">
    <w:abstractNumId w:val="21"/>
  </w:num>
  <w:num w:numId="10" w16cid:durableId="1954558151">
    <w:abstractNumId w:val="23"/>
  </w:num>
  <w:num w:numId="11" w16cid:durableId="623082092">
    <w:abstractNumId w:val="9"/>
  </w:num>
  <w:num w:numId="12" w16cid:durableId="132334373">
    <w:abstractNumId w:val="16"/>
  </w:num>
  <w:num w:numId="13" w16cid:durableId="1856918941">
    <w:abstractNumId w:val="14"/>
  </w:num>
  <w:num w:numId="14" w16cid:durableId="1607736263">
    <w:abstractNumId w:val="13"/>
  </w:num>
  <w:num w:numId="15" w16cid:durableId="1272855393">
    <w:abstractNumId w:val="22"/>
  </w:num>
  <w:num w:numId="16" w16cid:durableId="1027096346">
    <w:abstractNumId w:val="6"/>
  </w:num>
  <w:num w:numId="17" w16cid:durableId="1445540739">
    <w:abstractNumId w:val="11"/>
  </w:num>
  <w:num w:numId="18" w16cid:durableId="1238517099">
    <w:abstractNumId w:val="25"/>
  </w:num>
  <w:num w:numId="19" w16cid:durableId="1087657665">
    <w:abstractNumId w:val="24"/>
  </w:num>
  <w:num w:numId="20" w16cid:durableId="4091872">
    <w:abstractNumId w:val="8"/>
  </w:num>
  <w:num w:numId="21" w16cid:durableId="110252022">
    <w:abstractNumId w:val="27"/>
  </w:num>
  <w:num w:numId="22" w16cid:durableId="1620717047">
    <w:abstractNumId w:val="0"/>
  </w:num>
  <w:num w:numId="23" w16cid:durableId="1199270714">
    <w:abstractNumId w:val="15"/>
  </w:num>
  <w:num w:numId="24" w16cid:durableId="921111310">
    <w:abstractNumId w:val="5"/>
  </w:num>
  <w:num w:numId="25" w16cid:durableId="1011835917">
    <w:abstractNumId w:val="26"/>
  </w:num>
  <w:num w:numId="26" w16cid:durableId="1744790459">
    <w:abstractNumId w:val="20"/>
  </w:num>
  <w:num w:numId="27" w16cid:durableId="1103845752">
    <w:abstractNumId w:val="2"/>
  </w:num>
  <w:num w:numId="28" w16cid:durableId="2001303124">
    <w:abstractNumId w:val="10"/>
  </w:num>
  <w:num w:numId="29" w16cid:durableId="13140674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1" w:cryptProviderType="rsaAES" w:cryptAlgorithmClass="hash" w:cryptAlgorithmType="typeAny" w:cryptAlgorithmSid="14" w:cryptSpinCount="100000" w:hash="vyTRDMk7C5pVpCpvwPi51yOllYP9vn2goa2nsFH8GQDGWH/dUuLjSzC2A2jZmjzdYYLvzjxkm5pkjjDM4JNL3g==" w:salt="Av9yYD3BjrgKWvxBLna+JA=="/>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B81452"/>
    <w:rsid w:val="00000B73"/>
    <w:rsid w:val="00002073"/>
    <w:rsid w:val="00004B6F"/>
    <w:rsid w:val="00013B3D"/>
    <w:rsid w:val="00014D29"/>
    <w:rsid w:val="0001587D"/>
    <w:rsid w:val="000169A9"/>
    <w:rsid w:val="0002063B"/>
    <w:rsid w:val="000214A8"/>
    <w:rsid w:val="00023072"/>
    <w:rsid w:val="00026886"/>
    <w:rsid w:val="00031C55"/>
    <w:rsid w:val="0003247A"/>
    <w:rsid w:val="00032826"/>
    <w:rsid w:val="00033E1E"/>
    <w:rsid w:val="000517A1"/>
    <w:rsid w:val="00064A55"/>
    <w:rsid w:val="00067B88"/>
    <w:rsid w:val="00067BCA"/>
    <w:rsid w:val="000742D2"/>
    <w:rsid w:val="00081F2A"/>
    <w:rsid w:val="00082236"/>
    <w:rsid w:val="00082594"/>
    <w:rsid w:val="00086537"/>
    <w:rsid w:val="000A3DA3"/>
    <w:rsid w:val="000A636A"/>
    <w:rsid w:val="000A6AF3"/>
    <w:rsid w:val="000B05BD"/>
    <w:rsid w:val="000B2A92"/>
    <w:rsid w:val="000B3D3B"/>
    <w:rsid w:val="000B419D"/>
    <w:rsid w:val="000C0957"/>
    <w:rsid w:val="000C1CC2"/>
    <w:rsid w:val="000D0AB4"/>
    <w:rsid w:val="000D1256"/>
    <w:rsid w:val="000D6826"/>
    <w:rsid w:val="000D6E8D"/>
    <w:rsid w:val="000E0CD3"/>
    <w:rsid w:val="000E2272"/>
    <w:rsid w:val="000E4F52"/>
    <w:rsid w:val="000F1D58"/>
    <w:rsid w:val="000F4E27"/>
    <w:rsid w:val="000F5706"/>
    <w:rsid w:val="001007DA"/>
    <w:rsid w:val="00100B00"/>
    <w:rsid w:val="0010325C"/>
    <w:rsid w:val="0010341F"/>
    <w:rsid w:val="0010363E"/>
    <w:rsid w:val="0010394F"/>
    <w:rsid w:val="001039F7"/>
    <w:rsid w:val="001056A0"/>
    <w:rsid w:val="0010709F"/>
    <w:rsid w:val="00123CCE"/>
    <w:rsid w:val="0012552D"/>
    <w:rsid w:val="001267D7"/>
    <w:rsid w:val="001270BA"/>
    <w:rsid w:val="001314C4"/>
    <w:rsid w:val="00133F51"/>
    <w:rsid w:val="0013569F"/>
    <w:rsid w:val="00137271"/>
    <w:rsid w:val="00141F42"/>
    <w:rsid w:val="00142DB0"/>
    <w:rsid w:val="0014717A"/>
    <w:rsid w:val="00151457"/>
    <w:rsid w:val="001523A7"/>
    <w:rsid w:val="00153728"/>
    <w:rsid w:val="00154B7C"/>
    <w:rsid w:val="00156706"/>
    <w:rsid w:val="00157585"/>
    <w:rsid w:val="001612DF"/>
    <w:rsid w:val="001710FC"/>
    <w:rsid w:val="00172062"/>
    <w:rsid w:val="00175629"/>
    <w:rsid w:val="001760C9"/>
    <w:rsid w:val="00176F2C"/>
    <w:rsid w:val="00187445"/>
    <w:rsid w:val="0019497C"/>
    <w:rsid w:val="001A5A9A"/>
    <w:rsid w:val="001A6916"/>
    <w:rsid w:val="001B2626"/>
    <w:rsid w:val="001B6C4E"/>
    <w:rsid w:val="001C1FCC"/>
    <w:rsid w:val="001D1107"/>
    <w:rsid w:val="001D2200"/>
    <w:rsid w:val="001D40A6"/>
    <w:rsid w:val="001D4D1D"/>
    <w:rsid w:val="001D60D7"/>
    <w:rsid w:val="001D6C87"/>
    <w:rsid w:val="001E46AB"/>
    <w:rsid w:val="001E54D7"/>
    <w:rsid w:val="001F12A4"/>
    <w:rsid w:val="001F4382"/>
    <w:rsid w:val="001F59BE"/>
    <w:rsid w:val="001F7735"/>
    <w:rsid w:val="002011F1"/>
    <w:rsid w:val="00201DBF"/>
    <w:rsid w:val="00203ABA"/>
    <w:rsid w:val="00204F2F"/>
    <w:rsid w:val="00205461"/>
    <w:rsid w:val="00214EE4"/>
    <w:rsid w:val="002164E7"/>
    <w:rsid w:val="00223E93"/>
    <w:rsid w:val="002270B5"/>
    <w:rsid w:val="00230AD9"/>
    <w:rsid w:val="002338B6"/>
    <w:rsid w:val="00233991"/>
    <w:rsid w:val="00234A62"/>
    <w:rsid w:val="00234F7A"/>
    <w:rsid w:val="0023619C"/>
    <w:rsid w:val="00245A58"/>
    <w:rsid w:val="00246AEF"/>
    <w:rsid w:val="00247A06"/>
    <w:rsid w:val="00250706"/>
    <w:rsid w:val="0025381B"/>
    <w:rsid w:val="002544F7"/>
    <w:rsid w:val="002550EC"/>
    <w:rsid w:val="00255713"/>
    <w:rsid w:val="00260492"/>
    <w:rsid w:val="00260DD2"/>
    <w:rsid w:val="00263DC4"/>
    <w:rsid w:val="00276EBF"/>
    <w:rsid w:val="002826DA"/>
    <w:rsid w:val="00290445"/>
    <w:rsid w:val="002908B6"/>
    <w:rsid w:val="002A177E"/>
    <w:rsid w:val="002A1BF1"/>
    <w:rsid w:val="002A4C51"/>
    <w:rsid w:val="002B1AD3"/>
    <w:rsid w:val="002B2DCF"/>
    <w:rsid w:val="002B4C56"/>
    <w:rsid w:val="002D0B5D"/>
    <w:rsid w:val="002D40A3"/>
    <w:rsid w:val="002D642E"/>
    <w:rsid w:val="002F2CA8"/>
    <w:rsid w:val="002F4B56"/>
    <w:rsid w:val="002F66C5"/>
    <w:rsid w:val="002F6FD4"/>
    <w:rsid w:val="00311A59"/>
    <w:rsid w:val="00311DE7"/>
    <w:rsid w:val="003122C8"/>
    <w:rsid w:val="003227BF"/>
    <w:rsid w:val="0032534C"/>
    <w:rsid w:val="00331E8A"/>
    <w:rsid w:val="003365A8"/>
    <w:rsid w:val="00336978"/>
    <w:rsid w:val="00341B4A"/>
    <w:rsid w:val="0035263E"/>
    <w:rsid w:val="00355FB6"/>
    <w:rsid w:val="003562E1"/>
    <w:rsid w:val="0036282F"/>
    <w:rsid w:val="0036373D"/>
    <w:rsid w:val="00366517"/>
    <w:rsid w:val="0036749D"/>
    <w:rsid w:val="00374778"/>
    <w:rsid w:val="00374E82"/>
    <w:rsid w:val="00375064"/>
    <w:rsid w:val="00377D3D"/>
    <w:rsid w:val="00385550"/>
    <w:rsid w:val="00394027"/>
    <w:rsid w:val="00396D49"/>
    <w:rsid w:val="003A1A9D"/>
    <w:rsid w:val="003A4433"/>
    <w:rsid w:val="003A7BB5"/>
    <w:rsid w:val="003B443C"/>
    <w:rsid w:val="003B4884"/>
    <w:rsid w:val="003B4A00"/>
    <w:rsid w:val="003B6324"/>
    <w:rsid w:val="003B787A"/>
    <w:rsid w:val="003C0DDE"/>
    <w:rsid w:val="003C1F55"/>
    <w:rsid w:val="003C302C"/>
    <w:rsid w:val="003C4C00"/>
    <w:rsid w:val="003C59EF"/>
    <w:rsid w:val="003D08FC"/>
    <w:rsid w:val="003D1B7E"/>
    <w:rsid w:val="003D5678"/>
    <w:rsid w:val="003E0670"/>
    <w:rsid w:val="003E604B"/>
    <w:rsid w:val="003E73EA"/>
    <w:rsid w:val="003F51C4"/>
    <w:rsid w:val="003F595C"/>
    <w:rsid w:val="003F6BC2"/>
    <w:rsid w:val="00407374"/>
    <w:rsid w:val="00407E6D"/>
    <w:rsid w:val="00421416"/>
    <w:rsid w:val="00422678"/>
    <w:rsid w:val="00422DF9"/>
    <w:rsid w:val="004277CD"/>
    <w:rsid w:val="0044550B"/>
    <w:rsid w:val="00453C10"/>
    <w:rsid w:val="004550FC"/>
    <w:rsid w:val="0046746B"/>
    <w:rsid w:val="004718D9"/>
    <w:rsid w:val="004757D2"/>
    <w:rsid w:val="00485318"/>
    <w:rsid w:val="004865B8"/>
    <w:rsid w:val="004912D5"/>
    <w:rsid w:val="00491F76"/>
    <w:rsid w:val="00492FCE"/>
    <w:rsid w:val="004A2EF6"/>
    <w:rsid w:val="004B2AB5"/>
    <w:rsid w:val="004B3D0F"/>
    <w:rsid w:val="004B78BC"/>
    <w:rsid w:val="004C283C"/>
    <w:rsid w:val="004C2E6A"/>
    <w:rsid w:val="004C30AD"/>
    <w:rsid w:val="004C54EA"/>
    <w:rsid w:val="004C7017"/>
    <w:rsid w:val="004C7B2D"/>
    <w:rsid w:val="004D030D"/>
    <w:rsid w:val="004D5899"/>
    <w:rsid w:val="004E70C4"/>
    <w:rsid w:val="004F0D66"/>
    <w:rsid w:val="004F2818"/>
    <w:rsid w:val="00502085"/>
    <w:rsid w:val="005023EF"/>
    <w:rsid w:val="00504AEB"/>
    <w:rsid w:val="005108B2"/>
    <w:rsid w:val="005169E4"/>
    <w:rsid w:val="00523DBF"/>
    <w:rsid w:val="0053178B"/>
    <w:rsid w:val="0053280E"/>
    <w:rsid w:val="005369BA"/>
    <w:rsid w:val="0054650A"/>
    <w:rsid w:val="00551A88"/>
    <w:rsid w:val="00554021"/>
    <w:rsid w:val="00555248"/>
    <w:rsid w:val="00561A1F"/>
    <w:rsid w:val="00567192"/>
    <w:rsid w:val="00567F5C"/>
    <w:rsid w:val="00571D08"/>
    <w:rsid w:val="005745E7"/>
    <w:rsid w:val="005772F4"/>
    <w:rsid w:val="00580FE9"/>
    <w:rsid w:val="0058496E"/>
    <w:rsid w:val="00585A2C"/>
    <w:rsid w:val="00587534"/>
    <w:rsid w:val="005970A8"/>
    <w:rsid w:val="005A425A"/>
    <w:rsid w:val="005A6659"/>
    <w:rsid w:val="005C4154"/>
    <w:rsid w:val="005D2D94"/>
    <w:rsid w:val="005E0751"/>
    <w:rsid w:val="005E11F1"/>
    <w:rsid w:val="005E27ED"/>
    <w:rsid w:val="005F059F"/>
    <w:rsid w:val="005F1EF1"/>
    <w:rsid w:val="005F3BF9"/>
    <w:rsid w:val="005F6CEE"/>
    <w:rsid w:val="00600178"/>
    <w:rsid w:val="0060176C"/>
    <w:rsid w:val="00605230"/>
    <w:rsid w:val="006116F3"/>
    <w:rsid w:val="00611E1B"/>
    <w:rsid w:val="0062138B"/>
    <w:rsid w:val="006233E6"/>
    <w:rsid w:val="006271A1"/>
    <w:rsid w:val="00633FBD"/>
    <w:rsid w:val="006363ED"/>
    <w:rsid w:val="00640266"/>
    <w:rsid w:val="00644D5C"/>
    <w:rsid w:val="0064700F"/>
    <w:rsid w:val="006477D4"/>
    <w:rsid w:val="00650A09"/>
    <w:rsid w:val="00657A39"/>
    <w:rsid w:val="006718A0"/>
    <w:rsid w:val="00673DCB"/>
    <w:rsid w:val="0068145F"/>
    <w:rsid w:val="00683842"/>
    <w:rsid w:val="00692315"/>
    <w:rsid w:val="00692958"/>
    <w:rsid w:val="006A04E5"/>
    <w:rsid w:val="006A0A95"/>
    <w:rsid w:val="006B244E"/>
    <w:rsid w:val="006B38C8"/>
    <w:rsid w:val="006B71A0"/>
    <w:rsid w:val="006C14EC"/>
    <w:rsid w:val="006C1EB2"/>
    <w:rsid w:val="006C7143"/>
    <w:rsid w:val="006E475F"/>
    <w:rsid w:val="006E5558"/>
    <w:rsid w:val="006F0252"/>
    <w:rsid w:val="006F2436"/>
    <w:rsid w:val="006F33D2"/>
    <w:rsid w:val="006F4857"/>
    <w:rsid w:val="0070708D"/>
    <w:rsid w:val="00713123"/>
    <w:rsid w:val="007204FB"/>
    <w:rsid w:val="00724100"/>
    <w:rsid w:val="0072432C"/>
    <w:rsid w:val="00724EE8"/>
    <w:rsid w:val="007270D3"/>
    <w:rsid w:val="007315BA"/>
    <w:rsid w:val="00734741"/>
    <w:rsid w:val="007414EA"/>
    <w:rsid w:val="00741B0A"/>
    <w:rsid w:val="00742DBF"/>
    <w:rsid w:val="007469D2"/>
    <w:rsid w:val="00747C32"/>
    <w:rsid w:val="0075557D"/>
    <w:rsid w:val="00755DCB"/>
    <w:rsid w:val="007607DB"/>
    <w:rsid w:val="0076299C"/>
    <w:rsid w:val="00762DA2"/>
    <w:rsid w:val="007756FA"/>
    <w:rsid w:val="00777138"/>
    <w:rsid w:val="00783D37"/>
    <w:rsid w:val="00797EB1"/>
    <w:rsid w:val="007A1E8C"/>
    <w:rsid w:val="007A2EFA"/>
    <w:rsid w:val="007B0E61"/>
    <w:rsid w:val="007B132A"/>
    <w:rsid w:val="007B24ED"/>
    <w:rsid w:val="007B7F61"/>
    <w:rsid w:val="007C1383"/>
    <w:rsid w:val="007C1F41"/>
    <w:rsid w:val="007D0528"/>
    <w:rsid w:val="007D0CE6"/>
    <w:rsid w:val="007D258E"/>
    <w:rsid w:val="007D37BF"/>
    <w:rsid w:val="007D5554"/>
    <w:rsid w:val="007E1712"/>
    <w:rsid w:val="007E396C"/>
    <w:rsid w:val="007E7A13"/>
    <w:rsid w:val="007F1EA6"/>
    <w:rsid w:val="007F550A"/>
    <w:rsid w:val="008052CD"/>
    <w:rsid w:val="008259CA"/>
    <w:rsid w:val="00826791"/>
    <w:rsid w:val="008268E3"/>
    <w:rsid w:val="0083064C"/>
    <w:rsid w:val="008416B5"/>
    <w:rsid w:val="0084255E"/>
    <w:rsid w:val="00844697"/>
    <w:rsid w:val="00845F9A"/>
    <w:rsid w:val="0084733E"/>
    <w:rsid w:val="00861839"/>
    <w:rsid w:val="008636EC"/>
    <w:rsid w:val="008652F9"/>
    <w:rsid w:val="00867203"/>
    <w:rsid w:val="00882BE4"/>
    <w:rsid w:val="00890BB7"/>
    <w:rsid w:val="008977DC"/>
    <w:rsid w:val="008A4DF2"/>
    <w:rsid w:val="008B3CCB"/>
    <w:rsid w:val="008B548C"/>
    <w:rsid w:val="008C1B14"/>
    <w:rsid w:val="008C27F8"/>
    <w:rsid w:val="008C72C7"/>
    <w:rsid w:val="008D1004"/>
    <w:rsid w:val="008D11E3"/>
    <w:rsid w:val="008E0441"/>
    <w:rsid w:val="008F3534"/>
    <w:rsid w:val="008F3BF3"/>
    <w:rsid w:val="0090234F"/>
    <w:rsid w:val="009026F1"/>
    <w:rsid w:val="00905F19"/>
    <w:rsid w:val="00906644"/>
    <w:rsid w:val="00915CB6"/>
    <w:rsid w:val="009177C6"/>
    <w:rsid w:val="00917FD6"/>
    <w:rsid w:val="0092213B"/>
    <w:rsid w:val="0092293D"/>
    <w:rsid w:val="00926765"/>
    <w:rsid w:val="00926DB6"/>
    <w:rsid w:val="0093224E"/>
    <w:rsid w:val="009348CE"/>
    <w:rsid w:val="00935586"/>
    <w:rsid w:val="00941596"/>
    <w:rsid w:val="00943A48"/>
    <w:rsid w:val="009562C9"/>
    <w:rsid w:val="0096002C"/>
    <w:rsid w:val="00963C78"/>
    <w:rsid w:val="00964D02"/>
    <w:rsid w:val="009757BF"/>
    <w:rsid w:val="00982705"/>
    <w:rsid w:val="009915F5"/>
    <w:rsid w:val="00993489"/>
    <w:rsid w:val="00993497"/>
    <w:rsid w:val="00997A08"/>
    <w:rsid w:val="009A0016"/>
    <w:rsid w:val="009B3C58"/>
    <w:rsid w:val="009B6010"/>
    <w:rsid w:val="009B7721"/>
    <w:rsid w:val="009C07DC"/>
    <w:rsid w:val="009C368A"/>
    <w:rsid w:val="009C4852"/>
    <w:rsid w:val="009D0AC8"/>
    <w:rsid w:val="009D0DAF"/>
    <w:rsid w:val="009D0E0D"/>
    <w:rsid w:val="009D4F58"/>
    <w:rsid w:val="009D6AD1"/>
    <w:rsid w:val="009E10D1"/>
    <w:rsid w:val="009E2744"/>
    <w:rsid w:val="009E53F4"/>
    <w:rsid w:val="009E5874"/>
    <w:rsid w:val="009F0470"/>
    <w:rsid w:val="009F0668"/>
    <w:rsid w:val="009F1DC5"/>
    <w:rsid w:val="009F3608"/>
    <w:rsid w:val="009F3C8D"/>
    <w:rsid w:val="009F593F"/>
    <w:rsid w:val="009F5A69"/>
    <w:rsid w:val="00A0089F"/>
    <w:rsid w:val="00A03092"/>
    <w:rsid w:val="00A1319C"/>
    <w:rsid w:val="00A248D7"/>
    <w:rsid w:val="00A25228"/>
    <w:rsid w:val="00A25A09"/>
    <w:rsid w:val="00A260D5"/>
    <w:rsid w:val="00A3220D"/>
    <w:rsid w:val="00A35FC5"/>
    <w:rsid w:val="00A41090"/>
    <w:rsid w:val="00A41E69"/>
    <w:rsid w:val="00A42E3B"/>
    <w:rsid w:val="00A466B6"/>
    <w:rsid w:val="00A503ED"/>
    <w:rsid w:val="00A511D0"/>
    <w:rsid w:val="00A51E9F"/>
    <w:rsid w:val="00A525D2"/>
    <w:rsid w:val="00A57E65"/>
    <w:rsid w:val="00A61F83"/>
    <w:rsid w:val="00A62AEB"/>
    <w:rsid w:val="00A62DBA"/>
    <w:rsid w:val="00A72485"/>
    <w:rsid w:val="00A7269B"/>
    <w:rsid w:val="00A7279E"/>
    <w:rsid w:val="00A7587B"/>
    <w:rsid w:val="00A8657D"/>
    <w:rsid w:val="00A939EC"/>
    <w:rsid w:val="00AA58F5"/>
    <w:rsid w:val="00AB0937"/>
    <w:rsid w:val="00AB1862"/>
    <w:rsid w:val="00AB4888"/>
    <w:rsid w:val="00AB4C85"/>
    <w:rsid w:val="00AB5D27"/>
    <w:rsid w:val="00AB7169"/>
    <w:rsid w:val="00AB7B22"/>
    <w:rsid w:val="00AC0963"/>
    <w:rsid w:val="00AC09F0"/>
    <w:rsid w:val="00AC43FE"/>
    <w:rsid w:val="00AC75E8"/>
    <w:rsid w:val="00AD3830"/>
    <w:rsid w:val="00AD3D56"/>
    <w:rsid w:val="00AD6BF2"/>
    <w:rsid w:val="00AE187F"/>
    <w:rsid w:val="00AE3EAA"/>
    <w:rsid w:val="00AE5D96"/>
    <w:rsid w:val="00AE62EF"/>
    <w:rsid w:val="00AE6836"/>
    <w:rsid w:val="00AF222A"/>
    <w:rsid w:val="00AF3FD8"/>
    <w:rsid w:val="00AF4152"/>
    <w:rsid w:val="00B01563"/>
    <w:rsid w:val="00B105E1"/>
    <w:rsid w:val="00B12C1E"/>
    <w:rsid w:val="00B12CB8"/>
    <w:rsid w:val="00B136D8"/>
    <w:rsid w:val="00B13F10"/>
    <w:rsid w:val="00B20160"/>
    <w:rsid w:val="00B21B20"/>
    <w:rsid w:val="00B25877"/>
    <w:rsid w:val="00B31718"/>
    <w:rsid w:val="00B317B2"/>
    <w:rsid w:val="00B32CF9"/>
    <w:rsid w:val="00B34E2F"/>
    <w:rsid w:val="00B36E13"/>
    <w:rsid w:val="00B43E80"/>
    <w:rsid w:val="00B458D5"/>
    <w:rsid w:val="00B538A9"/>
    <w:rsid w:val="00B53AC2"/>
    <w:rsid w:val="00B541AB"/>
    <w:rsid w:val="00B56BA2"/>
    <w:rsid w:val="00B61A1A"/>
    <w:rsid w:val="00B64204"/>
    <w:rsid w:val="00B72837"/>
    <w:rsid w:val="00B7356A"/>
    <w:rsid w:val="00B750BA"/>
    <w:rsid w:val="00B757BF"/>
    <w:rsid w:val="00B77C39"/>
    <w:rsid w:val="00B80F3F"/>
    <w:rsid w:val="00B81452"/>
    <w:rsid w:val="00B861BD"/>
    <w:rsid w:val="00B8715B"/>
    <w:rsid w:val="00B9145A"/>
    <w:rsid w:val="00B96E60"/>
    <w:rsid w:val="00BA4FC0"/>
    <w:rsid w:val="00BB46CF"/>
    <w:rsid w:val="00BB7147"/>
    <w:rsid w:val="00BC2482"/>
    <w:rsid w:val="00BC48AB"/>
    <w:rsid w:val="00BC6C84"/>
    <w:rsid w:val="00BD3156"/>
    <w:rsid w:val="00BE0FA0"/>
    <w:rsid w:val="00BE68B7"/>
    <w:rsid w:val="00BF278E"/>
    <w:rsid w:val="00BF302E"/>
    <w:rsid w:val="00BF6CF1"/>
    <w:rsid w:val="00C0161B"/>
    <w:rsid w:val="00C0230E"/>
    <w:rsid w:val="00C05B38"/>
    <w:rsid w:val="00C103E1"/>
    <w:rsid w:val="00C11284"/>
    <w:rsid w:val="00C119AB"/>
    <w:rsid w:val="00C17DB7"/>
    <w:rsid w:val="00C26492"/>
    <w:rsid w:val="00C335DC"/>
    <w:rsid w:val="00C376F4"/>
    <w:rsid w:val="00C455A2"/>
    <w:rsid w:val="00C50AB3"/>
    <w:rsid w:val="00C525AD"/>
    <w:rsid w:val="00C613F9"/>
    <w:rsid w:val="00C62337"/>
    <w:rsid w:val="00C71605"/>
    <w:rsid w:val="00C71B4E"/>
    <w:rsid w:val="00C71EA7"/>
    <w:rsid w:val="00C72390"/>
    <w:rsid w:val="00C74F5A"/>
    <w:rsid w:val="00C75196"/>
    <w:rsid w:val="00C80ED9"/>
    <w:rsid w:val="00C81C6E"/>
    <w:rsid w:val="00C846A9"/>
    <w:rsid w:val="00C93630"/>
    <w:rsid w:val="00C94867"/>
    <w:rsid w:val="00C965CD"/>
    <w:rsid w:val="00CA6D1D"/>
    <w:rsid w:val="00CB08FA"/>
    <w:rsid w:val="00CB0F7B"/>
    <w:rsid w:val="00CB5141"/>
    <w:rsid w:val="00CB797C"/>
    <w:rsid w:val="00CB7EC4"/>
    <w:rsid w:val="00CC4263"/>
    <w:rsid w:val="00CC521A"/>
    <w:rsid w:val="00CD20F4"/>
    <w:rsid w:val="00CD2390"/>
    <w:rsid w:val="00CD5EEF"/>
    <w:rsid w:val="00CD6EC4"/>
    <w:rsid w:val="00CE3D02"/>
    <w:rsid w:val="00CF09A4"/>
    <w:rsid w:val="00CF0BC0"/>
    <w:rsid w:val="00CF117D"/>
    <w:rsid w:val="00D0024A"/>
    <w:rsid w:val="00D00B67"/>
    <w:rsid w:val="00D23645"/>
    <w:rsid w:val="00D30166"/>
    <w:rsid w:val="00D310E9"/>
    <w:rsid w:val="00D363D5"/>
    <w:rsid w:val="00D41FB2"/>
    <w:rsid w:val="00D450C6"/>
    <w:rsid w:val="00D460AE"/>
    <w:rsid w:val="00D50FDA"/>
    <w:rsid w:val="00D61A4C"/>
    <w:rsid w:val="00D62256"/>
    <w:rsid w:val="00D6255B"/>
    <w:rsid w:val="00D634CC"/>
    <w:rsid w:val="00D662B5"/>
    <w:rsid w:val="00D710F4"/>
    <w:rsid w:val="00D77179"/>
    <w:rsid w:val="00D80561"/>
    <w:rsid w:val="00D8079F"/>
    <w:rsid w:val="00D8177E"/>
    <w:rsid w:val="00D837FE"/>
    <w:rsid w:val="00D85147"/>
    <w:rsid w:val="00D86123"/>
    <w:rsid w:val="00D907BE"/>
    <w:rsid w:val="00D961C1"/>
    <w:rsid w:val="00D97CED"/>
    <w:rsid w:val="00DA543F"/>
    <w:rsid w:val="00DA63B7"/>
    <w:rsid w:val="00DB34F6"/>
    <w:rsid w:val="00DB56D4"/>
    <w:rsid w:val="00DB5A49"/>
    <w:rsid w:val="00DC2659"/>
    <w:rsid w:val="00DC31C1"/>
    <w:rsid w:val="00DD1C62"/>
    <w:rsid w:val="00DD2BB4"/>
    <w:rsid w:val="00DD6786"/>
    <w:rsid w:val="00DE48B7"/>
    <w:rsid w:val="00DE5BEE"/>
    <w:rsid w:val="00DE78A7"/>
    <w:rsid w:val="00DE79AD"/>
    <w:rsid w:val="00DF1D6D"/>
    <w:rsid w:val="00DF4A61"/>
    <w:rsid w:val="00DF5354"/>
    <w:rsid w:val="00E00C0C"/>
    <w:rsid w:val="00E10B57"/>
    <w:rsid w:val="00E11045"/>
    <w:rsid w:val="00E1360B"/>
    <w:rsid w:val="00E1380C"/>
    <w:rsid w:val="00E13A68"/>
    <w:rsid w:val="00E1725C"/>
    <w:rsid w:val="00E2158F"/>
    <w:rsid w:val="00E239C0"/>
    <w:rsid w:val="00E260F0"/>
    <w:rsid w:val="00E27C78"/>
    <w:rsid w:val="00E30FAF"/>
    <w:rsid w:val="00E31085"/>
    <w:rsid w:val="00E326AC"/>
    <w:rsid w:val="00E32A23"/>
    <w:rsid w:val="00E32BD9"/>
    <w:rsid w:val="00E32DDE"/>
    <w:rsid w:val="00E33F0E"/>
    <w:rsid w:val="00E35012"/>
    <w:rsid w:val="00E35CA1"/>
    <w:rsid w:val="00E4084B"/>
    <w:rsid w:val="00E41911"/>
    <w:rsid w:val="00E41F73"/>
    <w:rsid w:val="00E46A4B"/>
    <w:rsid w:val="00E521C7"/>
    <w:rsid w:val="00E621D3"/>
    <w:rsid w:val="00E62C27"/>
    <w:rsid w:val="00E67E5E"/>
    <w:rsid w:val="00E73F99"/>
    <w:rsid w:val="00E826B8"/>
    <w:rsid w:val="00E85F01"/>
    <w:rsid w:val="00E86F50"/>
    <w:rsid w:val="00E91417"/>
    <w:rsid w:val="00E93418"/>
    <w:rsid w:val="00E93A85"/>
    <w:rsid w:val="00EA1986"/>
    <w:rsid w:val="00EB533E"/>
    <w:rsid w:val="00EC24AF"/>
    <w:rsid w:val="00EC58C3"/>
    <w:rsid w:val="00EC5A31"/>
    <w:rsid w:val="00EC6139"/>
    <w:rsid w:val="00EC7232"/>
    <w:rsid w:val="00ED3967"/>
    <w:rsid w:val="00ED6FF9"/>
    <w:rsid w:val="00ED7F55"/>
    <w:rsid w:val="00EE557D"/>
    <w:rsid w:val="00EE6BBC"/>
    <w:rsid w:val="00EF18E9"/>
    <w:rsid w:val="00EF3986"/>
    <w:rsid w:val="00EF45C8"/>
    <w:rsid w:val="00EF5736"/>
    <w:rsid w:val="00EF6C5D"/>
    <w:rsid w:val="00F01164"/>
    <w:rsid w:val="00F01848"/>
    <w:rsid w:val="00F028B1"/>
    <w:rsid w:val="00F0513D"/>
    <w:rsid w:val="00F0540C"/>
    <w:rsid w:val="00F1081A"/>
    <w:rsid w:val="00F13738"/>
    <w:rsid w:val="00F14163"/>
    <w:rsid w:val="00F1608C"/>
    <w:rsid w:val="00F20AFF"/>
    <w:rsid w:val="00F26DB1"/>
    <w:rsid w:val="00F27F3D"/>
    <w:rsid w:val="00F3046C"/>
    <w:rsid w:val="00F31BD8"/>
    <w:rsid w:val="00F37327"/>
    <w:rsid w:val="00F40D3E"/>
    <w:rsid w:val="00F43D0F"/>
    <w:rsid w:val="00F503AB"/>
    <w:rsid w:val="00F60454"/>
    <w:rsid w:val="00F60613"/>
    <w:rsid w:val="00F62337"/>
    <w:rsid w:val="00F651DA"/>
    <w:rsid w:val="00F71996"/>
    <w:rsid w:val="00F74359"/>
    <w:rsid w:val="00F749B5"/>
    <w:rsid w:val="00F75C52"/>
    <w:rsid w:val="00F76BF4"/>
    <w:rsid w:val="00F815A1"/>
    <w:rsid w:val="00F81657"/>
    <w:rsid w:val="00F83659"/>
    <w:rsid w:val="00F900BA"/>
    <w:rsid w:val="00F9372D"/>
    <w:rsid w:val="00F96BF7"/>
    <w:rsid w:val="00FA2D94"/>
    <w:rsid w:val="00FB2C60"/>
    <w:rsid w:val="00FB585C"/>
    <w:rsid w:val="00FD1606"/>
    <w:rsid w:val="00FD759B"/>
    <w:rsid w:val="00FF28E9"/>
    <w:rsid w:val="00FF5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B8325"/>
  <w15:docId w15:val="{CC876BD0-A7EF-49CD-8334-657112CB3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F35"/>
    <w:pPr>
      <w:spacing w:after="200" w:line="276" w:lineRule="auto"/>
    </w:pPr>
    <w:rPr>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103473"/>
    <w:pPr>
      <w:ind w:left="720"/>
      <w:contextualSpacing/>
    </w:pPr>
  </w:style>
  <w:style w:type="character" w:styleId="Merknadsreferanse">
    <w:name w:val="annotation reference"/>
    <w:basedOn w:val="Standardskriftforavsnitt"/>
    <w:uiPriority w:val="99"/>
    <w:semiHidden/>
    <w:rsid w:val="00D353BF"/>
    <w:rPr>
      <w:rFonts w:cs="Times New Roman"/>
      <w:sz w:val="16"/>
      <w:szCs w:val="16"/>
    </w:rPr>
  </w:style>
  <w:style w:type="paragraph" w:styleId="Merknadstekst">
    <w:name w:val="annotation text"/>
    <w:basedOn w:val="Normal"/>
    <w:link w:val="MerknadstekstTegn"/>
    <w:uiPriority w:val="99"/>
    <w:semiHidden/>
    <w:rsid w:val="00D353BF"/>
    <w:pPr>
      <w:spacing w:line="240" w:lineRule="auto"/>
    </w:pPr>
    <w:rPr>
      <w:sz w:val="20"/>
      <w:szCs w:val="20"/>
    </w:rPr>
  </w:style>
  <w:style w:type="character" w:customStyle="1" w:styleId="MerknadstekstTegn">
    <w:name w:val="Merknadstekst Tegn"/>
    <w:basedOn w:val="Standardskriftforavsnitt"/>
    <w:link w:val="Merknadstekst"/>
    <w:uiPriority w:val="99"/>
    <w:semiHidden/>
    <w:locked/>
    <w:rsid w:val="00D353BF"/>
    <w:rPr>
      <w:rFonts w:cs="Times New Roman"/>
      <w:sz w:val="20"/>
      <w:szCs w:val="20"/>
      <w:lang w:val="en-GB"/>
    </w:rPr>
  </w:style>
  <w:style w:type="paragraph" w:styleId="Kommentaremne">
    <w:name w:val="annotation subject"/>
    <w:basedOn w:val="Merknadstekst"/>
    <w:next w:val="Merknadstekst"/>
    <w:link w:val="KommentaremneTegn"/>
    <w:uiPriority w:val="99"/>
    <w:semiHidden/>
    <w:rsid w:val="00D353BF"/>
    <w:rPr>
      <w:b/>
      <w:bCs/>
    </w:rPr>
  </w:style>
  <w:style w:type="character" w:customStyle="1" w:styleId="KommentaremneTegn">
    <w:name w:val="Kommentaremne Tegn"/>
    <w:basedOn w:val="MerknadstekstTegn"/>
    <w:link w:val="Kommentaremne"/>
    <w:uiPriority w:val="99"/>
    <w:semiHidden/>
    <w:locked/>
    <w:rsid w:val="00D353BF"/>
    <w:rPr>
      <w:rFonts w:cs="Times New Roman"/>
      <w:b/>
      <w:bCs/>
      <w:sz w:val="20"/>
      <w:szCs w:val="20"/>
      <w:lang w:val="en-GB"/>
    </w:rPr>
  </w:style>
  <w:style w:type="paragraph" w:styleId="Bobletekst">
    <w:name w:val="Balloon Text"/>
    <w:basedOn w:val="Normal"/>
    <w:link w:val="BobletekstTegn"/>
    <w:uiPriority w:val="99"/>
    <w:semiHidden/>
    <w:rsid w:val="00D353B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D353BF"/>
    <w:rPr>
      <w:rFonts w:ascii="Tahoma" w:hAnsi="Tahoma" w:cs="Tahoma"/>
      <w:sz w:val="16"/>
      <w:szCs w:val="16"/>
      <w:lang w:val="en-GB"/>
    </w:rPr>
  </w:style>
  <w:style w:type="paragraph" w:styleId="Fotnotetekst">
    <w:name w:val="footnote text"/>
    <w:basedOn w:val="Normal"/>
    <w:link w:val="FotnotetekstTegn"/>
    <w:uiPriority w:val="99"/>
    <w:semiHidden/>
    <w:rsid w:val="00362D3A"/>
    <w:pPr>
      <w:spacing w:after="0" w:line="240" w:lineRule="auto"/>
    </w:pPr>
    <w:rPr>
      <w:sz w:val="20"/>
      <w:szCs w:val="20"/>
    </w:rPr>
  </w:style>
  <w:style w:type="character" w:customStyle="1" w:styleId="FotnotetekstTegn">
    <w:name w:val="Fotnotetekst Tegn"/>
    <w:basedOn w:val="Standardskriftforavsnitt"/>
    <w:link w:val="Fotnotetekst"/>
    <w:uiPriority w:val="99"/>
    <w:semiHidden/>
    <w:locked/>
    <w:rsid w:val="00362D3A"/>
    <w:rPr>
      <w:rFonts w:cs="Times New Roman"/>
      <w:sz w:val="20"/>
      <w:szCs w:val="20"/>
      <w:lang w:val="en-GB"/>
    </w:rPr>
  </w:style>
  <w:style w:type="character" w:styleId="Fotnotereferanse">
    <w:name w:val="footnote reference"/>
    <w:aliases w:val="Footnote Reference Number,Footnote Reference_LVL6,Footnote Reference_LVL61,Footnote Reference_LVL62,Footnote Reference_LVL63,Footnote Reference_LVL64"/>
    <w:basedOn w:val="Standardskriftforavsnitt"/>
    <w:semiHidden/>
    <w:rsid w:val="00362D3A"/>
    <w:rPr>
      <w:rFonts w:cs="Times New Roman"/>
      <w:vertAlign w:val="superscript"/>
    </w:rPr>
  </w:style>
  <w:style w:type="paragraph" w:styleId="Topptekst">
    <w:name w:val="header"/>
    <w:basedOn w:val="Normal"/>
    <w:link w:val="TopptekstTegn"/>
    <w:uiPriority w:val="99"/>
    <w:unhideWhenUsed/>
    <w:rsid w:val="00C45ACC"/>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C45ACC"/>
    <w:rPr>
      <w:lang w:val="en-GB"/>
    </w:rPr>
  </w:style>
  <w:style w:type="paragraph" w:styleId="Bunntekst">
    <w:name w:val="footer"/>
    <w:basedOn w:val="Normal"/>
    <w:link w:val="BunntekstTegn"/>
    <w:uiPriority w:val="99"/>
    <w:unhideWhenUsed/>
    <w:rsid w:val="00C45ACC"/>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C45ACC"/>
    <w:rPr>
      <w:lang w:val="en-GB"/>
    </w:rPr>
  </w:style>
  <w:style w:type="character" w:styleId="Hyperkobling">
    <w:name w:val="Hyperlink"/>
    <w:basedOn w:val="Standardskriftforavsnitt"/>
    <w:uiPriority w:val="99"/>
    <w:unhideWhenUsed/>
    <w:rsid w:val="00C45ACC"/>
    <w:rPr>
      <w:color w:val="0000FF"/>
      <w:u w:val="single"/>
    </w:rPr>
  </w:style>
  <w:style w:type="character" w:styleId="Plassholdertekst">
    <w:name w:val="Placeholder Text"/>
    <w:basedOn w:val="Standardskriftforavsnitt"/>
    <w:uiPriority w:val="99"/>
    <w:semiHidden/>
    <w:rsid w:val="00FD759B"/>
    <w:rPr>
      <w:color w:val="808080"/>
    </w:rPr>
  </w:style>
  <w:style w:type="paragraph" w:customStyle="1" w:styleId="CM1">
    <w:name w:val="CM1"/>
    <w:basedOn w:val="Normal"/>
    <w:next w:val="Normal"/>
    <w:uiPriority w:val="99"/>
    <w:rsid w:val="000D1256"/>
    <w:pPr>
      <w:autoSpaceDE w:val="0"/>
      <w:autoSpaceDN w:val="0"/>
      <w:adjustRightInd w:val="0"/>
      <w:spacing w:after="0" w:line="240" w:lineRule="auto"/>
    </w:pPr>
    <w:rPr>
      <w:rFonts w:ascii="EUAlbertina" w:hAnsi="EUAlbertina"/>
      <w:sz w:val="24"/>
      <w:szCs w:val="24"/>
      <w:lang w:val="en-IE"/>
    </w:rPr>
  </w:style>
  <w:style w:type="paragraph" w:customStyle="1" w:styleId="CM3">
    <w:name w:val="CM3"/>
    <w:basedOn w:val="Normal"/>
    <w:next w:val="Normal"/>
    <w:uiPriority w:val="99"/>
    <w:rsid w:val="000D1256"/>
    <w:pPr>
      <w:autoSpaceDE w:val="0"/>
      <w:autoSpaceDN w:val="0"/>
      <w:adjustRightInd w:val="0"/>
      <w:spacing w:after="0" w:line="240" w:lineRule="auto"/>
    </w:pPr>
    <w:rPr>
      <w:rFonts w:ascii="EUAlbertina" w:hAnsi="EUAlbertina"/>
      <w:sz w:val="24"/>
      <w:szCs w:val="24"/>
      <w:lang w:val="en-IE"/>
    </w:rPr>
  </w:style>
  <w:style w:type="paragraph" w:customStyle="1" w:styleId="CM4">
    <w:name w:val="CM4"/>
    <w:basedOn w:val="Normal"/>
    <w:next w:val="Normal"/>
    <w:uiPriority w:val="99"/>
    <w:rsid w:val="000D1256"/>
    <w:pPr>
      <w:autoSpaceDE w:val="0"/>
      <w:autoSpaceDN w:val="0"/>
      <w:adjustRightInd w:val="0"/>
      <w:spacing w:after="0" w:line="240" w:lineRule="auto"/>
    </w:pPr>
    <w:rPr>
      <w:rFonts w:ascii="EUAlbertina" w:hAnsi="EUAlbertina"/>
      <w:sz w:val="24"/>
      <w:szCs w:val="24"/>
      <w:lang w:val="en-IE"/>
    </w:rPr>
  </w:style>
  <w:style w:type="paragraph" w:styleId="Revisjon">
    <w:name w:val="Revision"/>
    <w:hidden/>
    <w:uiPriority w:val="99"/>
    <w:semiHidden/>
    <w:rsid w:val="009E53F4"/>
    <w:rPr>
      <w:lang w:val="en-GB"/>
    </w:rPr>
  </w:style>
  <w:style w:type="character" w:styleId="Ulstomtale">
    <w:name w:val="Unresolved Mention"/>
    <w:basedOn w:val="Standardskriftforavsnitt"/>
    <w:uiPriority w:val="99"/>
    <w:semiHidden/>
    <w:unhideWhenUsed/>
    <w:rsid w:val="00E326AC"/>
    <w:rPr>
      <w:color w:val="605E5C"/>
      <w:shd w:val="clear" w:color="auto" w:fill="E1DFDD"/>
    </w:rPr>
  </w:style>
  <w:style w:type="character" w:styleId="Fulgthyperkobling">
    <w:name w:val="FollowedHyperlink"/>
    <w:basedOn w:val="Standardskriftforavsnitt"/>
    <w:uiPriority w:val="99"/>
    <w:semiHidden/>
    <w:unhideWhenUsed/>
    <w:rsid w:val="00E326AC"/>
    <w:rPr>
      <w:color w:val="800080" w:themeColor="followedHyperlink"/>
      <w:u w:val="single"/>
    </w:rPr>
  </w:style>
  <w:style w:type="numbering" w:customStyle="1" w:styleId="ESRBBulletlist">
    <w:name w:val="ESRB Bullet list"/>
    <w:rsid w:val="0076299C"/>
    <w:pPr>
      <w:numPr>
        <w:numId w:val="17"/>
      </w:numPr>
    </w:pPr>
  </w:style>
  <w:style w:type="paragraph" w:styleId="Punktliste">
    <w:name w:val="List Bullet"/>
    <w:uiPriority w:val="2"/>
    <w:qFormat/>
    <w:rsid w:val="0076299C"/>
    <w:pPr>
      <w:numPr>
        <w:numId w:val="17"/>
      </w:numPr>
      <w:suppressAutoHyphens/>
      <w:spacing w:before="200" w:after="200" w:line="280" w:lineRule="atLeast"/>
    </w:pPr>
    <w:rPr>
      <w:rFonts w:ascii="Arial" w:eastAsia="Times New Roman" w:hAnsi="Arial" w:cs="Sendnya"/>
      <w:color w:val="000000"/>
      <w:sz w:val="18"/>
      <w:lang w:val="en-GB" w:eastAsia="en-GB"/>
    </w:rPr>
  </w:style>
  <w:style w:type="paragraph" w:styleId="Punktliste2">
    <w:name w:val="List Bullet 2"/>
    <w:uiPriority w:val="2"/>
    <w:qFormat/>
    <w:rsid w:val="0076299C"/>
    <w:pPr>
      <w:numPr>
        <w:ilvl w:val="1"/>
        <w:numId w:val="17"/>
      </w:numPr>
      <w:suppressAutoHyphens/>
      <w:spacing w:before="200" w:after="200" w:line="280" w:lineRule="atLeast"/>
    </w:pPr>
    <w:rPr>
      <w:rFonts w:ascii="Arial" w:eastAsia="Times New Roman" w:hAnsi="Arial" w:cs="Sendnya"/>
      <w:sz w:val="18"/>
      <w:lang w:val="en-GB" w:eastAsia="en-GB"/>
    </w:rPr>
  </w:style>
  <w:style w:type="paragraph" w:styleId="Punktliste3">
    <w:name w:val="List Bullet 3"/>
    <w:uiPriority w:val="2"/>
    <w:qFormat/>
    <w:rsid w:val="0076299C"/>
    <w:pPr>
      <w:numPr>
        <w:ilvl w:val="2"/>
        <w:numId w:val="17"/>
      </w:numPr>
      <w:suppressAutoHyphens/>
      <w:spacing w:before="200" w:after="200" w:line="280" w:lineRule="atLeast"/>
    </w:pPr>
    <w:rPr>
      <w:rFonts w:ascii="Arial" w:eastAsia="Times New Roman" w:hAnsi="Arial" w:cs="Sendnya"/>
      <w:color w:val="000000"/>
      <w:sz w:val="18"/>
      <w:lang w:val="en-GB" w:eastAsia="en-GB"/>
    </w:rPr>
  </w:style>
  <w:style w:type="paragraph" w:customStyle="1" w:styleId="Box-ListBullet1">
    <w:name w:val="Box - List Bullet 1"/>
    <w:uiPriority w:val="3"/>
    <w:qFormat/>
    <w:rsid w:val="0076299C"/>
    <w:pPr>
      <w:numPr>
        <w:ilvl w:val="3"/>
        <w:numId w:val="17"/>
      </w:numPr>
      <w:pBdr>
        <w:top w:val="single" w:sz="4" w:space="10" w:color="F2F2F2"/>
        <w:left w:val="single" w:sz="4" w:space="10" w:color="F2F2F2"/>
        <w:bottom w:val="single" w:sz="4" w:space="10" w:color="F2F2F2"/>
        <w:right w:val="single" w:sz="4" w:space="10" w:color="F2F2F2"/>
      </w:pBdr>
      <w:shd w:val="clear" w:color="auto" w:fill="F2F2F2"/>
      <w:suppressAutoHyphens/>
      <w:spacing w:before="200" w:after="200" w:line="280" w:lineRule="atLeast"/>
    </w:pPr>
    <w:rPr>
      <w:rFonts w:ascii="Arial" w:eastAsia="Times New Roman" w:hAnsi="Arial" w:cs="Sendnya"/>
      <w:color w:val="003299"/>
      <w:sz w:val="18"/>
      <w:lang w:val="en-GB" w:eastAsia="en-GB"/>
    </w:rPr>
  </w:style>
  <w:style w:type="character" w:styleId="Utheving">
    <w:name w:val="Emphasis"/>
    <w:basedOn w:val="Standardskriftforavsnitt"/>
    <w:uiPriority w:val="20"/>
    <w:qFormat/>
    <w:locked/>
    <w:rsid w:val="007F1EA6"/>
    <w:rPr>
      <w:i/>
      <w:iCs/>
    </w:rPr>
  </w:style>
  <w:style w:type="paragraph" w:customStyle="1" w:styleId="Default">
    <w:name w:val="Default"/>
    <w:rsid w:val="00DB56D4"/>
    <w:pPr>
      <w:autoSpaceDE w:val="0"/>
      <w:autoSpaceDN w:val="0"/>
      <w:adjustRightInd w:val="0"/>
    </w:pPr>
    <w:rPr>
      <w:rFonts w:cs="Calibri"/>
      <w:color w:val="000000"/>
      <w:sz w:val="24"/>
      <w:szCs w:val="24"/>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18004">
      <w:bodyDiv w:val="1"/>
      <w:marLeft w:val="0"/>
      <w:marRight w:val="0"/>
      <w:marTop w:val="0"/>
      <w:marBottom w:val="0"/>
      <w:divBdr>
        <w:top w:val="none" w:sz="0" w:space="0" w:color="auto"/>
        <w:left w:val="none" w:sz="0" w:space="0" w:color="auto"/>
        <w:bottom w:val="none" w:sz="0" w:space="0" w:color="auto"/>
        <w:right w:val="none" w:sz="0" w:space="0" w:color="auto"/>
      </w:divBdr>
      <w:divsChild>
        <w:div w:id="1730498799">
          <w:marLeft w:val="0"/>
          <w:marRight w:val="0"/>
          <w:marTop w:val="0"/>
          <w:marBottom w:val="0"/>
          <w:divBdr>
            <w:top w:val="none" w:sz="0" w:space="0" w:color="auto"/>
            <w:left w:val="none" w:sz="0" w:space="0" w:color="auto"/>
            <w:bottom w:val="none" w:sz="0" w:space="0" w:color="auto"/>
            <w:right w:val="none" w:sz="0" w:space="0" w:color="auto"/>
          </w:divBdr>
          <w:divsChild>
            <w:div w:id="605424273">
              <w:marLeft w:val="0"/>
              <w:marRight w:val="0"/>
              <w:marTop w:val="0"/>
              <w:marBottom w:val="0"/>
              <w:divBdr>
                <w:top w:val="none" w:sz="0" w:space="0" w:color="auto"/>
                <w:left w:val="none" w:sz="0" w:space="0" w:color="auto"/>
                <w:bottom w:val="none" w:sz="0" w:space="0" w:color="auto"/>
                <w:right w:val="none" w:sz="0" w:space="0" w:color="auto"/>
              </w:divBdr>
              <w:divsChild>
                <w:div w:id="29229444">
                  <w:marLeft w:val="0"/>
                  <w:marRight w:val="0"/>
                  <w:marTop w:val="0"/>
                  <w:marBottom w:val="0"/>
                  <w:divBdr>
                    <w:top w:val="none" w:sz="0" w:space="0" w:color="auto"/>
                    <w:left w:val="none" w:sz="0" w:space="0" w:color="auto"/>
                    <w:bottom w:val="none" w:sz="0" w:space="0" w:color="auto"/>
                    <w:right w:val="none" w:sz="0" w:space="0" w:color="auto"/>
                  </w:divBdr>
                  <w:divsChild>
                    <w:div w:id="844590161">
                      <w:marLeft w:val="-150"/>
                      <w:marRight w:val="-150"/>
                      <w:marTop w:val="0"/>
                      <w:marBottom w:val="0"/>
                      <w:divBdr>
                        <w:top w:val="none" w:sz="0" w:space="0" w:color="auto"/>
                        <w:left w:val="none" w:sz="0" w:space="0" w:color="auto"/>
                        <w:bottom w:val="none" w:sz="0" w:space="0" w:color="auto"/>
                        <w:right w:val="none" w:sz="0" w:space="0" w:color="auto"/>
                      </w:divBdr>
                      <w:divsChild>
                        <w:div w:id="964313871">
                          <w:marLeft w:val="0"/>
                          <w:marRight w:val="0"/>
                          <w:marTop w:val="0"/>
                          <w:marBottom w:val="0"/>
                          <w:divBdr>
                            <w:top w:val="none" w:sz="0" w:space="0" w:color="auto"/>
                            <w:left w:val="none" w:sz="0" w:space="0" w:color="auto"/>
                            <w:bottom w:val="none" w:sz="0" w:space="0" w:color="auto"/>
                            <w:right w:val="none" w:sz="0" w:space="0" w:color="auto"/>
                          </w:divBdr>
                          <w:divsChild>
                            <w:div w:id="1864973014">
                              <w:marLeft w:val="0"/>
                              <w:marRight w:val="0"/>
                              <w:marTop w:val="0"/>
                              <w:marBottom w:val="0"/>
                              <w:divBdr>
                                <w:top w:val="none" w:sz="0" w:space="0" w:color="auto"/>
                                <w:left w:val="none" w:sz="0" w:space="0" w:color="auto"/>
                                <w:bottom w:val="none" w:sz="0" w:space="0" w:color="auto"/>
                                <w:right w:val="none" w:sz="0" w:space="0" w:color="auto"/>
                              </w:divBdr>
                              <w:divsChild>
                                <w:div w:id="347484450">
                                  <w:marLeft w:val="0"/>
                                  <w:marRight w:val="0"/>
                                  <w:marTop w:val="0"/>
                                  <w:marBottom w:val="300"/>
                                  <w:divBdr>
                                    <w:top w:val="none" w:sz="0" w:space="0" w:color="auto"/>
                                    <w:left w:val="none" w:sz="0" w:space="0" w:color="auto"/>
                                    <w:bottom w:val="none" w:sz="0" w:space="0" w:color="auto"/>
                                    <w:right w:val="none" w:sz="0" w:space="0" w:color="auto"/>
                                  </w:divBdr>
                                  <w:divsChild>
                                    <w:div w:id="1078939013">
                                      <w:marLeft w:val="0"/>
                                      <w:marRight w:val="0"/>
                                      <w:marTop w:val="0"/>
                                      <w:marBottom w:val="0"/>
                                      <w:divBdr>
                                        <w:top w:val="none" w:sz="0" w:space="0" w:color="auto"/>
                                        <w:left w:val="none" w:sz="0" w:space="0" w:color="auto"/>
                                        <w:bottom w:val="none" w:sz="0" w:space="0" w:color="auto"/>
                                        <w:right w:val="none" w:sz="0" w:space="0" w:color="auto"/>
                                      </w:divBdr>
                                      <w:divsChild>
                                        <w:div w:id="1047337927">
                                          <w:marLeft w:val="0"/>
                                          <w:marRight w:val="0"/>
                                          <w:marTop w:val="0"/>
                                          <w:marBottom w:val="0"/>
                                          <w:divBdr>
                                            <w:top w:val="none" w:sz="0" w:space="0" w:color="auto"/>
                                            <w:left w:val="none" w:sz="0" w:space="0" w:color="auto"/>
                                            <w:bottom w:val="none" w:sz="0" w:space="0" w:color="auto"/>
                                            <w:right w:val="none" w:sz="0" w:space="0" w:color="auto"/>
                                          </w:divBdr>
                                          <w:divsChild>
                                            <w:div w:id="435832572">
                                              <w:marLeft w:val="0"/>
                                              <w:marRight w:val="0"/>
                                              <w:marTop w:val="0"/>
                                              <w:marBottom w:val="0"/>
                                              <w:divBdr>
                                                <w:top w:val="none" w:sz="0" w:space="0" w:color="auto"/>
                                                <w:left w:val="none" w:sz="0" w:space="0" w:color="auto"/>
                                                <w:bottom w:val="none" w:sz="0" w:space="0" w:color="auto"/>
                                                <w:right w:val="none" w:sz="0" w:space="0" w:color="auto"/>
                                              </w:divBdr>
                                              <w:divsChild>
                                                <w:div w:id="1140539297">
                                                  <w:marLeft w:val="0"/>
                                                  <w:marRight w:val="0"/>
                                                  <w:marTop w:val="0"/>
                                                  <w:marBottom w:val="0"/>
                                                  <w:divBdr>
                                                    <w:top w:val="none" w:sz="0" w:space="0" w:color="auto"/>
                                                    <w:left w:val="none" w:sz="0" w:space="0" w:color="auto"/>
                                                    <w:bottom w:val="none" w:sz="0" w:space="0" w:color="auto"/>
                                                    <w:right w:val="none" w:sz="0" w:space="0" w:color="auto"/>
                                                  </w:divBdr>
                                                  <w:divsChild>
                                                    <w:div w:id="1615013375">
                                                      <w:marLeft w:val="0"/>
                                                      <w:marRight w:val="0"/>
                                                      <w:marTop w:val="0"/>
                                                      <w:marBottom w:val="0"/>
                                                      <w:divBdr>
                                                        <w:top w:val="none" w:sz="0" w:space="0" w:color="auto"/>
                                                        <w:left w:val="none" w:sz="0" w:space="0" w:color="auto"/>
                                                        <w:bottom w:val="none" w:sz="0" w:space="0" w:color="auto"/>
                                                        <w:right w:val="none" w:sz="0" w:space="0" w:color="auto"/>
                                                      </w:divBdr>
                                                      <w:divsChild>
                                                        <w:div w:id="143131063">
                                                          <w:marLeft w:val="0"/>
                                                          <w:marRight w:val="0"/>
                                                          <w:marTop w:val="0"/>
                                                          <w:marBottom w:val="0"/>
                                                          <w:divBdr>
                                                            <w:top w:val="none" w:sz="0" w:space="0" w:color="auto"/>
                                                            <w:left w:val="none" w:sz="0" w:space="0" w:color="auto"/>
                                                            <w:bottom w:val="none" w:sz="0" w:space="0" w:color="auto"/>
                                                            <w:right w:val="none" w:sz="0" w:space="0" w:color="auto"/>
                                                          </w:divBdr>
                                                          <w:divsChild>
                                                            <w:div w:id="695472990">
                                                              <w:marLeft w:val="0"/>
                                                              <w:marRight w:val="0"/>
                                                              <w:marTop w:val="0"/>
                                                              <w:marBottom w:val="0"/>
                                                              <w:divBdr>
                                                                <w:top w:val="none" w:sz="0" w:space="0" w:color="auto"/>
                                                                <w:left w:val="none" w:sz="0" w:space="0" w:color="auto"/>
                                                                <w:bottom w:val="none" w:sz="0" w:space="0" w:color="auto"/>
                                                                <w:right w:val="none" w:sz="0" w:space="0" w:color="auto"/>
                                                              </w:divBdr>
                                                              <w:divsChild>
                                                                <w:div w:id="21516491">
                                                                  <w:marLeft w:val="0"/>
                                                                  <w:marRight w:val="0"/>
                                                                  <w:marTop w:val="0"/>
                                                                  <w:marBottom w:val="0"/>
                                                                  <w:divBdr>
                                                                    <w:top w:val="none" w:sz="0" w:space="0" w:color="auto"/>
                                                                    <w:left w:val="none" w:sz="0" w:space="0" w:color="auto"/>
                                                                    <w:bottom w:val="none" w:sz="0" w:space="0" w:color="auto"/>
                                                                    <w:right w:val="none" w:sz="0" w:space="0" w:color="auto"/>
                                                                  </w:divBdr>
                                                                  <w:divsChild>
                                                                    <w:div w:id="1088887720">
                                                                      <w:marLeft w:val="0"/>
                                                                      <w:marRight w:val="0"/>
                                                                      <w:marTop w:val="0"/>
                                                                      <w:marBottom w:val="0"/>
                                                                      <w:divBdr>
                                                                        <w:top w:val="none" w:sz="0" w:space="0" w:color="auto"/>
                                                                        <w:left w:val="none" w:sz="0" w:space="0" w:color="auto"/>
                                                                        <w:bottom w:val="none" w:sz="0" w:space="0" w:color="auto"/>
                                                                        <w:right w:val="none" w:sz="0" w:space="0" w:color="auto"/>
                                                                      </w:divBdr>
                                                                      <w:divsChild>
                                                                        <w:div w:id="530412117">
                                                                          <w:marLeft w:val="0"/>
                                                                          <w:marRight w:val="0"/>
                                                                          <w:marTop w:val="0"/>
                                                                          <w:marBottom w:val="0"/>
                                                                          <w:divBdr>
                                                                            <w:top w:val="none" w:sz="0" w:space="0" w:color="auto"/>
                                                                            <w:left w:val="none" w:sz="0" w:space="0" w:color="auto"/>
                                                                            <w:bottom w:val="none" w:sz="0" w:space="0" w:color="auto"/>
                                                                            <w:right w:val="none" w:sz="0" w:space="0" w:color="auto"/>
                                                                          </w:divBdr>
                                                                          <w:divsChild>
                                                                            <w:div w:id="2862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176988">
      <w:bodyDiv w:val="1"/>
      <w:marLeft w:val="0"/>
      <w:marRight w:val="0"/>
      <w:marTop w:val="0"/>
      <w:marBottom w:val="0"/>
      <w:divBdr>
        <w:top w:val="none" w:sz="0" w:space="0" w:color="auto"/>
        <w:left w:val="none" w:sz="0" w:space="0" w:color="auto"/>
        <w:bottom w:val="none" w:sz="0" w:space="0" w:color="auto"/>
        <w:right w:val="none" w:sz="0" w:space="0" w:color="auto"/>
      </w:divBdr>
    </w:div>
    <w:div w:id="1022046568">
      <w:marLeft w:val="0"/>
      <w:marRight w:val="0"/>
      <w:marTop w:val="0"/>
      <w:marBottom w:val="0"/>
      <w:divBdr>
        <w:top w:val="none" w:sz="0" w:space="0" w:color="auto"/>
        <w:left w:val="none" w:sz="0" w:space="0" w:color="auto"/>
        <w:bottom w:val="none" w:sz="0" w:space="0" w:color="auto"/>
        <w:right w:val="none" w:sz="0" w:space="0" w:color="auto"/>
      </w:divBdr>
    </w:div>
    <w:div w:id="1130322873">
      <w:bodyDiv w:val="1"/>
      <w:marLeft w:val="0"/>
      <w:marRight w:val="0"/>
      <w:marTop w:val="0"/>
      <w:marBottom w:val="0"/>
      <w:divBdr>
        <w:top w:val="none" w:sz="0" w:space="0" w:color="auto"/>
        <w:left w:val="none" w:sz="0" w:space="0" w:color="auto"/>
        <w:bottom w:val="none" w:sz="0" w:space="0" w:color="auto"/>
        <w:right w:val="none" w:sz="0" w:space="0" w:color="auto"/>
      </w:divBdr>
      <w:divsChild>
        <w:div w:id="1912766142">
          <w:marLeft w:val="0"/>
          <w:marRight w:val="0"/>
          <w:marTop w:val="0"/>
          <w:marBottom w:val="0"/>
          <w:divBdr>
            <w:top w:val="none" w:sz="0" w:space="0" w:color="auto"/>
            <w:left w:val="none" w:sz="0" w:space="0" w:color="auto"/>
            <w:bottom w:val="none" w:sz="0" w:space="0" w:color="auto"/>
            <w:right w:val="none" w:sz="0" w:space="0" w:color="auto"/>
          </w:divBdr>
          <w:divsChild>
            <w:div w:id="10196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03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lovdata.no/dokument/SFE/forskrift/2014-08-22-1097"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portal.eb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d.ecb.europa.eu/logi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macropru.notifications@ecb.europa.eu" TargetMode="Externa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3.emf"/><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EF912E016FD4FFFADD7B0EA89C3D9FC"/>
        <w:category>
          <w:name w:val="General"/>
          <w:gallery w:val="placeholder"/>
        </w:category>
        <w:types>
          <w:type w:val="bbPlcHdr"/>
        </w:types>
        <w:behaviors>
          <w:behavior w:val="content"/>
        </w:behaviors>
        <w:guid w:val="{B3EA040B-4391-428E-A971-31F76F5357D1}"/>
      </w:docPartPr>
      <w:docPartBody>
        <w:p w:rsidR="00CD710B" w:rsidRDefault="00856F2F" w:rsidP="00856F2F">
          <w:pPr>
            <w:pStyle w:val="8EF912E016FD4FFFADD7B0EA89C3D9FC3"/>
          </w:pPr>
          <w:r w:rsidRPr="00BF6DFD">
            <w:rPr>
              <w:rStyle w:val="Plassholdertekst"/>
            </w:rPr>
            <w:t>Click here to enter a date.</w:t>
          </w:r>
        </w:p>
      </w:docPartBody>
    </w:docPart>
    <w:docPart>
      <w:docPartPr>
        <w:name w:val="ED92F0024FD04095AEC40DAD85FC56C1"/>
        <w:category>
          <w:name w:val="General"/>
          <w:gallery w:val="placeholder"/>
        </w:category>
        <w:types>
          <w:type w:val="bbPlcHdr"/>
        </w:types>
        <w:behaviors>
          <w:behavior w:val="content"/>
        </w:behaviors>
        <w:guid w:val="{0C52953C-CB43-4F15-90C4-5D90DF9041D4}"/>
      </w:docPartPr>
      <w:docPartBody>
        <w:p w:rsidR="00CD710B" w:rsidRDefault="00856F2F" w:rsidP="00856F2F">
          <w:pPr>
            <w:pStyle w:val="ED92F0024FD04095AEC40DAD85FC56C13"/>
          </w:pPr>
          <w:r w:rsidRPr="00BF6DFD">
            <w:rPr>
              <w:rStyle w:val="Plassholdertekst"/>
            </w:rPr>
            <w:t>Click here to enter a date.</w:t>
          </w:r>
        </w:p>
      </w:docPartBody>
    </w:docPart>
    <w:docPart>
      <w:docPartPr>
        <w:name w:val="51A3EDE1E2D0495AACCA3729F387367F"/>
        <w:category>
          <w:name w:val="General"/>
          <w:gallery w:val="placeholder"/>
        </w:category>
        <w:types>
          <w:type w:val="bbPlcHdr"/>
        </w:types>
        <w:behaviors>
          <w:behavior w:val="content"/>
        </w:behaviors>
        <w:guid w:val="{48739619-827D-458F-BC27-1655935CCB69}"/>
      </w:docPartPr>
      <w:docPartBody>
        <w:p w:rsidR="00CD710B" w:rsidRDefault="00856F2F" w:rsidP="00856F2F">
          <w:pPr>
            <w:pStyle w:val="51A3EDE1E2D0495AACCA3729F387367F3"/>
          </w:pPr>
          <w:r w:rsidRPr="00BF6DFD">
            <w:rPr>
              <w:rStyle w:val="Plassholdertekst"/>
            </w:rPr>
            <w:t>Click here to enter a date.</w:t>
          </w:r>
        </w:p>
      </w:docPartBody>
    </w:docPart>
    <w:docPart>
      <w:docPartPr>
        <w:name w:val="4D2E61D1801148A9826E25E848D5A2C5"/>
        <w:category>
          <w:name w:val="General"/>
          <w:gallery w:val="placeholder"/>
        </w:category>
        <w:types>
          <w:type w:val="bbPlcHdr"/>
        </w:types>
        <w:behaviors>
          <w:behavior w:val="content"/>
        </w:behaviors>
        <w:guid w:val="{AB666229-5B29-4E45-BD28-81FDB736F678}"/>
      </w:docPartPr>
      <w:docPartBody>
        <w:p w:rsidR="00494610" w:rsidRDefault="00A72961" w:rsidP="00A72961">
          <w:pPr>
            <w:pStyle w:val="4D2E61D1801148A9826E25E848D5A2C5"/>
          </w:pPr>
          <w:r w:rsidRPr="00A91D2F">
            <w:rPr>
              <w:rStyle w:val="Plassholderteks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endnya">
    <w:panose1 w:val="00000400000000000000"/>
    <w:charset w:val="01"/>
    <w:family w:val="roman"/>
    <w:notTrueType/>
    <w:pitch w:val="variable"/>
  </w:font>
  <w:font w:name="Raavi">
    <w:panose1 w:val="02000500000000000000"/>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0CAB"/>
    <w:rsid w:val="00020EC4"/>
    <w:rsid w:val="00027024"/>
    <w:rsid w:val="0009289A"/>
    <w:rsid w:val="000B6778"/>
    <w:rsid w:val="000C02C7"/>
    <w:rsid w:val="00112555"/>
    <w:rsid w:val="00114191"/>
    <w:rsid w:val="001746FA"/>
    <w:rsid w:val="00197831"/>
    <w:rsid w:val="001B6C82"/>
    <w:rsid w:val="001C2A3F"/>
    <w:rsid w:val="001E0CAB"/>
    <w:rsid w:val="00214A04"/>
    <w:rsid w:val="00230451"/>
    <w:rsid w:val="002835E2"/>
    <w:rsid w:val="00283DA0"/>
    <w:rsid w:val="002928D0"/>
    <w:rsid w:val="002E5B53"/>
    <w:rsid w:val="003C3CA7"/>
    <w:rsid w:val="00441131"/>
    <w:rsid w:val="00493937"/>
    <w:rsid w:val="00494610"/>
    <w:rsid w:val="0049485F"/>
    <w:rsid w:val="004C5257"/>
    <w:rsid w:val="004D209D"/>
    <w:rsid w:val="004D3EAA"/>
    <w:rsid w:val="004E20AB"/>
    <w:rsid w:val="004E716D"/>
    <w:rsid w:val="00531F39"/>
    <w:rsid w:val="00555284"/>
    <w:rsid w:val="005723F3"/>
    <w:rsid w:val="005A61DB"/>
    <w:rsid w:val="005E3574"/>
    <w:rsid w:val="005F5472"/>
    <w:rsid w:val="00622AD6"/>
    <w:rsid w:val="00653EDD"/>
    <w:rsid w:val="006A1901"/>
    <w:rsid w:val="006E4239"/>
    <w:rsid w:val="00770FEC"/>
    <w:rsid w:val="0078750F"/>
    <w:rsid w:val="00794047"/>
    <w:rsid w:val="00794D54"/>
    <w:rsid w:val="007B19C1"/>
    <w:rsid w:val="007B5589"/>
    <w:rsid w:val="007C6F48"/>
    <w:rsid w:val="007D5A57"/>
    <w:rsid w:val="007D6284"/>
    <w:rsid w:val="007D7A21"/>
    <w:rsid w:val="007E439A"/>
    <w:rsid w:val="00804081"/>
    <w:rsid w:val="00836539"/>
    <w:rsid w:val="00844692"/>
    <w:rsid w:val="00856F2F"/>
    <w:rsid w:val="008916E2"/>
    <w:rsid w:val="008C34EA"/>
    <w:rsid w:val="00923B30"/>
    <w:rsid w:val="0092746A"/>
    <w:rsid w:val="009C272E"/>
    <w:rsid w:val="00A72961"/>
    <w:rsid w:val="00AA5548"/>
    <w:rsid w:val="00AB48C0"/>
    <w:rsid w:val="00B47D29"/>
    <w:rsid w:val="00B52540"/>
    <w:rsid w:val="00B571B3"/>
    <w:rsid w:val="00BC16C3"/>
    <w:rsid w:val="00BD6AF3"/>
    <w:rsid w:val="00BE0E9D"/>
    <w:rsid w:val="00BF2603"/>
    <w:rsid w:val="00BF5F9A"/>
    <w:rsid w:val="00C24E05"/>
    <w:rsid w:val="00C3672F"/>
    <w:rsid w:val="00C41C53"/>
    <w:rsid w:val="00CA1C98"/>
    <w:rsid w:val="00CB55EE"/>
    <w:rsid w:val="00CC5657"/>
    <w:rsid w:val="00CD710B"/>
    <w:rsid w:val="00CE45BF"/>
    <w:rsid w:val="00CF528D"/>
    <w:rsid w:val="00D10309"/>
    <w:rsid w:val="00D202B8"/>
    <w:rsid w:val="00D5015A"/>
    <w:rsid w:val="00D61D67"/>
    <w:rsid w:val="00DB09CB"/>
    <w:rsid w:val="00DB7884"/>
    <w:rsid w:val="00DC4367"/>
    <w:rsid w:val="00DF5B2F"/>
    <w:rsid w:val="00E17001"/>
    <w:rsid w:val="00E276FB"/>
    <w:rsid w:val="00E50F07"/>
    <w:rsid w:val="00EB6251"/>
    <w:rsid w:val="00EC265B"/>
    <w:rsid w:val="00EE3D4C"/>
    <w:rsid w:val="00EF5ECC"/>
    <w:rsid w:val="00F03C18"/>
    <w:rsid w:val="00F41832"/>
    <w:rsid w:val="00F6135E"/>
    <w:rsid w:val="00F65CF7"/>
    <w:rsid w:val="00FF1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EB6251"/>
    <w:rPr>
      <w:color w:val="808080"/>
    </w:rPr>
  </w:style>
  <w:style w:type="paragraph" w:customStyle="1" w:styleId="8EF912E016FD4FFFADD7B0EA89C3D9FC3">
    <w:name w:val="8EF912E016FD4FFFADD7B0EA89C3D9FC3"/>
    <w:rsid w:val="00856F2F"/>
    <w:rPr>
      <w:rFonts w:ascii="Calibri" w:eastAsia="Calibri" w:hAnsi="Calibri" w:cs="Times New Roman"/>
      <w:lang w:eastAsia="en-US"/>
    </w:rPr>
  </w:style>
  <w:style w:type="paragraph" w:customStyle="1" w:styleId="ED92F0024FD04095AEC40DAD85FC56C13">
    <w:name w:val="ED92F0024FD04095AEC40DAD85FC56C13"/>
    <w:rsid w:val="00856F2F"/>
    <w:rPr>
      <w:rFonts w:ascii="Calibri" w:eastAsia="Calibri" w:hAnsi="Calibri" w:cs="Times New Roman"/>
      <w:lang w:eastAsia="en-US"/>
    </w:rPr>
  </w:style>
  <w:style w:type="paragraph" w:customStyle="1" w:styleId="51A3EDE1E2D0495AACCA3729F387367F3">
    <w:name w:val="51A3EDE1E2D0495AACCA3729F387367F3"/>
    <w:rsid w:val="00856F2F"/>
    <w:rPr>
      <w:rFonts w:ascii="Calibri" w:eastAsia="Calibri" w:hAnsi="Calibri" w:cs="Times New Roman"/>
      <w:lang w:eastAsia="en-US"/>
    </w:rPr>
  </w:style>
  <w:style w:type="paragraph" w:customStyle="1" w:styleId="4D2E61D1801148A9826E25E848D5A2C5">
    <w:name w:val="4D2E61D1801148A9826E25E848D5A2C5"/>
    <w:rsid w:val="00A7296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isl xmlns:xsi="http://www.w3.org/2001/XMLSchema-instance" xmlns:xsd="http://www.w3.org/2001/XMLSchema" xmlns="http://www.boldonjames.com/2008/01/sie/internal/label" sislVersion="0" policy="a586b747-2a7c-4f57-bcd1-e81df5c8c005" origin="userSelected">
  <element uid="id_classification_generalbusiness" value=""/>
</sisl>
</file>

<file path=customXml/item4.xml><?xml version="1.0" encoding="utf-8"?>
<ct:contentTypeSchema xmlns:ct="http://schemas.microsoft.com/office/2006/metadata/contentType" xmlns:ma="http://schemas.microsoft.com/office/2006/metadata/properties/metaAttributes" ct:_="" ma:_="" ma:contentTypeName="Document" ma:contentTypeID="0x0101009707B4A76397344297CF64A88AB660A8" ma:contentTypeVersion="0" ma:contentTypeDescription="Create a new document." ma:contentTypeScope="" ma:versionID="db261946a4111d1944e44f5fbcda301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EADDD34FD279D1469FF6F979043582A3" ma:contentTypeVersion="6" ma:contentTypeDescription="Create a new document." ma:contentTypeScope="" ma:versionID="96d947d006428a92cb4145241d3dc440">
  <xsd:schema xmlns:xsd="http://www.w3.org/2001/XMLSchema" xmlns:xs="http://www.w3.org/2001/XMLSchema" xmlns:p="http://schemas.microsoft.com/office/2006/metadata/properties" xmlns:ns2="8a597b77-f7ca-4324-b362-d66d78dcdb37" targetNamespace="http://schemas.microsoft.com/office/2006/metadata/properties" ma:root="true" ma:fieldsID="02a7feb0a02a8ca9e84e3571079c095d" ns2:_="">
    <xsd:import namespace="8a597b77-f7ca-4324-b362-d66d78dcdb3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97b77-f7ca-4324-b362-d66d78dcdb3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94BBC8-EB07-453B-8624-C07EA7C14BBC}">
  <ds:schemaRefs>
    <ds:schemaRef ds:uri="http://schemas.openxmlformats.org/officeDocument/2006/bibliography"/>
  </ds:schemaRefs>
</ds:datastoreItem>
</file>

<file path=customXml/itemProps2.xml><?xml version="1.0" encoding="utf-8"?>
<ds:datastoreItem xmlns:ds="http://schemas.openxmlformats.org/officeDocument/2006/customXml" ds:itemID="{524B1696-2277-432B-B41E-6E241544A3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D569E5-6DF4-4401-9523-40FC558EC401}">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5D8886DA-32D6-4B3A-8865-AF8E43AFB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468DEB52-6DA6-4193-B86C-A16D45902F60}">
  <ds:schemaRefs>
    <ds:schemaRef ds:uri="http://schemas.microsoft.com/sharepoint/v3/contenttype/forms"/>
  </ds:schemaRefs>
</ds:datastoreItem>
</file>

<file path=customXml/itemProps6.xml><?xml version="1.0" encoding="utf-8"?>
<ds:datastoreItem xmlns:ds="http://schemas.openxmlformats.org/officeDocument/2006/customXml" ds:itemID="{4C7DAF23-F24C-4DD9-A841-A81644FD1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97b77-f7ca-4324-b362-d66d78dcd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5C62BE0-08A7-4351-A635-D99CED87DAD6}">
  <ds:schemaRefs>
    <ds:schemaRef ds:uri="http://schemas.microsoft.com/sharepoint/v3/contenttype/forms"/>
  </ds:schemaRefs>
</ds:datastoreItem>
</file>

<file path=customXml/itemProps8.xml><?xml version="1.0" encoding="utf-8"?>
<ds:datastoreItem xmlns:ds="http://schemas.openxmlformats.org/officeDocument/2006/customXml" ds:itemID="{886C15AF-4130-4E58-86F6-12F803737B8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87c80fa-0b2e-408b-bd54-870a4e134ba0}" enabled="0" method="" siteId="{d87c80fa-0b2e-408b-bd54-870a4e134ba0}" removed="1"/>
</clbl:labelList>
</file>

<file path=docProps/app.xml><?xml version="1.0" encoding="utf-8"?>
<Properties xmlns="http://schemas.openxmlformats.org/officeDocument/2006/extended-properties" xmlns:vt="http://schemas.openxmlformats.org/officeDocument/2006/docPropsVTypes">
  <Template>Normal</Template>
  <TotalTime>2506</TotalTime>
  <Pages>5</Pages>
  <Words>1877</Words>
  <Characters>9954</Characters>
  <Application>Microsoft Office Word</Application>
  <DocSecurity>8</DocSecurity>
  <Lines>82</Lines>
  <Paragraphs>23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Template for notification under Article 124 CRR</vt:lpstr>
      <vt:lpstr>Template for notification under Article 124 CRR</vt:lpstr>
    </vt:vector>
  </TitlesOfParts>
  <Company>BNR</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notification under Article 124 CRR</dc:title>
  <dc:creator>Lavinia.Forcellese@ecb.europa.eu</dc:creator>
  <cp:lastModifiedBy>Håkon Rysst Heilmann</cp:lastModifiedBy>
  <cp:revision>87</cp:revision>
  <cp:lastPrinted>2015-12-21T10:26:00Z</cp:lastPrinted>
  <dcterms:created xsi:type="dcterms:W3CDTF">2024-02-27T14:54:00Z</dcterms:created>
  <dcterms:modified xsi:type="dcterms:W3CDTF">2024-02-29T10:56:00Z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0x010100EADDD34FD279D1469FF6F979043582A3</vt:lpwstr>
  </property>
  <property fmtid="{D5CDD505-2E9C-101B-9397-08002B2CF9AE}" pid="3" name="docIndexRef">
    <vt:lpwstr>33614980-8ca1-4305-b96d-b230b3cd2223</vt:lpwstr>
  </property>
  <property fmtid="{D5CDD505-2E9C-101B-9397-08002B2CF9AE}" pid="4" name="bjSaver">
    <vt:lpwstr>wUWDXKxdj+dEHPzMxlYZg5bmlqYbWzy4</vt:lpwstr>
  </property>
  <property fmtid="{D5CDD505-2E9C-101B-9397-08002B2CF9AE}" pid="5"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6" name="bjDocumentLabelXML-0">
    <vt:lpwstr>ames.com/2008/01/sie/internal/label"&gt;&lt;element uid="id_classification_generalbusiness" value="" /&gt;&lt;/sisl&gt;</vt:lpwstr>
  </property>
  <property fmtid="{D5CDD505-2E9C-101B-9397-08002B2CF9AE}" pid="7" name="bjDocumentSecurityLabel">
    <vt:lpwstr>Restricted</vt:lpwstr>
  </property>
  <property fmtid="{D5CDD505-2E9C-101B-9397-08002B2CF9AE}" pid="8" name="bjHeaderBothDocProperty">
    <vt:lpwstr>Central Bank of Ireland - RESTRICTED</vt:lpwstr>
  </property>
  <property fmtid="{D5CDD505-2E9C-101B-9397-08002B2CF9AE}" pid="9" name="bjHeaderFirstPageDocProperty">
    <vt:lpwstr>Central Bank of Ireland - RESTRICTED</vt:lpwstr>
  </property>
  <property fmtid="{D5CDD505-2E9C-101B-9397-08002B2CF9AE}" pid="10" name="bjHeaderEvenPageDocProperty">
    <vt:lpwstr>Central Bank of Ireland - RESTRICTED</vt:lpwstr>
  </property>
</Properties>
</file>