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110F" w14:textId="56D27A5A" w:rsidR="00000000" w:rsidRPr="003665EC" w:rsidRDefault="003665EC" w:rsidP="003665EC">
      <w:pPr>
        <w:pStyle w:val="i-dep"/>
      </w:pPr>
      <w:r w:rsidRPr="003665EC">
        <w:t xml:space="preserve">Kommunal- og </w:t>
      </w:r>
      <w:proofErr w:type="spellStart"/>
      <w:r w:rsidRPr="003665EC">
        <w:t>distriktsdepartementet</w:t>
      </w:r>
      <w:proofErr w:type="spellEnd"/>
    </w:p>
    <w:p w14:paraId="64F1271E" w14:textId="77777777" w:rsidR="00000000" w:rsidRPr="003665EC" w:rsidRDefault="003665EC" w:rsidP="003665EC">
      <w:pPr>
        <w:pStyle w:val="i-hode"/>
      </w:pPr>
      <w:r w:rsidRPr="003665EC">
        <w:t>Prop. 85 L</w:t>
      </w:r>
    </w:p>
    <w:p w14:paraId="12768C5C" w14:textId="77777777" w:rsidR="00000000" w:rsidRPr="003665EC" w:rsidRDefault="003665EC" w:rsidP="003665EC">
      <w:pPr>
        <w:pStyle w:val="i-sesjon"/>
      </w:pPr>
      <w:r w:rsidRPr="003665EC">
        <w:t>(2022–2023)</w:t>
      </w:r>
    </w:p>
    <w:p w14:paraId="68F36376" w14:textId="77777777" w:rsidR="00000000" w:rsidRPr="003665EC" w:rsidRDefault="003665EC" w:rsidP="003665EC">
      <w:pPr>
        <w:pStyle w:val="i-hode-tit"/>
      </w:pPr>
      <w:r w:rsidRPr="003665EC">
        <w:t>Proposisjon til Stortinget (forslag til lovvedtak)</w:t>
      </w:r>
    </w:p>
    <w:p w14:paraId="5C3B8EFD" w14:textId="77777777" w:rsidR="00000000" w:rsidRPr="003665EC" w:rsidRDefault="003665EC" w:rsidP="003665EC">
      <w:pPr>
        <w:pStyle w:val="i-tit"/>
      </w:pPr>
      <w:r w:rsidRPr="003665EC">
        <w:t>Lov om Digitaliseringsdirektoratets tilgang til taushetsbelagte opplysninger i Folkeregisteret</w:t>
      </w:r>
    </w:p>
    <w:p w14:paraId="73E97A0A" w14:textId="1C011A57" w:rsidR="00000000" w:rsidRPr="003665EC" w:rsidRDefault="003665EC" w:rsidP="003665EC">
      <w:pPr>
        <w:pStyle w:val="i-dep"/>
      </w:pPr>
      <w:r w:rsidRPr="003665EC">
        <w:t>Kommunal- og distriktsdepartementet</w:t>
      </w:r>
    </w:p>
    <w:p w14:paraId="5EFBD4AE" w14:textId="77777777" w:rsidR="00000000" w:rsidRPr="003665EC" w:rsidRDefault="003665EC" w:rsidP="003665EC">
      <w:pPr>
        <w:pStyle w:val="i-hode"/>
      </w:pPr>
      <w:r w:rsidRPr="003665EC">
        <w:t>Prop. 85 L</w:t>
      </w:r>
    </w:p>
    <w:p w14:paraId="7E1B0B92" w14:textId="77777777" w:rsidR="00000000" w:rsidRPr="003665EC" w:rsidRDefault="003665EC" w:rsidP="003665EC">
      <w:pPr>
        <w:pStyle w:val="i-sesjon"/>
      </w:pPr>
      <w:r w:rsidRPr="003665EC">
        <w:t>(2022–2023)</w:t>
      </w:r>
    </w:p>
    <w:p w14:paraId="6E97E39C" w14:textId="77777777" w:rsidR="00000000" w:rsidRPr="003665EC" w:rsidRDefault="003665EC" w:rsidP="003665EC">
      <w:pPr>
        <w:pStyle w:val="i-hode-tit"/>
      </w:pPr>
      <w:r w:rsidRPr="003665EC">
        <w:t>Proposisjon til Stortinget (forslag til lovvedtak)</w:t>
      </w:r>
    </w:p>
    <w:p w14:paraId="5403D660" w14:textId="77777777" w:rsidR="00000000" w:rsidRPr="003665EC" w:rsidRDefault="003665EC" w:rsidP="003665EC">
      <w:pPr>
        <w:pStyle w:val="i-tit"/>
      </w:pPr>
      <w:r w:rsidRPr="003665EC">
        <w:t>Lov om Digitaliseringsdirektoratets tilgang til taushetsbelagte opplysninger i Folkeregisteret</w:t>
      </w:r>
    </w:p>
    <w:p w14:paraId="324400B6" w14:textId="77777777" w:rsidR="00000000" w:rsidRPr="003665EC" w:rsidRDefault="003665EC" w:rsidP="003665EC">
      <w:pPr>
        <w:pStyle w:val="i-statsrdato"/>
      </w:pPr>
      <w:r w:rsidRPr="003665EC">
        <w:t xml:space="preserve">Tilråding fra Kommunal- og </w:t>
      </w:r>
      <w:proofErr w:type="spellStart"/>
      <w:r w:rsidRPr="003665EC">
        <w:t>distriktsdepartementet</w:t>
      </w:r>
      <w:proofErr w:type="spellEnd"/>
      <w:r w:rsidRPr="003665EC">
        <w:t xml:space="preserve"> 31. mars 2023, </w:t>
      </w:r>
      <w:r w:rsidRPr="003665EC">
        <w:br/>
        <w:t xml:space="preserve">godkjent i statsråd samme dag. </w:t>
      </w:r>
      <w:r w:rsidRPr="003665EC">
        <w:br/>
      </w:r>
      <w:r w:rsidRPr="003665EC">
        <w:t>(Regjeringen Støre)</w:t>
      </w:r>
    </w:p>
    <w:p w14:paraId="75DC05CE" w14:textId="77777777" w:rsidR="00000000" w:rsidRPr="003665EC" w:rsidRDefault="003665EC" w:rsidP="003665EC">
      <w:pPr>
        <w:pStyle w:val="Overskrift1"/>
      </w:pPr>
      <w:r w:rsidRPr="003665EC">
        <w:t>Proposisjonens hovedinnhold</w:t>
      </w:r>
    </w:p>
    <w:p w14:paraId="14D798D0" w14:textId="77777777" w:rsidR="00000000" w:rsidRPr="003665EC" w:rsidRDefault="003665EC" w:rsidP="003665EC">
      <w:r w:rsidRPr="003665EC">
        <w:t xml:space="preserve">Kommunal- og </w:t>
      </w:r>
      <w:proofErr w:type="spellStart"/>
      <w:r w:rsidRPr="003665EC">
        <w:t>distriktsdepartementet</w:t>
      </w:r>
      <w:proofErr w:type="spellEnd"/>
      <w:r w:rsidRPr="003665EC">
        <w:t xml:space="preserve"> fremmer med dette et forslag til ny lov om Digitaliseringsdirektoratets tilgang til taushetsbelagte opplysninger i Folkeregisteret.</w:t>
      </w:r>
    </w:p>
    <w:p w14:paraId="2E0E2979" w14:textId="77777777" w:rsidR="00000000" w:rsidRPr="003665EC" w:rsidRDefault="003665EC" w:rsidP="003665EC">
      <w:r w:rsidRPr="003665EC">
        <w:t>Forslaget skal sikre Digitaliserings</w:t>
      </w:r>
      <w:r w:rsidRPr="003665EC">
        <w:t>direktoratet hjemmelsgrunnlag for å innhente opplysninger fra Folkeregisteret og befolkningsregisteret for Svalbard uten hinder av taushetsplikt.</w:t>
      </w:r>
    </w:p>
    <w:p w14:paraId="7059CC7D" w14:textId="77777777" w:rsidR="00000000" w:rsidRPr="003665EC" w:rsidRDefault="003665EC" w:rsidP="003665EC">
      <w:pPr>
        <w:pStyle w:val="Overskrift1"/>
      </w:pPr>
      <w:r w:rsidRPr="003665EC">
        <w:lastRenderedPageBreak/>
        <w:t>Lovforslagets bakgrunn</w:t>
      </w:r>
    </w:p>
    <w:p w14:paraId="4006C6D4" w14:textId="77777777" w:rsidR="00000000" w:rsidRPr="003665EC" w:rsidRDefault="003665EC" w:rsidP="003665EC">
      <w:pPr>
        <w:pStyle w:val="Overskrift2"/>
      </w:pPr>
      <w:r w:rsidRPr="003665EC">
        <w:t>Behovet for lovhjemmel</w:t>
      </w:r>
    </w:p>
    <w:p w14:paraId="5F0690C0" w14:textId="77777777" w:rsidR="00000000" w:rsidRPr="003665EC" w:rsidRDefault="003665EC" w:rsidP="003665EC">
      <w:r w:rsidRPr="003665EC">
        <w:t xml:space="preserve">Digitaliseringsdirektoratet skal være regjeringens fremste verktøy for en raskere og mer samordnet digitalisering av samfunnet. Direktoratet skal bidra til utvikling og gjennomføring av IKT-politikken. Noen av Digitaliseringsdirektoratets hovedoppgaver er </w:t>
      </w:r>
      <w:r w:rsidRPr="003665EC">
        <w:t xml:space="preserve">strategisk planlegging og videreutvikling av en helhetlig digital infrastruktur for offentlig sektor, utvikling av digitale tjenester for innbyggere, kommuner og næringsliv og drift og forvaltning av fellesløsninger. Digitaliseringsdirektoratet har staten </w:t>
      </w:r>
      <w:r w:rsidRPr="003665EC">
        <w:t>og kommunene, næringsdrivende, frivillig sektor og innbyggere som målgrupper.</w:t>
      </w:r>
    </w:p>
    <w:p w14:paraId="19EBF882" w14:textId="77777777" w:rsidR="00000000" w:rsidRPr="003665EC" w:rsidRDefault="003665EC" w:rsidP="003665EC">
      <w:r w:rsidRPr="003665EC">
        <w:t xml:space="preserve">Digitaliseringsdirektoratet forvalter viktige fellesløsninger som ID-porten, </w:t>
      </w:r>
      <w:proofErr w:type="spellStart"/>
      <w:r w:rsidRPr="003665EC">
        <w:t>Altinn</w:t>
      </w:r>
      <w:proofErr w:type="spellEnd"/>
      <w:r w:rsidRPr="003665EC">
        <w:t xml:space="preserve"> og Kontakt- og reservasjonsregisteret. Eksempler på oppgaver der Digitaliseringsdirektoratet h</w:t>
      </w:r>
      <w:r w:rsidRPr="003665EC">
        <w:t xml:space="preserve">ar behov for tilgang til taushetsbelagte opplysninger i Folkeregisteret er tilgangsstyring med </w:t>
      </w:r>
      <w:proofErr w:type="spellStart"/>
      <w:r w:rsidRPr="003665EC">
        <w:t>Altinn</w:t>
      </w:r>
      <w:proofErr w:type="spellEnd"/>
      <w:r w:rsidRPr="003665EC">
        <w:t xml:space="preserve"> autorisasjon og utstedelse av </w:t>
      </w:r>
      <w:proofErr w:type="spellStart"/>
      <w:r w:rsidRPr="003665EC">
        <w:t>MinID</w:t>
      </w:r>
      <w:proofErr w:type="spellEnd"/>
      <w:r w:rsidRPr="003665EC">
        <w:t>. Se nærmere omtale i kapittel 3.4.</w:t>
      </w:r>
    </w:p>
    <w:p w14:paraId="0CA95624" w14:textId="77777777" w:rsidR="00000000" w:rsidRPr="003665EC" w:rsidRDefault="003665EC" w:rsidP="003665EC">
      <w:pPr>
        <w:pStyle w:val="Overskrift2"/>
      </w:pPr>
      <w:r w:rsidRPr="003665EC">
        <w:t>Høringen</w:t>
      </w:r>
    </w:p>
    <w:p w14:paraId="575A5E6C" w14:textId="77777777" w:rsidR="00000000" w:rsidRPr="003665EC" w:rsidRDefault="003665EC" w:rsidP="003665EC">
      <w:r w:rsidRPr="003665EC">
        <w:t xml:space="preserve">30. juni 2022 sendte Kommunal- og </w:t>
      </w:r>
      <w:proofErr w:type="spellStart"/>
      <w:r w:rsidRPr="003665EC">
        <w:t>distriktsdepartementet</w:t>
      </w:r>
      <w:proofErr w:type="spellEnd"/>
      <w:r w:rsidRPr="003665EC">
        <w:t xml:space="preserve"> forslag t</w:t>
      </w:r>
      <w:r w:rsidRPr="003665EC">
        <w:t>il lov om Digitaliseringsdirektoratets tilgang til taushetsbelagte opplysninger i Folkeregisteret på høring. Høringsfristen var 26. august 2022, og høringsnotatet ble sendt til følgende instanser:</w:t>
      </w:r>
    </w:p>
    <w:p w14:paraId="40E529AE" w14:textId="77777777" w:rsidR="00000000" w:rsidRPr="003665EC" w:rsidRDefault="003665EC" w:rsidP="003665EC"/>
    <w:p w14:paraId="327CC6E3" w14:textId="77777777" w:rsidR="00000000" w:rsidRPr="003665EC" w:rsidRDefault="003665EC" w:rsidP="003665EC">
      <w:pPr>
        <w:pStyle w:val="opplisting"/>
      </w:pPr>
      <w:r w:rsidRPr="003665EC">
        <w:t>Departementene</w:t>
      </w:r>
    </w:p>
    <w:p w14:paraId="77E6C1A9" w14:textId="77777777" w:rsidR="00000000" w:rsidRPr="003665EC" w:rsidRDefault="003665EC" w:rsidP="003665EC"/>
    <w:p w14:paraId="6AA0705F" w14:textId="77777777" w:rsidR="00000000" w:rsidRPr="003665EC" w:rsidRDefault="003665EC" w:rsidP="003665EC">
      <w:pPr>
        <w:pStyle w:val="opplisting"/>
      </w:pPr>
      <w:r w:rsidRPr="003665EC">
        <w:t>Høyesterett</w:t>
      </w:r>
    </w:p>
    <w:p w14:paraId="2803CFA5" w14:textId="77777777" w:rsidR="00000000" w:rsidRPr="003665EC" w:rsidRDefault="003665EC" w:rsidP="003665EC">
      <w:pPr>
        <w:pStyle w:val="opplisting"/>
      </w:pPr>
      <w:r w:rsidRPr="003665EC">
        <w:t>Lagmannsrettene</w:t>
      </w:r>
    </w:p>
    <w:p w14:paraId="3541AC55" w14:textId="77777777" w:rsidR="00000000" w:rsidRPr="003665EC" w:rsidRDefault="003665EC" w:rsidP="003665EC">
      <w:pPr>
        <w:pStyle w:val="opplisting"/>
      </w:pPr>
      <w:r w:rsidRPr="003665EC">
        <w:t>Tingrettene</w:t>
      </w:r>
    </w:p>
    <w:p w14:paraId="337D05FB" w14:textId="77777777" w:rsidR="00000000" w:rsidRPr="003665EC" w:rsidRDefault="003665EC" w:rsidP="003665EC"/>
    <w:p w14:paraId="5E5B4480" w14:textId="77777777" w:rsidR="00000000" w:rsidRPr="003665EC" w:rsidRDefault="003665EC" w:rsidP="003665EC">
      <w:pPr>
        <w:pStyle w:val="opplisting"/>
      </w:pPr>
      <w:r w:rsidRPr="003665EC">
        <w:t>Barne-, ungdoms- og familiedirektoratet</w:t>
      </w:r>
    </w:p>
    <w:p w14:paraId="6E5FC5ED" w14:textId="77777777" w:rsidR="00000000" w:rsidRPr="003665EC" w:rsidRDefault="003665EC" w:rsidP="003665EC">
      <w:pPr>
        <w:pStyle w:val="opplisting"/>
      </w:pPr>
      <w:r w:rsidRPr="003665EC">
        <w:t>Barneombudet</w:t>
      </w:r>
    </w:p>
    <w:p w14:paraId="6B3916B9" w14:textId="77777777" w:rsidR="00000000" w:rsidRPr="003665EC" w:rsidRDefault="003665EC" w:rsidP="003665EC">
      <w:pPr>
        <w:pStyle w:val="opplisting"/>
      </w:pPr>
      <w:r w:rsidRPr="003665EC">
        <w:t>Brønnøysundregistrene</w:t>
      </w:r>
    </w:p>
    <w:p w14:paraId="08299A57" w14:textId="77777777" w:rsidR="00000000" w:rsidRPr="003665EC" w:rsidRDefault="003665EC" w:rsidP="003665EC">
      <w:pPr>
        <w:pStyle w:val="opplisting"/>
      </w:pPr>
      <w:r w:rsidRPr="003665EC">
        <w:t>Datatilsynet</w:t>
      </w:r>
    </w:p>
    <w:p w14:paraId="3F12BB12" w14:textId="77777777" w:rsidR="00000000" w:rsidRPr="003665EC" w:rsidRDefault="003665EC" w:rsidP="003665EC">
      <w:pPr>
        <w:pStyle w:val="opplisting"/>
      </w:pPr>
      <w:r w:rsidRPr="003665EC">
        <w:t>Digitaliseringsdirektoratet</w:t>
      </w:r>
    </w:p>
    <w:p w14:paraId="4C9F759C" w14:textId="77777777" w:rsidR="00000000" w:rsidRPr="003665EC" w:rsidRDefault="003665EC" w:rsidP="003665EC">
      <w:pPr>
        <w:pStyle w:val="opplisting"/>
      </w:pPr>
      <w:r w:rsidRPr="003665EC">
        <w:t>Domstoladministrasjonen</w:t>
      </w:r>
    </w:p>
    <w:p w14:paraId="1C6FB3DF" w14:textId="77777777" w:rsidR="00000000" w:rsidRPr="003665EC" w:rsidRDefault="003665EC" w:rsidP="003665EC">
      <w:pPr>
        <w:pStyle w:val="opplisting"/>
      </w:pPr>
      <w:r w:rsidRPr="003665EC">
        <w:t>Finansklagenemnda</w:t>
      </w:r>
    </w:p>
    <w:p w14:paraId="04542F75" w14:textId="77777777" w:rsidR="00000000" w:rsidRPr="003665EC" w:rsidRDefault="003665EC" w:rsidP="003665EC">
      <w:pPr>
        <w:pStyle w:val="opplisting"/>
      </w:pPr>
      <w:r w:rsidRPr="003665EC">
        <w:t>Finanstilsynet</w:t>
      </w:r>
    </w:p>
    <w:p w14:paraId="2CAD4CE2" w14:textId="77777777" w:rsidR="00000000" w:rsidRPr="003665EC" w:rsidRDefault="003665EC" w:rsidP="003665EC">
      <w:pPr>
        <w:pStyle w:val="opplisting"/>
      </w:pPr>
      <w:r w:rsidRPr="003665EC">
        <w:t>Folkehelseinstituttet</w:t>
      </w:r>
    </w:p>
    <w:p w14:paraId="0F6B487B" w14:textId="77777777" w:rsidR="00000000" w:rsidRPr="003665EC" w:rsidRDefault="003665EC" w:rsidP="003665EC">
      <w:pPr>
        <w:pStyle w:val="opplisting"/>
      </w:pPr>
      <w:r w:rsidRPr="003665EC">
        <w:t>Fylkesnemndene for barnevern og sosiale saker</w:t>
      </w:r>
    </w:p>
    <w:p w14:paraId="21C84A03" w14:textId="77777777" w:rsidR="00000000" w:rsidRPr="003665EC" w:rsidRDefault="003665EC" w:rsidP="003665EC">
      <w:pPr>
        <w:pStyle w:val="opplisting"/>
      </w:pPr>
      <w:r w:rsidRPr="003665EC">
        <w:t>He</w:t>
      </w:r>
      <w:r w:rsidRPr="003665EC">
        <w:t>lsedirektoratet</w:t>
      </w:r>
    </w:p>
    <w:p w14:paraId="1BCC18D4" w14:textId="77777777" w:rsidR="00000000" w:rsidRPr="003665EC" w:rsidRDefault="003665EC" w:rsidP="003665EC">
      <w:pPr>
        <w:pStyle w:val="opplisting"/>
      </w:pPr>
      <w:r w:rsidRPr="003665EC">
        <w:t xml:space="preserve">Integrerings- og </w:t>
      </w:r>
      <w:proofErr w:type="spellStart"/>
      <w:r w:rsidRPr="003665EC">
        <w:t>mangfoldsdirektoratet</w:t>
      </w:r>
      <w:proofErr w:type="spellEnd"/>
    </w:p>
    <w:p w14:paraId="7FE13848" w14:textId="77777777" w:rsidR="00000000" w:rsidRPr="003665EC" w:rsidRDefault="003665EC" w:rsidP="003665EC">
      <w:pPr>
        <w:pStyle w:val="opplisting"/>
      </w:pPr>
      <w:r w:rsidRPr="003665EC">
        <w:t>Landbruksdirektoratet</w:t>
      </w:r>
    </w:p>
    <w:p w14:paraId="7E3915FE" w14:textId="77777777" w:rsidR="00000000" w:rsidRPr="003665EC" w:rsidRDefault="003665EC" w:rsidP="003665EC">
      <w:pPr>
        <w:pStyle w:val="opplisting"/>
      </w:pPr>
      <w:r w:rsidRPr="003665EC">
        <w:t>Likestillings- og diskrimineringsombudet</w:t>
      </w:r>
    </w:p>
    <w:p w14:paraId="6F0DAA94" w14:textId="77777777" w:rsidR="00000000" w:rsidRPr="003665EC" w:rsidRDefault="003665EC" w:rsidP="003665EC">
      <w:pPr>
        <w:pStyle w:val="opplisting"/>
      </w:pPr>
      <w:r w:rsidRPr="003665EC">
        <w:lastRenderedPageBreak/>
        <w:t>Nasjonalt kompetansesenter for aldring og helse</w:t>
      </w:r>
    </w:p>
    <w:p w14:paraId="7A55F2F6" w14:textId="77777777" w:rsidR="00000000" w:rsidRPr="003665EC" w:rsidRDefault="003665EC" w:rsidP="003665EC">
      <w:pPr>
        <w:pStyle w:val="opplisting"/>
      </w:pPr>
      <w:r w:rsidRPr="003665EC">
        <w:t>Norges vassdrags- og energidirektorat (NVE)</w:t>
      </w:r>
    </w:p>
    <w:p w14:paraId="4E56C9AB" w14:textId="77777777" w:rsidR="00000000" w:rsidRPr="003665EC" w:rsidRDefault="003665EC" w:rsidP="003665EC">
      <w:pPr>
        <w:pStyle w:val="opplisting"/>
      </w:pPr>
      <w:r w:rsidRPr="003665EC">
        <w:t>Pasient- og brukerombudene</w:t>
      </w:r>
    </w:p>
    <w:p w14:paraId="72837A29" w14:textId="77777777" w:rsidR="00000000" w:rsidRPr="003665EC" w:rsidRDefault="003665EC" w:rsidP="003665EC">
      <w:pPr>
        <w:pStyle w:val="opplisting"/>
      </w:pPr>
      <w:r w:rsidRPr="003665EC">
        <w:t>Regelrådet</w:t>
      </w:r>
    </w:p>
    <w:p w14:paraId="38F27D51" w14:textId="77777777" w:rsidR="00000000" w:rsidRPr="003665EC" w:rsidRDefault="003665EC" w:rsidP="003665EC">
      <w:pPr>
        <w:pStyle w:val="opplisting"/>
      </w:pPr>
      <w:r w:rsidRPr="003665EC">
        <w:t>Regjerin</w:t>
      </w:r>
      <w:r w:rsidRPr="003665EC">
        <w:t>gsadvokaten</w:t>
      </w:r>
    </w:p>
    <w:p w14:paraId="49BE612B" w14:textId="77777777" w:rsidR="00000000" w:rsidRPr="003665EC" w:rsidRDefault="003665EC" w:rsidP="003665EC">
      <w:pPr>
        <w:pStyle w:val="opplisting"/>
      </w:pPr>
      <w:r w:rsidRPr="003665EC">
        <w:t>Sekretariatet for konfliktrådene</w:t>
      </w:r>
    </w:p>
    <w:p w14:paraId="27A2992C" w14:textId="77777777" w:rsidR="00000000" w:rsidRPr="003665EC" w:rsidRDefault="003665EC" w:rsidP="003665EC">
      <w:pPr>
        <w:pStyle w:val="opplisting"/>
      </w:pPr>
      <w:r w:rsidRPr="003665EC">
        <w:t>Skatteetaten</w:t>
      </w:r>
    </w:p>
    <w:p w14:paraId="23DAEBB4" w14:textId="77777777" w:rsidR="00000000" w:rsidRPr="003665EC" w:rsidRDefault="003665EC" w:rsidP="003665EC">
      <w:pPr>
        <w:pStyle w:val="opplisting"/>
      </w:pPr>
      <w:r w:rsidRPr="003665EC">
        <w:t>Skattedirektoratet</w:t>
      </w:r>
    </w:p>
    <w:p w14:paraId="20910D24" w14:textId="77777777" w:rsidR="00000000" w:rsidRPr="003665EC" w:rsidRDefault="003665EC" w:rsidP="003665EC">
      <w:pPr>
        <w:pStyle w:val="opplisting"/>
      </w:pPr>
      <w:r w:rsidRPr="003665EC">
        <w:t>Statens helsetilsyn</w:t>
      </w:r>
    </w:p>
    <w:p w14:paraId="77B1F31E" w14:textId="77777777" w:rsidR="00000000" w:rsidRPr="003665EC" w:rsidRDefault="003665EC" w:rsidP="003665EC">
      <w:pPr>
        <w:pStyle w:val="opplisting"/>
      </w:pPr>
      <w:r w:rsidRPr="003665EC">
        <w:t>Statens kartverk</w:t>
      </w:r>
    </w:p>
    <w:p w14:paraId="00C8CC53" w14:textId="77777777" w:rsidR="00000000" w:rsidRPr="003665EC" w:rsidRDefault="003665EC" w:rsidP="003665EC">
      <w:pPr>
        <w:pStyle w:val="opplisting"/>
      </w:pPr>
      <w:r w:rsidRPr="003665EC">
        <w:t>Statens råd for likestilling av funksjonshemmede</w:t>
      </w:r>
    </w:p>
    <w:p w14:paraId="32533A89" w14:textId="77777777" w:rsidR="00000000" w:rsidRPr="003665EC" w:rsidRDefault="003665EC" w:rsidP="003665EC">
      <w:pPr>
        <w:pStyle w:val="opplisting"/>
      </w:pPr>
      <w:r w:rsidRPr="003665EC">
        <w:t>Statens sivilrettsforvaltning</w:t>
      </w:r>
    </w:p>
    <w:p w14:paraId="3DF95DF5" w14:textId="77777777" w:rsidR="00000000" w:rsidRPr="003665EC" w:rsidRDefault="003665EC" w:rsidP="003665EC">
      <w:pPr>
        <w:pStyle w:val="opplisting"/>
      </w:pPr>
      <w:r w:rsidRPr="003665EC">
        <w:t>Statens vegvesen</w:t>
      </w:r>
    </w:p>
    <w:p w14:paraId="22964A39" w14:textId="77777777" w:rsidR="00000000" w:rsidRPr="003665EC" w:rsidRDefault="003665EC" w:rsidP="003665EC">
      <w:pPr>
        <w:pStyle w:val="opplisting"/>
      </w:pPr>
      <w:r w:rsidRPr="003665EC">
        <w:t>Statistisk sentralbyrå</w:t>
      </w:r>
    </w:p>
    <w:p w14:paraId="7AAA3024" w14:textId="77777777" w:rsidR="00000000" w:rsidRPr="003665EC" w:rsidRDefault="003665EC" w:rsidP="003665EC">
      <w:pPr>
        <w:pStyle w:val="opplisting"/>
      </w:pPr>
      <w:r w:rsidRPr="003665EC">
        <w:t>Statsforvalterne</w:t>
      </w:r>
    </w:p>
    <w:p w14:paraId="6E05C132" w14:textId="77777777" w:rsidR="00000000" w:rsidRPr="003665EC" w:rsidRDefault="003665EC" w:rsidP="003665EC">
      <w:pPr>
        <w:pStyle w:val="opplisting"/>
      </w:pPr>
      <w:r w:rsidRPr="003665EC">
        <w:t>Sysselmesteren på Svalbard</w:t>
      </w:r>
    </w:p>
    <w:p w14:paraId="6DD19F8F" w14:textId="77777777" w:rsidR="00000000" w:rsidRPr="003665EC" w:rsidRDefault="003665EC" w:rsidP="003665EC">
      <w:r w:rsidRPr="003665EC">
        <w:t>Norges institusjon for menneskerettigheter</w:t>
      </w:r>
    </w:p>
    <w:p w14:paraId="1DE32FA8" w14:textId="77777777" w:rsidR="00000000" w:rsidRPr="003665EC" w:rsidRDefault="003665EC" w:rsidP="003665EC">
      <w:pPr>
        <w:pStyle w:val="opplisting"/>
      </w:pPr>
      <w:r w:rsidRPr="003665EC">
        <w:t>Riksrevisjonen</w:t>
      </w:r>
    </w:p>
    <w:p w14:paraId="2FA7F981" w14:textId="77777777" w:rsidR="00000000" w:rsidRPr="003665EC" w:rsidRDefault="003665EC" w:rsidP="003665EC">
      <w:pPr>
        <w:pStyle w:val="opplisting"/>
      </w:pPr>
      <w:r w:rsidRPr="003665EC">
        <w:t>Sametinget</w:t>
      </w:r>
    </w:p>
    <w:p w14:paraId="5A1B898D" w14:textId="77777777" w:rsidR="00000000" w:rsidRPr="003665EC" w:rsidRDefault="003665EC" w:rsidP="003665EC">
      <w:pPr>
        <w:pStyle w:val="opplisting"/>
      </w:pPr>
      <w:r w:rsidRPr="003665EC">
        <w:t>Sivilombudet</w:t>
      </w:r>
    </w:p>
    <w:p w14:paraId="6D78CF32" w14:textId="77777777" w:rsidR="00000000" w:rsidRPr="003665EC" w:rsidRDefault="003665EC" w:rsidP="003665EC"/>
    <w:p w14:paraId="4EB19D5C" w14:textId="77777777" w:rsidR="00000000" w:rsidRPr="003665EC" w:rsidRDefault="003665EC" w:rsidP="003665EC">
      <w:pPr>
        <w:pStyle w:val="opplisting"/>
      </w:pPr>
      <w:r w:rsidRPr="003665EC">
        <w:t>Kommunene</w:t>
      </w:r>
    </w:p>
    <w:p w14:paraId="0EEEB75B" w14:textId="77777777" w:rsidR="00000000" w:rsidRPr="003665EC" w:rsidRDefault="003665EC" w:rsidP="003665EC">
      <w:pPr>
        <w:pStyle w:val="opplisting"/>
      </w:pPr>
      <w:r w:rsidRPr="003665EC">
        <w:t>Longyearbyen lokalstyre</w:t>
      </w:r>
    </w:p>
    <w:p w14:paraId="76FCC4DE" w14:textId="77777777" w:rsidR="00000000" w:rsidRPr="003665EC" w:rsidRDefault="003665EC" w:rsidP="003665EC"/>
    <w:p w14:paraId="5A197C4C" w14:textId="77777777" w:rsidR="00000000" w:rsidRPr="003665EC" w:rsidRDefault="003665EC" w:rsidP="003665EC">
      <w:pPr>
        <w:pStyle w:val="opplisting"/>
      </w:pPr>
      <w:r w:rsidRPr="003665EC">
        <w:t>Akademikerne</w:t>
      </w:r>
    </w:p>
    <w:p w14:paraId="1EC24EFF" w14:textId="77777777" w:rsidR="00000000" w:rsidRPr="003665EC" w:rsidRDefault="003665EC" w:rsidP="003665EC">
      <w:pPr>
        <w:pStyle w:val="opplisting"/>
      </w:pPr>
      <w:r w:rsidRPr="003665EC">
        <w:t>Den norske advokatforening</w:t>
      </w:r>
    </w:p>
    <w:p w14:paraId="1F5D48E2" w14:textId="77777777" w:rsidR="00000000" w:rsidRPr="003665EC" w:rsidRDefault="003665EC" w:rsidP="003665EC">
      <w:pPr>
        <w:pStyle w:val="opplisting"/>
      </w:pPr>
      <w:r w:rsidRPr="003665EC">
        <w:t>Den norske Dommerforening</w:t>
      </w:r>
    </w:p>
    <w:p w14:paraId="58C1BB13" w14:textId="77777777" w:rsidR="00000000" w:rsidRPr="003665EC" w:rsidRDefault="003665EC" w:rsidP="003665EC">
      <w:pPr>
        <w:pStyle w:val="opplisting"/>
      </w:pPr>
      <w:r w:rsidRPr="003665EC">
        <w:t>Den norske legeforening</w:t>
      </w:r>
    </w:p>
    <w:p w14:paraId="1B32B1DB" w14:textId="77777777" w:rsidR="00000000" w:rsidRPr="003665EC" w:rsidRDefault="003665EC" w:rsidP="003665EC">
      <w:pPr>
        <w:pStyle w:val="opplisting"/>
      </w:pPr>
      <w:r w:rsidRPr="003665EC">
        <w:t>Fina</w:t>
      </w:r>
      <w:r w:rsidRPr="003665EC">
        <w:t>ns Norge</w:t>
      </w:r>
    </w:p>
    <w:p w14:paraId="02DDCBE5" w14:textId="77777777" w:rsidR="00000000" w:rsidRPr="003665EC" w:rsidRDefault="003665EC" w:rsidP="003665EC">
      <w:pPr>
        <w:pStyle w:val="opplisting"/>
      </w:pPr>
      <w:r w:rsidRPr="003665EC">
        <w:t>Foreningen 2 Foreldre</w:t>
      </w:r>
    </w:p>
    <w:p w14:paraId="11E3BF8D" w14:textId="77777777" w:rsidR="00000000" w:rsidRPr="003665EC" w:rsidRDefault="003665EC" w:rsidP="003665EC">
      <w:pPr>
        <w:pStyle w:val="opplisting"/>
      </w:pPr>
      <w:r w:rsidRPr="003665EC">
        <w:t>Funksjonshemmedes fellesorganisasjon</w:t>
      </w:r>
    </w:p>
    <w:p w14:paraId="69382FE8" w14:textId="77777777" w:rsidR="00000000" w:rsidRPr="003665EC" w:rsidRDefault="003665EC" w:rsidP="003665EC">
      <w:pPr>
        <w:pStyle w:val="opplisting"/>
      </w:pPr>
      <w:r w:rsidRPr="003665EC">
        <w:t>Hovedorganisasjonen Virke</w:t>
      </w:r>
    </w:p>
    <w:p w14:paraId="2B92C427" w14:textId="77777777" w:rsidR="00000000" w:rsidRPr="003665EC" w:rsidRDefault="003665EC" w:rsidP="003665EC">
      <w:pPr>
        <w:pStyle w:val="opplisting"/>
      </w:pPr>
      <w:r w:rsidRPr="003665EC">
        <w:t>Huseiernes landsforbund</w:t>
      </w:r>
    </w:p>
    <w:p w14:paraId="387BE316" w14:textId="77777777" w:rsidR="00000000" w:rsidRPr="003665EC" w:rsidRDefault="003665EC" w:rsidP="003665EC">
      <w:pPr>
        <w:pStyle w:val="opplisting"/>
      </w:pPr>
      <w:r w:rsidRPr="003665EC">
        <w:t>Juridisk rådgivning for kvinner</w:t>
      </w:r>
    </w:p>
    <w:p w14:paraId="03C39172" w14:textId="77777777" w:rsidR="00000000" w:rsidRPr="003665EC" w:rsidRDefault="003665EC" w:rsidP="003665EC">
      <w:pPr>
        <w:pStyle w:val="opplisting"/>
      </w:pPr>
      <w:r w:rsidRPr="003665EC">
        <w:t>Juristforbundet</w:t>
      </w:r>
    </w:p>
    <w:p w14:paraId="00AF7CB6" w14:textId="77777777" w:rsidR="00000000" w:rsidRPr="003665EC" w:rsidRDefault="003665EC" w:rsidP="003665EC">
      <w:pPr>
        <w:pStyle w:val="opplisting"/>
      </w:pPr>
      <w:proofErr w:type="spellStart"/>
      <w:r w:rsidRPr="003665EC">
        <w:t>Jussbuss</w:t>
      </w:r>
      <w:proofErr w:type="spellEnd"/>
    </w:p>
    <w:p w14:paraId="675011BB" w14:textId="77777777" w:rsidR="00000000" w:rsidRPr="003665EC" w:rsidRDefault="003665EC" w:rsidP="003665EC">
      <w:pPr>
        <w:pStyle w:val="opplisting"/>
      </w:pPr>
      <w:proofErr w:type="spellStart"/>
      <w:r w:rsidRPr="003665EC">
        <w:t>Jussformidlingen</w:t>
      </w:r>
      <w:proofErr w:type="spellEnd"/>
      <w:r w:rsidRPr="003665EC">
        <w:t xml:space="preserve"> i Bergen</w:t>
      </w:r>
    </w:p>
    <w:p w14:paraId="05C514F2" w14:textId="77777777" w:rsidR="00000000" w:rsidRPr="003665EC" w:rsidRDefault="003665EC" w:rsidP="003665EC">
      <w:pPr>
        <w:pStyle w:val="opplisting"/>
      </w:pPr>
      <w:proofErr w:type="spellStart"/>
      <w:r w:rsidRPr="003665EC">
        <w:t>Jusshjelpa</w:t>
      </w:r>
      <w:proofErr w:type="spellEnd"/>
      <w:r w:rsidRPr="003665EC">
        <w:t xml:space="preserve"> i Nord-Norge</w:t>
      </w:r>
    </w:p>
    <w:p w14:paraId="74C136F7" w14:textId="77777777" w:rsidR="00000000" w:rsidRPr="003665EC" w:rsidRDefault="003665EC" w:rsidP="003665EC">
      <w:pPr>
        <w:pStyle w:val="opplisting"/>
      </w:pPr>
      <w:r w:rsidRPr="003665EC">
        <w:t>Kirkens Bymisjon</w:t>
      </w:r>
    </w:p>
    <w:p w14:paraId="3366A4A2" w14:textId="77777777" w:rsidR="00000000" w:rsidRPr="003665EC" w:rsidRDefault="003665EC" w:rsidP="003665EC">
      <w:pPr>
        <w:pStyle w:val="opplisting"/>
      </w:pPr>
      <w:r w:rsidRPr="003665EC">
        <w:t>KS – Kommunese</w:t>
      </w:r>
      <w:r w:rsidRPr="003665EC">
        <w:t>ktorens organisasjon</w:t>
      </w:r>
    </w:p>
    <w:p w14:paraId="03C69AEB" w14:textId="77777777" w:rsidR="00000000" w:rsidRPr="003665EC" w:rsidRDefault="003665EC" w:rsidP="003665EC">
      <w:pPr>
        <w:pStyle w:val="opplisting"/>
      </w:pPr>
      <w:r w:rsidRPr="003665EC">
        <w:t>Landsorganisasjonen (LO)</w:t>
      </w:r>
    </w:p>
    <w:p w14:paraId="7531E875" w14:textId="77777777" w:rsidR="00000000" w:rsidRPr="003665EC" w:rsidRDefault="003665EC" w:rsidP="003665EC">
      <w:pPr>
        <w:pStyle w:val="opplisting"/>
      </w:pPr>
      <w:r w:rsidRPr="003665EC">
        <w:t xml:space="preserve">Landsrådet for norske barne- og </w:t>
      </w:r>
      <w:r w:rsidRPr="003665EC">
        <w:br/>
        <w:t>ungdomsorganisasjoner</w:t>
      </w:r>
    </w:p>
    <w:p w14:paraId="16AFCE76" w14:textId="77777777" w:rsidR="00000000" w:rsidRPr="003665EC" w:rsidRDefault="003665EC" w:rsidP="003665EC">
      <w:pPr>
        <w:pStyle w:val="opplisting"/>
      </w:pPr>
      <w:r w:rsidRPr="003665EC">
        <w:lastRenderedPageBreak/>
        <w:t>Mental helse</w:t>
      </w:r>
    </w:p>
    <w:p w14:paraId="71904561" w14:textId="77777777" w:rsidR="00000000" w:rsidRPr="003665EC" w:rsidRDefault="003665EC" w:rsidP="003665EC">
      <w:pPr>
        <w:pStyle w:val="opplisting"/>
      </w:pPr>
      <w:proofErr w:type="spellStart"/>
      <w:r w:rsidRPr="003665EC">
        <w:t>MiRA</w:t>
      </w:r>
      <w:proofErr w:type="spellEnd"/>
      <w:r w:rsidRPr="003665EC">
        <w:t xml:space="preserve"> Ressurssenter for innvandrer- og </w:t>
      </w:r>
      <w:r w:rsidRPr="003665EC">
        <w:br/>
        <w:t>flyktningkvinner</w:t>
      </w:r>
    </w:p>
    <w:p w14:paraId="46C28323" w14:textId="77777777" w:rsidR="00000000" w:rsidRPr="003665EC" w:rsidRDefault="003665EC" w:rsidP="003665EC">
      <w:pPr>
        <w:pStyle w:val="opplisting"/>
      </w:pPr>
      <w:r w:rsidRPr="003665EC">
        <w:t>Nasjonalforeningen for folkehelsen</w:t>
      </w:r>
    </w:p>
    <w:p w14:paraId="2F2DBAF2" w14:textId="77777777" w:rsidR="00000000" w:rsidRPr="003665EC" w:rsidRDefault="003665EC" w:rsidP="003665EC">
      <w:pPr>
        <w:pStyle w:val="opplisting"/>
      </w:pPr>
      <w:r w:rsidRPr="003665EC">
        <w:t>Norges handikapforbund</w:t>
      </w:r>
    </w:p>
    <w:p w14:paraId="0869989B" w14:textId="77777777" w:rsidR="00000000" w:rsidRPr="003665EC" w:rsidRDefault="003665EC" w:rsidP="003665EC">
      <w:pPr>
        <w:pStyle w:val="opplisting"/>
      </w:pPr>
      <w:r w:rsidRPr="003665EC">
        <w:t>Norges Røde Kors</w:t>
      </w:r>
    </w:p>
    <w:p w14:paraId="561018BF" w14:textId="77777777" w:rsidR="00000000" w:rsidRPr="003665EC" w:rsidRDefault="003665EC" w:rsidP="003665EC">
      <w:pPr>
        <w:pStyle w:val="opplisting"/>
      </w:pPr>
      <w:r w:rsidRPr="003665EC">
        <w:t>Norsk Forbund for Utviklingshemmede</w:t>
      </w:r>
    </w:p>
    <w:p w14:paraId="42923832" w14:textId="77777777" w:rsidR="00000000" w:rsidRPr="003665EC" w:rsidRDefault="003665EC" w:rsidP="003665EC">
      <w:pPr>
        <w:pStyle w:val="opplisting"/>
      </w:pPr>
      <w:r w:rsidRPr="003665EC">
        <w:t>Norsk Fosterhjemsforening</w:t>
      </w:r>
    </w:p>
    <w:p w14:paraId="7E82A3B6" w14:textId="77777777" w:rsidR="00000000" w:rsidRPr="003665EC" w:rsidRDefault="003665EC" w:rsidP="003665EC">
      <w:pPr>
        <w:pStyle w:val="opplisting"/>
      </w:pPr>
      <w:r w:rsidRPr="003665EC">
        <w:t>Norsk Pasientforening</w:t>
      </w:r>
    </w:p>
    <w:p w14:paraId="74CF7D3E" w14:textId="77777777" w:rsidR="00000000" w:rsidRPr="003665EC" w:rsidRDefault="003665EC" w:rsidP="003665EC">
      <w:pPr>
        <w:pStyle w:val="opplisting"/>
      </w:pPr>
      <w:r w:rsidRPr="003665EC">
        <w:t>Norsk Psykologforening</w:t>
      </w:r>
    </w:p>
    <w:p w14:paraId="5704A4BD" w14:textId="77777777" w:rsidR="00000000" w:rsidRPr="003665EC" w:rsidRDefault="003665EC" w:rsidP="003665EC">
      <w:pPr>
        <w:pStyle w:val="opplisting"/>
      </w:pPr>
      <w:r w:rsidRPr="003665EC">
        <w:t>Norsk sykepleierforbund</w:t>
      </w:r>
    </w:p>
    <w:p w14:paraId="6830D22E" w14:textId="77777777" w:rsidR="00000000" w:rsidRPr="003665EC" w:rsidRDefault="003665EC" w:rsidP="003665EC">
      <w:pPr>
        <w:pStyle w:val="opplisting"/>
      </w:pPr>
      <w:r w:rsidRPr="003665EC">
        <w:t>Næringslivets Hovedorganisasjon (NHO)</w:t>
      </w:r>
    </w:p>
    <w:p w14:paraId="33FC21A7" w14:textId="77777777" w:rsidR="00000000" w:rsidRPr="003665EC" w:rsidRDefault="003665EC" w:rsidP="003665EC">
      <w:pPr>
        <w:pStyle w:val="opplisting"/>
      </w:pPr>
      <w:r w:rsidRPr="003665EC">
        <w:t>Pensjonistforbundet</w:t>
      </w:r>
    </w:p>
    <w:p w14:paraId="6AA3CF91" w14:textId="77777777" w:rsidR="00000000" w:rsidRPr="003665EC" w:rsidRDefault="003665EC" w:rsidP="003665EC">
      <w:pPr>
        <w:pStyle w:val="opplisting"/>
      </w:pPr>
      <w:r w:rsidRPr="003665EC">
        <w:t>Profesjonelle Vergers Interesseorganisasjon</w:t>
      </w:r>
    </w:p>
    <w:p w14:paraId="295EEDF4" w14:textId="77777777" w:rsidR="00000000" w:rsidRPr="003665EC" w:rsidRDefault="003665EC" w:rsidP="003665EC">
      <w:pPr>
        <w:pStyle w:val="opplisting"/>
      </w:pPr>
      <w:r w:rsidRPr="003665EC">
        <w:t>Redd Barna</w:t>
      </w:r>
    </w:p>
    <w:p w14:paraId="39DB8248" w14:textId="77777777" w:rsidR="00000000" w:rsidRPr="003665EC" w:rsidRDefault="003665EC" w:rsidP="003665EC">
      <w:pPr>
        <w:pStyle w:val="opplisting"/>
      </w:pPr>
      <w:r w:rsidRPr="003665EC">
        <w:t>Regnskap Nor</w:t>
      </w:r>
      <w:r w:rsidRPr="003665EC">
        <w:t>ge</w:t>
      </w:r>
    </w:p>
    <w:p w14:paraId="3521D96D" w14:textId="77777777" w:rsidR="00000000" w:rsidRPr="003665EC" w:rsidRDefault="003665EC" w:rsidP="003665EC">
      <w:pPr>
        <w:pStyle w:val="opplisting"/>
      </w:pPr>
      <w:r w:rsidRPr="003665EC">
        <w:t>Rådet for psykisk helse</w:t>
      </w:r>
    </w:p>
    <w:p w14:paraId="6E9EF932" w14:textId="77777777" w:rsidR="00000000" w:rsidRPr="003665EC" w:rsidRDefault="003665EC" w:rsidP="003665EC">
      <w:pPr>
        <w:pStyle w:val="opplisting"/>
      </w:pPr>
      <w:r w:rsidRPr="003665EC">
        <w:t>Samfunnsbedriftene</w:t>
      </w:r>
    </w:p>
    <w:p w14:paraId="63CAE1C2" w14:textId="77777777" w:rsidR="00000000" w:rsidRPr="003665EC" w:rsidRDefault="003665EC" w:rsidP="003665EC">
      <w:pPr>
        <w:pStyle w:val="opplisting"/>
      </w:pPr>
      <w:r w:rsidRPr="003665EC">
        <w:t>Senior Norge</w:t>
      </w:r>
    </w:p>
    <w:p w14:paraId="7943AD35" w14:textId="77777777" w:rsidR="00000000" w:rsidRPr="003665EC" w:rsidRDefault="003665EC" w:rsidP="003665EC">
      <w:pPr>
        <w:pStyle w:val="opplisting"/>
      </w:pPr>
      <w:r w:rsidRPr="003665EC">
        <w:t>Seniornett Norge</w:t>
      </w:r>
    </w:p>
    <w:p w14:paraId="3458D360" w14:textId="77777777" w:rsidR="00000000" w:rsidRPr="003665EC" w:rsidRDefault="003665EC" w:rsidP="003665EC">
      <w:pPr>
        <w:pStyle w:val="opplisting"/>
      </w:pPr>
      <w:r w:rsidRPr="003665EC">
        <w:t>TEKNA (Teknisk-naturvitenskapelig forening)</w:t>
      </w:r>
    </w:p>
    <w:p w14:paraId="4EB1CCEF" w14:textId="77777777" w:rsidR="00000000" w:rsidRPr="003665EC" w:rsidRDefault="003665EC" w:rsidP="003665EC">
      <w:pPr>
        <w:pStyle w:val="opplisting"/>
      </w:pPr>
      <w:r w:rsidRPr="003665EC">
        <w:t>ULOBA</w:t>
      </w:r>
    </w:p>
    <w:p w14:paraId="160FDC78" w14:textId="77777777" w:rsidR="00000000" w:rsidRPr="003665EC" w:rsidRDefault="003665EC" w:rsidP="003665EC">
      <w:pPr>
        <w:pStyle w:val="opplisting"/>
      </w:pPr>
      <w:r w:rsidRPr="003665EC">
        <w:t>Yrkesorganisasjonenes Sentralforbund (YS)</w:t>
      </w:r>
    </w:p>
    <w:p w14:paraId="7989B3CB" w14:textId="77777777" w:rsidR="00000000" w:rsidRPr="003665EC" w:rsidRDefault="003665EC" w:rsidP="003665EC"/>
    <w:p w14:paraId="32C36889" w14:textId="77777777" w:rsidR="00000000" w:rsidRPr="003665EC" w:rsidRDefault="003665EC" w:rsidP="003665EC">
      <w:pPr>
        <w:pStyle w:val="opplisting"/>
      </w:pPr>
      <w:r w:rsidRPr="003665EC">
        <w:t>Universitetene</w:t>
      </w:r>
    </w:p>
    <w:p w14:paraId="0D8E17EE" w14:textId="77777777" w:rsidR="00000000" w:rsidRPr="003665EC" w:rsidRDefault="003665EC" w:rsidP="003665EC">
      <w:r w:rsidRPr="003665EC">
        <w:t>Følgende instanser har uttalt seg om realiteten i forslaget:</w:t>
      </w:r>
    </w:p>
    <w:p w14:paraId="1F38B5DE" w14:textId="77777777" w:rsidR="00000000" w:rsidRPr="003665EC" w:rsidRDefault="003665EC" w:rsidP="003665EC"/>
    <w:p w14:paraId="5DA5C629" w14:textId="77777777" w:rsidR="00000000" w:rsidRPr="003665EC" w:rsidRDefault="003665EC" w:rsidP="003665EC">
      <w:pPr>
        <w:pStyle w:val="opplisting"/>
      </w:pPr>
      <w:r w:rsidRPr="003665EC">
        <w:t>Finansdepa</w:t>
      </w:r>
      <w:r w:rsidRPr="003665EC">
        <w:t>rtementet</w:t>
      </w:r>
    </w:p>
    <w:p w14:paraId="3BAFFBCB" w14:textId="77777777" w:rsidR="00000000" w:rsidRPr="003665EC" w:rsidRDefault="003665EC" w:rsidP="003665EC">
      <w:pPr>
        <w:pStyle w:val="opplisting"/>
      </w:pPr>
      <w:r w:rsidRPr="003665EC">
        <w:t>Justis- og beredskapsdepartementet</w:t>
      </w:r>
    </w:p>
    <w:p w14:paraId="695B7FF9" w14:textId="77777777" w:rsidR="00000000" w:rsidRPr="003665EC" w:rsidRDefault="003665EC" w:rsidP="003665EC"/>
    <w:p w14:paraId="76495C81" w14:textId="77777777" w:rsidR="00000000" w:rsidRPr="003665EC" w:rsidRDefault="003665EC" w:rsidP="003665EC">
      <w:pPr>
        <w:pStyle w:val="opplisting"/>
      </w:pPr>
      <w:r w:rsidRPr="003665EC">
        <w:t>Brønnøysundregistrene</w:t>
      </w:r>
    </w:p>
    <w:p w14:paraId="776EB406" w14:textId="77777777" w:rsidR="00000000" w:rsidRPr="003665EC" w:rsidRDefault="003665EC" w:rsidP="003665EC">
      <w:pPr>
        <w:pStyle w:val="opplisting"/>
      </w:pPr>
      <w:r w:rsidRPr="003665EC">
        <w:t>Datatilsynet</w:t>
      </w:r>
    </w:p>
    <w:p w14:paraId="6CFD516C" w14:textId="77777777" w:rsidR="00000000" w:rsidRPr="003665EC" w:rsidRDefault="003665EC" w:rsidP="003665EC">
      <w:pPr>
        <w:pStyle w:val="opplisting"/>
      </w:pPr>
      <w:r w:rsidRPr="003665EC">
        <w:t>Direktoratet for e-helse</w:t>
      </w:r>
    </w:p>
    <w:p w14:paraId="4D299731" w14:textId="77777777" w:rsidR="00000000" w:rsidRPr="003665EC" w:rsidRDefault="003665EC" w:rsidP="003665EC">
      <w:pPr>
        <w:pStyle w:val="opplisting"/>
      </w:pPr>
      <w:r w:rsidRPr="003665EC">
        <w:t>Domstoladministrasjonen</w:t>
      </w:r>
    </w:p>
    <w:p w14:paraId="4F9A0F7D" w14:textId="77777777" w:rsidR="00000000" w:rsidRPr="003665EC" w:rsidRDefault="003665EC" w:rsidP="003665EC">
      <w:pPr>
        <w:pStyle w:val="opplisting"/>
      </w:pPr>
      <w:r w:rsidRPr="003665EC">
        <w:t>Folkehelseinstituttet</w:t>
      </w:r>
    </w:p>
    <w:p w14:paraId="6450FC55" w14:textId="77777777" w:rsidR="00000000" w:rsidRPr="003665EC" w:rsidRDefault="003665EC" w:rsidP="003665EC">
      <w:pPr>
        <w:pStyle w:val="opplisting"/>
      </w:pPr>
      <w:r w:rsidRPr="003665EC">
        <w:t>Norges vassdrags- og energidirektorat (NVE)</w:t>
      </w:r>
    </w:p>
    <w:p w14:paraId="11ED457D" w14:textId="77777777" w:rsidR="00000000" w:rsidRPr="003665EC" w:rsidRDefault="003665EC" w:rsidP="003665EC">
      <w:pPr>
        <w:pStyle w:val="opplisting"/>
      </w:pPr>
      <w:r w:rsidRPr="003665EC">
        <w:t>Skattedirektoratet</w:t>
      </w:r>
    </w:p>
    <w:p w14:paraId="568F8282" w14:textId="77777777" w:rsidR="00000000" w:rsidRPr="003665EC" w:rsidRDefault="003665EC" w:rsidP="003665EC">
      <w:pPr>
        <w:pStyle w:val="opplisting"/>
      </w:pPr>
      <w:r w:rsidRPr="003665EC">
        <w:t>Statens kartverk</w:t>
      </w:r>
    </w:p>
    <w:p w14:paraId="5A8E949C" w14:textId="77777777" w:rsidR="00000000" w:rsidRPr="003665EC" w:rsidRDefault="003665EC" w:rsidP="003665EC">
      <w:pPr>
        <w:pStyle w:val="opplisting"/>
      </w:pPr>
      <w:r w:rsidRPr="003665EC">
        <w:t>Statens sivilrettsforvaltning</w:t>
      </w:r>
    </w:p>
    <w:p w14:paraId="2AE80747" w14:textId="77777777" w:rsidR="00000000" w:rsidRPr="003665EC" w:rsidRDefault="003665EC" w:rsidP="003665EC">
      <w:pPr>
        <w:pStyle w:val="opplisting"/>
      </w:pPr>
      <w:r w:rsidRPr="003665EC">
        <w:t>Statsforvalteren i Rogaland</w:t>
      </w:r>
    </w:p>
    <w:p w14:paraId="226C0A22" w14:textId="77777777" w:rsidR="00000000" w:rsidRPr="003665EC" w:rsidRDefault="003665EC" w:rsidP="003665EC"/>
    <w:p w14:paraId="25CD7DF0" w14:textId="77777777" w:rsidR="00000000" w:rsidRPr="003665EC" w:rsidRDefault="003665EC" w:rsidP="003665EC">
      <w:pPr>
        <w:pStyle w:val="opplisting"/>
      </w:pPr>
      <w:r w:rsidRPr="003665EC">
        <w:t>Drammen kommune</w:t>
      </w:r>
    </w:p>
    <w:p w14:paraId="576533E2" w14:textId="77777777" w:rsidR="00000000" w:rsidRPr="003665EC" w:rsidRDefault="003665EC" w:rsidP="003665EC">
      <w:pPr>
        <w:pStyle w:val="opplisting"/>
      </w:pPr>
      <w:r w:rsidRPr="003665EC">
        <w:lastRenderedPageBreak/>
        <w:t>Nordre Follo kommune</w:t>
      </w:r>
    </w:p>
    <w:p w14:paraId="60843AD1" w14:textId="77777777" w:rsidR="00000000" w:rsidRPr="003665EC" w:rsidRDefault="003665EC" w:rsidP="003665EC">
      <w:pPr>
        <w:pStyle w:val="opplisting"/>
      </w:pPr>
      <w:r w:rsidRPr="003665EC">
        <w:t>Oslo kommune</w:t>
      </w:r>
    </w:p>
    <w:p w14:paraId="4BD15C56" w14:textId="77777777" w:rsidR="00000000" w:rsidRPr="003665EC" w:rsidRDefault="003665EC" w:rsidP="003665EC">
      <w:pPr>
        <w:pStyle w:val="opplisting"/>
      </w:pPr>
      <w:r w:rsidRPr="003665EC">
        <w:t>Vennesla kommune</w:t>
      </w:r>
    </w:p>
    <w:p w14:paraId="39D0251C" w14:textId="77777777" w:rsidR="00000000" w:rsidRPr="003665EC" w:rsidRDefault="003665EC" w:rsidP="003665EC"/>
    <w:p w14:paraId="012C8329" w14:textId="77777777" w:rsidR="00000000" w:rsidRPr="003665EC" w:rsidRDefault="003665EC" w:rsidP="003665EC">
      <w:pPr>
        <w:pStyle w:val="opplisting"/>
      </w:pPr>
      <w:r w:rsidRPr="003665EC">
        <w:t>Norsk helsenett SF</w:t>
      </w:r>
    </w:p>
    <w:p w14:paraId="23B06329" w14:textId="77777777" w:rsidR="00000000" w:rsidRPr="003665EC" w:rsidRDefault="003665EC" w:rsidP="003665EC">
      <w:pPr>
        <w:pStyle w:val="opplisting"/>
      </w:pPr>
      <w:r w:rsidRPr="003665EC">
        <w:t>KS – Kommunesektorens organisasjon</w:t>
      </w:r>
    </w:p>
    <w:p w14:paraId="40D8D644" w14:textId="77777777" w:rsidR="00000000" w:rsidRPr="003665EC" w:rsidRDefault="003665EC" w:rsidP="003665EC"/>
    <w:p w14:paraId="59A0C0C9" w14:textId="77777777" w:rsidR="00000000" w:rsidRPr="003665EC" w:rsidRDefault="003665EC" w:rsidP="003665EC">
      <w:pPr>
        <w:pStyle w:val="opplisting"/>
      </w:pPr>
      <w:r w:rsidRPr="003665EC">
        <w:t>Den norske advokatforening</w:t>
      </w:r>
    </w:p>
    <w:p w14:paraId="0710CB85" w14:textId="77777777" w:rsidR="00000000" w:rsidRPr="003665EC" w:rsidRDefault="003665EC" w:rsidP="003665EC">
      <w:pPr>
        <w:pStyle w:val="opplisting"/>
      </w:pPr>
      <w:r w:rsidRPr="003665EC">
        <w:t>Profesjonelle vergers interesseorganisasjon</w:t>
      </w:r>
    </w:p>
    <w:p w14:paraId="2A5C6165" w14:textId="77777777" w:rsidR="00000000" w:rsidRPr="003665EC" w:rsidRDefault="003665EC" w:rsidP="003665EC">
      <w:r w:rsidRPr="003665EC">
        <w:t xml:space="preserve">Ti </w:t>
      </w:r>
      <w:r w:rsidRPr="003665EC">
        <w:t>privatpersoner har uttalt seg om forslagets innhold. Alle disse er imot forslaget – hovedsakelig begrunnet i personvernkonsekvenser.</w:t>
      </w:r>
    </w:p>
    <w:p w14:paraId="35111C62" w14:textId="77777777" w:rsidR="00000000" w:rsidRPr="003665EC" w:rsidRDefault="003665EC" w:rsidP="003665EC"/>
    <w:p w14:paraId="6C7ABA62" w14:textId="77777777" w:rsidR="00000000" w:rsidRPr="003665EC" w:rsidRDefault="003665EC" w:rsidP="003665EC">
      <w:r w:rsidRPr="003665EC">
        <w:t xml:space="preserve">Følgende høringsinstanser har uttalt at de ikke har merknader eller ikke ønsker å </w:t>
      </w:r>
      <w:proofErr w:type="gramStart"/>
      <w:r w:rsidRPr="003665EC">
        <w:t>avgi</w:t>
      </w:r>
      <w:proofErr w:type="gramEnd"/>
      <w:r w:rsidRPr="003665EC">
        <w:t xml:space="preserve"> høringsuttalelse:</w:t>
      </w:r>
    </w:p>
    <w:p w14:paraId="3B4D3930" w14:textId="77777777" w:rsidR="00000000" w:rsidRPr="003665EC" w:rsidRDefault="003665EC" w:rsidP="003665EC"/>
    <w:p w14:paraId="1C97BC62" w14:textId="77777777" w:rsidR="00000000" w:rsidRPr="003665EC" w:rsidRDefault="003665EC" w:rsidP="003665EC">
      <w:pPr>
        <w:pStyle w:val="opplisting"/>
      </w:pPr>
      <w:r w:rsidRPr="003665EC">
        <w:t>Forsvarsdepartementet</w:t>
      </w:r>
    </w:p>
    <w:p w14:paraId="0422BC32" w14:textId="77777777" w:rsidR="00000000" w:rsidRPr="003665EC" w:rsidRDefault="003665EC" w:rsidP="003665EC">
      <w:pPr>
        <w:pStyle w:val="opplisting"/>
      </w:pPr>
      <w:r w:rsidRPr="003665EC">
        <w:t>Landbruks- og matdepartementet</w:t>
      </w:r>
    </w:p>
    <w:p w14:paraId="439A6D4E" w14:textId="77777777" w:rsidR="00000000" w:rsidRPr="003665EC" w:rsidRDefault="003665EC" w:rsidP="003665EC">
      <w:pPr>
        <w:pStyle w:val="opplisting"/>
      </w:pPr>
      <w:r w:rsidRPr="003665EC">
        <w:t>Samferdselsdepartementet</w:t>
      </w:r>
    </w:p>
    <w:p w14:paraId="16602A72" w14:textId="77777777" w:rsidR="00000000" w:rsidRPr="003665EC" w:rsidRDefault="003665EC" w:rsidP="003665EC"/>
    <w:p w14:paraId="02491A7B" w14:textId="77777777" w:rsidR="00000000" w:rsidRPr="003665EC" w:rsidRDefault="003665EC" w:rsidP="003665EC">
      <w:pPr>
        <w:pStyle w:val="opplisting"/>
      </w:pPr>
      <w:r w:rsidRPr="003665EC">
        <w:t>Høyesterett</w:t>
      </w:r>
    </w:p>
    <w:p w14:paraId="4989839A" w14:textId="77777777" w:rsidR="00000000" w:rsidRPr="003665EC" w:rsidRDefault="003665EC" w:rsidP="003665EC">
      <w:pPr>
        <w:pStyle w:val="opplisting"/>
      </w:pPr>
      <w:r w:rsidRPr="003665EC">
        <w:t>Borgarting lagmannsrett</w:t>
      </w:r>
    </w:p>
    <w:p w14:paraId="3B8A7726" w14:textId="77777777" w:rsidR="00000000" w:rsidRPr="003665EC" w:rsidRDefault="003665EC" w:rsidP="003665EC"/>
    <w:p w14:paraId="4A09D33B" w14:textId="77777777" w:rsidR="00000000" w:rsidRPr="003665EC" w:rsidRDefault="003665EC" w:rsidP="003665EC">
      <w:pPr>
        <w:pStyle w:val="opplisting"/>
      </w:pPr>
      <w:r w:rsidRPr="003665EC">
        <w:t>Statistisk sentralbyrå</w:t>
      </w:r>
    </w:p>
    <w:p w14:paraId="75F963E2" w14:textId="77777777" w:rsidR="00000000" w:rsidRPr="003665EC" w:rsidRDefault="003665EC" w:rsidP="003665EC"/>
    <w:p w14:paraId="7B79D30D" w14:textId="77777777" w:rsidR="00000000" w:rsidRPr="003665EC" w:rsidRDefault="003665EC" w:rsidP="003665EC">
      <w:pPr>
        <w:pStyle w:val="opplisting"/>
      </w:pPr>
      <w:r w:rsidRPr="003665EC">
        <w:t>Ulstein kommune</w:t>
      </w:r>
    </w:p>
    <w:p w14:paraId="0BA2A6F7" w14:textId="77777777" w:rsidR="00000000" w:rsidRPr="003665EC" w:rsidRDefault="003665EC" w:rsidP="003665EC">
      <w:pPr>
        <w:pStyle w:val="Overskrift1"/>
      </w:pPr>
      <w:r w:rsidRPr="003665EC">
        <w:t>Forslaget om tilgang for Digitaliseringsdirektoratet til taushetsbelagte opplysninger i Folkereg</w:t>
      </w:r>
      <w:r w:rsidRPr="003665EC">
        <w:t>isteret</w:t>
      </w:r>
    </w:p>
    <w:p w14:paraId="79EC1457" w14:textId="77777777" w:rsidR="00000000" w:rsidRPr="003665EC" w:rsidRDefault="003665EC" w:rsidP="003665EC">
      <w:pPr>
        <w:pStyle w:val="Overskrift2"/>
      </w:pPr>
      <w:r w:rsidRPr="003665EC">
        <w:t>Gjeldende rett</w:t>
      </w:r>
    </w:p>
    <w:p w14:paraId="70D539CD" w14:textId="77777777" w:rsidR="00000000" w:rsidRPr="003665EC" w:rsidRDefault="003665EC" w:rsidP="003665EC">
      <w:pPr>
        <w:pStyle w:val="Overskrift3"/>
      </w:pPr>
      <w:r w:rsidRPr="003665EC">
        <w:t>Folkeregisterloven</w:t>
      </w:r>
    </w:p>
    <w:p w14:paraId="3F175267" w14:textId="77777777" w:rsidR="00000000" w:rsidRPr="003665EC" w:rsidRDefault="003665EC" w:rsidP="003665EC">
      <w:r w:rsidRPr="003665EC">
        <w:t>I lov 9. desember 2016 nr. 88 om folkeregistrering (folkeregisterloven) skilles det mellom utlevering av taushetsbelagte opplysninger og utlevering av opplysninger som ikke er underlagt taushetsplikt. Etter folkeregisterloven § 10-1 første ledd kan offentl</w:t>
      </w:r>
      <w:r w:rsidRPr="003665EC">
        <w:t>ige myndigheter og virksomheter få utlevert ikke-taushetsbelagte opplysninger fra Folkeregisteret, mens utlevering av taushetsbelagte opplysninger krever hjemmel i særlov, jf. folkeregisterloven § 10-2 første ledd. Det finnes per i dag ingen slik hjemmel f</w:t>
      </w:r>
      <w:r w:rsidRPr="003665EC">
        <w:t>or løsning av Digitaliseringsdirektoratets oppgaver.</w:t>
      </w:r>
    </w:p>
    <w:p w14:paraId="7CC106AA" w14:textId="77777777" w:rsidR="00000000" w:rsidRPr="003665EC" w:rsidRDefault="003665EC" w:rsidP="003665EC">
      <w:pPr>
        <w:pStyle w:val="Overskrift3"/>
      </w:pPr>
      <w:r w:rsidRPr="003665EC">
        <w:lastRenderedPageBreak/>
        <w:t>Vergemålsloven</w:t>
      </w:r>
    </w:p>
    <w:p w14:paraId="1429B261" w14:textId="77777777" w:rsidR="00000000" w:rsidRPr="003665EC" w:rsidRDefault="003665EC" w:rsidP="003665EC">
      <w:r w:rsidRPr="003665EC">
        <w:t>I lov 26. mars 2010 om vergemål (vergemålsloven) §§ 46 og 65 er opplysninger om at en person har fått oppnevnt verge, hvem vergen er og rammene for vergeoppdraget underlagt tau</w:t>
      </w:r>
      <w:r w:rsidRPr="003665EC">
        <w:t>shetsplikt, med visse unntak.</w:t>
      </w:r>
    </w:p>
    <w:p w14:paraId="1EACE837" w14:textId="77777777" w:rsidR="00000000" w:rsidRPr="003665EC" w:rsidRDefault="003665EC" w:rsidP="003665EC">
      <w:r w:rsidRPr="003665EC">
        <w:t>Justis- og beredskapsdepartementet har i Prop. 141 L (2021–2022) fremmet forslag om endringer i vergemålsloven knyttet til reglene om taushetsplikt. Proposisjonen er til behandling i Stortinget. Forslaget til lovendring innebæ</w:t>
      </w:r>
      <w:r w:rsidRPr="003665EC">
        <w:t>rer at opplysning om at en person har verge, ikke skal være underlagt taushetsplikt, men opplysninger om innholdet i vergens fullmakt skal være underlagt taushetsplikt.</w:t>
      </w:r>
    </w:p>
    <w:p w14:paraId="6A554990" w14:textId="77777777" w:rsidR="00000000" w:rsidRPr="003665EC" w:rsidRDefault="003665EC" w:rsidP="003665EC">
      <w:pPr>
        <w:pStyle w:val="Overskrift3"/>
      </w:pPr>
      <w:r w:rsidRPr="003665EC">
        <w:t>Behandling av personopplysninger</w:t>
      </w:r>
    </w:p>
    <w:p w14:paraId="64F4135E" w14:textId="77777777" w:rsidR="00000000" w:rsidRPr="003665EC" w:rsidRDefault="003665EC" w:rsidP="003665EC">
      <w:r w:rsidRPr="003665EC">
        <w:t>Lov 15. juni 2018 nr. 38 (personopplysning</w:t>
      </w:r>
      <w:r w:rsidRPr="003665EC">
        <w:t>sloven), som blant annet fastslår at personvernforordningen (GDPR) gjelder som norsk lov, setter rammer for behandling av personopplysninger. Enhver opplysning om en identifisert eller identifiserbar fysisk person regnes som en personopplysning, jf. person</w:t>
      </w:r>
      <w:r w:rsidRPr="003665EC">
        <w:t>vernforordningen artikkel 4 nr. 1.</w:t>
      </w:r>
    </w:p>
    <w:p w14:paraId="0297F93C" w14:textId="77777777" w:rsidR="00000000" w:rsidRPr="003665EC" w:rsidRDefault="003665EC" w:rsidP="003665EC">
      <w:r w:rsidRPr="003665EC">
        <w:t>Personvernforordningens virkeområde er begrenset til behandling av personopplysninger. Forordningens artikkel 4 nr. 2 definerer behandling som:</w:t>
      </w:r>
    </w:p>
    <w:p w14:paraId="1B411E7C" w14:textId="77777777" w:rsidR="00000000" w:rsidRPr="003665EC" w:rsidRDefault="003665EC" w:rsidP="003665EC">
      <w:pPr>
        <w:pStyle w:val="blokksit"/>
      </w:pPr>
      <w:r w:rsidRPr="003665EC">
        <w:t>«enhver operasjon eller rekke av operasjoner som gjøres med personopplysninge</w:t>
      </w:r>
      <w:r w:rsidRPr="003665EC">
        <w:t>r, enten automatisert eller ikke, f.eks. innsamling, registrering, organisering, strukturering, lagring, tilpasning eller endring, gjenfinning, konsultering, bruk, utlevering ved overføring, spredning eller alle andre former for tilgjengeliggjøring, sammen</w:t>
      </w:r>
      <w:r w:rsidRPr="003665EC">
        <w:t>stilling eller samkjøring, begrensning, sletting eller tilintetgjøring»</w:t>
      </w:r>
    </w:p>
    <w:p w14:paraId="2C3B2A8E" w14:textId="77777777" w:rsidR="00000000" w:rsidRPr="003665EC" w:rsidRDefault="003665EC" w:rsidP="003665EC">
      <w:r w:rsidRPr="003665EC">
        <w:t>Der det skjer behandling av personopplysninger, kreves det blant annet at det foreligger spesifikt, uttrykkelig angitt og berettiget formål, lovlig behandlingsgrunnlag og tilstrekkelig</w:t>
      </w:r>
      <w:r w:rsidRPr="003665EC">
        <w:t xml:space="preserve"> informasjonssikkerhet. Reglene om behandlingsgrunnlag følger av personvernforordningen artikkel 6 nr. 1 bokstavene a til f. Behandling av personopplysninger er bare lovlig dersom og i den grad minst ett av disse behandlingsgrunnlagene er oppfylt.</w:t>
      </w:r>
    </w:p>
    <w:p w14:paraId="74DC5A35" w14:textId="77777777" w:rsidR="00000000" w:rsidRPr="003665EC" w:rsidRDefault="003665EC" w:rsidP="003665EC">
      <w:r w:rsidRPr="003665EC">
        <w:t>Det følg</w:t>
      </w:r>
      <w:r w:rsidRPr="003665EC">
        <w:t xml:space="preserve">er av personvernforordningen artikkel 6 nr. 3 at «grunnlaget for behandlingen» som nevnt i artikkel 6 nr. 1 bokstav c og e «skal fastsettes» i unionsretten eller i medlemsstatenes nasjonale rett. Dette innebærer at bokstav c eller e ikke alene kan utgjøre </w:t>
      </w:r>
      <w:r w:rsidRPr="003665EC">
        <w:t>behandlingsgrunnlag, men at den behandlingsansvarlige i tillegg må kunne vise til et supplerende rettsgrunnlag for behandlingen. I Prop. 56 LS (2017–2018) pkt. 6.3.2, omtales det hva et slikt supplerende rettsgrunnlag kan være, og hvilke krav som stilles t</w:t>
      </w:r>
      <w:r w:rsidRPr="003665EC">
        <w:t>il det. Til det første uttales det at «[e]</w:t>
      </w:r>
      <w:proofErr w:type="spellStart"/>
      <w:r w:rsidRPr="003665EC">
        <w:t>tter</w:t>
      </w:r>
      <w:proofErr w:type="spellEnd"/>
      <w:r w:rsidRPr="003665EC">
        <w:t xml:space="preserve"> departementets syn må det legges til grunn at i alle fall lov- og forskriftsbestemmelser kan utgjøre supplerende rettsgrunnlag. Departementet antar at også vedtak fattet i </w:t>
      </w:r>
      <w:proofErr w:type="gramStart"/>
      <w:r w:rsidRPr="003665EC">
        <w:t>medhold av</w:t>
      </w:r>
      <w:proofErr w:type="gramEnd"/>
      <w:r w:rsidRPr="003665EC">
        <w:t xml:space="preserve"> lov eller forskrift omfatt</w:t>
      </w:r>
      <w:r w:rsidRPr="003665EC">
        <w:t xml:space="preserve">es, ettersom det også i disse tilfellene foreligger et lov- eller forskriftsgrunnlag.» Til det andre uttales det at ordlyden i artikkel 6 nr. 3 samlet sett taler for at det må påvises et supplerende rettsgrunnlag i unionsretten eller nasjonal rett, men at </w:t>
      </w:r>
      <w:r w:rsidRPr="003665EC">
        <w:t>det ikke er nødvendig at det supplerende rettsgrunnlaget uttrykkelig regulerer behandling av personopplysninger. For nærmere omtale henvises det til Prop. 56 LS (2017–2018).</w:t>
      </w:r>
    </w:p>
    <w:p w14:paraId="447D8E2D" w14:textId="77777777" w:rsidR="00000000" w:rsidRPr="003665EC" w:rsidRDefault="003665EC" w:rsidP="003665EC">
      <w:r w:rsidRPr="003665EC">
        <w:lastRenderedPageBreak/>
        <w:t>Personvernforordningen artikkel 9 nr. 1 oppstiller en hovedregel om at behandling av særlige kategorier av personopplysninger er forbudt. Dette omfatter personopplysninger om rasemessig eller etnisk opprinnelse, politisk oppfatning, religion, filosofisk ov</w:t>
      </w:r>
      <w:r w:rsidRPr="003665EC">
        <w:t>erbevisning eller fagforeningsmedlemskap, samt genetiske opplysninger og biometriske opplysninger med det formål å entydig identifisere en fysisk person, helseopplysninger eller opplysninger om en fysisk persons seksuelle forhold eller seksuelle orienterin</w:t>
      </w:r>
      <w:r w:rsidRPr="003665EC">
        <w:t>g. For at behandling av personopplysninger som omfattes av forbudet skal være lovlig, må vilkårene i et av unntakene i artikkel 9 nr. 2 være oppfylt. For nærmere omtale henvises det til Prop. 56 LS (2017–2018) pkt. 7.1.2.</w:t>
      </w:r>
    </w:p>
    <w:p w14:paraId="1FC435FB" w14:textId="77777777" w:rsidR="00000000" w:rsidRPr="003665EC" w:rsidRDefault="003665EC" w:rsidP="003665EC">
      <w:r w:rsidRPr="003665EC">
        <w:t>Personvernforordningen artikkel 10</w:t>
      </w:r>
      <w:r w:rsidRPr="003665EC">
        <w:t xml:space="preserve"> bestemmer at behandling av personopplysninger om straffedommer og lovovertredelser eller tilknyttede sikkerhetstiltak på grunnlag av artikkel 6 nr. 1 bare skal utføres under en offentlig myndighets kontroll, eller dersom behandlingen er tillatt i henhold </w:t>
      </w:r>
      <w:r w:rsidRPr="003665EC">
        <w:t>til unionsretten eller medlemsstatenes nasjonale rett, som sikrer nødvendige garantier for de registrertes rettigheter og friheter. For nærmere omtale henvises det til Prop. 56 LS (2017–2018) pkt. 8.2.</w:t>
      </w:r>
    </w:p>
    <w:p w14:paraId="4557ABA9" w14:textId="77777777" w:rsidR="00000000" w:rsidRPr="003665EC" w:rsidRDefault="003665EC" w:rsidP="003665EC">
      <w:pPr>
        <w:pStyle w:val="Overskrift2"/>
      </w:pPr>
      <w:r w:rsidRPr="003665EC">
        <w:t>Forslaget i høringsnotatet</w:t>
      </w:r>
    </w:p>
    <w:p w14:paraId="4F614531" w14:textId="77777777" w:rsidR="00000000" w:rsidRPr="003665EC" w:rsidRDefault="003665EC" w:rsidP="003665EC">
      <w:r w:rsidRPr="003665EC">
        <w:t>Etter at det ble ve</w:t>
      </w:r>
      <w:r w:rsidRPr="003665EC">
        <w:t>dtatt ny folkeregisterlov i 2016, er det inntatt hjemler for tilgang til taushetsbelagte opplysninger i Folkeregisteret i flere lover. Eksempler er opplæringsloven og matrikkelloven. Felles for disse lovene er at spesifikke aktører, for eksempel kommuner e</w:t>
      </w:r>
      <w:r w:rsidRPr="003665EC">
        <w:t>ller statlige organer, gis tilgang til taushetsbelagte opplysninger i den grad det er nødvendig for å utføre oppgaver etter den angitte loven.</w:t>
      </w:r>
    </w:p>
    <w:p w14:paraId="61A837A0" w14:textId="77777777" w:rsidR="00000000" w:rsidRPr="003665EC" w:rsidRDefault="003665EC" w:rsidP="003665EC">
      <w:r w:rsidRPr="003665EC">
        <w:t>De oppgavene Digitaliseringsdirektoratet skal bruke opplysningene fra Folkeregisteret til for å utføre, følger ik</w:t>
      </w:r>
      <w:r w:rsidRPr="003665EC">
        <w:t>ke av konkrete lover, slik som i eksemplene ovenfor. Det å for eksempel finne ut om noen har rett til å representere andre på et gitt område (ved en eller annen form for fullmakt), er en tverrsektoriell oppgave som ikke følger direkte av en bestemt lov. De</w:t>
      </w:r>
      <w:r w:rsidRPr="003665EC">
        <w:t xml:space="preserve">t samme gjelder utstedelse av den elektroniske ID-en </w:t>
      </w:r>
      <w:proofErr w:type="spellStart"/>
      <w:r w:rsidRPr="003665EC">
        <w:t>MinID</w:t>
      </w:r>
      <w:proofErr w:type="spellEnd"/>
      <w:r w:rsidRPr="003665EC">
        <w:t>.</w:t>
      </w:r>
    </w:p>
    <w:p w14:paraId="0D6AD244" w14:textId="77777777" w:rsidR="00000000" w:rsidRPr="003665EC" w:rsidRDefault="003665EC" w:rsidP="003665EC">
      <w:r w:rsidRPr="003665EC">
        <w:t>Departementet har vurdert flere mulige lovtekniske løsninger, som hjemmel i vergemålsloven eller forvaltningsloven, eller å lage en ny lov om Digitaliseringsdirektoratets tilgang til taushetsbelag</w:t>
      </w:r>
      <w:r w:rsidRPr="003665EC">
        <w:t>te opplysninger i Folkeregisteret. Departementet foreslo i høringsnotatet en ny lov som regulerer Digitaliseringsdirektoratets tilgang til taushetsbelagte opplysninger i Folkeregisteret.</w:t>
      </w:r>
    </w:p>
    <w:p w14:paraId="561125B6" w14:textId="77777777" w:rsidR="00000000" w:rsidRPr="003665EC" w:rsidRDefault="003665EC" w:rsidP="003665EC">
      <w:r w:rsidRPr="003665EC">
        <w:t>Departementet hørte også en mulig forskriftshjemmel. Departementet st</w:t>
      </w:r>
      <w:r w:rsidRPr="003665EC">
        <w:t xml:space="preserve">ilte spørsmål om det er tilstrekkelig for å oppfylle kravene til hjemmelsgrunnlag i personvernforordningen at presiseringen av Digitaliseringsdirektoratets oppgaver som begrunner behovet for tilgang til taushetsbelagte opplysninger i Folkeregisteret, </w:t>
      </w:r>
      <w:proofErr w:type="gramStart"/>
      <w:r w:rsidRPr="003665EC">
        <w:t>fremg</w:t>
      </w:r>
      <w:r w:rsidRPr="003665EC">
        <w:t>år</w:t>
      </w:r>
      <w:proofErr w:type="gramEnd"/>
      <w:r w:rsidRPr="003665EC">
        <w:t xml:space="preserve"> av tildelingsbrev, oppdragsbrev osv., eller om oppgavene skal fremgå av lov eller forskrift.</w:t>
      </w:r>
    </w:p>
    <w:p w14:paraId="6AE09AFF" w14:textId="77777777" w:rsidR="00000000" w:rsidRPr="003665EC" w:rsidRDefault="003665EC" w:rsidP="003665EC">
      <w:r w:rsidRPr="003665EC">
        <w:t>Departementet hørte derfor to forslag til lovtekst. Alternativ 1 inneholdt en hjemmel for å fastsette forskrift om hvilke oppgaver som krever at Digitaliserings</w:t>
      </w:r>
      <w:r w:rsidRPr="003665EC">
        <w:t>direktoratet har tilgang til taushetsbelagte opplysninger fra Folkeregisteret.</w:t>
      </w:r>
    </w:p>
    <w:p w14:paraId="45A70759" w14:textId="77777777" w:rsidR="00000000" w:rsidRPr="003665EC" w:rsidRDefault="003665EC" w:rsidP="003665EC">
      <w:pPr>
        <w:pStyle w:val="Overskrift2"/>
      </w:pPr>
      <w:r w:rsidRPr="003665EC">
        <w:lastRenderedPageBreak/>
        <w:t>Høringsinstansenes syn</w:t>
      </w:r>
    </w:p>
    <w:p w14:paraId="33D1AB96" w14:textId="77777777" w:rsidR="00000000" w:rsidRPr="003665EC" w:rsidRDefault="003665EC" w:rsidP="003665EC">
      <w:r w:rsidRPr="003665EC">
        <w:t xml:space="preserve">Alle høringsinstansene som har uttalt seg om innholdet i forslaget, og som støtter at Digitaliseringsdirektoratet får tilgang til taushetsbelagte </w:t>
      </w:r>
      <w:r w:rsidRPr="003665EC">
        <w:t>opplysninger i Folkeregisteret, ønsker alternativ 1 i høringsforslaget. Det vil si alternativet med forskriftshjemmel.</w:t>
      </w:r>
    </w:p>
    <w:p w14:paraId="0DB0738F" w14:textId="77777777" w:rsidR="00000000" w:rsidRPr="003665EC" w:rsidRDefault="003665EC" w:rsidP="003665EC">
      <w:pPr>
        <w:rPr>
          <w:rStyle w:val="kursiv"/>
        </w:rPr>
      </w:pPr>
      <w:r w:rsidRPr="003665EC">
        <w:rPr>
          <w:rStyle w:val="kursiv"/>
        </w:rPr>
        <w:t>Statens kartverk</w:t>
      </w:r>
      <w:r w:rsidRPr="003665EC">
        <w:t xml:space="preserve"> uttaler blant annet:</w:t>
      </w:r>
    </w:p>
    <w:p w14:paraId="454DF52A" w14:textId="77777777" w:rsidR="00000000" w:rsidRPr="003665EC" w:rsidRDefault="003665EC" w:rsidP="003665EC">
      <w:pPr>
        <w:pStyle w:val="blokksit"/>
      </w:pPr>
      <w:r w:rsidRPr="003665EC">
        <w:t>«Kartverket stiller seg positive til departementets forslag til hjemmel for tilgang til taushetsbel</w:t>
      </w:r>
      <w:r w:rsidRPr="003665EC">
        <w:t>agte opplysninger fra Folkeregisteret. En slik hjemmel vil bidra til at Digitaliseringsdirektoratet kan videreutvikle og utvide sine fellesløsninger, noe som igjen vil bidra til økt digitalisering og samhandling i offentlig sektor.</w:t>
      </w:r>
    </w:p>
    <w:p w14:paraId="5AC31948" w14:textId="77777777" w:rsidR="00000000" w:rsidRPr="003665EC" w:rsidRDefault="003665EC" w:rsidP="003665EC">
      <w:pPr>
        <w:pStyle w:val="blokksit"/>
      </w:pPr>
      <w:r w:rsidRPr="003665EC">
        <w:t xml:space="preserve">Både </w:t>
      </w:r>
      <w:proofErr w:type="spellStart"/>
      <w:r w:rsidRPr="003665EC">
        <w:t>Altinn</w:t>
      </w:r>
      <w:proofErr w:type="spellEnd"/>
      <w:r w:rsidRPr="003665EC">
        <w:t xml:space="preserve"> og fellesløs</w:t>
      </w:r>
      <w:r w:rsidRPr="003665EC">
        <w:t xml:space="preserve">ning for ID-porten er del av de nasjonale felleskomponentene som er avgjørende for få til mer effektiv elektronisk samhandling. Det er derfor viktig at en slik lovhjemmel kommer på plass slik at Digitaliseringsdirektoratets fellesløsninger kan benyttes av </w:t>
      </w:r>
      <w:r w:rsidRPr="003665EC">
        <w:t>hele offentlig sektor og for å sikre økt tilgjengelighet og bruk av offentlige tjenester på en trygg og god måte.»</w:t>
      </w:r>
    </w:p>
    <w:p w14:paraId="09ADD4DF" w14:textId="77777777" w:rsidR="00000000" w:rsidRPr="003665EC" w:rsidRDefault="003665EC" w:rsidP="003665EC">
      <w:pPr>
        <w:rPr>
          <w:rStyle w:val="kursiv"/>
        </w:rPr>
      </w:pPr>
      <w:r w:rsidRPr="003665EC">
        <w:rPr>
          <w:rStyle w:val="kursiv"/>
        </w:rPr>
        <w:t>Skattedirektoratet</w:t>
      </w:r>
      <w:r w:rsidRPr="003665EC">
        <w:t xml:space="preserve"> er enige i departementets vurderinger knyttet til lovvalg og støtter forslaget om at Digitaliseringsdirektoratets tilgang </w:t>
      </w:r>
      <w:r w:rsidRPr="003665EC">
        <w:t>til taushetsbelagte opplysninger reguleres i en egen lov fremfor å bli innplassert i forvaltningsloven, folkeregisterloven eller vergemålsloven. Skattedirektoratet uttaler videre:</w:t>
      </w:r>
    </w:p>
    <w:p w14:paraId="6CCC3032" w14:textId="77777777" w:rsidR="00000000" w:rsidRPr="003665EC" w:rsidRDefault="003665EC" w:rsidP="003665EC">
      <w:pPr>
        <w:pStyle w:val="blokksit"/>
      </w:pPr>
      <w:r w:rsidRPr="003665EC">
        <w:t xml:space="preserve">«En lovbestemmelse slik departementet har foreslått i § 2 anses å være vid. </w:t>
      </w:r>
      <w:r w:rsidRPr="003665EC">
        <w:t>Forslaget ligner imidlertid formuleringen i andre lover for tilgang til taushetsbelagte opplysninger fra Folkeregisteret, eksempelvis vergemålsloven § 66. Vi vil imidlertid tilføye at bruk og behandling av opplysninger hos konsumenten da ofte er nærmere re</w:t>
      </w:r>
      <w:r w:rsidRPr="003665EC">
        <w:t>gulert i lov og forskrift. Ettersom direktoratets behandling av personopplysninger eller myndighetsområdet ikke er regulert i lov eller forskrift, kan det tale for at direktoratet bør innføre en forskriftsregulering slik det er foreslått i alternativ 1. Vi</w:t>
      </w:r>
      <w:r w:rsidRPr="003665EC">
        <w:t xml:space="preserve">dere skiller direktoratets behandling av personopplysninger seg noe fra andre konsumenter ved at myndighetsområdet er stort og oppgaveporteføljen ikke er like lett tilgjengelig for allmenheten. En forskriftsregulering vil gjøre informasjon om behandlingen </w:t>
      </w:r>
      <w:r w:rsidRPr="003665EC">
        <w:t>av personopplysningene lettere tilgjengelig for allmennheten enn budsjettproposisjonen til Stortinget, direktoratets økonomi – og virksomhetsinstruks og årlige tildelingsbrev gitt av overordnet departement. Forskriftsregulering vil etter Skattedirektoratet</w:t>
      </w:r>
      <w:r w:rsidRPr="003665EC">
        <w:t>s syn være mer i tråd med personvernforordningens prinsipp om lovlig, rettferdig og åpen behandling i artikkel 5 nr. 1 bokstav a enn høringsforslagets alternativ 2»</w:t>
      </w:r>
    </w:p>
    <w:p w14:paraId="7061EF6A" w14:textId="77777777" w:rsidR="00000000" w:rsidRPr="003665EC" w:rsidRDefault="003665EC" w:rsidP="003665EC">
      <w:pPr>
        <w:rPr>
          <w:rStyle w:val="kursiv"/>
        </w:rPr>
      </w:pPr>
      <w:r w:rsidRPr="003665EC">
        <w:rPr>
          <w:rStyle w:val="kursiv"/>
        </w:rPr>
        <w:t>Datatilsynet</w:t>
      </w:r>
      <w:r w:rsidRPr="003665EC">
        <w:t xml:space="preserve"> bemerker blant annet:</w:t>
      </w:r>
    </w:p>
    <w:p w14:paraId="782A9C15" w14:textId="77777777" w:rsidR="00000000" w:rsidRPr="003665EC" w:rsidRDefault="003665EC" w:rsidP="003665EC">
      <w:pPr>
        <w:pStyle w:val="blokksit"/>
      </w:pPr>
      <w:r w:rsidRPr="003665EC">
        <w:t>«Datatilsynet ser positivt på</w:t>
      </w:r>
      <w:r w:rsidRPr="003665EC">
        <w:t xml:space="preserve"> etableringen av en løsning for digital representasjon. Forslaget innebærer imidlertid personvernkonsekvenser, og nødvendiggjør vurderinger som vi mener burde vært synliggjort i høringsnotatet.</w:t>
      </w:r>
    </w:p>
    <w:p w14:paraId="15B2C519" w14:textId="77777777" w:rsidR="00000000" w:rsidRPr="003665EC" w:rsidRDefault="003665EC" w:rsidP="003665EC">
      <w:pPr>
        <w:pStyle w:val="blokksit"/>
      </w:pPr>
      <w:r w:rsidRPr="003665EC">
        <w:t>Vi mener alternativ 2 ikke gir et tilstrekkelig klart behandli</w:t>
      </w:r>
      <w:r w:rsidRPr="003665EC">
        <w:t>ngsgrunnlag sett opp mot kravene i forordningen artikkel 6 nr. 3. I lovkommentaren til personvernforordningen antas det «… å være tilstrekkelig at behandlingen er en nødvendig forutsetning for å utføre oppgaver eller ivareta formål som er fastsatt i lov, f</w:t>
      </w:r>
      <w:r w:rsidRPr="003665EC">
        <w:t xml:space="preserve">orskrift eller vedtak». Innhenting av taushetsbelagte opplysninger fra Folkeregisteret er en inngripende behandling av personopplysninger, og slik vi forstår det </w:t>
      </w:r>
      <w:proofErr w:type="gramStart"/>
      <w:r w:rsidRPr="003665EC">
        <w:t>fremgår</w:t>
      </w:r>
      <w:proofErr w:type="gramEnd"/>
      <w:r w:rsidRPr="003665EC">
        <w:t xml:space="preserve"> </w:t>
      </w:r>
      <w:proofErr w:type="spellStart"/>
      <w:r w:rsidRPr="003665EC">
        <w:t>Digdirs</w:t>
      </w:r>
      <w:proofErr w:type="spellEnd"/>
      <w:r w:rsidRPr="003665EC">
        <w:t xml:space="preserve"> oppgaver hverken av lov, forskrift eller vedtak i medhold av noen av disse.</w:t>
      </w:r>
    </w:p>
    <w:p w14:paraId="0640001D" w14:textId="77777777" w:rsidR="00000000" w:rsidRPr="003665EC" w:rsidRDefault="003665EC" w:rsidP="003665EC">
      <w:pPr>
        <w:pStyle w:val="blokksit"/>
      </w:pPr>
      <w:r w:rsidRPr="003665EC">
        <w:t>Al</w:t>
      </w:r>
      <w:r w:rsidRPr="003665EC">
        <w:t xml:space="preserve">ternativ 1 angir etter vår vurdering en bedre løsning med en positiv opplisting av de relevante oppgavene. Det fremstår imidlertid som noe uklart hvilke opplysninger om vergemål som skal behandles i </w:t>
      </w:r>
      <w:proofErr w:type="spellStart"/>
      <w:r w:rsidRPr="003665EC">
        <w:t>Altinn</w:t>
      </w:r>
      <w:proofErr w:type="spellEnd"/>
      <w:r w:rsidRPr="003665EC">
        <w:t xml:space="preserve"> autorisasjon og hvordan autorisasjonsløsningen fun</w:t>
      </w:r>
      <w:r w:rsidRPr="003665EC">
        <w:t>gerer. Vi kan derfor ikke vurdere om den foreslåtte behandlingen er nødvendig for å utføre oppgavene.»</w:t>
      </w:r>
    </w:p>
    <w:p w14:paraId="60511C92" w14:textId="77777777" w:rsidR="00000000" w:rsidRPr="003665EC" w:rsidRDefault="003665EC" w:rsidP="003665EC">
      <w:pPr>
        <w:rPr>
          <w:rStyle w:val="kursiv"/>
        </w:rPr>
      </w:pPr>
      <w:r w:rsidRPr="003665EC">
        <w:rPr>
          <w:rStyle w:val="kursiv"/>
        </w:rPr>
        <w:lastRenderedPageBreak/>
        <w:t>Profesjonelle vergers forening</w:t>
      </w:r>
      <w:r w:rsidRPr="003665EC">
        <w:t xml:space="preserve"> støtter alternativ 1 i høringsnotatet og uttaler:</w:t>
      </w:r>
    </w:p>
    <w:p w14:paraId="22C1E42F" w14:textId="77777777" w:rsidR="00000000" w:rsidRPr="003665EC" w:rsidRDefault="003665EC" w:rsidP="003665EC">
      <w:pPr>
        <w:pStyle w:val="blokksit"/>
      </w:pPr>
      <w:r w:rsidRPr="003665EC">
        <w:t>«PVI støtter alternativ l i høringsnotatet hvor loven får en egen forskr</w:t>
      </w:r>
      <w:r w:rsidRPr="003665EC">
        <w:t xml:space="preserve">ift og hvor det i forskriften fremgår hvordan og på hvilken måte andre tjenestetilbydere enn de med lovhjemmel og tilgang til </w:t>
      </w:r>
      <w:proofErr w:type="spellStart"/>
      <w:r w:rsidRPr="003665EC">
        <w:t>Altinn</w:t>
      </w:r>
      <w:proofErr w:type="spellEnd"/>
      <w:r w:rsidRPr="003665EC">
        <w:t xml:space="preserve"> autorisasjon skal kunne motta taushetsbelagt informasjon.»</w:t>
      </w:r>
    </w:p>
    <w:p w14:paraId="035B9C12" w14:textId="77777777" w:rsidR="00000000" w:rsidRPr="003665EC" w:rsidRDefault="003665EC" w:rsidP="003665EC">
      <w:pPr>
        <w:rPr>
          <w:rStyle w:val="kursiv"/>
        </w:rPr>
      </w:pPr>
      <w:r w:rsidRPr="003665EC">
        <w:rPr>
          <w:rStyle w:val="kursiv"/>
        </w:rPr>
        <w:t>Statens sivilrettsforvaltning</w:t>
      </w:r>
      <w:r w:rsidRPr="003665EC">
        <w:t xml:space="preserve"> støtter forslaget og uttaler:</w:t>
      </w:r>
    </w:p>
    <w:p w14:paraId="6C7F0C78" w14:textId="77777777" w:rsidR="00000000" w:rsidRPr="003665EC" w:rsidRDefault="003665EC" w:rsidP="003665EC">
      <w:pPr>
        <w:pStyle w:val="blokksit"/>
      </w:pPr>
      <w:r w:rsidRPr="003665EC">
        <w:t>«Ver</w:t>
      </w:r>
      <w:r w:rsidRPr="003665EC">
        <w:t xml:space="preserve">gemålsforvaltningen oppretter i dag digitale vergefullmakter som skal deles gjennom folkeregisteret. Fullmaktene er underlagt taushetsplikt. At digitaliseringsdirektoratet får tilgang på opplysningene til bruk i sin fellesløsning for </w:t>
      </w:r>
      <w:proofErr w:type="gramStart"/>
      <w:r w:rsidRPr="003665EC">
        <w:t>tilgangsstyring</w:t>
      </w:r>
      <w:proofErr w:type="gramEnd"/>
      <w:r w:rsidRPr="003665EC">
        <w:t xml:space="preserve"> gjør d</w:t>
      </w:r>
      <w:r w:rsidRPr="003665EC">
        <w:t xml:space="preserve">et mulig for flere å bruke vergefullmaktene til digital </w:t>
      </w:r>
      <w:proofErr w:type="spellStart"/>
      <w:r w:rsidRPr="003665EC">
        <w:t>fullmaktsrepresentasjon</w:t>
      </w:r>
      <w:proofErr w:type="spellEnd"/>
      <w:r w:rsidRPr="003665EC">
        <w:t>. Forslaget ivaretar vergemålsforvaltningens behov for å gjøre vergefullmaktene tilgjengelig for Digitaliseringsdirektoratets fellesløsning for tilgangsstyring.</w:t>
      </w:r>
    </w:p>
    <w:p w14:paraId="610E3EB2" w14:textId="77777777" w:rsidR="00000000" w:rsidRPr="003665EC" w:rsidRDefault="003665EC" w:rsidP="003665EC">
      <w:pPr>
        <w:pStyle w:val="blokksit"/>
      </w:pPr>
      <w:r w:rsidRPr="003665EC">
        <w:t>Forslaget innebæ</w:t>
      </w:r>
      <w:r w:rsidRPr="003665EC">
        <w:t xml:space="preserve">rer en utvidelse i forhold til forslaget som har vært hørt tidligere i høring om endringer i vergemålsloven – taushetsplikt og digitale vergefullmakter. Utvidelsen består i at Digitaliseringsdirektoratet vil få tilgang til annen taushetsbelagt informasjon </w:t>
      </w:r>
      <w:r w:rsidRPr="003665EC">
        <w:t xml:space="preserve">enn informasjon om vergemål. Det gjør det mulig for Digitaliseringsdirektoratet å legge til rette for andre former for digital </w:t>
      </w:r>
      <w:proofErr w:type="spellStart"/>
      <w:r w:rsidRPr="003665EC">
        <w:t>fullmaktsrepresentasjon</w:t>
      </w:r>
      <w:proofErr w:type="spellEnd"/>
      <w:r w:rsidRPr="003665EC">
        <w:t xml:space="preserve"> i fremtiden, slik som representasjon på bakgrunn av foreldreansvaret, på bakgrunn av fremtidsfullmakter e</w:t>
      </w:r>
      <w:r w:rsidRPr="003665EC">
        <w:t xml:space="preserve">ller på bakgrunn av legalfullmakten i vergemålsloven § 94. SRF mener adgang til digital </w:t>
      </w:r>
      <w:proofErr w:type="spellStart"/>
      <w:r w:rsidRPr="003665EC">
        <w:t>fullmaktsrepresentasjon</w:t>
      </w:r>
      <w:proofErr w:type="spellEnd"/>
      <w:r w:rsidRPr="003665EC">
        <w:t xml:space="preserve"> er viktig for å minske diskriminerende effekter av digital ekskludering.»</w:t>
      </w:r>
    </w:p>
    <w:p w14:paraId="7A880A1A" w14:textId="77777777" w:rsidR="00000000" w:rsidRPr="003665EC" w:rsidRDefault="003665EC" w:rsidP="003665EC">
      <w:pPr>
        <w:rPr>
          <w:rStyle w:val="kursiv"/>
        </w:rPr>
      </w:pPr>
      <w:r w:rsidRPr="003665EC">
        <w:rPr>
          <w:rStyle w:val="kursiv"/>
        </w:rPr>
        <w:t>Justis- og beredskapsdepartementet</w:t>
      </w:r>
      <w:r w:rsidRPr="003665EC">
        <w:t xml:space="preserve"> mener det bør vurderes nærmere om d</w:t>
      </w:r>
      <w:r w:rsidRPr="003665EC">
        <w:t>et er nødvendig med en egen lov om dette, eller om de foreslåtte bestemmelsene kan innplasseres i eksisterende lovgivning. Departementet uttaler videre:</w:t>
      </w:r>
    </w:p>
    <w:p w14:paraId="4FF886AC" w14:textId="77777777" w:rsidR="00000000" w:rsidRPr="003665EC" w:rsidRDefault="003665EC" w:rsidP="003665EC">
      <w:pPr>
        <w:pStyle w:val="blokksit"/>
      </w:pPr>
      <w:r w:rsidRPr="003665EC">
        <w:t>«Vi støtter i utgangspunktet det foreslåtte alternativ 1 til lovtekst. Det er imidlertid noe uklart for</w:t>
      </w:r>
      <w:r w:rsidRPr="003665EC">
        <w:t xml:space="preserve"> oss hva som er ment med forslaget til forskriftsregulering. Det foreslås i § 2 der å regulere hvilke oppgaver som krever innhenting og behandling av taushetsbelagte opplysninger fra Folkeregisteret, men ikke at Digitaliseringsdirektoratet faktisk skal kun</w:t>
      </w:r>
      <w:r w:rsidRPr="003665EC">
        <w:t>ne innhente og behandle de aktuelle opplysningene. Reguleringen framstår dermed ufullstendig og heller ikke i samsvar med den foreslåtte forskriftshjemmelen, hvor det heter at «Kongen kan gi forskrift om Digitaliseringsdirektoratets tilgang til taushetsbel</w:t>
      </w:r>
      <w:r w:rsidRPr="003665EC">
        <w:t xml:space="preserve">agte opplysninger i </w:t>
      </w:r>
      <w:proofErr w:type="gramStart"/>
      <w:r w:rsidRPr="003665EC">
        <w:t>Folkeregisteret…</w:t>
      </w:r>
      <w:proofErr w:type="gramEnd"/>
      <w:r w:rsidRPr="003665EC">
        <w:t>».</w:t>
      </w:r>
    </w:p>
    <w:p w14:paraId="0C535ED0" w14:textId="77777777" w:rsidR="00000000" w:rsidRPr="003665EC" w:rsidRDefault="003665EC" w:rsidP="003665EC">
      <w:pPr>
        <w:pStyle w:val="Overskrift2"/>
      </w:pPr>
      <w:r w:rsidRPr="003665EC">
        <w:t>Departementets vurdering og forslag</w:t>
      </w:r>
    </w:p>
    <w:p w14:paraId="7568FB5F" w14:textId="77777777" w:rsidR="00000000" w:rsidRPr="003665EC" w:rsidRDefault="003665EC" w:rsidP="003665EC">
      <w:r w:rsidRPr="003665EC">
        <w:t>Departementet foreslår at Digitaliseringsdirektoratet får tilgang til taushetsbelagte opplysninger i folkeregisteret i tråd med alternativ 1, gjennom vedtagelse av en lov me</w:t>
      </w:r>
      <w:r w:rsidRPr="003665EC">
        <w:t>d forskriftshjemmel.</w:t>
      </w:r>
    </w:p>
    <w:p w14:paraId="578052FD" w14:textId="77777777" w:rsidR="00000000" w:rsidRPr="003665EC" w:rsidRDefault="003665EC" w:rsidP="003665EC">
      <w:r w:rsidRPr="003665EC">
        <w:t>Enkelte høringsinstanser har påpekt at det er uvanlig at tilgang til taushetsbelagte opplysninger i Folkeregisteret reguleres på denne måten. Departementet har vurdert å innta en hjemmel i forvaltningsloven, folkeregisterloven eller ve</w:t>
      </w:r>
      <w:r w:rsidRPr="003665EC">
        <w:t>rgemålsloven, men anser en egen lov for å være mest hensiktsmessig.</w:t>
      </w:r>
    </w:p>
    <w:p w14:paraId="70FC87E7" w14:textId="77777777" w:rsidR="00000000" w:rsidRPr="003665EC" w:rsidRDefault="003665EC" w:rsidP="003665EC">
      <w:r w:rsidRPr="003665EC">
        <w:t>Forvaltningsloven er en generell lov som hjemler forvaltningens regler for saksbehandling, habilitet, klagebehandling m.m. Departementet mener at en spesifikk hjemmel som kun gjelder et en</w:t>
      </w:r>
      <w:r w:rsidRPr="003665EC">
        <w:t>kelt direktorats tilgang til taushetsbelagte opplysninger i Folkeregisteret, lovteknisk sett ikke passer i forvaltningsloven.</w:t>
      </w:r>
    </w:p>
    <w:p w14:paraId="22F69A83" w14:textId="77777777" w:rsidR="00000000" w:rsidRPr="003665EC" w:rsidRDefault="003665EC" w:rsidP="003665EC">
      <w:r w:rsidRPr="003665EC">
        <w:t xml:space="preserve">De samme hensyn som omtalt ovenfor når det gjelder forvaltningsloven, gjør seg også gjeldende når det gjelder folkeregisterloven. </w:t>
      </w:r>
      <w:r w:rsidRPr="003665EC">
        <w:t xml:space="preserve">Departementet mener at en spesifikk hjemmel som kun gjelder </w:t>
      </w:r>
      <w:r w:rsidRPr="003665EC">
        <w:lastRenderedPageBreak/>
        <w:t>et enkelt direktorats tilgang til taushetsbelagte opplysninger i Folkeregisteret, lovteknisk sett ikke passer i folkeregisterloven.</w:t>
      </w:r>
    </w:p>
    <w:p w14:paraId="69925526" w14:textId="77777777" w:rsidR="00000000" w:rsidRPr="003665EC" w:rsidRDefault="003665EC" w:rsidP="003665EC">
      <w:r w:rsidRPr="003665EC">
        <w:t>Som nevnt i kapittel 3.1.2 har Justis- og beredskapsdepartemente</w:t>
      </w:r>
      <w:r w:rsidRPr="003665EC">
        <w:t>t fremmet en lovproposisjon om endringer i vergemålsloven (Prop. 141 L (2021–2022)). Forslaget som var på høring, omfattet blant annet en hjemmel for Kongen til å gi nærmere regler i forskrift om adgangen til å gjøre opplysninger om vergemål kjent for andr</w:t>
      </w:r>
      <w:r w:rsidRPr="003665EC">
        <w:t>e, samt en forskriftshjemmel for Digitaliseringsdirektoratets tilgang til taushetsbelagte opplysninger om vergemål. Justis- og beredskapsdepartementets forslag i høringsnotatet dekket imidlertid ikke hjemmelsbehovet til Digitaliseringsdirektoratet fullt ut</w:t>
      </w:r>
      <w:r w:rsidRPr="003665EC">
        <w:t>, ettersom endringen ikke dekket tilgang til taushetsbelagte opplysninger i Folkeregisteret knyttet til foreldre, barn, foreldreansvar og familierelasjon. Justis- og beredskapsdepartementet viser i proposisjonen om endringer i vergemålsloven, til at Kommun</w:t>
      </w:r>
      <w:r w:rsidRPr="003665EC">
        <w:t xml:space="preserve">al- og </w:t>
      </w:r>
      <w:proofErr w:type="spellStart"/>
      <w:r w:rsidRPr="003665EC">
        <w:t>distriktsdepartementet</w:t>
      </w:r>
      <w:proofErr w:type="spellEnd"/>
      <w:r w:rsidRPr="003665EC">
        <w:t xml:space="preserve"> jobber med en egen lov om slik tilgang, og følger derfor ikke opp høringsnotatets forslag til nevnte forskriftshjemler.</w:t>
      </w:r>
    </w:p>
    <w:p w14:paraId="2DD99089" w14:textId="77777777" w:rsidR="00000000" w:rsidRPr="003665EC" w:rsidRDefault="003665EC" w:rsidP="003665EC">
      <w:r w:rsidRPr="003665EC">
        <w:t>Digitaliseringsdirektoratet har behov for tilgang til taushetsbelagte opplysninger i Folkeregisteret. Depa</w:t>
      </w:r>
      <w:r w:rsidRPr="003665EC">
        <w:t xml:space="preserve">rtementet forslår i forslaget § 1 at Digitaliseringsdirektoratet uten hinder av taushetsplikt kan innhente og behandle opplysninger fra Folkeregisteret som er nødvendige for å løse direktoratets oppgaver slik disse </w:t>
      </w:r>
      <w:proofErr w:type="gramStart"/>
      <w:r w:rsidRPr="003665EC">
        <w:t>fremgår</w:t>
      </w:r>
      <w:proofErr w:type="gramEnd"/>
      <w:r w:rsidRPr="003665EC">
        <w:t xml:space="preserve"> av forskrift.</w:t>
      </w:r>
    </w:p>
    <w:p w14:paraId="0E8AA9AB" w14:textId="77777777" w:rsidR="00000000" w:rsidRPr="003665EC" w:rsidRDefault="003665EC" w:rsidP="003665EC">
      <w:r w:rsidRPr="003665EC">
        <w:t>Direktoratets tilga</w:t>
      </w:r>
      <w:r w:rsidRPr="003665EC">
        <w:t xml:space="preserve">ng til taushetsbelagte opplysninger i Folkeregisteret er for eksempel avgjørende for </w:t>
      </w:r>
      <w:proofErr w:type="spellStart"/>
      <w:r w:rsidRPr="003665EC">
        <w:t>Altinn</w:t>
      </w:r>
      <w:proofErr w:type="spellEnd"/>
      <w:r w:rsidRPr="003665EC">
        <w:t xml:space="preserve"> autorisasjon. Dette gjelder for eksempel tilgang til opplysninger om vergemål og opplysninger om foreldreansvar, foreldre, barn og familierelasjon.</w:t>
      </w:r>
    </w:p>
    <w:p w14:paraId="789BCD0D" w14:textId="77777777" w:rsidR="00000000" w:rsidRPr="003665EC" w:rsidRDefault="003665EC" w:rsidP="003665EC">
      <w:r w:rsidRPr="003665EC">
        <w:t>Opplysning om fo</w:t>
      </w:r>
      <w:r w:rsidRPr="003665EC">
        <w:t>reldreansvar, foreldre, barn og familierelasjon i Folkeregisteret er underlagt taushetsplikt etter folkeregisterloven. Offentlige virksomheter trenger egen hjemmel i lov for tilgang til taushetsbelagte opplysninger i Folkeregisteret, jf. omtale av folkereg</w:t>
      </w:r>
      <w:r w:rsidRPr="003665EC">
        <w:t>isterloven i kapittel 3.1 ovenfor.</w:t>
      </w:r>
    </w:p>
    <w:p w14:paraId="0C1653F4" w14:textId="77777777" w:rsidR="00000000" w:rsidRPr="003665EC" w:rsidRDefault="003665EC" w:rsidP="003665EC">
      <w:r w:rsidRPr="003665EC">
        <w:t xml:space="preserve">Digitaliseringsdirektoratet, som er forvalter av blant annet </w:t>
      </w:r>
      <w:proofErr w:type="spellStart"/>
      <w:r w:rsidRPr="003665EC">
        <w:t>Altinn</w:t>
      </w:r>
      <w:proofErr w:type="spellEnd"/>
      <w:r w:rsidRPr="003665EC">
        <w:t xml:space="preserve"> autorisasjon, har p.t. ikke hjemmel til å få utlevert taushetsbelagte opplysninger fra Folkeregisteret. Hjemmel i lov til å motta taushetsbelagte opplysn</w:t>
      </w:r>
      <w:r w:rsidRPr="003665EC">
        <w:t xml:space="preserve">inger fra Folkeregisteret, er derfor en forutsetning for at blant annet digital representasjon av vergeforhold og foreldreansvar i </w:t>
      </w:r>
      <w:proofErr w:type="spellStart"/>
      <w:r w:rsidRPr="003665EC">
        <w:t>Altinn</w:t>
      </w:r>
      <w:proofErr w:type="spellEnd"/>
      <w:r w:rsidRPr="003665EC">
        <w:t xml:space="preserve"> autorisasjon skal fungere.</w:t>
      </w:r>
    </w:p>
    <w:p w14:paraId="4F9F5E3A" w14:textId="77777777" w:rsidR="00000000" w:rsidRPr="003665EC" w:rsidRDefault="003665EC" w:rsidP="003665EC">
      <w:proofErr w:type="spellStart"/>
      <w:r w:rsidRPr="003665EC">
        <w:t>Altinn</w:t>
      </w:r>
      <w:proofErr w:type="spellEnd"/>
      <w:r w:rsidRPr="003665EC">
        <w:t xml:space="preserve"> autorisasjon er en nasjonal fellesløs</w:t>
      </w:r>
      <w:r w:rsidRPr="003665EC">
        <w:t>ning som kan benyttes av hele offentlig sektor for tilgangsstyring og tilgangskontroll.</w:t>
      </w:r>
    </w:p>
    <w:p w14:paraId="2FEEC5D1" w14:textId="77777777" w:rsidR="00000000" w:rsidRPr="003665EC" w:rsidRDefault="003665EC" w:rsidP="003665EC">
      <w:r w:rsidRPr="003665EC">
        <w:t xml:space="preserve">Behovet for en </w:t>
      </w:r>
      <w:proofErr w:type="spellStart"/>
      <w:r w:rsidRPr="003665EC">
        <w:t>fullmaktsfunksjonalitet</w:t>
      </w:r>
      <w:proofErr w:type="spellEnd"/>
      <w:r w:rsidRPr="003665EC">
        <w:t xml:space="preserve"> for innbyggere øker når flere tjenester fra det offentlige digitaliseres (prinsippet om digitalt førstevalg), samtidig som en del</w:t>
      </w:r>
      <w:r w:rsidRPr="003665EC">
        <w:t xml:space="preserve"> grupper ikke selv fullt ut kan benytte digitale tjenester.</w:t>
      </w:r>
    </w:p>
    <w:p w14:paraId="7627A83B" w14:textId="77777777" w:rsidR="00000000" w:rsidRPr="003665EC" w:rsidRDefault="003665EC" w:rsidP="003665EC">
      <w:r w:rsidRPr="003665EC">
        <w:t>Personer har ulike forutsetninger for digital deltakelse. Noen kan bruke digitale verktøy, men likevel ikke ta del i det offentlige digitale tjenestetilbudet. Digitalt utenforskap innebærer mangle</w:t>
      </w:r>
      <w:r w:rsidRPr="003665EC">
        <w:t xml:space="preserve">nde tilgang til eller mulighet til å bruke digitale tjenester som er nødvendige for å få innfridd sine rettigheter. Befolkningen i Norge bruker internett og digitale verktøy ofte og mye. Det er imidlertid flere faktorer som påvirker sannsynligheten for at </w:t>
      </w:r>
      <w:r w:rsidRPr="003665EC">
        <w:t>personer ikke bruker digitale verktøy, sånn som alder, funksjonsnedsettelser og digitale ferdigheter. Så mange som 600.000 nordmenn er ikke-digitale.</w:t>
      </w:r>
    </w:p>
    <w:p w14:paraId="6A6DE04F" w14:textId="77777777" w:rsidR="00000000" w:rsidRPr="003665EC" w:rsidRDefault="003665EC" w:rsidP="003665EC">
      <w:r w:rsidRPr="003665EC">
        <w:lastRenderedPageBreak/>
        <w:t>Tiltaket «Fullmakter og andre representasjonsforhold for innbyggere» (</w:t>
      </w:r>
      <w:proofErr w:type="spellStart"/>
      <w:r w:rsidRPr="003665EC">
        <w:t>Fufinn</w:t>
      </w:r>
      <w:proofErr w:type="spellEnd"/>
      <w:r w:rsidRPr="003665EC">
        <w:t>) er et tverretatlig samarbeid</w:t>
      </w:r>
      <w:r w:rsidRPr="003665EC">
        <w:t xml:space="preserve"> initiert av Skate (Styring og koordinering av tjenester i e-forvaltning). Prosjektet koordineres av Digitaliseringsdirektoratet. Øvrige deltakere er NAV, Sivilrettsforvaltningen, Skatteetaten, Direktoratet for e-helse, Tilsynsrådet for advokatvirksomhet o</w:t>
      </w:r>
      <w:r w:rsidRPr="003665EC">
        <w:t>g KS.</w:t>
      </w:r>
    </w:p>
    <w:p w14:paraId="144320BA" w14:textId="77777777" w:rsidR="00000000" w:rsidRPr="003665EC" w:rsidRDefault="003665EC" w:rsidP="003665EC">
      <w:proofErr w:type="spellStart"/>
      <w:r w:rsidRPr="003665EC">
        <w:t>Fufinn</w:t>
      </w:r>
      <w:proofErr w:type="spellEnd"/>
      <w:r w:rsidRPr="003665EC">
        <w:t xml:space="preserve"> handler overordnet om behovet for å kunne sørge for en digital, sikker og effektiv kommunikasjon mellom forvaltningen og innbygger som ivaretar nødvendig rettssikkerhet og personvern – både for innbyggere som representerer seg selv og for dem </w:t>
      </w:r>
      <w:r w:rsidRPr="003665EC">
        <w:t xml:space="preserve">som representeres av andre. Fellesfunksjonaliteten for fullmakter og andre representasjonsforhold for innbyggere er lagt til </w:t>
      </w:r>
      <w:proofErr w:type="spellStart"/>
      <w:r w:rsidRPr="003665EC">
        <w:t>Altinn</w:t>
      </w:r>
      <w:proofErr w:type="spellEnd"/>
      <w:r w:rsidRPr="003665EC">
        <w:t xml:space="preserve"> autorisasjon. I autorisasjonsløsningen skal opplysningene om blant annet vergemålet og omfanget av vergens fullmakt (detalje</w:t>
      </w:r>
      <w:r w:rsidRPr="003665EC">
        <w:t>rte vergemålsopplysninger) benyttes for at verger skal få tilgang til å utføre nødvendige tjenester på vegne av vergehaver, og opplysninger om foreldre, barn, familierelasjon og foreldreansvar benyttes for at en forelder skal kunne opptre på vegne av barn.</w:t>
      </w:r>
    </w:p>
    <w:p w14:paraId="6E4B33DE" w14:textId="77777777" w:rsidR="00000000" w:rsidRPr="003665EC" w:rsidRDefault="003665EC" w:rsidP="003665EC">
      <w:proofErr w:type="spellStart"/>
      <w:r w:rsidRPr="003665EC">
        <w:t>Altinn</w:t>
      </w:r>
      <w:proofErr w:type="spellEnd"/>
      <w:r w:rsidRPr="003665EC">
        <w:t xml:space="preserve"> autorisasjon skal ikke utlevere taushetsbelagte opplysninger fra Folkeregisteret til andre offentlige etater. Opplysningene brukes på den måten at en offentlig etat, for eksempel NAV, kan gjøre en spørring mot </w:t>
      </w:r>
      <w:proofErr w:type="spellStart"/>
      <w:r w:rsidRPr="003665EC">
        <w:t>Altinn</w:t>
      </w:r>
      <w:proofErr w:type="spellEnd"/>
      <w:r w:rsidRPr="003665EC">
        <w:t xml:space="preserve"> autorisasjon – har Hans Hansen </w:t>
      </w:r>
      <w:r w:rsidRPr="003665EC">
        <w:t xml:space="preserve">rett til å representere Kari Olsen i denne konkrete tjenesten? – og få et bekreftende eller avkreftende svar tilbake. NAV får da ikke vite hvorfor Hans Hansen har rett til å representere Kari Olsen – om det for eksempel er på bakgrunn av vergemål eller en </w:t>
      </w:r>
      <w:r w:rsidRPr="003665EC">
        <w:t>fullmakt av et annet slag.</w:t>
      </w:r>
    </w:p>
    <w:p w14:paraId="5611C39C" w14:textId="77777777" w:rsidR="00000000" w:rsidRPr="003665EC" w:rsidRDefault="003665EC" w:rsidP="003665EC">
      <w:r w:rsidRPr="003665EC">
        <w:t xml:space="preserve">Et annet område der Digitaliseringsdirektoratet har behov for tilgang til opplysninger som er taushetsbelagt er utstedelse av </w:t>
      </w:r>
      <w:proofErr w:type="spellStart"/>
      <w:r w:rsidRPr="003665EC">
        <w:t>MinID</w:t>
      </w:r>
      <w:proofErr w:type="spellEnd"/>
      <w:r w:rsidRPr="003665EC">
        <w:t xml:space="preserve">. Digitaliseringsdirektoratet er selvdeklarert utsteder av </w:t>
      </w:r>
      <w:proofErr w:type="spellStart"/>
      <w:r w:rsidRPr="003665EC">
        <w:t>MinID</w:t>
      </w:r>
      <w:proofErr w:type="spellEnd"/>
      <w:r w:rsidRPr="003665EC">
        <w:t xml:space="preserve">, en </w:t>
      </w:r>
      <w:proofErr w:type="spellStart"/>
      <w:r w:rsidRPr="003665EC">
        <w:t>eID</w:t>
      </w:r>
      <w:proofErr w:type="spellEnd"/>
      <w:r w:rsidRPr="003665EC">
        <w:t xml:space="preserve"> som oppfyller krav til </w:t>
      </w:r>
      <w:proofErr w:type="spellStart"/>
      <w:r w:rsidRPr="003665EC">
        <w:t>eI</w:t>
      </w:r>
      <w:r w:rsidRPr="003665EC">
        <w:t>DAS</w:t>
      </w:r>
      <w:proofErr w:type="spellEnd"/>
      <w:r w:rsidRPr="003665EC">
        <w:t xml:space="preserve"> nivå betydelig. </w:t>
      </w:r>
      <w:proofErr w:type="spellStart"/>
      <w:r w:rsidRPr="003665EC">
        <w:t>MinID</w:t>
      </w:r>
      <w:proofErr w:type="spellEnd"/>
      <w:r w:rsidRPr="003665EC">
        <w:t xml:space="preserve"> er allerede lettere tilgjengelig enn </w:t>
      </w:r>
      <w:proofErr w:type="spellStart"/>
      <w:r w:rsidRPr="003665EC">
        <w:t>eIDene</w:t>
      </w:r>
      <w:proofErr w:type="spellEnd"/>
      <w:r w:rsidRPr="003665EC">
        <w:t xml:space="preserve"> på nivå høyt. Første del av utstedelsesprosessen er sending av aktiveringsbrev til innbyggers folkeregistrerte adresse. Dette er et tiltak som skal sikre at det er rett person som inneha</w:t>
      </w:r>
      <w:r w:rsidRPr="003665EC">
        <w:t xml:space="preserve">r </w:t>
      </w:r>
      <w:proofErr w:type="spellStart"/>
      <w:r w:rsidRPr="003665EC">
        <w:t>eIDen</w:t>
      </w:r>
      <w:proofErr w:type="spellEnd"/>
      <w:r w:rsidRPr="003665EC">
        <w:t xml:space="preserve"> i tråd med kravene i forskrift om selvdeklarasjon av ordninger for elektronisk identifikasjon. For innbyggere som har klientadresser og adresser som er fortrolige utgjør taushetsplikten etter folkeregisterloven et hinder for utstedelse av </w:t>
      </w:r>
      <w:proofErr w:type="spellStart"/>
      <w:r w:rsidRPr="003665EC">
        <w:t>MinID</w:t>
      </w:r>
      <w:proofErr w:type="spellEnd"/>
      <w:r w:rsidRPr="003665EC">
        <w:t>. Ve</w:t>
      </w:r>
      <w:r w:rsidRPr="003665EC">
        <w:t xml:space="preserve">d å også kunne hente adresser som er underlagt taushetsplikt, vil man i større grad kunne forhindre digital utenforskap og sikre </w:t>
      </w:r>
      <w:proofErr w:type="gramStart"/>
      <w:r w:rsidRPr="003665EC">
        <w:t>flere tilgang</w:t>
      </w:r>
      <w:proofErr w:type="gramEnd"/>
      <w:r w:rsidRPr="003665EC">
        <w:t xml:space="preserve"> til offentlige digitale tjenester.</w:t>
      </w:r>
    </w:p>
    <w:p w14:paraId="028A0A2C" w14:textId="77777777" w:rsidR="00000000" w:rsidRPr="003665EC" w:rsidRDefault="003665EC" w:rsidP="003665EC">
      <w:r w:rsidRPr="003665EC">
        <w:t>I tillegg til behovene Digitaliseringsdirektoratet har for tilgang til taushet</w:t>
      </w:r>
      <w:r w:rsidRPr="003665EC">
        <w:t xml:space="preserve">sbelagte opplysninger knyttet til </w:t>
      </w:r>
      <w:proofErr w:type="spellStart"/>
      <w:r w:rsidRPr="003665EC">
        <w:t>Altinn</w:t>
      </w:r>
      <w:proofErr w:type="spellEnd"/>
      <w:r w:rsidRPr="003665EC">
        <w:t xml:space="preserve"> autorisasjon og </w:t>
      </w:r>
      <w:proofErr w:type="spellStart"/>
      <w:r w:rsidRPr="003665EC">
        <w:t>MinID</w:t>
      </w:r>
      <w:proofErr w:type="spellEnd"/>
      <w:r w:rsidRPr="003665EC">
        <w:t>, vil direktoratet kunne ha behov for tilgang til taushetsbelagte opplysninger i Folkeregisteret i forbindelse med gjennomføring av andre oppgaver. Konkretisering av hvilke oppgaver Digitaliseri</w:t>
      </w:r>
      <w:r w:rsidRPr="003665EC">
        <w:t>ngsdirektoratet har som krever tilgang til taushetsbelagte opplysninger i Folkeregisteret, vil gjøres i forskrift etter lovforslaget § 1.</w:t>
      </w:r>
    </w:p>
    <w:p w14:paraId="04B4ECF1" w14:textId="77777777" w:rsidR="00000000" w:rsidRPr="003665EC" w:rsidRDefault="003665EC" w:rsidP="003665EC">
      <w:r w:rsidRPr="003665EC">
        <w:t>Ved å forskriftsfeste behovene for tilgang til taushetsbelagte opplysninger i Folkeregisteret, tar departementet høyde</w:t>
      </w:r>
      <w:r w:rsidRPr="003665EC">
        <w:t xml:space="preserve"> for en rask digital utvikling og endring av behov, samtidig som kravene etter personvernforordningen ivaretas. En detaljering i lovtekst vil være lite fleksibelt for videre utvikling av de løsninger og oppgaver som Digitaliseringsdirektoratet har, og vil </w:t>
      </w:r>
      <w:r w:rsidRPr="003665EC">
        <w:t>kunne få, fremover.</w:t>
      </w:r>
    </w:p>
    <w:p w14:paraId="2BF27A73" w14:textId="77777777" w:rsidR="00000000" w:rsidRPr="003665EC" w:rsidRDefault="003665EC" w:rsidP="003665EC">
      <w:r w:rsidRPr="003665EC">
        <w:t xml:space="preserve">Nye behov vil bli underlagt en vurdering av om behandling av personopplysningene er i tråd med personvernforordningens artikkel 5 om prinsipper for behandling av personopplysninger, før det </w:t>
      </w:r>
      <w:r w:rsidRPr="003665EC">
        <w:lastRenderedPageBreak/>
        <w:t>er aktuelt å innta behovene i forskriften. For</w:t>
      </w:r>
      <w:r w:rsidRPr="003665EC">
        <w:t>skriftsendringer vil også sendes på alminnelig høring.</w:t>
      </w:r>
    </w:p>
    <w:p w14:paraId="10504E49" w14:textId="77777777" w:rsidR="00000000" w:rsidRPr="003665EC" w:rsidRDefault="003665EC" w:rsidP="003665EC">
      <w:r w:rsidRPr="003665EC">
        <w:t xml:space="preserve">Departementet foreslår at hjemmelen i § 1, kombinert med forskrift, gir Digitaliseringsdirektoratet supplerende hjemmelsgrunnlag i nasjonal rett for behandling av taushetsbelagte opplysninger utlevert </w:t>
      </w:r>
      <w:r w:rsidRPr="003665EC">
        <w:t>fra Folkeregisteret, jf. personvernforordningen art. 6 nr. 1 og omtalene av gjeldende rett under kapittel 3.1.3.</w:t>
      </w:r>
    </w:p>
    <w:p w14:paraId="73D7F9CE" w14:textId="77777777" w:rsidR="00000000" w:rsidRPr="003665EC" w:rsidRDefault="003665EC" w:rsidP="003665EC">
      <w:r w:rsidRPr="003665EC">
        <w:t>Datatilsynet har påpekt at det i høringsnotatet burde vært tatt eksplisitt stilling til hva det aktuelle grunnlaget i personvernforordningen er</w:t>
      </w:r>
      <w:r w:rsidRPr="003665EC">
        <w:t>. De antar at det aktuelle grunnlaget vil være art. 6 nr. 1 bokstav e. Grunnlaget for den enkelte behandlingen av de taushetsbelagte opplysningene kan variere utfra hvilket formål behandlingen har. For eksempel vil grunnlaget for behandling av opplysninger</w:t>
      </w:r>
      <w:r w:rsidRPr="003665EC">
        <w:t xml:space="preserve"> fra Folkeregisteret om vergemål kunne være et annet enn for behandling av opplysninger fra Folkeregisteret om adresser som er fortrolige, strengt fortrolige eller klientadresser. Behandlingsgrunnlag for det enkelte behov vil bli vurdert i forbindelse med </w:t>
      </w:r>
      <w:r w:rsidRPr="003665EC">
        <w:t>vedtakelse og endringer av forskrift etter forslaget § 1.</w:t>
      </w:r>
    </w:p>
    <w:p w14:paraId="3F974DA2" w14:textId="77777777" w:rsidR="00000000" w:rsidRPr="003665EC" w:rsidRDefault="003665EC" w:rsidP="003665EC">
      <w:r w:rsidRPr="003665EC">
        <w:t>Personvernforordningen stiller særlige krav til lovligheten av behandlingen når opplysningene som deles, utgjør «særlige kategorier» av personopplysninger. Dette omfatter blant annet helseopplysning</w:t>
      </w:r>
      <w:r w:rsidRPr="003665EC">
        <w:t>er, som etter forholdene kan fremgå direkte og indirekte av granulerte opplysninger om vergemål. Behandling av slike opplysninger kan bare skje når vilkårene i personvernforordningen artikkel 9 nr. 2 er oppfylt. Departementet mener vilkårene i artikkel 9 n</w:t>
      </w:r>
      <w:r w:rsidRPr="003665EC">
        <w:t>r. 2 bokstav g er oppfylt ved regulering i forskrift etter forslaget § 1.</w:t>
      </w:r>
    </w:p>
    <w:p w14:paraId="2A8A1067" w14:textId="77777777" w:rsidR="00000000" w:rsidRPr="003665EC" w:rsidRDefault="003665EC" w:rsidP="003665EC">
      <w:r w:rsidRPr="003665EC">
        <w:t>Forskrift hjemlet i forslaget § 1 vil også kunne regulere behandling av personopplysninger som regulert i personvernforordningen artikkel 10. Det vil kunne tenkes behov for at Digita</w:t>
      </w:r>
      <w:r w:rsidRPr="003665EC">
        <w:t xml:space="preserve">liseringsdirektoratet behandler opplysninger som viser at personer har bostedsadresse i for eksempel et fengsel. </w:t>
      </w:r>
      <w:proofErr w:type="spellStart"/>
      <w:r w:rsidRPr="003665EC">
        <w:t>Ustedelse</w:t>
      </w:r>
      <w:proofErr w:type="spellEnd"/>
      <w:r w:rsidRPr="003665EC">
        <w:t xml:space="preserve"> av </w:t>
      </w:r>
      <w:proofErr w:type="spellStart"/>
      <w:r w:rsidRPr="003665EC">
        <w:t>MinID</w:t>
      </w:r>
      <w:proofErr w:type="spellEnd"/>
      <w:r w:rsidRPr="003665EC">
        <w:t xml:space="preserve"> og bruk av adresser i den sammenheng, vil derfor kunne innebære behandling av opplysninger som kan tenkes omfattet av forord</w:t>
      </w:r>
      <w:r w:rsidRPr="003665EC">
        <w:t>ningen artikkel 10.</w:t>
      </w:r>
    </w:p>
    <w:p w14:paraId="0DA3FD03" w14:textId="77777777" w:rsidR="00000000" w:rsidRPr="003665EC" w:rsidRDefault="003665EC" w:rsidP="003665EC">
      <w:pPr>
        <w:pStyle w:val="Overskrift1"/>
      </w:pPr>
      <w:r w:rsidRPr="003665EC">
        <w:t>Personvernkonsekvenser for de opplysningene gjelder</w:t>
      </w:r>
    </w:p>
    <w:p w14:paraId="672E1B67" w14:textId="77777777" w:rsidR="00000000" w:rsidRPr="003665EC" w:rsidRDefault="003665EC" w:rsidP="003665EC">
      <w:r w:rsidRPr="003665EC">
        <w:t xml:space="preserve">Departementet understreker at opplysningene Digitaliseringsdirektoratet innhenter fra Folkeregisteret må behandles iht. reglene om behandling av personopplysninger. Videre gjelder </w:t>
      </w:r>
      <w:r w:rsidRPr="003665EC">
        <w:t>forvaltningslovens regler om taushetsplikt for Digitaliseringsdirektoratet og de opplysningene som det innhenter.</w:t>
      </w:r>
    </w:p>
    <w:p w14:paraId="6EDE2AE9" w14:textId="77777777" w:rsidR="00000000" w:rsidRPr="003665EC" w:rsidRDefault="003665EC" w:rsidP="003665EC">
      <w:r w:rsidRPr="003665EC">
        <w:t>Innhenting og behandling av taushetsbelagte opplysninger fra Folkeregisteret kan ha personvernkonsekvenser for de opplysningene gjelder.</w:t>
      </w:r>
    </w:p>
    <w:p w14:paraId="5C212D72" w14:textId="77777777" w:rsidR="00000000" w:rsidRPr="003665EC" w:rsidRDefault="003665EC" w:rsidP="003665EC">
      <w:r w:rsidRPr="003665EC">
        <w:t>Den s</w:t>
      </w:r>
      <w:r w:rsidRPr="003665EC">
        <w:t>tørste risikoen for de registrerte er at opplysninger som Digitaliseringsdirektoratet mottar kommer på avveie. Opplysningene i lovforslaget er av en art som gjør at brudd på konfidensialitet kan få konsekvenser for den registrertes rettigheter og friheter.</w:t>
      </w:r>
      <w:r w:rsidRPr="003665EC">
        <w:t xml:space="preserve"> Konsekvensene kan være knyttet til både tap av aktelse og spredning av sensitiv informasjon.</w:t>
      </w:r>
    </w:p>
    <w:p w14:paraId="7FD9518A" w14:textId="77777777" w:rsidR="00000000" w:rsidRPr="003665EC" w:rsidRDefault="003665EC" w:rsidP="003665EC">
      <w:r w:rsidRPr="003665EC">
        <w:t xml:space="preserve">Tilgangen til folkeregisteret er basert på rettighetspakker. Det er opp til mottaker både å bruke tilgjengelige tekniske funksjoner og å gjøre tiltak på sin side </w:t>
      </w:r>
      <w:r w:rsidRPr="003665EC">
        <w:t xml:space="preserve">for å ivareta prinsippet om dataminimering. </w:t>
      </w:r>
      <w:proofErr w:type="gramStart"/>
      <w:r w:rsidRPr="003665EC">
        <w:t>I følge</w:t>
      </w:r>
      <w:proofErr w:type="gramEnd"/>
      <w:r w:rsidRPr="003665EC">
        <w:t xml:space="preserve"> beskrivelsene av folkeregisterets API er det mulig å begrense spørringen til </w:t>
      </w:r>
      <w:r w:rsidRPr="003665EC">
        <w:lastRenderedPageBreak/>
        <w:t>å omfatte spesifikke informasjonselementer som «navn» og «postadresse». Digitaliseringsdirektoratet sine løsninger etterlever p</w:t>
      </w:r>
      <w:r w:rsidRPr="003665EC">
        <w:t>rinsippet om dataminimering, og henter bare opplysninger som er nødvendige for å utøve oppgavene.</w:t>
      </w:r>
    </w:p>
    <w:p w14:paraId="4F1A2740" w14:textId="77777777" w:rsidR="00000000" w:rsidRPr="003665EC" w:rsidRDefault="003665EC" w:rsidP="003665EC">
      <w:r w:rsidRPr="003665EC">
        <w:t>Digitaliseringsdirektoratet ivaretar personopplysningssikkerheten gjennom tekniske og organisatoriske tiltak som står i forhold til opplysningene som behandle</w:t>
      </w:r>
      <w:r w:rsidRPr="003665EC">
        <w:t>s, og gjennomfører jevnlige trussel- og risikovurderinger. Tilgangen til opplysningene internt er svært begrenset, og det er forutsatt at personopplysningene bare skal behandles av systemer, og ikke personer. Opplysninger vil ikke bli lagret lenger enn nød</w:t>
      </w:r>
      <w:r w:rsidRPr="003665EC">
        <w:t>vendig for å ivareta formålet med behandlingen. Videre har direktoratet sletterutiner som evalueres jevnlig. For eksempel vil navn og folkeregistrert adresse slettes innen 30 dager etter at et brev med aktiveringskode er sendt til den som ber om å få utste</w:t>
      </w:r>
      <w:r w:rsidRPr="003665EC">
        <w:t xml:space="preserve">dt </w:t>
      </w:r>
      <w:proofErr w:type="spellStart"/>
      <w:r w:rsidRPr="003665EC">
        <w:t>MinID</w:t>
      </w:r>
      <w:proofErr w:type="spellEnd"/>
      <w:r w:rsidRPr="003665EC">
        <w:t>.</w:t>
      </w:r>
    </w:p>
    <w:p w14:paraId="39608F80" w14:textId="77777777" w:rsidR="00000000" w:rsidRPr="003665EC" w:rsidRDefault="003665EC" w:rsidP="003665EC">
      <w:r w:rsidRPr="003665EC">
        <w:t>Behandling av taushetsbelagte opplysninger fra Folkeregisteret er etter departementets vurdering nødvendig for å ivareta den registrertes vitale interesser og for å utføre oppgaver av allmenn interesse. Det er departementets vurdering at rettighe</w:t>
      </w:r>
      <w:r w:rsidRPr="003665EC">
        <w:t>tene og pliktene til de registrerte kan ivaretas bedre ved at Digitaliseringsdirektoratet kan benytte taushetspliktige opplysninger fra Folkeregisteret i sin oppgaveløsing. Det vil gagne innbyggerne å kunne få tilgang til digitale tjenester fra offentlig s</w:t>
      </w:r>
      <w:r w:rsidRPr="003665EC">
        <w:t>ektor. I en del tilfeller vil mangelen på deling av opplysningene, med den følge at innbyggere ikke får tatt i bruk digitale løsninger, medføre en risiko for tap av økonomiske rettigheter. Også dette er et betydelig inngrep i registrertes rettigheter og fr</w:t>
      </w:r>
      <w:r w:rsidRPr="003665EC">
        <w:t>iheter.</w:t>
      </w:r>
    </w:p>
    <w:p w14:paraId="486E05C1" w14:textId="77777777" w:rsidR="00000000" w:rsidRPr="003665EC" w:rsidRDefault="003665EC" w:rsidP="003665EC">
      <w:pPr>
        <w:pStyle w:val="Overskrift1"/>
      </w:pPr>
      <w:r w:rsidRPr="003665EC">
        <w:t>Økonomiske og administrative konsekvenser</w:t>
      </w:r>
    </w:p>
    <w:p w14:paraId="3FDF984D" w14:textId="77777777" w:rsidR="00000000" w:rsidRPr="003665EC" w:rsidRDefault="003665EC" w:rsidP="003665EC">
      <w:r w:rsidRPr="003665EC">
        <w:t>Folkeregisteret er en felleskomponent med standardiserte løs</w:t>
      </w:r>
      <w:r w:rsidRPr="003665EC">
        <w:t>ninger som kan gjenbrukes av en rekke konsumenter. En konsekvens av dette er at det er utviklet et begrenset antall rettighetspakker. For offentlige etater med hjemmel er det utviklet en rettighetspakke som gir tilgang til alle taushetsbelagte opplysninger</w:t>
      </w:r>
      <w:r w:rsidRPr="003665EC">
        <w:t>. Eksisterende rettighetspakker er dekkende for Digitaliseringsdirektoratets behov.</w:t>
      </w:r>
    </w:p>
    <w:p w14:paraId="7FE29DFB" w14:textId="77777777" w:rsidR="00000000" w:rsidRPr="003665EC" w:rsidRDefault="003665EC" w:rsidP="003665EC">
      <w:r w:rsidRPr="003665EC">
        <w:t>Kostnadene for Digitaliseringsdirektoratet er begrenset og vil komme som en del av utviklingen av tjenestene.</w:t>
      </w:r>
    </w:p>
    <w:p w14:paraId="33D3A87C" w14:textId="77777777" w:rsidR="00000000" w:rsidRPr="003665EC" w:rsidRDefault="003665EC" w:rsidP="003665EC">
      <w:r w:rsidRPr="003665EC">
        <w:t>Skatteetaten kan benytte eksisterende delingsløsning og lovfor</w:t>
      </w:r>
      <w:r w:rsidRPr="003665EC">
        <w:t>slaget anses derfor å ikke innebære større økonomiske eller administrative konsekvenser for Skatteetaten.</w:t>
      </w:r>
    </w:p>
    <w:p w14:paraId="59F37217" w14:textId="77777777" w:rsidR="00000000" w:rsidRPr="003665EC" w:rsidRDefault="003665EC" w:rsidP="003665EC">
      <w:pPr>
        <w:pStyle w:val="Overskrift1"/>
      </w:pPr>
      <w:r w:rsidRPr="003665EC">
        <w:t>Merknader til lovforslaget</w:t>
      </w:r>
    </w:p>
    <w:p w14:paraId="6B6CBC69" w14:textId="77777777" w:rsidR="00000000" w:rsidRPr="003665EC" w:rsidRDefault="003665EC" w:rsidP="003665EC">
      <w:pPr>
        <w:pStyle w:val="avsnitt-undertittel"/>
      </w:pPr>
      <w:r w:rsidRPr="003665EC">
        <w:t>Til § 1</w:t>
      </w:r>
    </w:p>
    <w:p w14:paraId="4585031A" w14:textId="77777777" w:rsidR="00000000" w:rsidRPr="003665EC" w:rsidRDefault="003665EC" w:rsidP="003665EC">
      <w:r w:rsidRPr="003665EC">
        <w:t>I § 1 er det foreslått gitt hjemmel til at det i forskrift kan reguleres at Digitaliseringsdirektoratet kan inn</w:t>
      </w:r>
      <w:r w:rsidRPr="003665EC">
        <w:t xml:space="preserve">hente og behandle opplysninger fra Folkeregisteret uten hinder av taushetsplikt, når det er nødvendige for å løse direktoratets oppgaver slik disse </w:t>
      </w:r>
      <w:proofErr w:type="gramStart"/>
      <w:r w:rsidRPr="003665EC">
        <w:t>fremgår</w:t>
      </w:r>
      <w:proofErr w:type="gramEnd"/>
      <w:r w:rsidRPr="003665EC">
        <w:t xml:space="preserve"> av forskrift etter § 1.</w:t>
      </w:r>
    </w:p>
    <w:p w14:paraId="1AD4D922" w14:textId="77777777" w:rsidR="00000000" w:rsidRPr="003665EC" w:rsidRDefault="003665EC" w:rsidP="003665EC">
      <w:r w:rsidRPr="003665EC">
        <w:t>«Behandle» dekker enhver operasjon eller rekke av operasjoner som gjøres med</w:t>
      </w:r>
      <w:r w:rsidRPr="003665EC">
        <w:t xml:space="preserve"> personopplysninger, jf. personvernforordningen artikkel 4 nr. 2. Begrepet omfatter blant annet innsamling, </w:t>
      </w:r>
      <w:r w:rsidRPr="003665EC">
        <w:lastRenderedPageBreak/>
        <w:t>lagring, bruk og sletting. Departementet har allikevel valgt å bruke «innhente og behandle» for å tydeliggjøre at hjemmelen også omfatter innhenting</w:t>
      </w:r>
      <w:r w:rsidRPr="003665EC">
        <w:t xml:space="preserve"> av opplysninger fra Folkeregisteret.</w:t>
      </w:r>
    </w:p>
    <w:p w14:paraId="729ABB46" w14:textId="77777777" w:rsidR="00000000" w:rsidRPr="003665EC" w:rsidRDefault="003665EC" w:rsidP="003665EC">
      <w:r w:rsidRPr="003665EC">
        <w:t xml:space="preserve">Hvilke oppgaver som krever tilgang til taushetsbelagte opplysninger i </w:t>
      </w:r>
      <w:proofErr w:type="gramStart"/>
      <w:r w:rsidRPr="003665EC">
        <w:t>Folkeregisteret</w:t>
      </w:r>
      <w:proofErr w:type="gramEnd"/>
      <w:r w:rsidRPr="003665EC">
        <w:t xml:space="preserve"> skal konkretiseres i forskrift.</w:t>
      </w:r>
    </w:p>
    <w:p w14:paraId="350F6909" w14:textId="77777777" w:rsidR="00000000" w:rsidRPr="003665EC" w:rsidRDefault="003665EC" w:rsidP="003665EC">
      <w:pPr>
        <w:pStyle w:val="a-tilraar-dep"/>
      </w:pPr>
      <w:r w:rsidRPr="003665EC">
        <w:t xml:space="preserve">Kommunal- og </w:t>
      </w:r>
      <w:proofErr w:type="spellStart"/>
      <w:r w:rsidRPr="003665EC">
        <w:t>distriktsdepartementet</w:t>
      </w:r>
      <w:proofErr w:type="spellEnd"/>
    </w:p>
    <w:p w14:paraId="2B3D5ACF" w14:textId="77777777" w:rsidR="00000000" w:rsidRPr="003665EC" w:rsidRDefault="003665EC" w:rsidP="003665EC">
      <w:pPr>
        <w:pStyle w:val="a-tilraar-tit"/>
      </w:pPr>
      <w:r w:rsidRPr="003665EC">
        <w:t>tilrår:</w:t>
      </w:r>
    </w:p>
    <w:p w14:paraId="6BD17730" w14:textId="77777777" w:rsidR="00000000" w:rsidRPr="003665EC" w:rsidRDefault="003665EC" w:rsidP="003665EC">
      <w:r w:rsidRPr="003665EC">
        <w:t>At Deres Majestet godkjenner og skriver under et framlag</w:t>
      </w:r>
      <w:r w:rsidRPr="003665EC">
        <w:t>t forslag til proposisjon til Stortinget om lov om Digitaliseringsdirektoratets tilgang til taushetsbelagte opplysninger i Folkeregisteret.</w:t>
      </w:r>
    </w:p>
    <w:p w14:paraId="5DD64AEC" w14:textId="77777777" w:rsidR="00000000" w:rsidRPr="003665EC" w:rsidRDefault="003665EC" w:rsidP="003665EC">
      <w:pPr>
        <w:pStyle w:val="a-konge-tekst"/>
        <w:rPr>
          <w:rStyle w:val="halvfet0"/>
        </w:rPr>
      </w:pPr>
      <w:r w:rsidRPr="003665EC">
        <w:rPr>
          <w:rStyle w:val="halvfet0"/>
        </w:rPr>
        <w:t xml:space="preserve">Vi HARALD, </w:t>
      </w:r>
      <w:r w:rsidRPr="003665EC">
        <w:t>Norges Konge,</w:t>
      </w:r>
    </w:p>
    <w:p w14:paraId="01051B87" w14:textId="77777777" w:rsidR="00000000" w:rsidRPr="003665EC" w:rsidRDefault="003665EC" w:rsidP="003665EC">
      <w:pPr>
        <w:pStyle w:val="a-konge-tit"/>
      </w:pPr>
      <w:r w:rsidRPr="003665EC">
        <w:t>stadfester:</w:t>
      </w:r>
    </w:p>
    <w:p w14:paraId="3BFDAAB6" w14:textId="77777777" w:rsidR="00000000" w:rsidRPr="003665EC" w:rsidRDefault="003665EC" w:rsidP="003665EC">
      <w:r w:rsidRPr="003665EC">
        <w:t xml:space="preserve">Stortinget blir bedt om å gjøre vedtak til lov om Digitaliseringsdirektoratets </w:t>
      </w:r>
      <w:r w:rsidRPr="003665EC">
        <w:t>tilgang til taushetsbelagte opplysninger i Folkeregisteret i samsvar med et vedlagt forslag.</w:t>
      </w:r>
    </w:p>
    <w:p w14:paraId="0D8AE974" w14:textId="77777777" w:rsidR="00000000" w:rsidRPr="003665EC" w:rsidRDefault="003665EC" w:rsidP="003665EC">
      <w:pPr>
        <w:pStyle w:val="a-vedtak-tit"/>
      </w:pPr>
      <w:r w:rsidRPr="003665EC">
        <w:t>Forslag</w:t>
      </w:r>
    </w:p>
    <w:p w14:paraId="252AC436" w14:textId="77777777" w:rsidR="00000000" w:rsidRPr="003665EC" w:rsidRDefault="003665EC" w:rsidP="003665EC">
      <w:pPr>
        <w:pStyle w:val="a-vedtak-tit"/>
      </w:pPr>
      <w:r w:rsidRPr="003665EC">
        <w:t>til lov om Digitaliseringsdirektoratets tilgang til taushetsbelagte opplysninger i Folkeregisteret</w:t>
      </w:r>
    </w:p>
    <w:p w14:paraId="74B60084" w14:textId="77777777" w:rsidR="00000000" w:rsidRPr="003665EC" w:rsidRDefault="003665EC" w:rsidP="003665EC">
      <w:pPr>
        <w:pStyle w:val="l-paragraf"/>
        <w:rPr>
          <w:rStyle w:val="regular"/>
        </w:rPr>
      </w:pPr>
      <w:r w:rsidRPr="003665EC">
        <w:rPr>
          <w:rStyle w:val="regular"/>
        </w:rPr>
        <w:t xml:space="preserve">§ 1 </w:t>
      </w:r>
      <w:r w:rsidRPr="003665EC">
        <w:t>Tilgang til Folkeregisteret</w:t>
      </w:r>
    </w:p>
    <w:p w14:paraId="053EAAF0" w14:textId="77777777" w:rsidR="00000000" w:rsidRPr="003665EC" w:rsidRDefault="003665EC" w:rsidP="003665EC">
      <w:pPr>
        <w:pStyle w:val="l-ledd"/>
      </w:pPr>
      <w:r w:rsidRPr="003665EC">
        <w:t xml:space="preserve">Kongen kan gi forskrift om at Digitaliseringsdirektoratet uten hinder av taushetsplikt kan innhente og behandle opplysninger </w:t>
      </w:r>
      <w:r w:rsidRPr="003665EC">
        <w:t>fra Folkeregisteret, også opplysninger som nevnt i personvernforordningen artiklene 9 og 10, som er nødvendige for å løse direktoratets oppgaver, og om hvilke oppgaver som skal kunne gi grunnlag for innhenting og behandling av opplysninger fra Folkeregiste</w:t>
      </w:r>
      <w:r w:rsidRPr="003665EC">
        <w:t>ret.</w:t>
      </w:r>
    </w:p>
    <w:p w14:paraId="50306AB7" w14:textId="77777777" w:rsidR="00000000" w:rsidRPr="003665EC" w:rsidRDefault="003665EC" w:rsidP="003665EC">
      <w:pPr>
        <w:pStyle w:val="l-paragraf"/>
        <w:rPr>
          <w:rStyle w:val="regular"/>
        </w:rPr>
      </w:pPr>
      <w:r w:rsidRPr="003665EC">
        <w:rPr>
          <w:rStyle w:val="regular"/>
        </w:rPr>
        <w:t xml:space="preserve">§ 2 </w:t>
      </w:r>
      <w:r w:rsidRPr="003665EC">
        <w:t xml:space="preserve">Lovens </w:t>
      </w:r>
      <w:proofErr w:type="gramStart"/>
      <w:r w:rsidRPr="003665EC">
        <w:t>anvendelse</w:t>
      </w:r>
      <w:proofErr w:type="gramEnd"/>
      <w:r w:rsidRPr="003665EC">
        <w:t xml:space="preserve"> på Svalbard</w:t>
      </w:r>
    </w:p>
    <w:p w14:paraId="6C7ACACA" w14:textId="77777777" w:rsidR="00000000" w:rsidRPr="003665EC" w:rsidRDefault="003665EC" w:rsidP="003665EC">
      <w:pPr>
        <w:pStyle w:val="l-ledd"/>
      </w:pPr>
      <w:r w:rsidRPr="003665EC">
        <w:t>Kongen kan gi forskrift om at loven helt eller delvis skal gjelde for Svalbard og om at Digitaliseringsdirektoratet uten hinder av taushetsplikt kan innhente og behandle opplysninger som nevnt i § 1 fra befolkningsreg</w:t>
      </w:r>
      <w:r w:rsidRPr="003665EC">
        <w:t>isteret for Svalbard.</w:t>
      </w:r>
    </w:p>
    <w:p w14:paraId="3DC29F32" w14:textId="77777777" w:rsidR="00000000" w:rsidRPr="003665EC" w:rsidRDefault="003665EC" w:rsidP="003665EC">
      <w:pPr>
        <w:pStyle w:val="l-paragraf"/>
        <w:rPr>
          <w:rStyle w:val="regular"/>
        </w:rPr>
      </w:pPr>
      <w:r w:rsidRPr="003665EC">
        <w:rPr>
          <w:rStyle w:val="regular"/>
        </w:rPr>
        <w:t xml:space="preserve">§ 3 </w:t>
      </w:r>
      <w:r w:rsidRPr="003665EC">
        <w:t>Ikrafttredelse</w:t>
      </w:r>
    </w:p>
    <w:p w14:paraId="6E6205B9" w14:textId="77777777" w:rsidR="00000000" w:rsidRPr="003665EC" w:rsidRDefault="003665EC" w:rsidP="003665EC">
      <w:pPr>
        <w:pStyle w:val="l-ledd"/>
      </w:pPr>
      <w:r w:rsidRPr="003665EC">
        <w:t>Loven trer i kraft straks.</w:t>
      </w:r>
    </w:p>
    <w:p w14:paraId="41826BC4" w14:textId="77777777" w:rsidR="00000000" w:rsidRPr="003665EC" w:rsidRDefault="003665EC" w:rsidP="003665EC"/>
    <w:sectPr w:rsidR="00000000" w:rsidRPr="003665E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D09BA" w14:textId="77777777" w:rsidR="00000000" w:rsidRDefault="003665EC">
      <w:pPr>
        <w:spacing w:after="0" w:line="240" w:lineRule="auto"/>
      </w:pPr>
      <w:r>
        <w:separator/>
      </w:r>
    </w:p>
  </w:endnote>
  <w:endnote w:type="continuationSeparator" w:id="0">
    <w:p w14:paraId="27701932" w14:textId="77777777" w:rsidR="00000000" w:rsidRDefault="0036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108D" w14:textId="77777777" w:rsidR="00000000" w:rsidRPr="003665EC" w:rsidRDefault="003665EC" w:rsidP="003665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C6D7" w14:textId="77777777" w:rsidR="00000000" w:rsidRPr="003665EC" w:rsidRDefault="003665EC" w:rsidP="003665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27F" w14:textId="77777777" w:rsidR="00000000" w:rsidRPr="003665EC" w:rsidRDefault="003665EC" w:rsidP="003665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A881" w14:textId="77777777" w:rsidR="00000000" w:rsidRDefault="003665EC">
      <w:pPr>
        <w:spacing w:after="0" w:line="240" w:lineRule="auto"/>
      </w:pPr>
      <w:r>
        <w:separator/>
      </w:r>
    </w:p>
  </w:footnote>
  <w:footnote w:type="continuationSeparator" w:id="0">
    <w:p w14:paraId="7F19FE36" w14:textId="77777777" w:rsidR="00000000" w:rsidRDefault="00366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1FC9" w14:textId="7A231830" w:rsidR="00000000" w:rsidRPr="003665EC" w:rsidRDefault="003665EC" w:rsidP="003665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3C3E" w14:textId="2DADA86D" w:rsidR="00000000" w:rsidRPr="003665EC" w:rsidRDefault="003665EC" w:rsidP="003665E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9B72" w14:textId="77777777" w:rsidR="00000000" w:rsidRPr="003665EC" w:rsidRDefault="003665EC" w:rsidP="003665E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F22B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26054E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E2CBB7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736694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14A884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FF642AD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427584379">
    <w:abstractNumId w:val="4"/>
  </w:num>
  <w:num w:numId="2" w16cid:durableId="657923524">
    <w:abstractNumId w:val="3"/>
  </w:num>
  <w:num w:numId="3" w16cid:durableId="1629243580">
    <w:abstractNumId w:val="2"/>
  </w:num>
  <w:num w:numId="4" w16cid:durableId="1722629240">
    <w:abstractNumId w:val="1"/>
  </w:num>
  <w:num w:numId="5" w16cid:durableId="183713633">
    <w:abstractNumId w:val="0"/>
  </w:num>
  <w:num w:numId="6" w16cid:durableId="1527585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23928771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25864273">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538014538">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648443784">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710641388">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782459269">
    <w:abstractNumId w:val="5"/>
    <w:lvlOverride w:ilvl="0">
      <w:lvl w:ilvl="0">
        <w:start w:val="1"/>
        <w:numFmt w:val="bullet"/>
        <w:lvlText w:val="3.1.1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163858380">
    <w:abstractNumId w:val="5"/>
    <w:lvlOverride w:ilvl="0">
      <w:lvl w:ilvl="0">
        <w:start w:val="1"/>
        <w:numFmt w:val="bullet"/>
        <w:lvlText w:val="3.1.2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761032045">
    <w:abstractNumId w:val="5"/>
    <w:lvlOverride w:ilvl="0">
      <w:lvl w:ilvl="0">
        <w:start w:val="1"/>
        <w:numFmt w:val="bullet"/>
        <w:lvlText w:val="3.1.3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103739200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91095542">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671567766">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31264158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8777203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1074158926">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766151992">
    <w:abstractNumId w:val="22"/>
  </w:num>
  <w:num w:numId="22" w16cid:durableId="1240208995">
    <w:abstractNumId w:val="6"/>
  </w:num>
  <w:num w:numId="23" w16cid:durableId="162938092">
    <w:abstractNumId w:val="20"/>
  </w:num>
  <w:num w:numId="24" w16cid:durableId="1966159730">
    <w:abstractNumId w:val="13"/>
  </w:num>
  <w:num w:numId="25" w16cid:durableId="1316571465">
    <w:abstractNumId w:val="18"/>
  </w:num>
  <w:num w:numId="26" w16cid:durableId="1115097219">
    <w:abstractNumId w:val="23"/>
  </w:num>
  <w:num w:numId="27" w16cid:durableId="849300937">
    <w:abstractNumId w:val="8"/>
  </w:num>
  <w:num w:numId="28" w16cid:durableId="1431007717">
    <w:abstractNumId w:val="7"/>
  </w:num>
  <w:num w:numId="29" w16cid:durableId="769200837">
    <w:abstractNumId w:val="19"/>
  </w:num>
  <w:num w:numId="30" w16cid:durableId="1338919519">
    <w:abstractNumId w:val="9"/>
  </w:num>
  <w:num w:numId="31" w16cid:durableId="1889755493">
    <w:abstractNumId w:val="17"/>
  </w:num>
  <w:num w:numId="32" w16cid:durableId="767311764">
    <w:abstractNumId w:val="14"/>
  </w:num>
  <w:num w:numId="33" w16cid:durableId="1420368742">
    <w:abstractNumId w:val="24"/>
  </w:num>
  <w:num w:numId="34" w16cid:durableId="1187713593">
    <w:abstractNumId w:val="11"/>
  </w:num>
  <w:num w:numId="35" w16cid:durableId="1298342621">
    <w:abstractNumId w:val="21"/>
  </w:num>
  <w:num w:numId="36" w16cid:durableId="730274573">
    <w:abstractNumId w:val="25"/>
  </w:num>
  <w:num w:numId="37" w16cid:durableId="2081633046">
    <w:abstractNumId w:val="15"/>
  </w:num>
  <w:num w:numId="38" w16cid:durableId="124663746">
    <w:abstractNumId w:val="16"/>
  </w:num>
  <w:num w:numId="39" w16cid:durableId="1253271167">
    <w:abstractNumId w:val="10"/>
  </w:num>
  <w:num w:numId="40" w16cid:durableId="1370379849">
    <w:abstractNumId w:val="12"/>
  </w:num>
  <w:num w:numId="41" w16cid:durableId="19603351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PMPfanenavn" w:val="Proposisjons-mal"/>
    <w:docVar w:name="PMPmalkonvensjon" w:val="PropMal"/>
    <w:docVar w:name="VisAvansert" w:val="true"/>
    <w:docVar w:name="VisKjerneKonv" w:val="false"/>
    <w:docVar w:name="VisPiltaster" w:val="true"/>
    <w:docVar w:name="VisSettInnFigur" w:val="true"/>
    <w:docVar w:name="VisStilfelt" w:val="true"/>
    <w:docVar w:name="VisTabellDesigner" w:val="true"/>
  </w:docVars>
  <w:rsids>
    <w:rsidRoot w:val="003665EC"/>
    <w:rsid w:val="003665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080E3"/>
  <w14:defaultImageDpi w14:val="0"/>
  <w15:docId w15:val="{3487C942-624B-4E6B-A4A7-280F037C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5E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665EC"/>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665EC"/>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3665EC"/>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3665EC"/>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3665EC"/>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3665EC"/>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3665EC"/>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3665EC"/>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3665EC"/>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3665E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665E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665EC"/>
    <w:pPr>
      <w:keepNext/>
      <w:keepLines/>
      <w:spacing w:before="240" w:after="240"/>
    </w:pPr>
  </w:style>
  <w:style w:type="paragraph" w:customStyle="1" w:styleId="a-konge-tit">
    <w:name w:val="a-konge-tit"/>
    <w:basedOn w:val="Normal"/>
    <w:next w:val="Normal"/>
    <w:rsid w:val="003665EC"/>
    <w:pPr>
      <w:keepNext/>
      <w:keepLines/>
      <w:spacing w:before="240"/>
      <w:jc w:val="center"/>
    </w:pPr>
    <w:rPr>
      <w:spacing w:val="30"/>
    </w:rPr>
  </w:style>
  <w:style w:type="paragraph" w:customStyle="1" w:styleId="a-tilraar-dep">
    <w:name w:val="a-tilraar-dep"/>
    <w:basedOn w:val="Normal"/>
    <w:next w:val="Normal"/>
    <w:rsid w:val="003665E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665E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665E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665E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665E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3665E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3665EC"/>
    <w:pPr>
      <w:numPr>
        <w:numId w:val="23"/>
      </w:numPr>
      <w:spacing w:after="0"/>
    </w:pPr>
  </w:style>
  <w:style w:type="paragraph" w:customStyle="1" w:styleId="alfaliste2">
    <w:name w:val="alfaliste 2"/>
    <w:basedOn w:val="Liste2"/>
    <w:rsid w:val="003665EC"/>
    <w:pPr>
      <w:numPr>
        <w:numId w:val="2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665EC"/>
    <w:pPr>
      <w:numPr>
        <w:ilvl w:val="2"/>
        <w:numId w:val="2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665EC"/>
    <w:pPr>
      <w:numPr>
        <w:ilvl w:val="3"/>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665EC"/>
    <w:pPr>
      <w:numPr>
        <w:ilvl w:val="4"/>
        <w:numId w:val="2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665E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3665E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3665E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3665E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3665EC"/>
    <w:rPr>
      <w:rFonts w:ascii="Arial" w:eastAsia="Times New Roman" w:hAnsi="Arial"/>
      <w:b/>
      <w:spacing w:val="4"/>
      <w:sz w:val="28"/>
    </w:rPr>
  </w:style>
  <w:style w:type="paragraph" w:customStyle="1" w:styleId="b-post">
    <w:name w:val="b-post"/>
    <w:basedOn w:val="Normal"/>
    <w:next w:val="Normal"/>
    <w:rsid w:val="003665E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3665E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3665E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3665E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665EC"/>
  </w:style>
  <w:style w:type="paragraph" w:customStyle="1" w:styleId="Def">
    <w:name w:val="Def"/>
    <w:basedOn w:val="hengende-innrykk"/>
    <w:rsid w:val="003665EC"/>
    <w:pPr>
      <w:spacing w:line="240" w:lineRule="auto"/>
      <w:ind w:left="0" w:firstLine="0"/>
    </w:pPr>
    <w:rPr>
      <w:rFonts w:ascii="Times" w:eastAsia="Batang" w:hAnsi="Times"/>
      <w:spacing w:val="0"/>
      <w:szCs w:val="20"/>
    </w:rPr>
  </w:style>
  <w:style w:type="paragraph" w:customStyle="1" w:styleId="del-nr">
    <w:name w:val="del-nr"/>
    <w:basedOn w:val="Normal"/>
    <w:qFormat/>
    <w:rsid w:val="003665E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665E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665EC"/>
  </w:style>
  <w:style w:type="paragraph" w:customStyle="1" w:styleId="figur-noter">
    <w:name w:val="figur-noter"/>
    <w:basedOn w:val="Normal"/>
    <w:next w:val="Normal"/>
    <w:rsid w:val="003665E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665E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665EC"/>
    <w:rPr>
      <w:sz w:val="20"/>
    </w:rPr>
  </w:style>
  <w:style w:type="character" w:customStyle="1" w:styleId="FotnotetekstTegn">
    <w:name w:val="Fotnotetekst Tegn"/>
    <w:link w:val="Fotnotetekst"/>
    <w:rsid w:val="003665EC"/>
    <w:rPr>
      <w:rFonts w:ascii="Times New Roman" w:eastAsia="Times New Roman" w:hAnsi="Times New Roman"/>
      <w:spacing w:val="4"/>
      <w:sz w:val="20"/>
    </w:rPr>
  </w:style>
  <w:style w:type="paragraph" w:customStyle="1" w:styleId="friliste">
    <w:name w:val="friliste"/>
    <w:basedOn w:val="Normal"/>
    <w:qFormat/>
    <w:rsid w:val="003665EC"/>
    <w:pPr>
      <w:tabs>
        <w:tab w:val="left" w:pos="397"/>
      </w:tabs>
      <w:spacing w:after="0"/>
      <w:ind w:left="397" w:hanging="397"/>
    </w:pPr>
    <w:rPr>
      <w:spacing w:val="0"/>
    </w:rPr>
  </w:style>
  <w:style w:type="paragraph" w:customStyle="1" w:styleId="friliste2">
    <w:name w:val="friliste 2"/>
    <w:basedOn w:val="Normal"/>
    <w:qFormat/>
    <w:rsid w:val="003665EC"/>
    <w:pPr>
      <w:tabs>
        <w:tab w:val="left" w:pos="794"/>
      </w:tabs>
      <w:spacing w:after="0"/>
      <w:ind w:left="794" w:hanging="397"/>
    </w:pPr>
    <w:rPr>
      <w:spacing w:val="0"/>
    </w:rPr>
  </w:style>
  <w:style w:type="paragraph" w:customStyle="1" w:styleId="friliste3">
    <w:name w:val="friliste 3"/>
    <w:basedOn w:val="Normal"/>
    <w:qFormat/>
    <w:rsid w:val="003665EC"/>
    <w:pPr>
      <w:tabs>
        <w:tab w:val="left" w:pos="1191"/>
      </w:tabs>
      <w:spacing w:after="0"/>
      <w:ind w:left="1191" w:hanging="397"/>
    </w:pPr>
    <w:rPr>
      <w:spacing w:val="0"/>
    </w:rPr>
  </w:style>
  <w:style w:type="paragraph" w:customStyle="1" w:styleId="friliste4">
    <w:name w:val="friliste 4"/>
    <w:basedOn w:val="Normal"/>
    <w:qFormat/>
    <w:rsid w:val="003665EC"/>
    <w:pPr>
      <w:tabs>
        <w:tab w:val="left" w:pos="1588"/>
      </w:tabs>
      <w:spacing w:after="0"/>
      <w:ind w:left="1588" w:hanging="397"/>
    </w:pPr>
    <w:rPr>
      <w:spacing w:val="0"/>
    </w:rPr>
  </w:style>
  <w:style w:type="paragraph" w:customStyle="1" w:styleId="friliste5">
    <w:name w:val="friliste 5"/>
    <w:basedOn w:val="Normal"/>
    <w:qFormat/>
    <w:rsid w:val="003665E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665EC"/>
    <w:pPr>
      <w:ind w:left="1418" w:hanging="1418"/>
    </w:pPr>
  </w:style>
  <w:style w:type="paragraph" w:customStyle="1" w:styleId="i-budkap-over">
    <w:name w:val="i-budkap-over"/>
    <w:basedOn w:val="Normal"/>
    <w:next w:val="Normal"/>
    <w:rsid w:val="003665EC"/>
    <w:pPr>
      <w:jc w:val="right"/>
    </w:pPr>
    <w:rPr>
      <w:rFonts w:ascii="Times" w:hAnsi="Times"/>
      <w:b/>
      <w:noProof/>
    </w:rPr>
  </w:style>
  <w:style w:type="paragraph" w:customStyle="1" w:styleId="i-dep">
    <w:name w:val="i-dep"/>
    <w:basedOn w:val="Normal"/>
    <w:next w:val="Normal"/>
    <w:rsid w:val="003665E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665E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3665EC"/>
    <w:pPr>
      <w:keepNext/>
      <w:keepLines/>
      <w:jc w:val="center"/>
    </w:pPr>
    <w:rPr>
      <w:rFonts w:eastAsia="Batang"/>
      <w:b/>
      <w:sz w:val="28"/>
    </w:rPr>
  </w:style>
  <w:style w:type="paragraph" w:customStyle="1" w:styleId="i-mtit">
    <w:name w:val="i-mtit"/>
    <w:basedOn w:val="Normal"/>
    <w:next w:val="Normal"/>
    <w:rsid w:val="003665E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3665E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3665EC"/>
    <w:pPr>
      <w:spacing w:after="0"/>
      <w:jc w:val="center"/>
    </w:pPr>
    <w:rPr>
      <w:rFonts w:ascii="Times" w:hAnsi="Times"/>
      <w:i/>
      <w:noProof/>
    </w:rPr>
  </w:style>
  <w:style w:type="paragraph" w:customStyle="1" w:styleId="i-termin">
    <w:name w:val="i-termin"/>
    <w:basedOn w:val="Normal"/>
    <w:next w:val="Normal"/>
    <w:rsid w:val="003665EC"/>
    <w:pPr>
      <w:spacing w:before="360"/>
      <w:jc w:val="center"/>
    </w:pPr>
    <w:rPr>
      <w:b/>
      <w:noProof/>
      <w:sz w:val="28"/>
    </w:rPr>
  </w:style>
  <w:style w:type="paragraph" w:customStyle="1" w:styleId="i-tit">
    <w:name w:val="i-tit"/>
    <w:basedOn w:val="Normal"/>
    <w:next w:val="i-statsrdato"/>
    <w:rsid w:val="003665E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3665E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3665E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3665EC"/>
    <w:pPr>
      <w:numPr>
        <w:numId w:val="32"/>
      </w:numPr>
    </w:pPr>
  </w:style>
  <w:style w:type="paragraph" w:customStyle="1" w:styleId="l-alfaliste2">
    <w:name w:val="l-alfaliste 2"/>
    <w:basedOn w:val="alfaliste2"/>
    <w:qFormat/>
    <w:rsid w:val="003665EC"/>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665EC"/>
    <w:pPr>
      <w:numPr>
        <w:numId w:val="3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665EC"/>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665EC"/>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3665EC"/>
    <w:rPr>
      <w:lang w:val="nn-NO"/>
    </w:rPr>
  </w:style>
  <w:style w:type="paragraph" w:customStyle="1" w:styleId="l-ledd">
    <w:name w:val="l-ledd"/>
    <w:basedOn w:val="Normal"/>
    <w:qFormat/>
    <w:rsid w:val="003665E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665E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665E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665E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3665E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3665EC"/>
    <w:pPr>
      <w:spacing w:after="0"/>
    </w:pPr>
  </w:style>
  <w:style w:type="paragraph" w:customStyle="1" w:styleId="l-tit-endr-avsnitt">
    <w:name w:val="l-tit-endr-avsnitt"/>
    <w:basedOn w:val="l-tit-endr-lovkap"/>
    <w:qFormat/>
    <w:rsid w:val="003665EC"/>
  </w:style>
  <w:style w:type="paragraph" w:customStyle="1" w:styleId="l-tit-endr-ledd">
    <w:name w:val="l-tit-endr-ledd"/>
    <w:basedOn w:val="Normal"/>
    <w:qFormat/>
    <w:rsid w:val="003665EC"/>
    <w:pPr>
      <w:keepNext/>
      <w:spacing w:before="240" w:after="0" w:line="240" w:lineRule="auto"/>
    </w:pPr>
    <w:rPr>
      <w:rFonts w:ascii="Times" w:hAnsi="Times"/>
      <w:noProof/>
      <w:lang w:val="nn-NO"/>
    </w:rPr>
  </w:style>
  <w:style w:type="paragraph" w:customStyle="1" w:styleId="l-tit-endr-lov">
    <w:name w:val="l-tit-endr-lov"/>
    <w:basedOn w:val="Normal"/>
    <w:qFormat/>
    <w:rsid w:val="003665E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665EC"/>
    <w:pPr>
      <w:keepNext/>
      <w:spacing w:before="240" w:after="0" w:line="240" w:lineRule="auto"/>
    </w:pPr>
    <w:rPr>
      <w:rFonts w:ascii="Times" w:hAnsi="Times"/>
      <w:noProof/>
      <w:lang w:val="nn-NO"/>
    </w:rPr>
  </w:style>
  <w:style w:type="paragraph" w:customStyle="1" w:styleId="l-tit-endr-lovkap">
    <w:name w:val="l-tit-endr-lovkap"/>
    <w:basedOn w:val="Normal"/>
    <w:qFormat/>
    <w:rsid w:val="003665EC"/>
    <w:pPr>
      <w:keepNext/>
      <w:spacing w:before="240" w:after="0" w:line="240" w:lineRule="auto"/>
    </w:pPr>
    <w:rPr>
      <w:rFonts w:ascii="Times" w:hAnsi="Times"/>
      <w:noProof/>
      <w:lang w:val="nn-NO"/>
    </w:rPr>
  </w:style>
  <w:style w:type="paragraph" w:customStyle="1" w:styleId="l-tit-endr-paragraf">
    <w:name w:val="l-tit-endr-paragraf"/>
    <w:basedOn w:val="Normal"/>
    <w:qFormat/>
    <w:rsid w:val="003665EC"/>
    <w:pPr>
      <w:keepNext/>
      <w:spacing w:before="240" w:after="0" w:line="240" w:lineRule="auto"/>
    </w:pPr>
    <w:rPr>
      <w:rFonts w:ascii="Times" w:hAnsi="Times"/>
      <w:noProof/>
      <w:lang w:val="nn-NO"/>
    </w:rPr>
  </w:style>
  <w:style w:type="paragraph" w:customStyle="1" w:styleId="l-tit-endr-punktum">
    <w:name w:val="l-tit-endr-punktum"/>
    <w:basedOn w:val="l-tit-endr-ledd"/>
    <w:qFormat/>
    <w:rsid w:val="003665E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3665EC"/>
    <w:pPr>
      <w:numPr>
        <w:numId w:val="26"/>
      </w:numPr>
      <w:spacing w:line="240" w:lineRule="auto"/>
      <w:contextualSpacing/>
    </w:pPr>
  </w:style>
  <w:style w:type="paragraph" w:styleId="Liste2">
    <w:name w:val="List 2"/>
    <w:basedOn w:val="Normal"/>
    <w:rsid w:val="003665EC"/>
    <w:pPr>
      <w:numPr>
        <w:ilvl w:val="1"/>
        <w:numId w:val="26"/>
      </w:numPr>
      <w:spacing w:after="0"/>
    </w:pPr>
  </w:style>
  <w:style w:type="paragraph" w:styleId="Liste3">
    <w:name w:val="List 3"/>
    <w:basedOn w:val="Normal"/>
    <w:rsid w:val="003665EC"/>
    <w:pPr>
      <w:numPr>
        <w:ilvl w:val="2"/>
        <w:numId w:val="26"/>
      </w:numPr>
      <w:spacing w:after="0"/>
    </w:pPr>
    <w:rPr>
      <w:spacing w:val="0"/>
    </w:rPr>
  </w:style>
  <w:style w:type="paragraph" w:styleId="Liste4">
    <w:name w:val="List 4"/>
    <w:basedOn w:val="Normal"/>
    <w:rsid w:val="003665EC"/>
    <w:pPr>
      <w:numPr>
        <w:ilvl w:val="3"/>
        <w:numId w:val="26"/>
      </w:numPr>
      <w:spacing w:after="0"/>
    </w:pPr>
    <w:rPr>
      <w:spacing w:val="0"/>
    </w:rPr>
  </w:style>
  <w:style w:type="paragraph" w:styleId="Liste5">
    <w:name w:val="List 5"/>
    <w:basedOn w:val="Normal"/>
    <w:rsid w:val="003665EC"/>
    <w:pPr>
      <w:numPr>
        <w:ilvl w:val="4"/>
        <w:numId w:val="26"/>
      </w:numPr>
      <w:spacing w:after="0"/>
    </w:pPr>
    <w:rPr>
      <w:spacing w:val="0"/>
    </w:rPr>
  </w:style>
  <w:style w:type="paragraph" w:customStyle="1" w:styleId="Listebombe">
    <w:name w:val="Liste bombe"/>
    <w:basedOn w:val="Liste"/>
    <w:qFormat/>
    <w:rsid w:val="003665EC"/>
    <w:pPr>
      <w:numPr>
        <w:numId w:val="34"/>
      </w:numPr>
      <w:tabs>
        <w:tab w:val="left" w:pos="397"/>
      </w:tabs>
      <w:ind w:left="397" w:hanging="397"/>
    </w:pPr>
  </w:style>
  <w:style w:type="paragraph" w:customStyle="1" w:styleId="Listebombe2">
    <w:name w:val="Liste bombe 2"/>
    <w:basedOn w:val="Liste2"/>
    <w:qFormat/>
    <w:rsid w:val="003665EC"/>
    <w:pPr>
      <w:numPr>
        <w:ilvl w:val="0"/>
        <w:numId w:val="35"/>
      </w:numPr>
      <w:ind w:left="794" w:hanging="397"/>
    </w:pPr>
  </w:style>
  <w:style w:type="paragraph" w:customStyle="1" w:styleId="Listebombe3">
    <w:name w:val="Liste bombe 3"/>
    <w:basedOn w:val="Liste3"/>
    <w:qFormat/>
    <w:rsid w:val="003665EC"/>
    <w:pPr>
      <w:numPr>
        <w:ilvl w:val="0"/>
        <w:numId w:val="36"/>
      </w:numPr>
      <w:ind w:left="1191" w:hanging="397"/>
    </w:pPr>
  </w:style>
  <w:style w:type="paragraph" w:customStyle="1" w:styleId="Listebombe4">
    <w:name w:val="Liste bombe 4"/>
    <w:basedOn w:val="Liste4"/>
    <w:qFormat/>
    <w:rsid w:val="003665EC"/>
    <w:pPr>
      <w:numPr>
        <w:ilvl w:val="0"/>
        <w:numId w:val="37"/>
      </w:numPr>
      <w:ind w:left="1588" w:hanging="397"/>
    </w:pPr>
  </w:style>
  <w:style w:type="paragraph" w:customStyle="1" w:styleId="Listebombe5">
    <w:name w:val="Liste bombe 5"/>
    <w:basedOn w:val="Liste5"/>
    <w:qFormat/>
    <w:rsid w:val="003665EC"/>
    <w:pPr>
      <w:numPr>
        <w:ilvl w:val="0"/>
        <w:numId w:val="38"/>
      </w:numPr>
      <w:ind w:left="1985" w:hanging="397"/>
    </w:pPr>
  </w:style>
  <w:style w:type="paragraph" w:styleId="Listeavsnitt">
    <w:name w:val="List Paragraph"/>
    <w:basedOn w:val="Normal"/>
    <w:uiPriority w:val="34"/>
    <w:qFormat/>
    <w:rsid w:val="003665EC"/>
    <w:pPr>
      <w:spacing w:before="60" w:after="0"/>
      <w:ind w:left="397"/>
    </w:pPr>
    <w:rPr>
      <w:spacing w:val="0"/>
    </w:rPr>
  </w:style>
  <w:style w:type="paragraph" w:customStyle="1" w:styleId="Listeavsnitt2">
    <w:name w:val="Listeavsnitt 2"/>
    <w:basedOn w:val="Normal"/>
    <w:qFormat/>
    <w:rsid w:val="003665EC"/>
    <w:pPr>
      <w:spacing w:before="60" w:after="0"/>
      <w:ind w:left="794"/>
    </w:pPr>
    <w:rPr>
      <w:spacing w:val="0"/>
    </w:rPr>
  </w:style>
  <w:style w:type="paragraph" w:customStyle="1" w:styleId="Listeavsnitt3">
    <w:name w:val="Listeavsnitt 3"/>
    <w:basedOn w:val="Normal"/>
    <w:qFormat/>
    <w:rsid w:val="003665EC"/>
    <w:pPr>
      <w:spacing w:before="60" w:after="0"/>
      <w:ind w:left="1191"/>
    </w:pPr>
    <w:rPr>
      <w:spacing w:val="0"/>
    </w:rPr>
  </w:style>
  <w:style w:type="paragraph" w:customStyle="1" w:styleId="Listeavsnitt4">
    <w:name w:val="Listeavsnitt 4"/>
    <w:basedOn w:val="Normal"/>
    <w:qFormat/>
    <w:rsid w:val="003665EC"/>
    <w:pPr>
      <w:spacing w:before="60" w:after="0"/>
      <w:ind w:left="1588"/>
    </w:pPr>
    <w:rPr>
      <w:spacing w:val="0"/>
    </w:rPr>
  </w:style>
  <w:style w:type="paragraph" w:customStyle="1" w:styleId="Listeavsnitt5">
    <w:name w:val="Listeavsnitt 5"/>
    <w:basedOn w:val="Normal"/>
    <w:qFormat/>
    <w:rsid w:val="003665E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665E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3665EC"/>
    <w:pPr>
      <w:numPr>
        <w:numId w:val="24"/>
      </w:numPr>
      <w:spacing w:after="0"/>
    </w:pPr>
    <w:rPr>
      <w:rFonts w:ascii="Times" w:eastAsia="Batang" w:hAnsi="Times"/>
      <w:spacing w:val="0"/>
      <w:szCs w:val="20"/>
    </w:rPr>
  </w:style>
  <w:style w:type="paragraph" w:styleId="Nummerertliste2">
    <w:name w:val="List Number 2"/>
    <w:basedOn w:val="Normal"/>
    <w:rsid w:val="003665EC"/>
    <w:pPr>
      <w:numPr>
        <w:ilvl w:val="1"/>
        <w:numId w:val="2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665EC"/>
    <w:pPr>
      <w:numPr>
        <w:ilvl w:val="2"/>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665EC"/>
    <w:pPr>
      <w:numPr>
        <w:ilvl w:val="3"/>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665EC"/>
    <w:pPr>
      <w:numPr>
        <w:ilvl w:val="4"/>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3665EC"/>
    <w:pPr>
      <w:spacing w:after="0"/>
      <w:ind w:left="397"/>
    </w:pPr>
    <w:rPr>
      <w:spacing w:val="0"/>
      <w:lang w:val="en-US"/>
    </w:rPr>
  </w:style>
  <w:style w:type="paragraph" w:customStyle="1" w:styleId="opplisting3">
    <w:name w:val="opplisting 3"/>
    <w:basedOn w:val="Normal"/>
    <w:qFormat/>
    <w:rsid w:val="003665EC"/>
    <w:pPr>
      <w:spacing w:after="0"/>
      <w:ind w:left="794"/>
    </w:pPr>
    <w:rPr>
      <w:spacing w:val="0"/>
    </w:rPr>
  </w:style>
  <w:style w:type="paragraph" w:customStyle="1" w:styleId="opplisting4">
    <w:name w:val="opplisting 4"/>
    <w:basedOn w:val="Normal"/>
    <w:qFormat/>
    <w:rsid w:val="003665EC"/>
    <w:pPr>
      <w:spacing w:after="0"/>
      <w:ind w:left="1191"/>
    </w:pPr>
    <w:rPr>
      <w:spacing w:val="0"/>
    </w:rPr>
  </w:style>
  <w:style w:type="paragraph" w:customStyle="1" w:styleId="opplisting5">
    <w:name w:val="opplisting 5"/>
    <w:basedOn w:val="Normal"/>
    <w:qFormat/>
    <w:rsid w:val="003665E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3665E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3665E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3665E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3665E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3665EC"/>
    <w:rPr>
      <w:spacing w:val="6"/>
      <w:sz w:val="19"/>
    </w:rPr>
  </w:style>
  <w:style w:type="paragraph" w:customStyle="1" w:styleId="ramme-noter">
    <w:name w:val="ramme-noter"/>
    <w:basedOn w:val="Normal"/>
    <w:next w:val="Normal"/>
    <w:rsid w:val="003665E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665E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3665EC"/>
    <w:pPr>
      <w:numPr>
        <w:numId w:val="33"/>
      </w:numPr>
      <w:spacing w:after="0" w:line="240" w:lineRule="auto"/>
    </w:pPr>
    <w:rPr>
      <w:rFonts w:ascii="Times" w:eastAsia="Batang" w:hAnsi="Times"/>
      <w:spacing w:val="0"/>
      <w:szCs w:val="20"/>
    </w:rPr>
  </w:style>
  <w:style w:type="paragraph" w:customStyle="1" w:styleId="romertallliste2">
    <w:name w:val="romertall liste 2"/>
    <w:basedOn w:val="Normal"/>
    <w:rsid w:val="003665EC"/>
    <w:pPr>
      <w:numPr>
        <w:ilvl w:val="1"/>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665EC"/>
    <w:pPr>
      <w:numPr>
        <w:ilvl w:val="2"/>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665EC"/>
    <w:pPr>
      <w:numPr>
        <w:ilvl w:val="3"/>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665EC"/>
    <w:pPr>
      <w:numPr>
        <w:ilvl w:val="4"/>
        <w:numId w:val="3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3665E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665E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3665EC"/>
    <w:pPr>
      <w:keepNext/>
      <w:keepLines/>
      <w:numPr>
        <w:ilvl w:val="6"/>
        <w:numId w:val="41"/>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665E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3665E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3665E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665EC"/>
    <w:pPr>
      <w:keepNext/>
      <w:keepLines/>
      <w:spacing w:before="360" w:after="240"/>
      <w:jc w:val="center"/>
    </w:pPr>
    <w:rPr>
      <w:rFonts w:ascii="Arial" w:hAnsi="Arial"/>
      <w:b/>
      <w:sz w:val="28"/>
    </w:rPr>
  </w:style>
  <w:style w:type="paragraph" w:customStyle="1" w:styleId="tittel-ordforkl">
    <w:name w:val="tittel-ordforkl"/>
    <w:basedOn w:val="Normal"/>
    <w:next w:val="Normal"/>
    <w:rsid w:val="003665EC"/>
    <w:pPr>
      <w:keepNext/>
      <w:keepLines/>
      <w:spacing w:before="360" w:after="240"/>
      <w:jc w:val="center"/>
    </w:pPr>
    <w:rPr>
      <w:rFonts w:ascii="Arial" w:hAnsi="Arial"/>
      <w:b/>
      <w:sz w:val="28"/>
    </w:rPr>
  </w:style>
  <w:style w:type="paragraph" w:customStyle="1" w:styleId="tittel-ramme">
    <w:name w:val="tittel-ramme"/>
    <w:basedOn w:val="Normal"/>
    <w:next w:val="Normal"/>
    <w:rsid w:val="003665EC"/>
    <w:pPr>
      <w:keepNext/>
      <w:keepLines/>
      <w:numPr>
        <w:ilvl w:val="7"/>
        <w:numId w:val="41"/>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3665EC"/>
    <w:pPr>
      <w:keepNext/>
      <w:keepLines/>
      <w:spacing w:before="360"/>
    </w:pPr>
    <w:rPr>
      <w:rFonts w:ascii="Arial" w:hAnsi="Arial"/>
      <w:b/>
      <w:sz w:val="28"/>
    </w:rPr>
  </w:style>
  <w:style w:type="character" w:customStyle="1" w:styleId="UndertittelTegn">
    <w:name w:val="Undertittel Tegn"/>
    <w:link w:val="Undertittel"/>
    <w:rsid w:val="003665E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3665EC"/>
    <w:pPr>
      <w:numPr>
        <w:numId w:val="0"/>
      </w:numPr>
    </w:pPr>
    <w:rPr>
      <w:b w:val="0"/>
      <w:i/>
    </w:rPr>
  </w:style>
  <w:style w:type="paragraph" w:customStyle="1" w:styleId="Undervedl-tittel">
    <w:name w:val="Undervedl-tittel"/>
    <w:basedOn w:val="Normal"/>
    <w:next w:val="Normal"/>
    <w:rsid w:val="003665E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665EC"/>
    <w:pPr>
      <w:numPr>
        <w:numId w:val="0"/>
      </w:numPr>
      <w:outlineLvl w:val="9"/>
    </w:pPr>
  </w:style>
  <w:style w:type="paragraph" w:customStyle="1" w:styleId="v-Overskrift2">
    <w:name w:val="v-Overskrift 2"/>
    <w:basedOn w:val="Overskrift2"/>
    <w:next w:val="Normal"/>
    <w:rsid w:val="003665E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3665E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665E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3665E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3665EC"/>
    <w:pPr>
      <w:numPr>
        <w:ilvl w:val="5"/>
        <w:numId w:val="41"/>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3665EC"/>
    <w:pPr>
      <w:keepNext/>
      <w:keepLines/>
      <w:numPr>
        <w:numId w:val="22"/>
      </w:numPr>
      <w:ind w:left="357" w:hanging="357"/>
    </w:pPr>
    <w:rPr>
      <w:rFonts w:ascii="Arial" w:hAnsi="Arial"/>
      <w:b/>
      <w:u w:val="single"/>
    </w:rPr>
  </w:style>
  <w:style w:type="paragraph" w:customStyle="1" w:styleId="Kilde">
    <w:name w:val="Kilde"/>
    <w:basedOn w:val="Normal"/>
    <w:next w:val="Normal"/>
    <w:rsid w:val="003665E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3665E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665EC"/>
    <w:rPr>
      <w:rFonts w:ascii="Times New Roman" w:eastAsia="Times New Roman" w:hAnsi="Times New Roman"/>
      <w:spacing w:val="4"/>
      <w:sz w:val="24"/>
    </w:rPr>
  </w:style>
  <w:style w:type="character" w:styleId="Fotnotereferanse">
    <w:name w:val="footnote reference"/>
    <w:rsid w:val="003665EC"/>
    <w:rPr>
      <w:vertAlign w:val="superscript"/>
    </w:rPr>
  </w:style>
  <w:style w:type="character" w:customStyle="1" w:styleId="gjennomstreket">
    <w:name w:val="gjennomstreket"/>
    <w:uiPriority w:val="1"/>
    <w:rsid w:val="003665EC"/>
    <w:rPr>
      <w:strike/>
      <w:dstrike w:val="0"/>
    </w:rPr>
  </w:style>
  <w:style w:type="character" w:customStyle="1" w:styleId="halvfet0">
    <w:name w:val="halvfet"/>
    <w:rsid w:val="003665EC"/>
    <w:rPr>
      <w:b/>
    </w:rPr>
  </w:style>
  <w:style w:type="character" w:styleId="Hyperkobling">
    <w:name w:val="Hyperlink"/>
    <w:uiPriority w:val="99"/>
    <w:unhideWhenUsed/>
    <w:rsid w:val="003665EC"/>
    <w:rPr>
      <w:color w:val="0000FF"/>
      <w:u w:val="single"/>
    </w:rPr>
  </w:style>
  <w:style w:type="character" w:customStyle="1" w:styleId="kursiv">
    <w:name w:val="kursiv"/>
    <w:rsid w:val="003665EC"/>
    <w:rPr>
      <w:i/>
    </w:rPr>
  </w:style>
  <w:style w:type="character" w:customStyle="1" w:styleId="l-endring">
    <w:name w:val="l-endring"/>
    <w:rsid w:val="003665E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665EC"/>
  </w:style>
  <w:style w:type="character" w:styleId="Plassholdertekst">
    <w:name w:val="Placeholder Text"/>
    <w:uiPriority w:val="99"/>
    <w:rsid w:val="003665EC"/>
    <w:rPr>
      <w:color w:val="808080"/>
    </w:rPr>
  </w:style>
  <w:style w:type="character" w:customStyle="1" w:styleId="regular">
    <w:name w:val="regular"/>
    <w:uiPriority w:val="1"/>
    <w:qFormat/>
    <w:rsid w:val="003665E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665EC"/>
    <w:rPr>
      <w:vertAlign w:val="superscript"/>
    </w:rPr>
  </w:style>
  <w:style w:type="character" w:customStyle="1" w:styleId="skrift-senket">
    <w:name w:val="skrift-senket"/>
    <w:rsid w:val="003665EC"/>
    <w:rPr>
      <w:vertAlign w:val="subscript"/>
    </w:rPr>
  </w:style>
  <w:style w:type="character" w:customStyle="1" w:styleId="SluttnotetekstTegn">
    <w:name w:val="Sluttnotetekst Tegn"/>
    <w:link w:val="Sluttnotetekst"/>
    <w:uiPriority w:val="99"/>
    <w:semiHidden/>
    <w:rsid w:val="003665EC"/>
    <w:rPr>
      <w:rFonts w:ascii="Times New Roman" w:eastAsia="Times New Roman" w:hAnsi="Times New Roman"/>
      <w:spacing w:val="4"/>
      <w:sz w:val="20"/>
      <w:szCs w:val="20"/>
    </w:rPr>
  </w:style>
  <w:style w:type="character" w:customStyle="1" w:styleId="sperret0">
    <w:name w:val="sperret"/>
    <w:rsid w:val="003665EC"/>
    <w:rPr>
      <w:spacing w:val="30"/>
    </w:rPr>
  </w:style>
  <w:style w:type="character" w:customStyle="1" w:styleId="SterktsitatTegn">
    <w:name w:val="Sterkt sitat Tegn"/>
    <w:link w:val="Sterktsitat"/>
    <w:uiPriority w:val="30"/>
    <w:rsid w:val="003665EC"/>
    <w:rPr>
      <w:rFonts w:ascii="Times New Roman" w:eastAsia="Times New Roman" w:hAnsi="Times New Roman"/>
      <w:b/>
      <w:bCs/>
      <w:i/>
      <w:iCs/>
      <w:color w:val="4F81BD"/>
      <w:spacing w:val="4"/>
      <w:sz w:val="24"/>
    </w:rPr>
  </w:style>
  <w:style w:type="character" w:customStyle="1" w:styleId="Stikkord">
    <w:name w:val="Stikkord"/>
    <w:rsid w:val="003665EC"/>
    <w:rPr>
      <w:color w:val="0000FF"/>
    </w:rPr>
  </w:style>
  <w:style w:type="character" w:customStyle="1" w:styleId="stikkord0">
    <w:name w:val="stikkord"/>
    <w:uiPriority w:val="99"/>
  </w:style>
  <w:style w:type="character" w:styleId="Sterk">
    <w:name w:val="Strong"/>
    <w:uiPriority w:val="22"/>
    <w:qFormat/>
    <w:rsid w:val="003665EC"/>
    <w:rPr>
      <w:b/>
      <w:bCs/>
    </w:rPr>
  </w:style>
  <w:style w:type="character" w:customStyle="1" w:styleId="TopptekstTegn">
    <w:name w:val="Topptekst Tegn"/>
    <w:link w:val="Topptekst"/>
    <w:rsid w:val="003665EC"/>
    <w:rPr>
      <w:rFonts w:ascii="Times New Roman" w:eastAsia="Times New Roman" w:hAnsi="Times New Roman"/>
      <w:sz w:val="20"/>
    </w:rPr>
  </w:style>
  <w:style w:type="character" w:customStyle="1" w:styleId="UnderskriftTegn">
    <w:name w:val="Underskrift Tegn"/>
    <w:link w:val="Underskrift"/>
    <w:uiPriority w:val="99"/>
    <w:rsid w:val="003665E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3665EC"/>
    <w:rPr>
      <w:rFonts w:ascii="Arial" w:eastAsia="Times New Roman" w:hAnsi="Arial"/>
      <w:i/>
      <w:spacing w:val="4"/>
    </w:rPr>
  </w:style>
  <w:style w:type="character" w:customStyle="1" w:styleId="Overskrift7Tegn">
    <w:name w:val="Overskrift 7 Tegn"/>
    <w:link w:val="Overskrift7"/>
    <w:rsid w:val="003665EC"/>
    <w:rPr>
      <w:rFonts w:ascii="Arial" w:eastAsia="Times New Roman" w:hAnsi="Arial"/>
      <w:spacing w:val="4"/>
      <w:sz w:val="24"/>
    </w:rPr>
  </w:style>
  <w:style w:type="character" w:customStyle="1" w:styleId="Overskrift8Tegn">
    <w:name w:val="Overskrift 8 Tegn"/>
    <w:link w:val="Overskrift8"/>
    <w:rsid w:val="003665EC"/>
    <w:rPr>
      <w:rFonts w:ascii="Arial" w:eastAsia="Times New Roman" w:hAnsi="Arial"/>
      <w:i/>
      <w:spacing w:val="4"/>
      <w:sz w:val="24"/>
    </w:rPr>
  </w:style>
  <w:style w:type="character" w:customStyle="1" w:styleId="Overskrift9Tegn">
    <w:name w:val="Overskrift 9 Tegn"/>
    <w:link w:val="Overskrift9"/>
    <w:rsid w:val="003665EC"/>
    <w:rPr>
      <w:rFonts w:ascii="Arial" w:eastAsia="Times New Roman" w:hAnsi="Arial"/>
      <w:i/>
      <w:spacing w:val="4"/>
      <w:sz w:val="18"/>
    </w:rPr>
  </w:style>
  <w:style w:type="table" w:customStyle="1" w:styleId="Tabell-VM">
    <w:name w:val="Tabell-VM"/>
    <w:basedOn w:val="Tabelltemaer"/>
    <w:uiPriority w:val="99"/>
    <w:qFormat/>
    <w:rsid w:val="003665E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665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665E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665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665E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3665EC"/>
    <w:pPr>
      <w:tabs>
        <w:tab w:val="center" w:pos="4153"/>
        <w:tab w:val="right" w:pos="8306"/>
      </w:tabs>
    </w:pPr>
    <w:rPr>
      <w:sz w:val="20"/>
    </w:rPr>
  </w:style>
  <w:style w:type="character" w:customStyle="1" w:styleId="BunntekstTegn1">
    <w:name w:val="Bunntekst Tegn1"/>
    <w:basedOn w:val="Standardskriftforavsnitt"/>
    <w:uiPriority w:val="99"/>
    <w:semiHidden/>
    <w:rsid w:val="003665EC"/>
    <w:rPr>
      <w:rFonts w:ascii="Times New Roman" w:eastAsia="Times New Roman" w:hAnsi="Times New Roman"/>
      <w:spacing w:val="4"/>
      <w:sz w:val="24"/>
    </w:rPr>
  </w:style>
  <w:style w:type="paragraph" w:styleId="INNH1">
    <w:name w:val="toc 1"/>
    <w:basedOn w:val="Normal"/>
    <w:next w:val="Normal"/>
    <w:rsid w:val="003665EC"/>
    <w:pPr>
      <w:tabs>
        <w:tab w:val="right" w:leader="dot" w:pos="8306"/>
      </w:tabs>
    </w:pPr>
    <w:rPr>
      <w:spacing w:val="0"/>
    </w:rPr>
  </w:style>
  <w:style w:type="paragraph" w:styleId="INNH2">
    <w:name w:val="toc 2"/>
    <w:basedOn w:val="Normal"/>
    <w:next w:val="Normal"/>
    <w:rsid w:val="003665EC"/>
    <w:pPr>
      <w:tabs>
        <w:tab w:val="right" w:leader="dot" w:pos="8306"/>
      </w:tabs>
      <w:ind w:left="200"/>
    </w:pPr>
    <w:rPr>
      <w:spacing w:val="0"/>
    </w:rPr>
  </w:style>
  <w:style w:type="paragraph" w:styleId="INNH3">
    <w:name w:val="toc 3"/>
    <w:basedOn w:val="Normal"/>
    <w:next w:val="Normal"/>
    <w:rsid w:val="003665EC"/>
    <w:pPr>
      <w:tabs>
        <w:tab w:val="right" w:leader="dot" w:pos="8306"/>
      </w:tabs>
      <w:ind w:left="400"/>
    </w:pPr>
    <w:rPr>
      <w:spacing w:val="0"/>
    </w:rPr>
  </w:style>
  <w:style w:type="paragraph" w:styleId="INNH4">
    <w:name w:val="toc 4"/>
    <w:basedOn w:val="Normal"/>
    <w:next w:val="Normal"/>
    <w:rsid w:val="003665EC"/>
    <w:pPr>
      <w:tabs>
        <w:tab w:val="right" w:leader="dot" w:pos="8306"/>
      </w:tabs>
      <w:ind w:left="600"/>
    </w:pPr>
    <w:rPr>
      <w:spacing w:val="0"/>
    </w:rPr>
  </w:style>
  <w:style w:type="paragraph" w:styleId="INNH5">
    <w:name w:val="toc 5"/>
    <w:basedOn w:val="Normal"/>
    <w:next w:val="Normal"/>
    <w:rsid w:val="003665EC"/>
    <w:pPr>
      <w:tabs>
        <w:tab w:val="right" w:leader="dot" w:pos="8306"/>
      </w:tabs>
      <w:ind w:left="800"/>
    </w:pPr>
    <w:rPr>
      <w:spacing w:val="0"/>
    </w:rPr>
  </w:style>
  <w:style w:type="character" w:styleId="Merknadsreferanse">
    <w:name w:val="annotation reference"/>
    <w:rsid w:val="003665EC"/>
    <w:rPr>
      <w:sz w:val="16"/>
    </w:rPr>
  </w:style>
  <w:style w:type="paragraph" w:styleId="Merknadstekst">
    <w:name w:val="annotation text"/>
    <w:basedOn w:val="Normal"/>
    <w:link w:val="MerknadstekstTegn"/>
    <w:rsid w:val="003665EC"/>
    <w:rPr>
      <w:spacing w:val="0"/>
      <w:sz w:val="20"/>
    </w:rPr>
  </w:style>
  <w:style w:type="character" w:customStyle="1" w:styleId="MerknadstekstTegn">
    <w:name w:val="Merknadstekst Tegn"/>
    <w:link w:val="Merknadstekst"/>
    <w:rsid w:val="003665EC"/>
    <w:rPr>
      <w:rFonts w:ascii="Times New Roman" w:eastAsia="Times New Roman" w:hAnsi="Times New Roman"/>
      <w:sz w:val="20"/>
    </w:rPr>
  </w:style>
  <w:style w:type="paragraph" w:styleId="Punktliste">
    <w:name w:val="List Bullet"/>
    <w:basedOn w:val="Normal"/>
    <w:rsid w:val="003665EC"/>
    <w:pPr>
      <w:spacing w:after="0"/>
      <w:ind w:left="284" w:hanging="284"/>
    </w:pPr>
  </w:style>
  <w:style w:type="paragraph" w:styleId="Punktliste2">
    <w:name w:val="List Bullet 2"/>
    <w:basedOn w:val="Normal"/>
    <w:rsid w:val="003665EC"/>
    <w:pPr>
      <w:spacing w:after="0"/>
      <w:ind w:left="568" w:hanging="284"/>
    </w:pPr>
  </w:style>
  <w:style w:type="paragraph" w:styleId="Punktliste3">
    <w:name w:val="List Bullet 3"/>
    <w:basedOn w:val="Normal"/>
    <w:rsid w:val="003665EC"/>
    <w:pPr>
      <w:spacing w:after="0"/>
      <w:ind w:left="851" w:hanging="284"/>
    </w:pPr>
  </w:style>
  <w:style w:type="paragraph" w:styleId="Punktliste4">
    <w:name w:val="List Bullet 4"/>
    <w:basedOn w:val="Normal"/>
    <w:rsid w:val="003665EC"/>
    <w:pPr>
      <w:spacing w:after="0"/>
      <w:ind w:left="1135" w:hanging="284"/>
    </w:pPr>
    <w:rPr>
      <w:spacing w:val="0"/>
    </w:rPr>
  </w:style>
  <w:style w:type="paragraph" w:styleId="Punktliste5">
    <w:name w:val="List Bullet 5"/>
    <w:basedOn w:val="Normal"/>
    <w:rsid w:val="003665EC"/>
    <w:pPr>
      <w:spacing w:after="0"/>
      <w:ind w:left="1418" w:hanging="284"/>
    </w:pPr>
    <w:rPr>
      <w:spacing w:val="0"/>
    </w:rPr>
  </w:style>
  <w:style w:type="paragraph" w:styleId="Topptekst">
    <w:name w:val="header"/>
    <w:basedOn w:val="Normal"/>
    <w:link w:val="TopptekstTegn"/>
    <w:rsid w:val="003665E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665EC"/>
    <w:rPr>
      <w:rFonts w:ascii="Times New Roman" w:eastAsia="Times New Roman" w:hAnsi="Times New Roman"/>
      <w:spacing w:val="4"/>
      <w:sz w:val="24"/>
    </w:rPr>
  </w:style>
  <w:style w:type="table" w:customStyle="1" w:styleId="StandardTabell">
    <w:name w:val="StandardTabell"/>
    <w:basedOn w:val="Vanligtabell"/>
    <w:uiPriority w:val="99"/>
    <w:qFormat/>
    <w:rsid w:val="003665EC"/>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665E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665E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665EC"/>
    <w:pPr>
      <w:spacing w:after="0" w:line="240" w:lineRule="auto"/>
      <w:ind w:left="240" w:hanging="240"/>
    </w:pPr>
  </w:style>
  <w:style w:type="paragraph" w:styleId="Indeks2">
    <w:name w:val="index 2"/>
    <w:basedOn w:val="Normal"/>
    <w:next w:val="Normal"/>
    <w:autoRedefine/>
    <w:uiPriority w:val="99"/>
    <w:semiHidden/>
    <w:unhideWhenUsed/>
    <w:rsid w:val="003665EC"/>
    <w:pPr>
      <w:spacing w:after="0" w:line="240" w:lineRule="auto"/>
      <w:ind w:left="480" w:hanging="240"/>
    </w:pPr>
  </w:style>
  <w:style w:type="paragraph" w:styleId="Indeks3">
    <w:name w:val="index 3"/>
    <w:basedOn w:val="Normal"/>
    <w:next w:val="Normal"/>
    <w:autoRedefine/>
    <w:uiPriority w:val="99"/>
    <w:semiHidden/>
    <w:unhideWhenUsed/>
    <w:rsid w:val="003665EC"/>
    <w:pPr>
      <w:spacing w:after="0" w:line="240" w:lineRule="auto"/>
      <w:ind w:left="720" w:hanging="240"/>
    </w:pPr>
  </w:style>
  <w:style w:type="paragraph" w:styleId="Indeks4">
    <w:name w:val="index 4"/>
    <w:basedOn w:val="Normal"/>
    <w:next w:val="Normal"/>
    <w:autoRedefine/>
    <w:uiPriority w:val="99"/>
    <w:semiHidden/>
    <w:unhideWhenUsed/>
    <w:rsid w:val="003665EC"/>
    <w:pPr>
      <w:spacing w:after="0" w:line="240" w:lineRule="auto"/>
      <w:ind w:left="960" w:hanging="240"/>
    </w:pPr>
  </w:style>
  <w:style w:type="paragraph" w:styleId="Indeks5">
    <w:name w:val="index 5"/>
    <w:basedOn w:val="Normal"/>
    <w:next w:val="Normal"/>
    <w:autoRedefine/>
    <w:uiPriority w:val="99"/>
    <w:semiHidden/>
    <w:unhideWhenUsed/>
    <w:rsid w:val="003665EC"/>
    <w:pPr>
      <w:spacing w:after="0" w:line="240" w:lineRule="auto"/>
      <w:ind w:left="1200" w:hanging="240"/>
    </w:pPr>
  </w:style>
  <w:style w:type="paragraph" w:styleId="Indeks6">
    <w:name w:val="index 6"/>
    <w:basedOn w:val="Normal"/>
    <w:next w:val="Normal"/>
    <w:autoRedefine/>
    <w:uiPriority w:val="99"/>
    <w:semiHidden/>
    <w:unhideWhenUsed/>
    <w:rsid w:val="003665EC"/>
    <w:pPr>
      <w:spacing w:after="0" w:line="240" w:lineRule="auto"/>
      <w:ind w:left="1440" w:hanging="240"/>
    </w:pPr>
  </w:style>
  <w:style w:type="paragraph" w:styleId="Indeks7">
    <w:name w:val="index 7"/>
    <w:basedOn w:val="Normal"/>
    <w:next w:val="Normal"/>
    <w:autoRedefine/>
    <w:uiPriority w:val="99"/>
    <w:semiHidden/>
    <w:unhideWhenUsed/>
    <w:rsid w:val="003665EC"/>
    <w:pPr>
      <w:spacing w:after="0" w:line="240" w:lineRule="auto"/>
      <w:ind w:left="1680" w:hanging="240"/>
    </w:pPr>
  </w:style>
  <w:style w:type="paragraph" w:styleId="Indeks8">
    <w:name w:val="index 8"/>
    <w:basedOn w:val="Normal"/>
    <w:next w:val="Normal"/>
    <w:autoRedefine/>
    <w:uiPriority w:val="99"/>
    <w:semiHidden/>
    <w:unhideWhenUsed/>
    <w:rsid w:val="003665EC"/>
    <w:pPr>
      <w:spacing w:after="0" w:line="240" w:lineRule="auto"/>
      <w:ind w:left="1920" w:hanging="240"/>
    </w:pPr>
  </w:style>
  <w:style w:type="paragraph" w:styleId="Indeks9">
    <w:name w:val="index 9"/>
    <w:basedOn w:val="Normal"/>
    <w:next w:val="Normal"/>
    <w:autoRedefine/>
    <w:uiPriority w:val="99"/>
    <w:semiHidden/>
    <w:unhideWhenUsed/>
    <w:rsid w:val="003665EC"/>
    <w:pPr>
      <w:spacing w:after="0" w:line="240" w:lineRule="auto"/>
      <w:ind w:left="2160" w:hanging="240"/>
    </w:pPr>
  </w:style>
  <w:style w:type="paragraph" w:styleId="INNH6">
    <w:name w:val="toc 6"/>
    <w:basedOn w:val="Normal"/>
    <w:next w:val="Normal"/>
    <w:autoRedefine/>
    <w:uiPriority w:val="39"/>
    <w:semiHidden/>
    <w:unhideWhenUsed/>
    <w:rsid w:val="003665EC"/>
    <w:pPr>
      <w:spacing w:after="100"/>
      <w:ind w:left="1200"/>
    </w:pPr>
  </w:style>
  <w:style w:type="paragraph" w:styleId="INNH7">
    <w:name w:val="toc 7"/>
    <w:basedOn w:val="Normal"/>
    <w:next w:val="Normal"/>
    <w:autoRedefine/>
    <w:uiPriority w:val="39"/>
    <w:semiHidden/>
    <w:unhideWhenUsed/>
    <w:rsid w:val="003665EC"/>
    <w:pPr>
      <w:spacing w:after="100"/>
      <w:ind w:left="1440"/>
    </w:pPr>
  </w:style>
  <w:style w:type="paragraph" w:styleId="INNH8">
    <w:name w:val="toc 8"/>
    <w:basedOn w:val="Normal"/>
    <w:next w:val="Normal"/>
    <w:autoRedefine/>
    <w:uiPriority w:val="39"/>
    <w:semiHidden/>
    <w:unhideWhenUsed/>
    <w:rsid w:val="003665EC"/>
    <w:pPr>
      <w:spacing w:after="100"/>
      <w:ind w:left="1680"/>
    </w:pPr>
  </w:style>
  <w:style w:type="paragraph" w:styleId="INNH9">
    <w:name w:val="toc 9"/>
    <w:basedOn w:val="Normal"/>
    <w:next w:val="Normal"/>
    <w:autoRedefine/>
    <w:uiPriority w:val="39"/>
    <w:semiHidden/>
    <w:unhideWhenUsed/>
    <w:rsid w:val="003665EC"/>
    <w:pPr>
      <w:spacing w:after="100"/>
      <w:ind w:left="1920"/>
    </w:pPr>
  </w:style>
  <w:style w:type="paragraph" w:styleId="Vanliginnrykk">
    <w:name w:val="Normal Indent"/>
    <w:basedOn w:val="Normal"/>
    <w:uiPriority w:val="99"/>
    <w:semiHidden/>
    <w:unhideWhenUsed/>
    <w:rsid w:val="003665EC"/>
    <w:pPr>
      <w:ind w:left="708"/>
    </w:pPr>
  </w:style>
  <w:style w:type="paragraph" w:styleId="Stikkordregisteroverskrift">
    <w:name w:val="index heading"/>
    <w:basedOn w:val="Normal"/>
    <w:next w:val="Indeks1"/>
    <w:uiPriority w:val="99"/>
    <w:semiHidden/>
    <w:unhideWhenUsed/>
    <w:rsid w:val="003665EC"/>
    <w:rPr>
      <w:rFonts w:ascii="Cambria" w:hAnsi="Cambria" w:cs="Times New Roman"/>
      <w:b/>
      <w:bCs/>
    </w:rPr>
  </w:style>
  <w:style w:type="paragraph" w:styleId="Bildetekst">
    <w:name w:val="caption"/>
    <w:basedOn w:val="Normal"/>
    <w:next w:val="Normal"/>
    <w:uiPriority w:val="35"/>
    <w:semiHidden/>
    <w:unhideWhenUsed/>
    <w:qFormat/>
    <w:rsid w:val="003665E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665EC"/>
    <w:pPr>
      <w:spacing w:after="0"/>
    </w:pPr>
  </w:style>
  <w:style w:type="paragraph" w:styleId="Konvoluttadresse">
    <w:name w:val="envelope address"/>
    <w:basedOn w:val="Normal"/>
    <w:uiPriority w:val="99"/>
    <w:semiHidden/>
    <w:unhideWhenUsed/>
    <w:rsid w:val="003665E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665EC"/>
  </w:style>
  <w:style w:type="character" w:styleId="Sluttnotereferanse">
    <w:name w:val="endnote reference"/>
    <w:uiPriority w:val="99"/>
    <w:semiHidden/>
    <w:unhideWhenUsed/>
    <w:rsid w:val="003665EC"/>
    <w:rPr>
      <w:vertAlign w:val="superscript"/>
    </w:rPr>
  </w:style>
  <w:style w:type="paragraph" w:styleId="Sluttnotetekst">
    <w:name w:val="endnote text"/>
    <w:basedOn w:val="Normal"/>
    <w:link w:val="SluttnotetekstTegn"/>
    <w:uiPriority w:val="99"/>
    <w:semiHidden/>
    <w:unhideWhenUsed/>
    <w:rsid w:val="003665EC"/>
    <w:pPr>
      <w:spacing w:after="0" w:line="240" w:lineRule="auto"/>
    </w:pPr>
    <w:rPr>
      <w:sz w:val="20"/>
      <w:szCs w:val="20"/>
    </w:rPr>
  </w:style>
  <w:style w:type="character" w:customStyle="1" w:styleId="SluttnotetekstTegn1">
    <w:name w:val="Sluttnotetekst Tegn1"/>
    <w:basedOn w:val="Standardskriftforavsnitt"/>
    <w:uiPriority w:val="99"/>
    <w:semiHidden/>
    <w:rsid w:val="003665E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665EC"/>
    <w:pPr>
      <w:spacing w:after="0"/>
      <w:ind w:left="240" w:hanging="240"/>
    </w:pPr>
  </w:style>
  <w:style w:type="paragraph" w:styleId="Makrotekst">
    <w:name w:val="macro"/>
    <w:link w:val="MakrotekstTegn"/>
    <w:uiPriority w:val="99"/>
    <w:semiHidden/>
    <w:unhideWhenUsed/>
    <w:rsid w:val="003665E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665EC"/>
    <w:rPr>
      <w:rFonts w:ascii="Consolas" w:eastAsia="Times New Roman" w:hAnsi="Consolas"/>
      <w:spacing w:val="4"/>
    </w:rPr>
  </w:style>
  <w:style w:type="paragraph" w:styleId="Kildelisteoverskrift">
    <w:name w:val="toa heading"/>
    <w:basedOn w:val="Normal"/>
    <w:next w:val="Normal"/>
    <w:uiPriority w:val="99"/>
    <w:semiHidden/>
    <w:unhideWhenUsed/>
    <w:rsid w:val="003665EC"/>
    <w:pPr>
      <w:spacing w:before="120"/>
    </w:pPr>
    <w:rPr>
      <w:rFonts w:ascii="Cambria" w:hAnsi="Cambria" w:cs="Times New Roman"/>
      <w:b/>
      <w:bCs/>
      <w:szCs w:val="24"/>
    </w:rPr>
  </w:style>
  <w:style w:type="paragraph" w:styleId="Tittel">
    <w:name w:val="Title"/>
    <w:basedOn w:val="Normal"/>
    <w:next w:val="Normal"/>
    <w:link w:val="TittelTegn"/>
    <w:uiPriority w:val="10"/>
    <w:qFormat/>
    <w:rsid w:val="003665E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665E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665EC"/>
    <w:pPr>
      <w:spacing w:after="0" w:line="240" w:lineRule="auto"/>
      <w:ind w:left="4252"/>
    </w:pPr>
  </w:style>
  <w:style w:type="character" w:customStyle="1" w:styleId="HilsenTegn">
    <w:name w:val="Hilsen Tegn"/>
    <w:link w:val="Hilsen"/>
    <w:uiPriority w:val="99"/>
    <w:semiHidden/>
    <w:rsid w:val="003665EC"/>
    <w:rPr>
      <w:rFonts w:ascii="Times New Roman" w:eastAsia="Times New Roman" w:hAnsi="Times New Roman"/>
      <w:spacing w:val="4"/>
      <w:sz w:val="24"/>
    </w:rPr>
  </w:style>
  <w:style w:type="paragraph" w:styleId="Underskrift">
    <w:name w:val="Signature"/>
    <w:basedOn w:val="Normal"/>
    <w:link w:val="UnderskriftTegn"/>
    <w:uiPriority w:val="99"/>
    <w:unhideWhenUsed/>
    <w:rsid w:val="003665EC"/>
    <w:pPr>
      <w:spacing w:after="0" w:line="240" w:lineRule="auto"/>
      <w:ind w:left="4252"/>
    </w:pPr>
  </w:style>
  <w:style w:type="character" w:customStyle="1" w:styleId="UnderskriftTegn1">
    <w:name w:val="Underskrift Tegn1"/>
    <w:basedOn w:val="Standardskriftforavsnitt"/>
    <w:uiPriority w:val="99"/>
    <w:semiHidden/>
    <w:rsid w:val="003665EC"/>
    <w:rPr>
      <w:rFonts w:ascii="Times New Roman" w:eastAsia="Times New Roman" w:hAnsi="Times New Roman"/>
      <w:spacing w:val="4"/>
      <w:sz w:val="24"/>
    </w:rPr>
  </w:style>
  <w:style w:type="paragraph" w:styleId="Liste-forts">
    <w:name w:val="List Continue"/>
    <w:basedOn w:val="Normal"/>
    <w:uiPriority w:val="99"/>
    <w:semiHidden/>
    <w:unhideWhenUsed/>
    <w:rsid w:val="003665EC"/>
    <w:pPr>
      <w:ind w:left="283"/>
      <w:contextualSpacing/>
    </w:pPr>
  </w:style>
  <w:style w:type="paragraph" w:styleId="Liste-forts2">
    <w:name w:val="List Continue 2"/>
    <w:basedOn w:val="Normal"/>
    <w:uiPriority w:val="99"/>
    <w:semiHidden/>
    <w:unhideWhenUsed/>
    <w:rsid w:val="003665EC"/>
    <w:pPr>
      <w:ind w:left="566"/>
      <w:contextualSpacing/>
    </w:pPr>
  </w:style>
  <w:style w:type="paragraph" w:styleId="Liste-forts3">
    <w:name w:val="List Continue 3"/>
    <w:basedOn w:val="Normal"/>
    <w:uiPriority w:val="99"/>
    <w:semiHidden/>
    <w:unhideWhenUsed/>
    <w:rsid w:val="003665EC"/>
    <w:pPr>
      <w:ind w:left="849"/>
      <w:contextualSpacing/>
    </w:pPr>
  </w:style>
  <w:style w:type="paragraph" w:styleId="Liste-forts4">
    <w:name w:val="List Continue 4"/>
    <w:basedOn w:val="Normal"/>
    <w:uiPriority w:val="99"/>
    <w:semiHidden/>
    <w:unhideWhenUsed/>
    <w:rsid w:val="003665EC"/>
    <w:pPr>
      <w:ind w:left="1132"/>
      <w:contextualSpacing/>
    </w:pPr>
  </w:style>
  <w:style w:type="paragraph" w:styleId="Liste-forts5">
    <w:name w:val="List Continue 5"/>
    <w:basedOn w:val="Normal"/>
    <w:uiPriority w:val="99"/>
    <w:semiHidden/>
    <w:unhideWhenUsed/>
    <w:rsid w:val="003665EC"/>
    <w:pPr>
      <w:ind w:left="1415"/>
      <w:contextualSpacing/>
    </w:pPr>
  </w:style>
  <w:style w:type="paragraph" w:styleId="Meldingshode">
    <w:name w:val="Message Header"/>
    <w:basedOn w:val="Normal"/>
    <w:link w:val="MeldingshodeTegn"/>
    <w:uiPriority w:val="99"/>
    <w:semiHidden/>
    <w:unhideWhenUsed/>
    <w:rsid w:val="003665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665E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665EC"/>
  </w:style>
  <w:style w:type="character" w:customStyle="1" w:styleId="InnledendehilsenTegn">
    <w:name w:val="Innledende hilsen Tegn"/>
    <w:link w:val="Innledendehilsen"/>
    <w:uiPriority w:val="99"/>
    <w:semiHidden/>
    <w:rsid w:val="003665EC"/>
    <w:rPr>
      <w:rFonts w:ascii="Times New Roman" w:eastAsia="Times New Roman" w:hAnsi="Times New Roman"/>
      <w:spacing w:val="4"/>
      <w:sz w:val="24"/>
    </w:rPr>
  </w:style>
  <w:style w:type="paragraph" w:styleId="Dato0">
    <w:name w:val="Date"/>
    <w:basedOn w:val="Normal"/>
    <w:next w:val="Normal"/>
    <w:link w:val="DatoTegn"/>
    <w:rsid w:val="003665EC"/>
  </w:style>
  <w:style w:type="character" w:customStyle="1" w:styleId="DatoTegn1">
    <w:name w:val="Dato Tegn1"/>
    <w:basedOn w:val="Standardskriftforavsnitt"/>
    <w:uiPriority w:val="99"/>
    <w:semiHidden/>
    <w:rsid w:val="003665E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665EC"/>
    <w:pPr>
      <w:spacing w:after="0" w:line="240" w:lineRule="auto"/>
    </w:pPr>
  </w:style>
  <w:style w:type="character" w:customStyle="1" w:styleId="NotatoverskriftTegn">
    <w:name w:val="Notatoverskrift Tegn"/>
    <w:link w:val="Notatoverskrift"/>
    <w:uiPriority w:val="99"/>
    <w:semiHidden/>
    <w:rsid w:val="003665EC"/>
    <w:rPr>
      <w:rFonts w:ascii="Times New Roman" w:eastAsia="Times New Roman" w:hAnsi="Times New Roman"/>
      <w:spacing w:val="4"/>
      <w:sz w:val="24"/>
    </w:rPr>
  </w:style>
  <w:style w:type="paragraph" w:styleId="Blokktekst">
    <w:name w:val="Block Text"/>
    <w:basedOn w:val="Normal"/>
    <w:uiPriority w:val="99"/>
    <w:semiHidden/>
    <w:unhideWhenUsed/>
    <w:rsid w:val="003665E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665EC"/>
    <w:rPr>
      <w:color w:val="800080"/>
      <w:u w:val="single"/>
    </w:rPr>
  </w:style>
  <w:style w:type="character" w:styleId="Utheving">
    <w:name w:val="Emphasis"/>
    <w:uiPriority w:val="20"/>
    <w:qFormat/>
    <w:rsid w:val="003665EC"/>
    <w:rPr>
      <w:i/>
      <w:iCs/>
    </w:rPr>
  </w:style>
  <w:style w:type="paragraph" w:styleId="Dokumentkart">
    <w:name w:val="Document Map"/>
    <w:basedOn w:val="Normal"/>
    <w:link w:val="DokumentkartTegn"/>
    <w:uiPriority w:val="99"/>
    <w:semiHidden/>
    <w:rsid w:val="003665EC"/>
    <w:pPr>
      <w:shd w:val="clear" w:color="auto" w:fill="000080"/>
    </w:pPr>
    <w:rPr>
      <w:rFonts w:ascii="Tahoma" w:hAnsi="Tahoma" w:cs="Tahoma"/>
    </w:rPr>
  </w:style>
  <w:style w:type="character" w:customStyle="1" w:styleId="DokumentkartTegn">
    <w:name w:val="Dokumentkart Tegn"/>
    <w:link w:val="Dokumentkart"/>
    <w:uiPriority w:val="99"/>
    <w:semiHidden/>
    <w:rsid w:val="003665E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665EC"/>
    <w:rPr>
      <w:rFonts w:ascii="Courier New" w:hAnsi="Courier New" w:cs="Courier New"/>
      <w:sz w:val="20"/>
    </w:rPr>
  </w:style>
  <w:style w:type="character" w:customStyle="1" w:styleId="RentekstTegn">
    <w:name w:val="Ren tekst Tegn"/>
    <w:link w:val="Rentekst"/>
    <w:uiPriority w:val="99"/>
    <w:semiHidden/>
    <w:rsid w:val="003665E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665EC"/>
    <w:pPr>
      <w:spacing w:after="0" w:line="240" w:lineRule="auto"/>
    </w:pPr>
  </w:style>
  <w:style w:type="character" w:customStyle="1" w:styleId="E-postsignaturTegn">
    <w:name w:val="E-postsignatur Tegn"/>
    <w:link w:val="E-postsignatur"/>
    <w:uiPriority w:val="99"/>
    <w:semiHidden/>
    <w:rsid w:val="003665EC"/>
    <w:rPr>
      <w:rFonts w:ascii="Times New Roman" w:eastAsia="Times New Roman" w:hAnsi="Times New Roman"/>
      <w:spacing w:val="4"/>
      <w:sz w:val="24"/>
    </w:rPr>
  </w:style>
  <w:style w:type="paragraph" w:styleId="NormalWeb">
    <w:name w:val="Normal (Web)"/>
    <w:basedOn w:val="Normal"/>
    <w:uiPriority w:val="99"/>
    <w:semiHidden/>
    <w:unhideWhenUsed/>
    <w:rsid w:val="003665EC"/>
    <w:rPr>
      <w:szCs w:val="24"/>
    </w:rPr>
  </w:style>
  <w:style w:type="character" w:styleId="HTML-akronym">
    <w:name w:val="HTML Acronym"/>
    <w:basedOn w:val="Standardskriftforavsnitt"/>
    <w:uiPriority w:val="99"/>
    <w:semiHidden/>
    <w:unhideWhenUsed/>
    <w:rsid w:val="003665EC"/>
  </w:style>
  <w:style w:type="paragraph" w:styleId="HTML-adresse">
    <w:name w:val="HTML Address"/>
    <w:basedOn w:val="Normal"/>
    <w:link w:val="HTML-adresseTegn"/>
    <w:uiPriority w:val="99"/>
    <w:semiHidden/>
    <w:unhideWhenUsed/>
    <w:rsid w:val="003665EC"/>
    <w:pPr>
      <w:spacing w:after="0" w:line="240" w:lineRule="auto"/>
    </w:pPr>
    <w:rPr>
      <w:i/>
      <w:iCs/>
    </w:rPr>
  </w:style>
  <w:style w:type="character" w:customStyle="1" w:styleId="HTML-adresseTegn">
    <w:name w:val="HTML-adresse Tegn"/>
    <w:link w:val="HTML-adresse"/>
    <w:uiPriority w:val="99"/>
    <w:semiHidden/>
    <w:rsid w:val="003665EC"/>
    <w:rPr>
      <w:rFonts w:ascii="Times New Roman" w:eastAsia="Times New Roman" w:hAnsi="Times New Roman"/>
      <w:i/>
      <w:iCs/>
      <w:spacing w:val="4"/>
      <w:sz w:val="24"/>
    </w:rPr>
  </w:style>
  <w:style w:type="character" w:styleId="HTML-sitat">
    <w:name w:val="HTML Cite"/>
    <w:uiPriority w:val="99"/>
    <w:semiHidden/>
    <w:unhideWhenUsed/>
    <w:rsid w:val="003665EC"/>
    <w:rPr>
      <w:i/>
      <w:iCs/>
    </w:rPr>
  </w:style>
  <w:style w:type="character" w:styleId="HTML-kode">
    <w:name w:val="HTML Code"/>
    <w:uiPriority w:val="99"/>
    <w:semiHidden/>
    <w:unhideWhenUsed/>
    <w:rsid w:val="003665EC"/>
    <w:rPr>
      <w:rFonts w:ascii="Consolas" w:hAnsi="Consolas"/>
      <w:sz w:val="20"/>
      <w:szCs w:val="20"/>
    </w:rPr>
  </w:style>
  <w:style w:type="character" w:styleId="HTML-definisjon">
    <w:name w:val="HTML Definition"/>
    <w:uiPriority w:val="99"/>
    <w:semiHidden/>
    <w:unhideWhenUsed/>
    <w:rsid w:val="003665EC"/>
    <w:rPr>
      <w:i/>
      <w:iCs/>
    </w:rPr>
  </w:style>
  <w:style w:type="character" w:styleId="HTML-tastatur">
    <w:name w:val="HTML Keyboard"/>
    <w:uiPriority w:val="99"/>
    <w:semiHidden/>
    <w:unhideWhenUsed/>
    <w:rsid w:val="003665EC"/>
    <w:rPr>
      <w:rFonts w:ascii="Consolas" w:hAnsi="Consolas"/>
      <w:sz w:val="20"/>
      <w:szCs w:val="20"/>
    </w:rPr>
  </w:style>
  <w:style w:type="paragraph" w:styleId="HTML-forhndsformatert">
    <w:name w:val="HTML Preformatted"/>
    <w:basedOn w:val="Normal"/>
    <w:link w:val="HTML-forhndsformatertTegn"/>
    <w:uiPriority w:val="99"/>
    <w:semiHidden/>
    <w:unhideWhenUsed/>
    <w:rsid w:val="003665E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665EC"/>
    <w:rPr>
      <w:rFonts w:ascii="Consolas" w:eastAsia="Times New Roman" w:hAnsi="Consolas"/>
      <w:spacing w:val="4"/>
      <w:sz w:val="20"/>
      <w:szCs w:val="20"/>
    </w:rPr>
  </w:style>
  <w:style w:type="character" w:styleId="HTML-eksempel">
    <w:name w:val="HTML Sample"/>
    <w:uiPriority w:val="99"/>
    <w:semiHidden/>
    <w:unhideWhenUsed/>
    <w:rsid w:val="003665EC"/>
    <w:rPr>
      <w:rFonts w:ascii="Consolas" w:hAnsi="Consolas"/>
      <w:sz w:val="24"/>
      <w:szCs w:val="24"/>
    </w:rPr>
  </w:style>
  <w:style w:type="character" w:styleId="HTML-skrivemaskin">
    <w:name w:val="HTML Typewriter"/>
    <w:uiPriority w:val="99"/>
    <w:semiHidden/>
    <w:unhideWhenUsed/>
    <w:rsid w:val="003665EC"/>
    <w:rPr>
      <w:rFonts w:ascii="Consolas" w:hAnsi="Consolas"/>
      <w:sz w:val="20"/>
      <w:szCs w:val="20"/>
    </w:rPr>
  </w:style>
  <w:style w:type="character" w:styleId="HTML-variabel">
    <w:name w:val="HTML Variable"/>
    <w:uiPriority w:val="99"/>
    <w:semiHidden/>
    <w:unhideWhenUsed/>
    <w:rsid w:val="003665EC"/>
    <w:rPr>
      <w:i/>
      <w:iCs/>
    </w:rPr>
  </w:style>
  <w:style w:type="paragraph" w:styleId="Kommentaremne">
    <w:name w:val="annotation subject"/>
    <w:basedOn w:val="Merknadstekst"/>
    <w:next w:val="Merknadstekst"/>
    <w:link w:val="KommentaremneTegn"/>
    <w:uiPriority w:val="99"/>
    <w:semiHidden/>
    <w:unhideWhenUsed/>
    <w:rsid w:val="003665EC"/>
    <w:pPr>
      <w:spacing w:line="240" w:lineRule="auto"/>
    </w:pPr>
    <w:rPr>
      <w:b/>
      <w:bCs/>
      <w:spacing w:val="4"/>
      <w:szCs w:val="20"/>
    </w:rPr>
  </w:style>
  <w:style w:type="character" w:customStyle="1" w:styleId="KommentaremneTegn">
    <w:name w:val="Kommentaremne Tegn"/>
    <w:link w:val="Kommentaremne"/>
    <w:uiPriority w:val="99"/>
    <w:semiHidden/>
    <w:rsid w:val="003665E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665E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665EC"/>
    <w:rPr>
      <w:rFonts w:ascii="Tahoma" w:eastAsia="Times New Roman" w:hAnsi="Tahoma" w:cs="Tahoma"/>
      <w:spacing w:val="4"/>
      <w:sz w:val="16"/>
      <w:szCs w:val="16"/>
    </w:rPr>
  </w:style>
  <w:style w:type="table" w:styleId="Tabellrutenett">
    <w:name w:val="Table Grid"/>
    <w:aliases w:val="MetadataTabellss"/>
    <w:basedOn w:val="Vanligtabell"/>
    <w:uiPriority w:val="59"/>
    <w:rsid w:val="003665E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665E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665E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665EC"/>
    <w:rPr>
      <w:rFonts w:ascii="Times New Roman" w:eastAsia="Times New Roman" w:hAnsi="Times New Roman"/>
      <w:i/>
      <w:iCs/>
      <w:color w:val="4472C4" w:themeColor="accent1"/>
      <w:spacing w:val="4"/>
      <w:sz w:val="24"/>
    </w:rPr>
  </w:style>
  <w:style w:type="character" w:styleId="Svakutheving">
    <w:name w:val="Subtle Emphasis"/>
    <w:uiPriority w:val="19"/>
    <w:qFormat/>
    <w:rsid w:val="003665EC"/>
    <w:rPr>
      <w:i/>
      <w:iCs/>
      <w:color w:val="808080"/>
    </w:rPr>
  </w:style>
  <w:style w:type="character" w:styleId="Sterkutheving">
    <w:name w:val="Intense Emphasis"/>
    <w:uiPriority w:val="21"/>
    <w:qFormat/>
    <w:rsid w:val="003665EC"/>
    <w:rPr>
      <w:b/>
      <w:bCs/>
      <w:i/>
      <w:iCs/>
      <w:color w:val="4F81BD"/>
    </w:rPr>
  </w:style>
  <w:style w:type="character" w:styleId="Svakreferanse">
    <w:name w:val="Subtle Reference"/>
    <w:uiPriority w:val="31"/>
    <w:qFormat/>
    <w:rsid w:val="003665EC"/>
    <w:rPr>
      <w:smallCaps/>
      <w:color w:val="C0504D"/>
      <w:u w:val="single"/>
    </w:rPr>
  </w:style>
  <w:style w:type="character" w:styleId="Sterkreferanse">
    <w:name w:val="Intense Reference"/>
    <w:uiPriority w:val="32"/>
    <w:qFormat/>
    <w:rsid w:val="003665EC"/>
    <w:rPr>
      <w:b/>
      <w:bCs/>
      <w:smallCaps/>
      <w:color w:val="C0504D"/>
      <w:spacing w:val="5"/>
      <w:u w:val="single"/>
    </w:rPr>
  </w:style>
  <w:style w:type="character" w:styleId="Boktittel">
    <w:name w:val="Book Title"/>
    <w:uiPriority w:val="33"/>
    <w:qFormat/>
    <w:rsid w:val="003665EC"/>
    <w:rPr>
      <w:b/>
      <w:bCs/>
      <w:smallCaps/>
      <w:spacing w:val="5"/>
    </w:rPr>
  </w:style>
  <w:style w:type="paragraph" w:styleId="Bibliografi">
    <w:name w:val="Bibliography"/>
    <w:basedOn w:val="Normal"/>
    <w:next w:val="Normal"/>
    <w:uiPriority w:val="37"/>
    <w:semiHidden/>
    <w:unhideWhenUsed/>
    <w:rsid w:val="003665EC"/>
  </w:style>
  <w:style w:type="paragraph" w:styleId="Overskriftforinnholdsfortegnelse">
    <w:name w:val="TOC Heading"/>
    <w:basedOn w:val="Overskrift1"/>
    <w:next w:val="Normal"/>
    <w:uiPriority w:val="39"/>
    <w:semiHidden/>
    <w:unhideWhenUsed/>
    <w:qFormat/>
    <w:rsid w:val="003665E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665EC"/>
    <w:pPr>
      <w:numPr>
        <w:numId w:val="23"/>
      </w:numPr>
    </w:pPr>
  </w:style>
  <w:style w:type="numbering" w:customStyle="1" w:styleId="NrListeStil">
    <w:name w:val="NrListeStil"/>
    <w:uiPriority w:val="99"/>
    <w:rsid w:val="003665EC"/>
    <w:pPr>
      <w:numPr>
        <w:numId w:val="24"/>
      </w:numPr>
    </w:pPr>
  </w:style>
  <w:style w:type="numbering" w:customStyle="1" w:styleId="RomListeStil">
    <w:name w:val="RomListeStil"/>
    <w:uiPriority w:val="99"/>
    <w:rsid w:val="003665EC"/>
    <w:pPr>
      <w:numPr>
        <w:numId w:val="25"/>
      </w:numPr>
    </w:pPr>
  </w:style>
  <w:style w:type="numbering" w:customStyle="1" w:styleId="StrekListeStil">
    <w:name w:val="StrekListeStil"/>
    <w:uiPriority w:val="99"/>
    <w:rsid w:val="003665EC"/>
    <w:pPr>
      <w:numPr>
        <w:numId w:val="26"/>
      </w:numPr>
    </w:pPr>
  </w:style>
  <w:style w:type="numbering" w:customStyle="1" w:styleId="OpplistingListeStil">
    <w:name w:val="OpplistingListeStil"/>
    <w:uiPriority w:val="99"/>
    <w:rsid w:val="003665EC"/>
    <w:pPr>
      <w:numPr>
        <w:numId w:val="27"/>
      </w:numPr>
    </w:pPr>
  </w:style>
  <w:style w:type="numbering" w:customStyle="1" w:styleId="l-NummerertListeStil">
    <w:name w:val="l-NummerertListeStil"/>
    <w:uiPriority w:val="99"/>
    <w:rsid w:val="003665EC"/>
    <w:pPr>
      <w:numPr>
        <w:numId w:val="28"/>
      </w:numPr>
    </w:pPr>
  </w:style>
  <w:style w:type="numbering" w:customStyle="1" w:styleId="l-AlfaListeStil">
    <w:name w:val="l-AlfaListeStil"/>
    <w:uiPriority w:val="99"/>
    <w:rsid w:val="003665EC"/>
    <w:pPr>
      <w:numPr>
        <w:numId w:val="29"/>
      </w:numPr>
    </w:pPr>
  </w:style>
  <w:style w:type="numbering" w:customStyle="1" w:styleId="OverskrifterListeStil">
    <w:name w:val="OverskrifterListeStil"/>
    <w:uiPriority w:val="99"/>
    <w:rsid w:val="003665EC"/>
    <w:pPr>
      <w:numPr>
        <w:numId w:val="30"/>
      </w:numPr>
    </w:pPr>
  </w:style>
  <w:style w:type="numbering" w:customStyle="1" w:styleId="l-ListeStilMal">
    <w:name w:val="l-ListeStilMal"/>
    <w:uiPriority w:val="99"/>
    <w:rsid w:val="003665EC"/>
    <w:pPr>
      <w:numPr>
        <w:numId w:val="31"/>
      </w:numPr>
    </w:pPr>
  </w:style>
  <w:style w:type="paragraph" w:styleId="Avsenderadresse">
    <w:name w:val="envelope return"/>
    <w:basedOn w:val="Normal"/>
    <w:uiPriority w:val="99"/>
    <w:semiHidden/>
    <w:unhideWhenUsed/>
    <w:rsid w:val="003665E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665EC"/>
  </w:style>
  <w:style w:type="character" w:customStyle="1" w:styleId="BrdtekstTegn">
    <w:name w:val="Brødtekst Tegn"/>
    <w:link w:val="Brdtekst"/>
    <w:semiHidden/>
    <w:rsid w:val="003665E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665EC"/>
    <w:pPr>
      <w:ind w:firstLine="360"/>
    </w:pPr>
  </w:style>
  <w:style w:type="character" w:customStyle="1" w:styleId="Brdtekst-frsteinnrykkTegn">
    <w:name w:val="Brødtekst - første innrykk Tegn"/>
    <w:link w:val="Brdtekst-frsteinnrykk"/>
    <w:uiPriority w:val="99"/>
    <w:semiHidden/>
    <w:rsid w:val="003665E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665EC"/>
    <w:pPr>
      <w:ind w:left="283"/>
    </w:pPr>
  </w:style>
  <w:style w:type="character" w:customStyle="1" w:styleId="BrdtekstinnrykkTegn">
    <w:name w:val="Brødtekstinnrykk Tegn"/>
    <w:link w:val="Brdtekstinnrykk"/>
    <w:uiPriority w:val="99"/>
    <w:semiHidden/>
    <w:rsid w:val="003665E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665EC"/>
    <w:pPr>
      <w:ind w:left="360" w:firstLine="360"/>
    </w:pPr>
  </w:style>
  <w:style w:type="character" w:customStyle="1" w:styleId="Brdtekst-frsteinnrykk2Tegn">
    <w:name w:val="Brødtekst - første innrykk 2 Tegn"/>
    <w:link w:val="Brdtekst-frsteinnrykk2"/>
    <w:uiPriority w:val="99"/>
    <w:semiHidden/>
    <w:rsid w:val="003665E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665EC"/>
    <w:pPr>
      <w:spacing w:line="480" w:lineRule="auto"/>
    </w:pPr>
  </w:style>
  <w:style w:type="character" w:customStyle="1" w:styleId="Brdtekst2Tegn">
    <w:name w:val="Brødtekst 2 Tegn"/>
    <w:link w:val="Brdtekst2"/>
    <w:uiPriority w:val="99"/>
    <w:semiHidden/>
    <w:rsid w:val="003665E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665EC"/>
    <w:rPr>
      <w:sz w:val="16"/>
      <w:szCs w:val="16"/>
    </w:rPr>
  </w:style>
  <w:style w:type="character" w:customStyle="1" w:styleId="Brdtekst3Tegn">
    <w:name w:val="Brødtekst 3 Tegn"/>
    <w:link w:val="Brdtekst3"/>
    <w:uiPriority w:val="99"/>
    <w:semiHidden/>
    <w:rsid w:val="003665E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665EC"/>
    <w:pPr>
      <w:spacing w:line="480" w:lineRule="auto"/>
      <w:ind w:left="283"/>
    </w:pPr>
  </w:style>
  <w:style w:type="character" w:customStyle="1" w:styleId="Brdtekstinnrykk2Tegn">
    <w:name w:val="Brødtekstinnrykk 2 Tegn"/>
    <w:link w:val="Brdtekstinnrykk2"/>
    <w:uiPriority w:val="99"/>
    <w:semiHidden/>
    <w:rsid w:val="003665E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665EC"/>
    <w:pPr>
      <w:ind w:left="283"/>
    </w:pPr>
    <w:rPr>
      <w:sz w:val="16"/>
      <w:szCs w:val="16"/>
    </w:rPr>
  </w:style>
  <w:style w:type="character" w:customStyle="1" w:styleId="Brdtekstinnrykk3Tegn">
    <w:name w:val="Brødtekstinnrykk 3 Tegn"/>
    <w:link w:val="Brdtekstinnrykk3"/>
    <w:uiPriority w:val="99"/>
    <w:semiHidden/>
    <w:rsid w:val="003665EC"/>
    <w:rPr>
      <w:rFonts w:ascii="Times New Roman" w:eastAsia="Times New Roman" w:hAnsi="Times New Roman"/>
      <w:spacing w:val="4"/>
      <w:sz w:val="16"/>
      <w:szCs w:val="16"/>
    </w:rPr>
  </w:style>
  <w:style w:type="paragraph" w:customStyle="1" w:styleId="Sammendrag">
    <w:name w:val="Sammendrag"/>
    <w:basedOn w:val="Overskrift1"/>
    <w:qFormat/>
    <w:rsid w:val="003665EC"/>
    <w:pPr>
      <w:numPr>
        <w:numId w:val="0"/>
      </w:numPr>
    </w:pPr>
  </w:style>
  <w:style w:type="paragraph" w:customStyle="1" w:styleId="TrykkeriMerknad">
    <w:name w:val="TrykkeriMerknad"/>
    <w:basedOn w:val="Normal"/>
    <w:qFormat/>
    <w:rsid w:val="003665EC"/>
    <w:pPr>
      <w:spacing w:before="60"/>
    </w:pPr>
    <w:rPr>
      <w:rFonts w:ascii="Arial" w:hAnsi="Arial"/>
      <w:color w:val="943634"/>
      <w:sz w:val="26"/>
    </w:rPr>
  </w:style>
  <w:style w:type="paragraph" w:customStyle="1" w:styleId="ForfatterMerknad">
    <w:name w:val="ForfatterMerknad"/>
    <w:basedOn w:val="TrykkeriMerknad"/>
    <w:qFormat/>
    <w:rsid w:val="003665EC"/>
    <w:pPr>
      <w:shd w:val="clear" w:color="auto" w:fill="FFFF99"/>
      <w:spacing w:line="240" w:lineRule="auto"/>
    </w:pPr>
    <w:rPr>
      <w:color w:val="632423"/>
    </w:rPr>
  </w:style>
  <w:style w:type="paragraph" w:customStyle="1" w:styleId="tblRad">
    <w:name w:val="tblRad"/>
    <w:rsid w:val="003665E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665EC"/>
  </w:style>
  <w:style w:type="paragraph" w:customStyle="1" w:styleId="tbl2LinjeSumBold">
    <w:name w:val="tbl2LinjeSumBold"/>
    <w:basedOn w:val="tblRad"/>
    <w:rsid w:val="003665EC"/>
  </w:style>
  <w:style w:type="paragraph" w:customStyle="1" w:styleId="tblDelsum1">
    <w:name w:val="tblDelsum1"/>
    <w:basedOn w:val="tblRad"/>
    <w:rsid w:val="003665EC"/>
  </w:style>
  <w:style w:type="paragraph" w:customStyle="1" w:styleId="tblDelsum1-Kapittel">
    <w:name w:val="tblDelsum1 - Kapittel"/>
    <w:basedOn w:val="tblDelsum1"/>
    <w:rsid w:val="003665EC"/>
    <w:pPr>
      <w:keepNext w:val="0"/>
    </w:pPr>
  </w:style>
  <w:style w:type="paragraph" w:customStyle="1" w:styleId="tblDelsum2">
    <w:name w:val="tblDelsum2"/>
    <w:basedOn w:val="tblRad"/>
    <w:rsid w:val="003665EC"/>
  </w:style>
  <w:style w:type="paragraph" w:customStyle="1" w:styleId="tblDelsum2-Kapittel">
    <w:name w:val="tblDelsum2 - Kapittel"/>
    <w:basedOn w:val="tblDelsum2"/>
    <w:rsid w:val="003665EC"/>
    <w:pPr>
      <w:keepNext w:val="0"/>
    </w:pPr>
  </w:style>
  <w:style w:type="paragraph" w:customStyle="1" w:styleId="tblTabelloverskrift">
    <w:name w:val="tblTabelloverskrift"/>
    <w:rsid w:val="003665E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665EC"/>
    <w:pPr>
      <w:spacing w:after="0"/>
      <w:jc w:val="right"/>
    </w:pPr>
    <w:rPr>
      <w:b w:val="0"/>
      <w:caps w:val="0"/>
      <w:sz w:val="16"/>
    </w:rPr>
  </w:style>
  <w:style w:type="paragraph" w:customStyle="1" w:styleId="tblKategoriOverskrift">
    <w:name w:val="tblKategoriOverskrift"/>
    <w:basedOn w:val="tblRad"/>
    <w:rsid w:val="003665EC"/>
    <w:pPr>
      <w:spacing w:before="120"/>
    </w:pPr>
  </w:style>
  <w:style w:type="paragraph" w:customStyle="1" w:styleId="tblKolonneoverskrift">
    <w:name w:val="tblKolonneoverskrift"/>
    <w:basedOn w:val="Normal"/>
    <w:rsid w:val="003665E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665EC"/>
    <w:pPr>
      <w:spacing w:after="360"/>
      <w:jc w:val="center"/>
    </w:pPr>
    <w:rPr>
      <w:b w:val="0"/>
      <w:caps w:val="0"/>
    </w:rPr>
  </w:style>
  <w:style w:type="paragraph" w:customStyle="1" w:styleId="tblKolonneoverskrift-Vedtak">
    <w:name w:val="tblKolonneoverskrift - Vedtak"/>
    <w:basedOn w:val="tblTabelloverskrift-Vedtak"/>
    <w:rsid w:val="003665EC"/>
    <w:pPr>
      <w:spacing w:after="0"/>
    </w:pPr>
  </w:style>
  <w:style w:type="paragraph" w:customStyle="1" w:styleId="tblOverskrift-Vedtak">
    <w:name w:val="tblOverskrift - Vedtak"/>
    <w:basedOn w:val="tblRad"/>
    <w:rsid w:val="003665EC"/>
    <w:pPr>
      <w:spacing w:before="360"/>
      <w:jc w:val="center"/>
    </w:pPr>
  </w:style>
  <w:style w:type="paragraph" w:customStyle="1" w:styleId="tblRadBold">
    <w:name w:val="tblRadBold"/>
    <w:basedOn w:val="tblRad"/>
    <w:rsid w:val="003665EC"/>
  </w:style>
  <w:style w:type="paragraph" w:customStyle="1" w:styleId="tblRadItalic">
    <w:name w:val="tblRadItalic"/>
    <w:basedOn w:val="tblRad"/>
    <w:rsid w:val="003665EC"/>
  </w:style>
  <w:style w:type="paragraph" w:customStyle="1" w:styleId="tblRadItalicSiste">
    <w:name w:val="tblRadItalicSiste"/>
    <w:basedOn w:val="tblRadItalic"/>
    <w:rsid w:val="003665EC"/>
  </w:style>
  <w:style w:type="paragraph" w:customStyle="1" w:styleId="tblRadMedLuft">
    <w:name w:val="tblRadMedLuft"/>
    <w:basedOn w:val="tblRad"/>
    <w:rsid w:val="003665EC"/>
    <w:pPr>
      <w:spacing w:before="120"/>
    </w:pPr>
  </w:style>
  <w:style w:type="paragraph" w:customStyle="1" w:styleId="tblRadMedLuftSiste">
    <w:name w:val="tblRadMedLuftSiste"/>
    <w:basedOn w:val="tblRadMedLuft"/>
    <w:rsid w:val="003665EC"/>
    <w:pPr>
      <w:spacing w:after="120"/>
    </w:pPr>
  </w:style>
  <w:style w:type="paragraph" w:customStyle="1" w:styleId="tblRadMedLuftSiste-Vedtak">
    <w:name w:val="tblRadMedLuftSiste - Vedtak"/>
    <w:basedOn w:val="tblRadMedLuftSiste"/>
    <w:rsid w:val="003665EC"/>
    <w:pPr>
      <w:keepNext w:val="0"/>
    </w:pPr>
  </w:style>
  <w:style w:type="paragraph" w:customStyle="1" w:styleId="tblRadSiste">
    <w:name w:val="tblRadSiste"/>
    <w:basedOn w:val="tblRad"/>
    <w:rsid w:val="003665EC"/>
  </w:style>
  <w:style w:type="paragraph" w:customStyle="1" w:styleId="tblSluttsum">
    <w:name w:val="tblSluttsum"/>
    <w:basedOn w:val="tblRad"/>
    <w:rsid w:val="003665EC"/>
    <w:pPr>
      <w:spacing w:before="120"/>
    </w:pPr>
  </w:style>
  <w:style w:type="table" w:customStyle="1" w:styleId="MetadataTabell">
    <w:name w:val="MetadataTabell"/>
    <w:basedOn w:val="Rutenettabelllys"/>
    <w:uiPriority w:val="99"/>
    <w:rsid w:val="003665E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665EC"/>
    <w:pPr>
      <w:spacing w:before="60" w:after="60"/>
    </w:pPr>
    <w:rPr>
      <w:rFonts w:ascii="Consolas" w:hAnsi="Consolas"/>
      <w:color w:val="C0504D"/>
      <w:sz w:val="26"/>
    </w:rPr>
  </w:style>
  <w:style w:type="table" w:styleId="Rutenettabelllys">
    <w:name w:val="Grid Table Light"/>
    <w:basedOn w:val="Vanligtabell"/>
    <w:uiPriority w:val="40"/>
    <w:rsid w:val="003665EC"/>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665EC"/>
    <w:pPr>
      <w:spacing w:before="60" w:after="60"/>
    </w:pPr>
    <w:rPr>
      <w:rFonts w:ascii="Consolas" w:hAnsi="Consolas"/>
      <w:color w:val="365F91"/>
      <w:sz w:val="26"/>
    </w:rPr>
  </w:style>
  <w:style w:type="table" w:customStyle="1" w:styleId="Standardtabell-02">
    <w:name w:val="Standardtabell-02"/>
    <w:basedOn w:val="StandardTabell"/>
    <w:uiPriority w:val="99"/>
    <w:rsid w:val="003665E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665EC"/>
    <w:rPr>
      <w:sz w:val="24"/>
    </w:rPr>
  </w:style>
  <w:style w:type="character" w:styleId="Emneknagg">
    <w:name w:val="Hashtag"/>
    <w:basedOn w:val="Standardskriftforavsnitt"/>
    <w:uiPriority w:val="99"/>
    <w:semiHidden/>
    <w:unhideWhenUsed/>
    <w:rsid w:val="003665EC"/>
    <w:rPr>
      <w:color w:val="2B579A"/>
      <w:shd w:val="clear" w:color="auto" w:fill="E1DFDD"/>
    </w:rPr>
  </w:style>
  <w:style w:type="character" w:styleId="Omtale">
    <w:name w:val="Mention"/>
    <w:basedOn w:val="Standardskriftforavsnitt"/>
    <w:uiPriority w:val="99"/>
    <w:semiHidden/>
    <w:unhideWhenUsed/>
    <w:rsid w:val="003665EC"/>
    <w:rPr>
      <w:color w:val="2B579A"/>
      <w:shd w:val="clear" w:color="auto" w:fill="E1DFDD"/>
    </w:rPr>
  </w:style>
  <w:style w:type="paragraph" w:styleId="Sitat0">
    <w:name w:val="Quote"/>
    <w:basedOn w:val="Normal"/>
    <w:next w:val="Normal"/>
    <w:link w:val="SitatTegn1"/>
    <w:uiPriority w:val="29"/>
    <w:qFormat/>
    <w:rsid w:val="003665E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3665E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3665EC"/>
    <w:rPr>
      <w:u w:val="dotted"/>
    </w:rPr>
  </w:style>
  <w:style w:type="character" w:styleId="Smartkobling">
    <w:name w:val="Smart Link"/>
    <w:basedOn w:val="Standardskriftforavsnitt"/>
    <w:uiPriority w:val="99"/>
    <w:semiHidden/>
    <w:unhideWhenUsed/>
    <w:rsid w:val="003665EC"/>
    <w:rPr>
      <w:color w:val="0000FF"/>
      <w:u w:val="single"/>
      <w:shd w:val="clear" w:color="auto" w:fill="F3F2F1"/>
    </w:rPr>
  </w:style>
  <w:style w:type="character" w:styleId="Ulstomtale">
    <w:name w:val="Unresolved Mention"/>
    <w:basedOn w:val="Standardskriftforavsnitt"/>
    <w:uiPriority w:val="99"/>
    <w:semiHidden/>
    <w:unhideWhenUsed/>
    <w:rsid w:val="00366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14</Pages>
  <Words>4411</Words>
  <Characters>29831</Characters>
  <Application>Microsoft Office Word</Application>
  <DocSecurity>0</DocSecurity>
  <Lines>248</Lines>
  <Paragraphs>68</Paragraphs>
  <ScaleCrop>false</ScaleCrop>
  <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2023-03-28T07:14:00Z</dcterms:created>
  <dcterms:modified xsi:type="dcterms:W3CDTF">2023-03-28T07:14:00Z</dcterms:modified>
</cp:coreProperties>
</file>